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B17A2" w14:textId="77777777" w:rsidR="003139B1" w:rsidRDefault="002D5C92" w:rsidP="009D39B9">
      <w:pPr>
        <w:spacing w:after="0" w:line="259" w:lineRule="auto"/>
        <w:ind w:left="0" w:right="68" w:firstLine="0"/>
        <w:jc w:val="center"/>
      </w:pPr>
      <w:bookmarkStart w:id="0" w:name="_GoBack"/>
      <w:bookmarkEnd w:id="0"/>
      <w:r>
        <w:t xml:space="preserve"> </w:t>
      </w:r>
      <w:r>
        <w:rPr>
          <w:noProof/>
        </w:rPr>
        <w:drawing>
          <wp:inline distT="0" distB="0" distL="0" distR="0" wp14:anchorId="00CB0523" wp14:editId="0790B748">
            <wp:extent cx="6129718" cy="1592011"/>
            <wp:effectExtent l="0" t="0" r="0" b="0"/>
            <wp:docPr id="398" name="Picture 398"/>
            <wp:cNvGraphicFramePr/>
            <a:graphic xmlns:a="http://schemas.openxmlformats.org/drawingml/2006/main">
              <a:graphicData uri="http://schemas.openxmlformats.org/drawingml/2006/picture">
                <pic:pic xmlns:pic="http://schemas.openxmlformats.org/drawingml/2006/picture">
                  <pic:nvPicPr>
                    <pic:cNvPr id="398" name="Picture 398"/>
                    <pic:cNvPicPr/>
                  </pic:nvPicPr>
                  <pic:blipFill>
                    <a:blip r:embed="rId8"/>
                    <a:stretch>
                      <a:fillRect/>
                    </a:stretch>
                  </pic:blipFill>
                  <pic:spPr>
                    <a:xfrm>
                      <a:off x="0" y="0"/>
                      <a:ext cx="6129718" cy="1592011"/>
                    </a:xfrm>
                    <a:prstGeom prst="rect">
                      <a:avLst/>
                    </a:prstGeom>
                  </pic:spPr>
                </pic:pic>
              </a:graphicData>
            </a:graphic>
          </wp:inline>
        </w:drawing>
      </w:r>
    </w:p>
    <w:p w14:paraId="3AD69E29" w14:textId="77777777" w:rsidR="003139B1" w:rsidRDefault="002D5C92">
      <w:pPr>
        <w:pStyle w:val="Titolo1"/>
        <w:spacing w:after="97"/>
      </w:pPr>
      <w:r>
        <w:t>GABINETTO</w:t>
      </w:r>
      <w:r>
        <w:rPr>
          <w:rFonts w:ascii="Gautami" w:eastAsia="Gautami" w:hAnsi="Gautami" w:cs="Gautami"/>
          <w:b w:val="0"/>
        </w:rPr>
        <w:t>​</w:t>
      </w:r>
      <w:r>
        <w:t xml:space="preserve"> </w:t>
      </w:r>
      <w:r>
        <w:rPr>
          <w:rFonts w:ascii="Gautami" w:eastAsia="Gautami" w:hAnsi="Gautami" w:cs="Gautami"/>
          <w:b w:val="0"/>
        </w:rPr>
        <w:t>​</w:t>
      </w:r>
      <w:r>
        <w:t>DEL</w:t>
      </w:r>
      <w:r>
        <w:rPr>
          <w:rFonts w:ascii="Gautami" w:eastAsia="Gautami" w:hAnsi="Gautami" w:cs="Gautami"/>
          <w:b w:val="0"/>
        </w:rPr>
        <w:t>​</w:t>
      </w:r>
      <w:r>
        <w:t xml:space="preserve"> </w:t>
      </w:r>
      <w:r>
        <w:rPr>
          <w:rFonts w:ascii="Gautami" w:eastAsia="Gautami" w:hAnsi="Gautami" w:cs="Gautami"/>
          <w:b w:val="0"/>
        </w:rPr>
        <w:t>​</w:t>
      </w:r>
      <w:r>
        <w:t>MINISTRO</w:t>
      </w:r>
      <w:r>
        <w:rPr>
          <w:b w:val="0"/>
        </w:rPr>
        <w:t xml:space="preserve"> </w:t>
      </w:r>
      <w:r>
        <w:t>Area</w:t>
      </w:r>
      <w:r>
        <w:rPr>
          <w:rFonts w:ascii="Gautami" w:eastAsia="Gautami" w:hAnsi="Gautami" w:cs="Gautami"/>
          <w:b w:val="0"/>
        </w:rPr>
        <w:t>​</w:t>
      </w:r>
      <w:r>
        <w:t xml:space="preserve"> </w:t>
      </w:r>
      <w:r>
        <w:rPr>
          <w:rFonts w:ascii="Gautami" w:eastAsia="Gautami" w:hAnsi="Gautami" w:cs="Gautami"/>
          <w:b w:val="0"/>
        </w:rPr>
        <w:t>​</w:t>
      </w:r>
      <w:r>
        <w:t>Economico-Finanziaria</w:t>
      </w:r>
      <w:r>
        <w:rPr>
          <w:b w:val="0"/>
        </w:rPr>
        <w:t xml:space="preserve"> </w:t>
      </w:r>
    </w:p>
    <w:p w14:paraId="567E4B8E" w14:textId="77777777" w:rsidR="003139B1" w:rsidRDefault="002D5C92">
      <w:pPr>
        <w:spacing w:after="135" w:line="259" w:lineRule="auto"/>
        <w:ind w:left="49" w:right="0" w:firstLine="0"/>
        <w:jc w:val="left"/>
      </w:pPr>
      <w:r>
        <w:t xml:space="preserve"> </w:t>
      </w:r>
    </w:p>
    <w:p w14:paraId="46257D6C" w14:textId="77777777" w:rsidR="003139B1" w:rsidRDefault="003139B1">
      <w:pPr>
        <w:spacing w:after="142" w:line="259" w:lineRule="auto"/>
        <w:ind w:left="49" w:right="0" w:firstLine="0"/>
        <w:jc w:val="left"/>
      </w:pPr>
    </w:p>
    <w:p w14:paraId="27497539" w14:textId="77777777" w:rsidR="009D39B9" w:rsidRDefault="009D39B9">
      <w:pPr>
        <w:spacing w:after="142" w:line="259" w:lineRule="auto"/>
        <w:ind w:left="49" w:right="0" w:firstLine="0"/>
        <w:jc w:val="left"/>
      </w:pPr>
    </w:p>
    <w:p w14:paraId="4822CF24" w14:textId="77777777" w:rsidR="003139B1" w:rsidRDefault="002D5C92">
      <w:pPr>
        <w:spacing w:after="54" w:line="259" w:lineRule="auto"/>
        <w:ind w:left="0" w:right="161" w:firstLine="0"/>
        <w:jc w:val="right"/>
      </w:pPr>
      <w:r>
        <w:rPr>
          <w:b/>
          <w:i/>
        </w:rPr>
        <w:t>All’Ufficio</w:t>
      </w:r>
      <w:r>
        <w:rPr>
          <w:rFonts w:ascii="Gautami" w:eastAsia="Gautami" w:hAnsi="Gautami" w:cs="Gautami"/>
          <w:sz w:val="25"/>
        </w:rPr>
        <w:t>​</w:t>
      </w:r>
      <w:r>
        <w:rPr>
          <w:b/>
          <w:i/>
        </w:rPr>
        <w:t xml:space="preserve"> </w:t>
      </w:r>
      <w:r>
        <w:rPr>
          <w:rFonts w:ascii="Gautami" w:eastAsia="Gautami" w:hAnsi="Gautami" w:cs="Gautami"/>
          <w:sz w:val="25"/>
        </w:rPr>
        <w:t>​</w:t>
      </w:r>
      <w:r>
        <w:rPr>
          <w:b/>
          <w:i/>
        </w:rPr>
        <w:t>Legislativo</w:t>
      </w:r>
      <w:r>
        <w:t xml:space="preserve"> </w:t>
      </w:r>
    </w:p>
    <w:p w14:paraId="7A718432" w14:textId="77777777" w:rsidR="003139B1" w:rsidRDefault="002D5C92">
      <w:pPr>
        <w:spacing w:after="135" w:line="259" w:lineRule="auto"/>
        <w:ind w:left="49" w:right="0" w:firstLine="0"/>
        <w:jc w:val="left"/>
      </w:pPr>
      <w:r>
        <w:t xml:space="preserve"> </w:t>
      </w:r>
    </w:p>
    <w:p w14:paraId="6FE9767C" w14:textId="77777777" w:rsidR="003139B1" w:rsidRDefault="002D5C92">
      <w:pPr>
        <w:spacing w:after="135" w:line="259" w:lineRule="auto"/>
        <w:ind w:left="49" w:right="0" w:firstLine="0"/>
        <w:jc w:val="left"/>
      </w:pPr>
      <w:r>
        <w:t xml:space="preserve"> </w:t>
      </w:r>
    </w:p>
    <w:p w14:paraId="6A736ADB" w14:textId="6129E05F" w:rsidR="00B870C3" w:rsidRPr="003753B8" w:rsidRDefault="002D5C92" w:rsidP="00E50F16">
      <w:pPr>
        <w:spacing w:after="0" w:line="276" w:lineRule="auto"/>
        <w:rPr>
          <w:bCs/>
        </w:rPr>
      </w:pPr>
      <w:r>
        <w:t>OGGETTO:</w:t>
      </w:r>
      <w:r w:rsidR="00620233">
        <w:t xml:space="preserve"> </w:t>
      </w:r>
      <w:r w:rsidR="00620233" w:rsidRPr="00620233">
        <w:rPr>
          <w:iCs/>
        </w:rPr>
        <w:t xml:space="preserve">Schema di decreto legislativo recante: </w:t>
      </w:r>
      <w:r w:rsidR="00620233" w:rsidRPr="00E50F16">
        <w:rPr>
          <w:i/>
        </w:rPr>
        <w:t>“</w:t>
      </w:r>
      <w:r w:rsidR="00E50F16" w:rsidRPr="00E50F16">
        <w:rPr>
          <w:i/>
        </w:rPr>
        <w:t>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r w:rsidR="00620233" w:rsidRPr="00E50F16">
        <w:rPr>
          <w:i/>
        </w:rPr>
        <w:t>”</w:t>
      </w:r>
      <w:r w:rsidR="00B870C3" w:rsidRPr="00E50F16">
        <w:rPr>
          <w:i/>
        </w:rPr>
        <w:t>.</w:t>
      </w:r>
    </w:p>
    <w:p w14:paraId="68D73E7B" w14:textId="77777777" w:rsidR="003139B1" w:rsidRDefault="003139B1" w:rsidP="00E72478">
      <w:pPr>
        <w:spacing w:after="31" w:line="276" w:lineRule="auto"/>
        <w:ind w:left="1310" w:right="144" w:hanging="1276"/>
      </w:pPr>
    </w:p>
    <w:p w14:paraId="2484D63E" w14:textId="77777777" w:rsidR="003139B1" w:rsidRDefault="002D5C92">
      <w:pPr>
        <w:spacing w:after="0" w:line="259" w:lineRule="auto"/>
        <w:ind w:left="49" w:right="0" w:firstLine="0"/>
        <w:jc w:val="left"/>
      </w:pPr>
      <w:r>
        <w:t xml:space="preserve"> </w:t>
      </w:r>
    </w:p>
    <w:p w14:paraId="20E23CD3" w14:textId="46C6B91D" w:rsidR="003139B1" w:rsidRDefault="002D5C92" w:rsidP="001A4063">
      <w:pPr>
        <w:spacing w:after="135" w:line="259" w:lineRule="auto"/>
        <w:ind w:left="49" w:right="0" w:firstLine="0"/>
        <w:jc w:val="left"/>
      </w:pPr>
      <w:r>
        <w:t xml:space="preserve"> </w:t>
      </w:r>
    </w:p>
    <w:p w14:paraId="2244391B" w14:textId="2BB4CD6E" w:rsidR="003139B1" w:rsidRDefault="002D5C92" w:rsidP="00FD7CE6">
      <w:pPr>
        <w:spacing w:after="143" w:line="360" w:lineRule="auto"/>
        <w:ind w:left="44" w:right="144" w:firstLine="664"/>
      </w:pPr>
      <w:r>
        <w:t>Con riferimento al</w:t>
      </w:r>
      <w:r w:rsidR="00BC17C0">
        <w:t xml:space="preserve"> provvedimento di cui all’</w:t>
      </w:r>
      <w:r>
        <w:t>oggetto, si fornisce</w:t>
      </w:r>
      <w:r>
        <w:rPr>
          <w:rFonts w:ascii="Gautami" w:eastAsia="Gautami" w:hAnsi="Gautami" w:cs="Gautami"/>
        </w:rPr>
        <w:t>​</w:t>
      </w:r>
      <w:r>
        <w:t xml:space="preserve"> l’unita</w:t>
      </w:r>
      <w:r>
        <w:rPr>
          <w:rFonts w:ascii="Gautami" w:eastAsia="Gautami" w:hAnsi="Gautami" w:cs="Gautami"/>
        </w:rPr>
        <w:t>​</w:t>
      </w:r>
      <w:r>
        <w:t xml:space="preserve"> </w:t>
      </w:r>
      <w:r>
        <w:rPr>
          <w:rFonts w:ascii="Gautami" w:eastAsia="Gautami" w:hAnsi="Gautami" w:cs="Gautami"/>
        </w:rPr>
        <w:t>​</w:t>
      </w:r>
      <w:r>
        <w:t>relazione</w:t>
      </w:r>
      <w:r>
        <w:rPr>
          <w:rFonts w:ascii="Gautami" w:eastAsia="Gautami" w:hAnsi="Gautami" w:cs="Gautami"/>
        </w:rPr>
        <w:t>​</w:t>
      </w:r>
      <w:r>
        <w:t xml:space="preserve"> </w:t>
      </w:r>
      <w:r>
        <w:rPr>
          <w:rFonts w:ascii="Gautami" w:eastAsia="Gautami" w:hAnsi="Gautami" w:cs="Gautami"/>
        </w:rPr>
        <w:t>​</w:t>
      </w:r>
      <w:r w:rsidR="00FD7CE6">
        <w:t xml:space="preserve">tecnica </w:t>
      </w:r>
      <w:r w:rsidR="0007768C" w:rsidRPr="00AA21A7">
        <w:t>aggiornat</w:t>
      </w:r>
      <w:r w:rsidR="00AA21A7">
        <w:t>a</w:t>
      </w:r>
      <w:r w:rsidR="007750D8" w:rsidRPr="00AA21A7">
        <w:t xml:space="preserve"> al </w:t>
      </w:r>
      <w:r w:rsidR="007750D8" w:rsidRPr="00DE5D61">
        <w:t>tes</w:t>
      </w:r>
      <w:r w:rsidR="00AA21A7" w:rsidRPr="00DE5D61">
        <w:t>t</w:t>
      </w:r>
      <w:r w:rsidR="007750D8" w:rsidRPr="00DE5D61">
        <w:t xml:space="preserve">o del </w:t>
      </w:r>
      <w:r w:rsidR="00036C04" w:rsidRPr="00DE5D61">
        <w:t>6</w:t>
      </w:r>
      <w:r w:rsidR="007750D8" w:rsidRPr="00DE5D61">
        <w:t xml:space="preserve"> </w:t>
      </w:r>
      <w:r w:rsidR="00036C04" w:rsidRPr="00DE5D61">
        <w:t>marzo</w:t>
      </w:r>
      <w:r w:rsidR="007750D8" w:rsidRPr="00DE5D61">
        <w:t xml:space="preserve"> 2023</w:t>
      </w:r>
      <w:r w:rsidR="00254786">
        <w:t>.</w:t>
      </w:r>
    </w:p>
    <w:p w14:paraId="2E4F7B1B" w14:textId="77777777" w:rsidR="003139B1" w:rsidRDefault="002D5C92">
      <w:pPr>
        <w:spacing w:after="0" w:line="259" w:lineRule="auto"/>
        <w:ind w:left="754" w:right="0" w:firstLine="0"/>
        <w:jc w:val="left"/>
      </w:pPr>
      <w:r>
        <w:t xml:space="preserve"> </w:t>
      </w:r>
      <w:r>
        <w:rPr>
          <w:sz w:val="20"/>
        </w:rPr>
        <w:t xml:space="preserve"> </w:t>
      </w:r>
    </w:p>
    <w:p w14:paraId="3A327A6C" w14:textId="77777777" w:rsidR="003139B1" w:rsidRDefault="002D5C92">
      <w:pPr>
        <w:spacing w:after="36" w:line="259" w:lineRule="auto"/>
        <w:ind w:left="832" w:right="0" w:firstLine="0"/>
        <w:jc w:val="center"/>
      </w:pPr>
      <w:r>
        <w:rPr>
          <w:b/>
          <w:i/>
        </w:rPr>
        <w:t xml:space="preserve"> </w:t>
      </w:r>
      <w:r>
        <w:rPr>
          <w:b/>
          <w:i/>
        </w:rPr>
        <w:tab/>
      </w:r>
      <w:r>
        <w:t xml:space="preserve"> </w:t>
      </w:r>
    </w:p>
    <w:p w14:paraId="3D8F633E" w14:textId="77777777" w:rsidR="003139B1" w:rsidRDefault="002D5C92">
      <w:pPr>
        <w:spacing w:after="37" w:line="259" w:lineRule="auto"/>
        <w:ind w:left="754" w:right="0" w:firstLine="0"/>
        <w:jc w:val="left"/>
      </w:pPr>
      <w:r>
        <w:t xml:space="preserve"> </w:t>
      </w:r>
    </w:p>
    <w:p w14:paraId="40DF0B7A" w14:textId="77777777" w:rsidR="003139B1" w:rsidRDefault="002D5C92">
      <w:pPr>
        <w:spacing w:after="0" w:line="259" w:lineRule="auto"/>
        <w:ind w:left="0" w:right="0" w:firstLine="0"/>
        <w:jc w:val="left"/>
      </w:pPr>
      <w:r>
        <w:rPr>
          <w:rFonts w:ascii="Gautami" w:eastAsia="Gautami" w:hAnsi="Gautami" w:cs="Gautami"/>
          <w:sz w:val="25"/>
        </w:rPr>
        <w:t>​</w:t>
      </w:r>
      <w:r>
        <w:rPr>
          <w:b/>
          <w:i/>
        </w:rPr>
        <w:t xml:space="preserve">                                                                                     </w:t>
      </w:r>
      <w:r w:rsidR="009D39B9">
        <w:rPr>
          <w:b/>
          <w:i/>
        </w:rPr>
        <w:t>Il</w:t>
      </w:r>
      <w:r>
        <w:rPr>
          <w:rFonts w:ascii="Gautami" w:eastAsia="Gautami" w:hAnsi="Gautami" w:cs="Gautami"/>
          <w:sz w:val="25"/>
        </w:rPr>
        <w:t>​</w:t>
      </w:r>
      <w:r>
        <w:rPr>
          <w:b/>
          <w:i/>
        </w:rPr>
        <w:t xml:space="preserve"> </w:t>
      </w:r>
      <w:r>
        <w:rPr>
          <w:rFonts w:ascii="Gautami" w:eastAsia="Gautami" w:hAnsi="Gautami" w:cs="Gautami"/>
          <w:sz w:val="25"/>
        </w:rPr>
        <w:t>​</w:t>
      </w:r>
      <w:r>
        <w:rPr>
          <w:b/>
          <w:i/>
        </w:rPr>
        <w:t xml:space="preserve">Dirigente </w:t>
      </w:r>
      <w:r>
        <w:t xml:space="preserve"> </w:t>
      </w:r>
    </w:p>
    <w:p w14:paraId="47C82BE0" w14:textId="77777777" w:rsidR="003139B1" w:rsidRDefault="002D5C92">
      <w:pPr>
        <w:spacing w:after="89" w:line="216" w:lineRule="auto"/>
        <w:ind w:left="974" w:right="0"/>
        <w:jc w:val="center"/>
      </w:pPr>
      <w:r>
        <w:rPr>
          <w:rFonts w:ascii="Gautami" w:eastAsia="Gautami" w:hAnsi="Gautami" w:cs="Gautami"/>
          <w:sz w:val="25"/>
        </w:rPr>
        <w:t>​</w:t>
      </w:r>
      <w:r w:rsidR="00A337BE">
        <w:rPr>
          <w:rFonts w:ascii="Gautami" w:eastAsia="Gautami" w:hAnsi="Gautami" w:cs="Gautami"/>
          <w:sz w:val="25"/>
        </w:rPr>
        <w:tab/>
      </w:r>
      <w:r w:rsidR="00A337BE">
        <w:rPr>
          <w:rFonts w:ascii="Gautami" w:eastAsia="Gautami" w:hAnsi="Gautami" w:cs="Gautami"/>
          <w:sz w:val="25"/>
        </w:rPr>
        <w:tab/>
      </w:r>
      <w:r>
        <w:rPr>
          <w:i/>
        </w:rPr>
        <w:t xml:space="preserve"> </w:t>
      </w:r>
      <w:r>
        <w:rPr>
          <w:rFonts w:ascii="Gautami" w:eastAsia="Gautami" w:hAnsi="Gautami" w:cs="Gautami"/>
          <w:sz w:val="25"/>
        </w:rPr>
        <w:t>​</w:t>
      </w:r>
      <w:r>
        <w:rPr>
          <w:i/>
        </w:rPr>
        <w:t>Massimiliano</w:t>
      </w:r>
      <w:r>
        <w:rPr>
          <w:rFonts w:ascii="Gautami" w:eastAsia="Gautami" w:hAnsi="Gautami" w:cs="Gautami"/>
          <w:sz w:val="25"/>
        </w:rPr>
        <w:t>​</w:t>
      </w:r>
      <w:r>
        <w:rPr>
          <w:i/>
        </w:rPr>
        <w:t xml:space="preserve"> </w:t>
      </w:r>
      <w:r>
        <w:rPr>
          <w:rFonts w:ascii="Gautami" w:eastAsia="Gautami" w:hAnsi="Gautami" w:cs="Gautami"/>
          <w:sz w:val="25"/>
        </w:rPr>
        <w:t>​</w:t>
      </w:r>
      <w:r>
        <w:rPr>
          <w:i/>
        </w:rPr>
        <w:t>Micheletti</w:t>
      </w:r>
      <w:r>
        <w:t xml:space="preserve"> </w:t>
      </w:r>
    </w:p>
    <w:p w14:paraId="65480112" w14:textId="77777777" w:rsidR="003139B1" w:rsidRDefault="002D5C92">
      <w:pPr>
        <w:spacing w:after="151" w:line="259" w:lineRule="auto"/>
        <w:ind w:left="754" w:right="0" w:firstLine="0"/>
        <w:jc w:val="left"/>
      </w:pPr>
      <w:r>
        <w:t xml:space="preserve"> </w:t>
      </w:r>
    </w:p>
    <w:p w14:paraId="165E016F" w14:textId="77777777" w:rsidR="003139B1" w:rsidRDefault="002D5C92">
      <w:pPr>
        <w:spacing w:after="0" w:line="259" w:lineRule="auto"/>
        <w:ind w:left="1443" w:right="0" w:firstLine="0"/>
        <w:jc w:val="center"/>
      </w:pPr>
      <w:r>
        <w:t xml:space="preserve"> </w:t>
      </w:r>
      <w:r>
        <w:tab/>
      </w:r>
      <w:r>
        <w:rPr>
          <w:sz w:val="28"/>
        </w:rPr>
        <w:t xml:space="preserve"> </w:t>
      </w:r>
    </w:p>
    <w:p w14:paraId="2F69B666" w14:textId="77777777" w:rsidR="003139B1" w:rsidRDefault="002D5C92">
      <w:pPr>
        <w:spacing w:after="0" w:line="259" w:lineRule="auto"/>
        <w:ind w:left="49" w:right="0" w:firstLine="0"/>
        <w:jc w:val="left"/>
      </w:pPr>
      <w:r>
        <w:rPr>
          <w:sz w:val="20"/>
        </w:rPr>
        <w:t xml:space="preserve"> </w:t>
      </w:r>
    </w:p>
    <w:p w14:paraId="05872DF1" w14:textId="77777777" w:rsidR="003139B1" w:rsidRDefault="002D5C92">
      <w:pPr>
        <w:spacing w:after="0" w:line="259" w:lineRule="auto"/>
        <w:ind w:left="49" w:right="0" w:firstLine="0"/>
        <w:jc w:val="left"/>
      </w:pPr>
      <w:r>
        <w:rPr>
          <w:sz w:val="20"/>
        </w:rPr>
        <w:t xml:space="preserve"> </w:t>
      </w:r>
    </w:p>
    <w:p w14:paraId="2DFA2396" w14:textId="77777777" w:rsidR="003139B1" w:rsidRDefault="002D5C92">
      <w:pPr>
        <w:spacing w:after="0" w:line="259" w:lineRule="auto"/>
        <w:ind w:left="49" w:right="0" w:firstLine="0"/>
        <w:jc w:val="left"/>
      </w:pPr>
      <w:r>
        <w:rPr>
          <w:sz w:val="20"/>
        </w:rPr>
        <w:t xml:space="preserve"> </w:t>
      </w:r>
    </w:p>
    <w:p w14:paraId="7033EB56" w14:textId="77777777" w:rsidR="003139B1" w:rsidRDefault="002D5C92">
      <w:pPr>
        <w:spacing w:after="0" w:line="259" w:lineRule="auto"/>
        <w:ind w:left="49" w:right="0" w:firstLine="0"/>
        <w:jc w:val="left"/>
      </w:pPr>
      <w:r>
        <w:rPr>
          <w:sz w:val="20"/>
        </w:rPr>
        <w:t xml:space="preserve"> </w:t>
      </w:r>
    </w:p>
    <w:p w14:paraId="12D824C7" w14:textId="77777777" w:rsidR="003139B1" w:rsidRDefault="002D5C92">
      <w:pPr>
        <w:spacing w:after="0" w:line="259" w:lineRule="auto"/>
        <w:ind w:left="49" w:right="0" w:firstLine="0"/>
        <w:jc w:val="left"/>
      </w:pPr>
      <w:r>
        <w:rPr>
          <w:sz w:val="20"/>
        </w:rPr>
        <w:t xml:space="preserve"> </w:t>
      </w:r>
    </w:p>
    <w:p w14:paraId="09079461" w14:textId="77777777" w:rsidR="003139B1" w:rsidRDefault="002D5C92">
      <w:pPr>
        <w:spacing w:after="0" w:line="259" w:lineRule="auto"/>
        <w:ind w:left="49" w:right="0" w:firstLine="0"/>
        <w:jc w:val="left"/>
      </w:pPr>
      <w:r>
        <w:rPr>
          <w:sz w:val="20"/>
        </w:rPr>
        <w:t xml:space="preserve"> </w:t>
      </w:r>
    </w:p>
    <w:p w14:paraId="02D3F58E" w14:textId="77777777" w:rsidR="003139B1" w:rsidRDefault="002D5C92">
      <w:pPr>
        <w:spacing w:after="0" w:line="259" w:lineRule="auto"/>
        <w:ind w:left="49" w:right="0" w:firstLine="0"/>
        <w:jc w:val="left"/>
      </w:pPr>
      <w:r>
        <w:rPr>
          <w:sz w:val="20"/>
        </w:rPr>
        <w:t xml:space="preserve"> </w:t>
      </w:r>
    </w:p>
    <w:p w14:paraId="187FF16D" w14:textId="77777777" w:rsidR="003139B1" w:rsidRDefault="003139B1">
      <w:pPr>
        <w:spacing w:after="71" w:line="259" w:lineRule="auto"/>
        <w:ind w:left="49" w:right="0" w:firstLine="0"/>
        <w:jc w:val="left"/>
      </w:pPr>
    </w:p>
    <w:p w14:paraId="7F5D95D9" w14:textId="14F5C5E6" w:rsidR="003139B1" w:rsidRPr="00AF6A27" w:rsidRDefault="00AD2999" w:rsidP="00035832">
      <w:pPr>
        <w:spacing w:after="0" w:line="259" w:lineRule="auto"/>
        <w:ind w:left="49" w:right="0" w:firstLine="0"/>
        <w:rPr>
          <w:b/>
          <w:bCs/>
          <w:i/>
        </w:rPr>
      </w:pPr>
      <w:r w:rsidRPr="00AD2999">
        <w:rPr>
          <w:b/>
          <w:bCs/>
          <w:i/>
        </w:rPr>
        <w:lastRenderedPageBreak/>
        <w:t>Schema di decreto legislativo recante: “</w:t>
      </w:r>
      <w:r w:rsidR="00AF6A27" w:rsidRPr="00AF6A27">
        <w:rPr>
          <w:b/>
          <w:bCs/>
          <w:i/>
        </w:rPr>
        <w:t>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p w14:paraId="444A9FF7" w14:textId="77777777" w:rsidR="003139B1" w:rsidRDefault="002D5C92" w:rsidP="00035832">
      <w:pPr>
        <w:spacing w:after="0" w:line="259" w:lineRule="auto"/>
        <w:ind w:left="49" w:right="0" w:firstLine="0"/>
      </w:pPr>
      <w:r>
        <w:t xml:space="preserve">  </w:t>
      </w:r>
    </w:p>
    <w:p w14:paraId="7DE7A390" w14:textId="77777777" w:rsidR="003139B1" w:rsidRDefault="002D5C92">
      <w:pPr>
        <w:pStyle w:val="Titolo1"/>
        <w:tabs>
          <w:tab w:val="center" w:pos="5002"/>
          <w:tab w:val="center" w:pos="6306"/>
        </w:tabs>
        <w:spacing w:after="32"/>
        <w:ind w:left="0" w:right="0" w:firstLine="0"/>
        <w:jc w:val="left"/>
        <w:rPr>
          <w:b w:val="0"/>
        </w:rPr>
      </w:pPr>
      <w:r>
        <w:rPr>
          <w:rFonts w:ascii="Calibri" w:eastAsia="Calibri" w:hAnsi="Calibri" w:cs="Calibri"/>
          <w:b w:val="0"/>
          <w:sz w:val="22"/>
        </w:rPr>
        <w:tab/>
      </w:r>
      <w:r>
        <w:t xml:space="preserve">RELAZIONE </w:t>
      </w:r>
      <w:r>
        <w:rPr>
          <w:rFonts w:ascii="Gautami" w:eastAsia="Gautami" w:hAnsi="Gautami" w:cs="Gautami"/>
          <w:b w:val="0"/>
        </w:rPr>
        <w:t xml:space="preserve">​ </w:t>
      </w:r>
      <w:r>
        <w:t>TECNICA</w:t>
      </w:r>
      <w:r>
        <w:rPr>
          <w:rFonts w:ascii="Gautami" w:eastAsia="Gautami" w:hAnsi="Gautami" w:cs="Gautami"/>
          <w:b w:val="0"/>
        </w:rPr>
        <w:t>​</w:t>
      </w:r>
      <w:r>
        <w:rPr>
          <w:rFonts w:ascii="Gautami" w:eastAsia="Gautami" w:hAnsi="Gautami" w:cs="Gautami"/>
          <w:b w:val="0"/>
        </w:rPr>
        <w:tab/>
      </w:r>
      <w:r>
        <w:rPr>
          <w:b w:val="0"/>
        </w:rPr>
        <w:t xml:space="preserve"> </w:t>
      </w:r>
    </w:p>
    <w:p w14:paraId="3A7ACD8A" w14:textId="77777777" w:rsidR="002F02F2" w:rsidRPr="002F02F2" w:rsidRDefault="002F02F2" w:rsidP="002F02F2"/>
    <w:p w14:paraId="142BF549" w14:textId="16B2A79C" w:rsidR="00A92B5F" w:rsidRDefault="006059EF" w:rsidP="001A4063">
      <w:pPr>
        <w:spacing w:after="20" w:line="276" w:lineRule="auto"/>
        <w:ind w:left="11" w:right="0" w:firstLine="0"/>
      </w:pPr>
      <w:r>
        <w:t xml:space="preserve">Lo schema di </w:t>
      </w:r>
      <w:r w:rsidR="006A529E">
        <w:t>d</w:t>
      </w:r>
      <w:r>
        <w:t xml:space="preserve">ecreto legislativo </w:t>
      </w:r>
      <w:r w:rsidR="006A529E">
        <w:t>in esame è</w:t>
      </w:r>
      <w:r>
        <w:t xml:space="preserve"> adottato in attuazione della delega contenuta dalla Legge di delegazione </w:t>
      </w:r>
      <w:r w:rsidRPr="000B094B">
        <w:t xml:space="preserve">europea </w:t>
      </w:r>
      <w:r w:rsidR="00F13CAA" w:rsidRPr="00CC04F3">
        <w:t xml:space="preserve">2021 </w:t>
      </w:r>
      <w:r w:rsidRPr="00CC04F3">
        <w:t xml:space="preserve">(Legge </w:t>
      </w:r>
      <w:r w:rsidR="00F13CAA" w:rsidRPr="00CC04F3">
        <w:t>n. 127 del 2022</w:t>
      </w:r>
      <w:r w:rsidRPr="00CC04F3">
        <w:t>)</w:t>
      </w:r>
      <w:r>
        <w:t xml:space="preserve"> al fine di </w:t>
      </w:r>
      <w:r w:rsidR="00A92B5F">
        <w:t>recepire</w:t>
      </w:r>
      <w:r>
        <w:t xml:space="preserve"> nell’ordinamento interno i principi della direttiva (UE) 2019/1937</w:t>
      </w:r>
      <w:r w:rsidR="00A92B5F">
        <w:t xml:space="preserve"> </w:t>
      </w:r>
      <w:r w:rsidRPr="006059EF">
        <w:rPr>
          <w:color w:val="auto"/>
          <w:szCs w:val="24"/>
          <w:lang w:eastAsia="en-US"/>
        </w:rPr>
        <w:t>del Parlamento europeo e del Consiglio del 23 ottobre 2019, riguardante la protezione delle persone che segnalano violazioni del diritto dell’Unione</w:t>
      </w:r>
      <w:r>
        <w:rPr>
          <w:color w:val="auto"/>
          <w:szCs w:val="24"/>
          <w:lang w:eastAsia="en-US"/>
        </w:rPr>
        <w:t>.</w:t>
      </w:r>
      <w:r w:rsidR="00E740F3" w:rsidRPr="00E740F3">
        <w:t xml:space="preserve"> </w:t>
      </w:r>
    </w:p>
    <w:p w14:paraId="00C66FB4" w14:textId="4D262F2E" w:rsidR="001561B3" w:rsidRDefault="00E740F3" w:rsidP="001A4063">
      <w:pPr>
        <w:spacing w:line="276" w:lineRule="auto"/>
        <w:ind w:right="0"/>
        <w:rPr>
          <w:color w:val="auto"/>
          <w:szCs w:val="24"/>
          <w:lang w:eastAsia="en-US"/>
        </w:rPr>
      </w:pPr>
      <w:r w:rsidRPr="00E740F3">
        <w:rPr>
          <w:color w:val="auto"/>
          <w:szCs w:val="24"/>
          <w:lang w:eastAsia="en-US"/>
        </w:rPr>
        <w:t>Il concetto di whistleblower o informatore sugli illeciti è stato introdotto nel nostro ordinamento con la legge 90/2012 che ha previsto l'inserimento dell'articolo 54</w:t>
      </w:r>
      <w:r w:rsidR="00A92B5F">
        <w:rPr>
          <w:color w:val="auto"/>
          <w:szCs w:val="24"/>
          <w:lang w:eastAsia="en-US"/>
        </w:rPr>
        <w:t>-</w:t>
      </w:r>
      <w:r w:rsidRPr="00B204EA">
        <w:rPr>
          <w:i/>
          <w:iCs/>
          <w:color w:val="auto"/>
          <w:szCs w:val="24"/>
          <w:lang w:eastAsia="en-US"/>
        </w:rPr>
        <w:t>bis</w:t>
      </w:r>
      <w:r w:rsidRPr="00E740F3">
        <w:rPr>
          <w:color w:val="auto"/>
          <w:szCs w:val="24"/>
          <w:lang w:eastAsia="en-US"/>
        </w:rPr>
        <w:t xml:space="preserve"> nel </w:t>
      </w:r>
      <w:r w:rsidR="00F92657" w:rsidRPr="00E740F3">
        <w:rPr>
          <w:color w:val="auto"/>
          <w:szCs w:val="24"/>
          <w:lang w:eastAsia="en-US"/>
        </w:rPr>
        <w:t>D</w:t>
      </w:r>
      <w:r w:rsidR="00F92657">
        <w:rPr>
          <w:color w:val="auto"/>
          <w:szCs w:val="24"/>
          <w:lang w:eastAsia="en-US"/>
        </w:rPr>
        <w:t>.</w:t>
      </w:r>
      <w:r w:rsidR="00F92657" w:rsidRPr="00E740F3">
        <w:rPr>
          <w:color w:val="auto"/>
          <w:szCs w:val="24"/>
          <w:lang w:eastAsia="en-US"/>
        </w:rPr>
        <w:t>lgs.</w:t>
      </w:r>
      <w:r w:rsidRPr="00E740F3">
        <w:rPr>
          <w:color w:val="auto"/>
          <w:szCs w:val="24"/>
          <w:lang w:eastAsia="en-US"/>
        </w:rPr>
        <w:t xml:space="preserve"> 165 del 30 marzo 2001, il quale ha introdotto la tutela del dipendente pubblico che decida di segnalare illeciti commessi all'interno dell'ente in cui opera.</w:t>
      </w:r>
      <w:r w:rsidR="00B444AD">
        <w:rPr>
          <w:color w:val="auto"/>
          <w:szCs w:val="24"/>
          <w:lang w:eastAsia="en-US"/>
        </w:rPr>
        <w:t xml:space="preserve"> A far data dal 2017 </w:t>
      </w:r>
      <w:r w:rsidR="00B444AD" w:rsidRPr="00B444AD">
        <w:rPr>
          <w:color w:val="auto"/>
          <w:szCs w:val="24"/>
          <w:lang w:eastAsia="en-US"/>
        </w:rPr>
        <w:t>la disciplina del whistleblowing è stata estesa anche al settore privato. La legge 179/2017, infatti, oltre a potenziare la tutela del whistleblower impiegato nel settore pubblico mediante un rafforzamento dei sistemi già previsti dall’articolo 54</w:t>
      </w:r>
      <w:r w:rsidR="00A92B5F">
        <w:rPr>
          <w:color w:val="auto"/>
          <w:szCs w:val="24"/>
          <w:lang w:eastAsia="en-US"/>
        </w:rPr>
        <w:t>-</w:t>
      </w:r>
      <w:r w:rsidR="00B444AD" w:rsidRPr="00B444AD">
        <w:rPr>
          <w:color w:val="auto"/>
          <w:szCs w:val="24"/>
          <w:lang w:eastAsia="en-US"/>
        </w:rPr>
        <w:t>bis del </w:t>
      </w:r>
      <w:r w:rsidR="00F92657" w:rsidRPr="00AD1B40">
        <w:rPr>
          <w:bCs/>
          <w:color w:val="auto"/>
          <w:szCs w:val="24"/>
          <w:lang w:eastAsia="en-US"/>
        </w:rPr>
        <w:t>D</w:t>
      </w:r>
      <w:r w:rsidR="00F92657">
        <w:rPr>
          <w:bCs/>
          <w:color w:val="auto"/>
          <w:szCs w:val="24"/>
          <w:lang w:eastAsia="en-US"/>
        </w:rPr>
        <w:t>.</w:t>
      </w:r>
      <w:r w:rsidR="00F92657" w:rsidRPr="00AD1B40">
        <w:rPr>
          <w:bCs/>
          <w:color w:val="auto"/>
          <w:szCs w:val="24"/>
          <w:lang w:eastAsia="en-US"/>
        </w:rPr>
        <w:t>lgs.</w:t>
      </w:r>
      <w:r w:rsidR="00B444AD" w:rsidRPr="00AD1B40">
        <w:rPr>
          <w:bCs/>
          <w:color w:val="auto"/>
          <w:szCs w:val="24"/>
          <w:lang w:eastAsia="en-US"/>
        </w:rPr>
        <w:t xml:space="preserve"> 165/2001</w:t>
      </w:r>
      <w:r w:rsidR="00B444AD" w:rsidRPr="00B444AD">
        <w:rPr>
          <w:color w:val="auto"/>
          <w:szCs w:val="24"/>
          <w:lang w:eastAsia="en-US"/>
        </w:rPr>
        <w:t xml:space="preserve">, ha previsto la possibilità di istituire specifici sistemi di tutela per quanti, nell'ambito del settore privato, operassero una segnalazione di illecito. Ciò ha modificato in parte il percorso tracciato dal </w:t>
      </w:r>
      <w:r w:rsidR="00F92657" w:rsidRPr="00B444AD">
        <w:rPr>
          <w:color w:val="auto"/>
          <w:szCs w:val="24"/>
          <w:lang w:eastAsia="en-US"/>
        </w:rPr>
        <w:t>D</w:t>
      </w:r>
      <w:r w:rsidR="00F92657">
        <w:rPr>
          <w:color w:val="auto"/>
          <w:szCs w:val="24"/>
          <w:lang w:eastAsia="en-US"/>
        </w:rPr>
        <w:t>.</w:t>
      </w:r>
      <w:r w:rsidR="00F92657" w:rsidRPr="00B444AD">
        <w:rPr>
          <w:color w:val="auto"/>
          <w:szCs w:val="24"/>
          <w:lang w:eastAsia="en-US"/>
        </w:rPr>
        <w:t>lgs.</w:t>
      </w:r>
      <w:r w:rsidR="00B444AD" w:rsidRPr="00B444AD">
        <w:rPr>
          <w:color w:val="auto"/>
          <w:szCs w:val="24"/>
          <w:lang w:eastAsia="en-US"/>
        </w:rPr>
        <w:t xml:space="preserve"> 231/2001 in tema di responsabilità amministrativa delle società e modelli di organizzazione</w:t>
      </w:r>
      <w:r w:rsidR="00B444AD" w:rsidRPr="00CF707B">
        <w:rPr>
          <w:color w:val="auto"/>
          <w:szCs w:val="24"/>
          <w:lang w:eastAsia="en-US"/>
        </w:rPr>
        <w:t>.</w:t>
      </w:r>
      <w:r w:rsidR="00192B87" w:rsidRPr="00CF707B">
        <w:rPr>
          <w:color w:val="auto"/>
          <w:szCs w:val="24"/>
          <w:lang w:eastAsia="en-US"/>
        </w:rPr>
        <w:t xml:space="preserve"> La direttiva “de qua”, che deve essere recepita dagli Stati membri entro il </w:t>
      </w:r>
      <w:r w:rsidR="000B094B" w:rsidRPr="00CF707B">
        <w:rPr>
          <w:color w:val="auto"/>
          <w:szCs w:val="24"/>
          <w:lang w:eastAsia="en-US"/>
        </w:rPr>
        <w:t>10</w:t>
      </w:r>
      <w:r w:rsidR="00192B87" w:rsidRPr="00CF707B">
        <w:rPr>
          <w:color w:val="auto"/>
          <w:szCs w:val="24"/>
          <w:lang w:eastAsia="en-US"/>
        </w:rPr>
        <w:t xml:space="preserve"> dicembre 202</w:t>
      </w:r>
      <w:r w:rsidR="000B094B" w:rsidRPr="00CF707B">
        <w:rPr>
          <w:color w:val="auto"/>
          <w:szCs w:val="24"/>
          <w:lang w:eastAsia="en-US"/>
        </w:rPr>
        <w:t>2</w:t>
      </w:r>
      <w:r w:rsidR="00192B87" w:rsidRPr="00CF707B">
        <w:rPr>
          <w:color w:val="auto"/>
          <w:szCs w:val="24"/>
          <w:lang w:eastAsia="en-US"/>
        </w:rPr>
        <w:t>, è stata</w:t>
      </w:r>
      <w:r w:rsidR="00192B87" w:rsidRPr="00CC04F3">
        <w:rPr>
          <w:color w:val="auto"/>
          <w:szCs w:val="24"/>
          <w:lang w:eastAsia="en-US"/>
        </w:rPr>
        <w:t xml:space="preserve"> emanata per favorire l’emersione di illeciti di differente natura, comme</w:t>
      </w:r>
      <w:r w:rsidR="00192B87">
        <w:rPr>
          <w:color w:val="auto"/>
          <w:szCs w:val="24"/>
          <w:lang w:eastAsia="en-US"/>
        </w:rPr>
        <w:t>ssi all’interno d</w:t>
      </w:r>
      <w:r w:rsidR="00A92B5F">
        <w:rPr>
          <w:color w:val="auto"/>
          <w:szCs w:val="24"/>
          <w:lang w:eastAsia="en-US"/>
        </w:rPr>
        <w:t>elle</w:t>
      </w:r>
      <w:r w:rsidR="00192B87">
        <w:rPr>
          <w:color w:val="auto"/>
          <w:szCs w:val="24"/>
          <w:lang w:eastAsia="en-US"/>
        </w:rPr>
        <w:t xml:space="preserve"> pubbliche amministrazioni, enti pubblici economici, organismi di diritto pubblico, </w:t>
      </w:r>
      <w:r w:rsidR="00A92B5F">
        <w:rPr>
          <w:color w:val="auto"/>
          <w:szCs w:val="24"/>
          <w:lang w:eastAsia="en-US"/>
        </w:rPr>
        <w:t>d</w:t>
      </w:r>
      <w:r w:rsidR="00192B87">
        <w:rPr>
          <w:color w:val="auto"/>
          <w:szCs w:val="24"/>
          <w:lang w:eastAsia="en-US"/>
        </w:rPr>
        <w:t xml:space="preserve">i concessionari di pubblici servizi, </w:t>
      </w:r>
      <w:r w:rsidR="00A92B5F">
        <w:rPr>
          <w:color w:val="auto"/>
          <w:szCs w:val="24"/>
          <w:lang w:eastAsia="en-US"/>
        </w:rPr>
        <w:t>di</w:t>
      </w:r>
      <w:r w:rsidR="00192B87">
        <w:rPr>
          <w:color w:val="auto"/>
          <w:szCs w:val="24"/>
          <w:lang w:eastAsia="en-US"/>
        </w:rPr>
        <w:t xml:space="preserve"> società a controllo pubblico e </w:t>
      </w:r>
      <w:r w:rsidR="00A92B5F">
        <w:rPr>
          <w:color w:val="auto"/>
          <w:szCs w:val="24"/>
          <w:lang w:eastAsia="en-US"/>
        </w:rPr>
        <w:t>di</w:t>
      </w:r>
      <w:r w:rsidR="00192B87">
        <w:rPr>
          <w:color w:val="auto"/>
          <w:szCs w:val="24"/>
          <w:lang w:eastAsia="en-US"/>
        </w:rPr>
        <w:t xml:space="preserve"> società in </w:t>
      </w:r>
      <w:r w:rsidR="00192B87" w:rsidRPr="00192B87">
        <w:rPr>
          <w:i/>
          <w:color w:val="auto"/>
          <w:szCs w:val="24"/>
          <w:lang w:eastAsia="en-US"/>
        </w:rPr>
        <w:t>house</w:t>
      </w:r>
      <w:r w:rsidR="00192B87">
        <w:rPr>
          <w:color w:val="auto"/>
          <w:szCs w:val="24"/>
          <w:lang w:eastAsia="en-US"/>
        </w:rPr>
        <w:t xml:space="preserve"> (c.d. </w:t>
      </w:r>
      <w:r w:rsidR="00192B87" w:rsidRPr="00192B87">
        <w:rPr>
          <w:i/>
          <w:color w:val="auto"/>
          <w:szCs w:val="24"/>
          <w:lang w:eastAsia="en-US"/>
        </w:rPr>
        <w:t>soggetti del settore pubblico</w:t>
      </w:r>
      <w:r w:rsidR="00192B87">
        <w:rPr>
          <w:color w:val="auto"/>
          <w:szCs w:val="24"/>
          <w:lang w:eastAsia="en-US"/>
        </w:rPr>
        <w:t>)</w:t>
      </w:r>
      <w:r w:rsidR="008636AC">
        <w:rPr>
          <w:color w:val="auto"/>
          <w:szCs w:val="24"/>
          <w:lang w:eastAsia="en-US"/>
        </w:rPr>
        <w:t xml:space="preserve"> ed anche dei soggetti di diritto privato, imprese ed aziende operanti in svariati settori del mercato tra i quali soprattutto quelli degli appalti</w:t>
      </w:r>
      <w:r w:rsidR="008636AC" w:rsidRPr="008636AC">
        <w:t xml:space="preserve"> </w:t>
      </w:r>
      <w:r w:rsidR="008636AC" w:rsidRPr="008636AC">
        <w:rPr>
          <w:color w:val="auto"/>
          <w:szCs w:val="24"/>
          <w:lang w:eastAsia="en-US"/>
        </w:rPr>
        <w:t>pubblici, dei servizi finanziari, di quanto concerne i prodotti immessi nel mercato interno e in particolare la filiera alimentare, della sicurezza dei trasporti, della tutela dell’ambiente, e infine dei settori della sicurezza nucleare, tutela degli interessi finanziari dell’Unione e della protezione dei dati personali</w:t>
      </w:r>
      <w:r w:rsidR="008636AC" w:rsidRPr="001561B3">
        <w:rPr>
          <w:color w:val="auto"/>
          <w:szCs w:val="24"/>
          <w:lang w:eastAsia="en-US"/>
        </w:rPr>
        <w:t>.</w:t>
      </w:r>
      <w:r w:rsidR="0037781A" w:rsidRPr="001561B3">
        <w:rPr>
          <w:color w:val="auto"/>
          <w:szCs w:val="24"/>
          <w:lang w:eastAsia="en-US"/>
        </w:rPr>
        <w:t xml:space="preserve"> </w:t>
      </w:r>
    </w:p>
    <w:p w14:paraId="6E4D8FB9" w14:textId="11659309" w:rsidR="001561B3" w:rsidRPr="001561B3" w:rsidRDefault="001561B3" w:rsidP="001A4063">
      <w:pPr>
        <w:spacing w:line="276" w:lineRule="auto"/>
        <w:ind w:right="0"/>
        <w:rPr>
          <w:color w:val="auto"/>
          <w:szCs w:val="24"/>
          <w:lang w:eastAsia="en-US"/>
        </w:rPr>
      </w:pPr>
      <w:r w:rsidRPr="00CC04F3">
        <w:rPr>
          <w:color w:val="auto"/>
          <w:szCs w:val="24"/>
          <w:lang w:eastAsia="en-US"/>
        </w:rPr>
        <w:t>Rispetto all’attuale quadro normativo italiano in materia di segnalazione di illeciti, la Direttiva UE estende l’obbligo di avere un canale informatico a disposizione dei whistleblower a tutte le aziende con più di 50 dipendenti nel settore privato, e agli stati, alle amministrazioni regionali e agli enti locali con oltre 10 mila abitanti in quello pubblico.</w:t>
      </w:r>
    </w:p>
    <w:p w14:paraId="3495DA78" w14:textId="204B97C5" w:rsidR="00E90BC8" w:rsidRPr="00DE5D61" w:rsidRDefault="008A3F04" w:rsidP="001A4063">
      <w:pPr>
        <w:spacing w:after="20" w:line="276" w:lineRule="auto"/>
        <w:ind w:left="11" w:right="0" w:firstLine="0"/>
        <w:rPr>
          <w:color w:val="000000" w:themeColor="text1"/>
          <w:szCs w:val="24"/>
        </w:rPr>
      </w:pPr>
      <w:r>
        <w:rPr>
          <w:color w:val="auto"/>
          <w:szCs w:val="24"/>
          <w:lang w:eastAsia="en-US"/>
        </w:rPr>
        <w:t>I datori di lavoro individueranno le modalità più idonee all’esercizio delle segnalazioni, nel rispetto delle garanzie di tutela e riservatezza del whistleblower e protezione da qualsiasi forma di ritorsione.</w:t>
      </w:r>
      <w:r w:rsidR="00DC39A7">
        <w:rPr>
          <w:color w:val="auto"/>
          <w:szCs w:val="24"/>
          <w:lang w:eastAsia="en-US"/>
        </w:rPr>
        <w:t xml:space="preserve"> </w:t>
      </w:r>
      <w:r w:rsidR="00DC39A7" w:rsidRPr="00CC04F3">
        <w:rPr>
          <w:color w:val="auto"/>
          <w:szCs w:val="24"/>
          <w:lang w:eastAsia="en-US"/>
        </w:rPr>
        <w:t xml:space="preserve">Deve trattarsi, ad ogni modo, di segnalazioni su illeciti previsti dalla normativa di recepimento della direttiva, inviate da dipendenti, ma anche </w:t>
      </w:r>
      <w:r w:rsidR="005223E4" w:rsidRPr="00CC04F3">
        <w:rPr>
          <w:color w:val="auto"/>
          <w:szCs w:val="24"/>
          <w:lang w:eastAsia="en-US"/>
        </w:rPr>
        <w:t>da soggetti al di fuori della tradizionale relazione lavorativa, come consulenti, membri dei consigli direttivi, ex dipendenti e candidati a posizioni lavorative</w:t>
      </w:r>
      <w:r w:rsidR="00DC39A7" w:rsidRPr="00CC04F3">
        <w:rPr>
          <w:color w:val="auto"/>
          <w:szCs w:val="24"/>
          <w:lang w:eastAsia="en-US"/>
        </w:rPr>
        <w:t xml:space="preserve"> cioè da soggetti esterni all</w:t>
      </w:r>
      <w:r w:rsidR="00CC04F3">
        <w:rPr>
          <w:color w:val="auto"/>
          <w:szCs w:val="24"/>
          <w:lang w:eastAsia="en-US"/>
        </w:rPr>
        <w:t>’</w:t>
      </w:r>
      <w:r w:rsidR="00DC39A7" w:rsidRPr="00CC04F3">
        <w:rPr>
          <w:color w:val="auto"/>
          <w:szCs w:val="24"/>
          <w:lang w:eastAsia="en-US"/>
        </w:rPr>
        <w:t>impresa</w:t>
      </w:r>
      <w:r w:rsidR="00A10791">
        <w:rPr>
          <w:color w:val="auto"/>
          <w:szCs w:val="24"/>
          <w:lang w:eastAsia="en-US"/>
        </w:rPr>
        <w:t>,</w:t>
      </w:r>
      <w:r w:rsidR="00DC39A7" w:rsidRPr="00CC04F3">
        <w:rPr>
          <w:color w:val="auto"/>
          <w:szCs w:val="24"/>
          <w:lang w:eastAsia="en-US"/>
        </w:rPr>
        <w:t xml:space="preserve"> ma che sono entrati direttamente in contatto con essa</w:t>
      </w:r>
      <w:r w:rsidR="00D659A4" w:rsidRPr="00CC04F3">
        <w:rPr>
          <w:color w:val="auto"/>
          <w:szCs w:val="24"/>
          <w:lang w:eastAsia="en-US"/>
        </w:rPr>
        <w:t>.</w:t>
      </w:r>
      <w:r w:rsidR="00E90BC8" w:rsidRPr="00CC04F3">
        <w:rPr>
          <w:color w:val="auto"/>
          <w:szCs w:val="24"/>
          <w:lang w:eastAsia="en-US"/>
        </w:rPr>
        <w:t xml:space="preserve"> Si segnala che l</w:t>
      </w:r>
      <w:r w:rsidR="00E90BC8" w:rsidRPr="00CC04F3">
        <w:rPr>
          <w:color w:val="000000" w:themeColor="text1"/>
          <w:szCs w:val="24"/>
        </w:rPr>
        <w:t xml:space="preserve">e misure di protezione a cui viene dedicato un intero capo (III) si applicano anche ai </w:t>
      </w:r>
      <w:r w:rsidR="00E90BC8" w:rsidRPr="00CC04F3">
        <w:rPr>
          <w:szCs w:val="24"/>
        </w:rPr>
        <w:t>facilitatori, ai colleghi di lavoro delle persone segnalanti o di coloro che hanno sporto una denuncia all’Autorità giudiziaria o contabile</w:t>
      </w:r>
      <w:r w:rsidR="001A4063">
        <w:rPr>
          <w:szCs w:val="24"/>
        </w:rPr>
        <w:t xml:space="preserve"> o di cui che ha effettuati una divulgazione pubblica </w:t>
      </w:r>
      <w:r w:rsidR="001A4063" w:rsidRPr="002E11F2">
        <w:rPr>
          <w:szCs w:val="24"/>
        </w:rPr>
        <w:t>e che sono legate da uno stabile legame affettivo o di parentela entro il quarto grado</w:t>
      </w:r>
      <w:r w:rsidR="00E90BC8" w:rsidRPr="002E11F2">
        <w:rPr>
          <w:szCs w:val="24"/>
        </w:rPr>
        <w:t xml:space="preserve">, </w:t>
      </w:r>
      <w:r w:rsidR="00E90BC8" w:rsidRPr="00CE6A1E">
        <w:rPr>
          <w:color w:val="000000" w:themeColor="text1"/>
          <w:szCs w:val="24"/>
        </w:rPr>
        <w:t>con le persone segnalanti</w:t>
      </w:r>
      <w:r w:rsidR="00E90BC8" w:rsidRPr="00CC04F3">
        <w:rPr>
          <w:color w:val="000000" w:themeColor="text1"/>
          <w:szCs w:val="24"/>
        </w:rPr>
        <w:t xml:space="preserve"> o con coloro che hanno sporto denuncia e che potrebbero rischiare ritorsioni nell’ambito del contesto </w:t>
      </w:r>
      <w:r w:rsidR="00E90BC8" w:rsidRPr="00CC04F3">
        <w:rPr>
          <w:szCs w:val="24"/>
        </w:rPr>
        <w:t>lavorativo nel quale prestano la propria attività</w:t>
      </w:r>
      <w:r w:rsidR="00E90BC8" w:rsidRPr="00DE5D61">
        <w:rPr>
          <w:szCs w:val="24"/>
        </w:rPr>
        <w:t>,</w:t>
      </w:r>
      <w:r w:rsidR="008665AF" w:rsidRPr="00DE5D61">
        <w:rPr>
          <w:szCs w:val="24"/>
        </w:rPr>
        <w:t xml:space="preserve"> salva la previsione dell’articolo 17</w:t>
      </w:r>
      <w:r w:rsidR="00A10791" w:rsidRPr="00DE5D61">
        <w:rPr>
          <w:szCs w:val="24"/>
        </w:rPr>
        <w:t>,</w:t>
      </w:r>
      <w:r w:rsidR="008665AF" w:rsidRPr="00DE5D61">
        <w:rPr>
          <w:szCs w:val="24"/>
        </w:rPr>
        <w:t xml:space="preserve"> commi 2 e 3 </w:t>
      </w:r>
      <w:r w:rsidR="00E90BC8" w:rsidRPr="00DE5D61">
        <w:rPr>
          <w:szCs w:val="24"/>
        </w:rPr>
        <w:t xml:space="preserve"> nonché</w:t>
      </w:r>
      <w:r w:rsidR="00E90BC8" w:rsidRPr="00DE5D61">
        <w:rPr>
          <w:color w:val="FF0000"/>
          <w:szCs w:val="24"/>
        </w:rPr>
        <w:t xml:space="preserve"> </w:t>
      </w:r>
      <w:r w:rsidR="00E90BC8" w:rsidRPr="00DE5D61">
        <w:rPr>
          <w:szCs w:val="24"/>
        </w:rPr>
        <w:t>agli enti</w:t>
      </w:r>
      <w:r w:rsidR="00E90BC8" w:rsidRPr="00DE5D61">
        <w:rPr>
          <w:color w:val="FF0000"/>
          <w:szCs w:val="24"/>
        </w:rPr>
        <w:t xml:space="preserve"> </w:t>
      </w:r>
      <w:r w:rsidR="00E90BC8" w:rsidRPr="00DE5D61">
        <w:rPr>
          <w:color w:val="000000" w:themeColor="text1"/>
          <w:szCs w:val="24"/>
        </w:rPr>
        <w:t>di cui le persone segnalanti sono titolari</w:t>
      </w:r>
      <w:r w:rsidR="008665AF" w:rsidRPr="00DE5D61">
        <w:rPr>
          <w:color w:val="000000" w:themeColor="text1"/>
          <w:szCs w:val="24"/>
        </w:rPr>
        <w:t xml:space="preserve"> </w:t>
      </w:r>
      <w:r w:rsidR="00FD53B0" w:rsidRPr="00DE5D61">
        <w:rPr>
          <w:color w:val="000000" w:themeColor="text1"/>
          <w:szCs w:val="24"/>
        </w:rPr>
        <w:t>ed</w:t>
      </w:r>
      <w:r w:rsidR="008665AF" w:rsidRPr="00DE5D61">
        <w:rPr>
          <w:color w:val="000000" w:themeColor="text1"/>
          <w:szCs w:val="24"/>
        </w:rPr>
        <w:t xml:space="preserve"> agli enti che operano nel medesimo contesto di tali persone</w:t>
      </w:r>
      <w:r w:rsidR="00E90BC8" w:rsidRPr="00DE5D61">
        <w:rPr>
          <w:color w:val="000000" w:themeColor="text1"/>
          <w:szCs w:val="24"/>
        </w:rPr>
        <w:t>.</w:t>
      </w:r>
    </w:p>
    <w:p w14:paraId="0CF79E70" w14:textId="48D6417B" w:rsidR="00D659A4" w:rsidRPr="00CC04F3" w:rsidRDefault="00D659A4" w:rsidP="001A4063">
      <w:pPr>
        <w:spacing w:after="20" w:line="276" w:lineRule="auto"/>
        <w:ind w:left="11" w:right="0" w:firstLine="0"/>
        <w:rPr>
          <w:color w:val="auto"/>
          <w:szCs w:val="24"/>
          <w:lang w:eastAsia="en-US"/>
        </w:rPr>
      </w:pPr>
      <w:r w:rsidRPr="00CC04F3">
        <w:rPr>
          <w:color w:val="auto"/>
          <w:szCs w:val="24"/>
          <w:lang w:eastAsia="en-US"/>
        </w:rPr>
        <w:t xml:space="preserve">Il provvedimento si compone di </w:t>
      </w:r>
      <w:r w:rsidRPr="00CC04F3">
        <w:rPr>
          <w:b/>
          <w:i/>
          <w:color w:val="auto"/>
          <w:szCs w:val="24"/>
          <w:lang w:eastAsia="en-US"/>
        </w:rPr>
        <w:t>2</w:t>
      </w:r>
      <w:r w:rsidR="00F14DB1" w:rsidRPr="00CC04F3">
        <w:rPr>
          <w:b/>
          <w:i/>
          <w:color w:val="auto"/>
          <w:szCs w:val="24"/>
          <w:lang w:eastAsia="en-US"/>
        </w:rPr>
        <w:t xml:space="preserve">5 </w:t>
      </w:r>
      <w:r w:rsidRPr="00CC04F3">
        <w:rPr>
          <w:b/>
          <w:i/>
          <w:color w:val="auto"/>
          <w:szCs w:val="24"/>
          <w:lang w:eastAsia="en-US"/>
        </w:rPr>
        <w:t>articoli</w:t>
      </w:r>
      <w:r w:rsidRPr="00CC04F3">
        <w:rPr>
          <w:color w:val="auto"/>
          <w:szCs w:val="24"/>
          <w:lang w:eastAsia="en-US"/>
        </w:rPr>
        <w:t xml:space="preserve"> </w:t>
      </w:r>
      <w:r w:rsidR="00F14DB1" w:rsidRPr="00CC04F3">
        <w:rPr>
          <w:color w:val="auto"/>
          <w:szCs w:val="24"/>
          <w:lang w:eastAsia="en-US"/>
        </w:rPr>
        <w:t xml:space="preserve">suddivisi in 4 Capi </w:t>
      </w:r>
      <w:r w:rsidRPr="00CC04F3">
        <w:rPr>
          <w:color w:val="auto"/>
          <w:szCs w:val="24"/>
          <w:lang w:eastAsia="en-US"/>
        </w:rPr>
        <w:t xml:space="preserve">che di seguito vengono esaminati. </w:t>
      </w:r>
    </w:p>
    <w:p w14:paraId="4546BB67" w14:textId="77777777" w:rsidR="00625D58" w:rsidRDefault="00625D58" w:rsidP="001A4063">
      <w:pPr>
        <w:spacing w:after="0" w:line="276" w:lineRule="auto"/>
        <w:ind w:left="0" w:right="0" w:firstLine="0"/>
        <w:jc w:val="center"/>
        <w:rPr>
          <w:b/>
          <w:bCs/>
          <w:szCs w:val="24"/>
          <w:lang w:eastAsia="en-US"/>
        </w:rPr>
      </w:pPr>
    </w:p>
    <w:p w14:paraId="00FFE5F5" w14:textId="5392E421" w:rsidR="00353EFD" w:rsidRPr="00CC04F3" w:rsidRDefault="00353EFD" w:rsidP="001A4063">
      <w:pPr>
        <w:spacing w:after="0" w:line="276" w:lineRule="auto"/>
        <w:ind w:left="0" w:right="0" w:firstLine="0"/>
        <w:jc w:val="center"/>
        <w:rPr>
          <w:b/>
          <w:bCs/>
          <w:szCs w:val="24"/>
          <w:lang w:eastAsia="en-US"/>
        </w:rPr>
      </w:pPr>
      <w:r w:rsidRPr="00CC04F3">
        <w:rPr>
          <w:b/>
          <w:bCs/>
          <w:szCs w:val="24"/>
          <w:lang w:eastAsia="en-US"/>
        </w:rPr>
        <w:t>Capo I</w:t>
      </w:r>
    </w:p>
    <w:p w14:paraId="74259B67" w14:textId="77777777" w:rsidR="00353EFD" w:rsidRPr="00353EFD" w:rsidRDefault="00353EFD" w:rsidP="001A4063">
      <w:pPr>
        <w:spacing w:after="0" w:line="276" w:lineRule="auto"/>
        <w:ind w:left="0" w:right="0" w:firstLine="0"/>
        <w:jc w:val="center"/>
        <w:rPr>
          <w:b/>
          <w:bCs/>
          <w:szCs w:val="24"/>
          <w:lang w:eastAsia="en-US"/>
        </w:rPr>
      </w:pPr>
      <w:r w:rsidRPr="00CC04F3">
        <w:rPr>
          <w:b/>
          <w:bCs/>
          <w:szCs w:val="24"/>
          <w:lang w:eastAsia="en-US"/>
        </w:rPr>
        <w:t>Ambito di applicazione e definizioni</w:t>
      </w:r>
    </w:p>
    <w:p w14:paraId="796B5FD3" w14:textId="27481E43" w:rsidR="00353EFD" w:rsidRDefault="00353EFD" w:rsidP="001A4063">
      <w:pPr>
        <w:spacing w:after="20" w:line="276" w:lineRule="auto"/>
        <w:ind w:left="11" w:right="0" w:firstLine="697"/>
        <w:rPr>
          <w:color w:val="auto"/>
          <w:szCs w:val="24"/>
          <w:lang w:eastAsia="en-US"/>
        </w:rPr>
      </w:pPr>
    </w:p>
    <w:p w14:paraId="6AD85FFC" w14:textId="351E3455" w:rsidR="002530B9" w:rsidRDefault="00FA7EA5" w:rsidP="001A4063">
      <w:pPr>
        <w:spacing w:after="20" w:line="276" w:lineRule="auto"/>
        <w:ind w:left="11" w:right="0" w:firstLine="0"/>
        <w:rPr>
          <w:color w:val="auto"/>
          <w:szCs w:val="24"/>
          <w:lang w:eastAsia="en-US"/>
        </w:rPr>
      </w:pPr>
      <w:r>
        <w:rPr>
          <w:color w:val="auto"/>
          <w:szCs w:val="24"/>
          <w:lang w:eastAsia="en-US"/>
        </w:rPr>
        <w:t xml:space="preserve">Con </w:t>
      </w:r>
      <w:r w:rsidRPr="00FA7EA5">
        <w:rPr>
          <w:b/>
          <w:i/>
          <w:color w:val="auto"/>
          <w:szCs w:val="24"/>
          <w:lang w:eastAsia="en-US"/>
        </w:rPr>
        <w:t>l’articolo 1</w:t>
      </w:r>
      <w:r>
        <w:rPr>
          <w:color w:val="auto"/>
          <w:szCs w:val="24"/>
          <w:lang w:eastAsia="en-US"/>
        </w:rPr>
        <w:t>, viene fornito</w:t>
      </w:r>
      <w:r w:rsidR="00751142">
        <w:rPr>
          <w:color w:val="auto"/>
          <w:szCs w:val="24"/>
          <w:lang w:eastAsia="en-US"/>
        </w:rPr>
        <w:t xml:space="preserve"> </w:t>
      </w:r>
      <w:r w:rsidR="002530B9">
        <w:rPr>
          <w:color w:val="auto"/>
          <w:szCs w:val="24"/>
          <w:lang w:eastAsia="en-US"/>
        </w:rPr>
        <w:t>l’ambito di applicazione</w:t>
      </w:r>
      <w:r w:rsidR="002530B9" w:rsidRPr="00476E49">
        <w:rPr>
          <w:color w:val="auto"/>
          <w:szCs w:val="24"/>
          <w:lang w:eastAsia="en-US"/>
        </w:rPr>
        <w:t xml:space="preserve"> </w:t>
      </w:r>
      <w:r w:rsidR="002530B9">
        <w:rPr>
          <w:color w:val="auto"/>
          <w:szCs w:val="24"/>
          <w:lang w:eastAsia="en-US"/>
        </w:rPr>
        <w:t xml:space="preserve">oggettivo, specificando che la segnalazione di una violazione deve essere effettuata non per scopi personali, ma nell’interesse pubblico e ha per oggetto violazioni del diritto nazionale o del diritto dell’Unione europea. </w:t>
      </w:r>
    </w:p>
    <w:p w14:paraId="6925732B" w14:textId="57CE8ECD" w:rsidR="00003CC0" w:rsidRPr="00CC04F3" w:rsidRDefault="00D76A0E" w:rsidP="001A4063">
      <w:pPr>
        <w:spacing w:after="20" w:line="276" w:lineRule="auto"/>
        <w:ind w:left="11" w:right="0" w:firstLine="0"/>
        <w:rPr>
          <w:color w:val="000000" w:themeColor="text1"/>
          <w:szCs w:val="24"/>
        </w:rPr>
      </w:pPr>
      <w:r w:rsidRPr="00CC04F3">
        <w:rPr>
          <w:color w:val="auto"/>
          <w:szCs w:val="24"/>
          <w:lang w:eastAsia="en-US"/>
        </w:rPr>
        <w:t>In particolare,</w:t>
      </w:r>
      <w:r w:rsidR="007E3A43" w:rsidRPr="00CC04F3">
        <w:rPr>
          <w:color w:val="auto"/>
          <w:szCs w:val="24"/>
          <w:lang w:eastAsia="en-US"/>
        </w:rPr>
        <w:t xml:space="preserve"> n</w:t>
      </w:r>
      <w:r w:rsidR="002530B9" w:rsidRPr="00CC04F3">
        <w:rPr>
          <w:color w:val="auto"/>
          <w:szCs w:val="24"/>
          <w:lang w:eastAsia="en-US"/>
        </w:rPr>
        <w:t xml:space="preserve">on si applicano le disposizioni del provvedimento alle </w:t>
      </w:r>
      <w:r w:rsidR="007E3A43" w:rsidRPr="00CC04F3">
        <w:rPr>
          <w:color w:val="000000" w:themeColor="text1"/>
          <w:szCs w:val="24"/>
        </w:rPr>
        <w:t>segnalazioni di violazioni delle norme in materia di appalti concernenti aspetti di difesa o di sicurezza, a meno che tali aspetti non rientrino negli atti pertinenti dell’Unione europea</w:t>
      </w:r>
      <w:r w:rsidR="00003CC0" w:rsidRPr="00CC04F3">
        <w:rPr>
          <w:color w:val="000000" w:themeColor="text1"/>
          <w:szCs w:val="24"/>
        </w:rPr>
        <w:t>.</w:t>
      </w:r>
    </w:p>
    <w:p w14:paraId="07C7CBC4" w14:textId="503D4B32" w:rsidR="004228B6" w:rsidRPr="00DE5D61" w:rsidRDefault="00171DF6" w:rsidP="004228B6">
      <w:pPr>
        <w:spacing w:after="20" w:line="276" w:lineRule="auto"/>
        <w:ind w:left="11" w:right="0" w:firstLine="0"/>
        <w:rPr>
          <w:color w:val="000000" w:themeColor="text1"/>
          <w:szCs w:val="24"/>
        </w:rPr>
      </w:pPr>
      <w:r w:rsidRPr="00CC04F3">
        <w:rPr>
          <w:szCs w:val="24"/>
        </w:rPr>
        <w:t>Si segnala che restano impregiudicate</w:t>
      </w:r>
      <w:r w:rsidRPr="00CC04F3">
        <w:rPr>
          <w:color w:val="000000" w:themeColor="text1"/>
          <w:szCs w:val="24"/>
        </w:rPr>
        <w:t xml:space="preserve"> le disposizioni </w:t>
      </w:r>
      <w:r w:rsidRPr="00CC04F3">
        <w:rPr>
          <w:szCs w:val="24"/>
        </w:rPr>
        <w:t xml:space="preserve">in materia di </w:t>
      </w:r>
      <w:r w:rsidR="0081102D" w:rsidRPr="00CC04F3">
        <w:rPr>
          <w:color w:val="auto"/>
          <w:szCs w:val="24"/>
          <w:lang w:eastAsia="en-US"/>
        </w:rPr>
        <w:t xml:space="preserve">protezione delle informazioni classificate, del segreto professionale e medico e delle deliberazioni degli organi giudiziari, di </w:t>
      </w:r>
      <w:r w:rsidRPr="00CC04F3">
        <w:rPr>
          <w:szCs w:val="24"/>
        </w:rPr>
        <w:t xml:space="preserve">esercizio del diritto dei lavoratori di consultare i propri rappresentanti o i sindacati, di protezione contro le condotte o gli atti illeciti posti in essere in ragione di tali </w:t>
      </w:r>
      <w:r w:rsidR="00A10791" w:rsidRPr="00DE5D61">
        <w:rPr>
          <w:szCs w:val="24"/>
        </w:rPr>
        <w:t xml:space="preserve">consultazioni. Inoltre, resta confermata l’applicazione delle </w:t>
      </w:r>
      <w:r w:rsidR="00A10791" w:rsidRPr="00DE5D61">
        <w:rPr>
          <w:color w:val="000000" w:themeColor="text1"/>
          <w:szCs w:val="24"/>
        </w:rPr>
        <w:t>disposizioni di procedura penale</w:t>
      </w:r>
      <w:r w:rsidR="00D156FA" w:rsidRPr="00DE5D61">
        <w:rPr>
          <w:color w:val="000000" w:themeColor="text1"/>
          <w:szCs w:val="24"/>
        </w:rPr>
        <w:t xml:space="preserve">, </w:t>
      </w:r>
      <w:r w:rsidR="001641C6" w:rsidRPr="00DE5D61">
        <w:rPr>
          <w:color w:val="000000" w:themeColor="text1"/>
          <w:szCs w:val="24"/>
        </w:rPr>
        <w:t>di q</w:t>
      </w:r>
      <w:r w:rsidR="00D156FA" w:rsidRPr="00DE5D61">
        <w:rPr>
          <w:color w:val="000000" w:themeColor="text1"/>
          <w:szCs w:val="24"/>
        </w:rPr>
        <w:t>uelle</w:t>
      </w:r>
      <w:r w:rsidR="00A10791" w:rsidRPr="00DE5D61">
        <w:rPr>
          <w:color w:val="000000" w:themeColor="text1"/>
          <w:szCs w:val="24"/>
        </w:rPr>
        <w:t xml:space="preserve"> vigenti in materia di autonomia e indipendenza della magistratura nonché </w:t>
      </w:r>
      <w:r w:rsidR="00D156FA" w:rsidRPr="00DE5D61">
        <w:rPr>
          <w:color w:val="000000" w:themeColor="text1"/>
          <w:szCs w:val="24"/>
        </w:rPr>
        <w:t>del</w:t>
      </w:r>
      <w:r w:rsidR="00A10791" w:rsidRPr="00DE5D61">
        <w:rPr>
          <w:color w:val="000000" w:themeColor="text1"/>
          <w:szCs w:val="24"/>
        </w:rPr>
        <w:t>le disposizioni sulle funzioni ed attribuzioni del Consiglio superiore della magistratura per tutto quanto attiene la posizione giuridica degli appartenenti all’ordine giudiziario</w:t>
      </w:r>
      <w:r w:rsidR="004228B6" w:rsidRPr="00DE5D61">
        <w:rPr>
          <w:color w:val="000000" w:themeColor="text1"/>
          <w:szCs w:val="24"/>
        </w:rPr>
        <w:t>, oltre che in materia di difesa nazionale e di ordine e sicurezza pubblica di cui al Regio decreto, 18 giugno 1931, n. 773, recante il Testo unico delle leggi di pubblica sicurezza.</w:t>
      </w:r>
    </w:p>
    <w:p w14:paraId="6FBE875A" w14:textId="48DD598F" w:rsidR="002530B9" w:rsidRDefault="002530B9" w:rsidP="001A4063">
      <w:pPr>
        <w:spacing w:after="20" w:line="276" w:lineRule="auto"/>
        <w:ind w:left="11" w:right="0" w:firstLine="0"/>
        <w:rPr>
          <w:i/>
          <w:color w:val="auto"/>
          <w:szCs w:val="24"/>
          <w:lang w:eastAsia="en-US"/>
        </w:rPr>
      </w:pPr>
      <w:r w:rsidRPr="00940BD9">
        <w:rPr>
          <w:i/>
          <w:color w:val="auto"/>
          <w:szCs w:val="24"/>
          <w:lang w:eastAsia="en-US"/>
        </w:rPr>
        <w:t>Stante il carattere ordinamentale della norma dalla stessa non derivano nuovi o maggiori oneri a carico della finanza pubblica.</w:t>
      </w:r>
      <w:r>
        <w:rPr>
          <w:i/>
          <w:color w:val="auto"/>
          <w:szCs w:val="24"/>
          <w:lang w:eastAsia="en-US"/>
        </w:rPr>
        <w:t xml:space="preserve"> </w:t>
      </w:r>
    </w:p>
    <w:p w14:paraId="249F43DB" w14:textId="0A99DD98" w:rsidR="00875D19" w:rsidRDefault="00476E49" w:rsidP="001A4063">
      <w:pPr>
        <w:spacing w:after="20" w:line="276" w:lineRule="auto"/>
        <w:ind w:left="11" w:right="0" w:firstLine="0"/>
        <w:rPr>
          <w:color w:val="auto"/>
          <w:szCs w:val="24"/>
          <w:lang w:eastAsia="en-US"/>
        </w:rPr>
      </w:pPr>
      <w:r w:rsidRPr="00476E49">
        <w:rPr>
          <w:b/>
          <w:i/>
          <w:color w:val="auto"/>
          <w:szCs w:val="24"/>
          <w:lang w:eastAsia="en-US"/>
        </w:rPr>
        <w:t>L’articolo 2</w:t>
      </w:r>
      <w:r>
        <w:rPr>
          <w:color w:val="auto"/>
          <w:szCs w:val="24"/>
          <w:lang w:eastAsia="en-US"/>
        </w:rPr>
        <w:t xml:space="preserve"> </w:t>
      </w:r>
      <w:r w:rsidR="00875D19">
        <w:rPr>
          <w:color w:val="auto"/>
          <w:szCs w:val="24"/>
          <w:lang w:eastAsia="en-US"/>
        </w:rPr>
        <w:t xml:space="preserve">contiene le definizioni relative agli elementi indicati nella direttiva quali ad esempio, “le violazioni”, </w:t>
      </w:r>
      <w:r w:rsidR="009F78D2" w:rsidRPr="00CC04F3">
        <w:rPr>
          <w:color w:val="auto"/>
          <w:szCs w:val="24"/>
          <w:lang w:eastAsia="en-US"/>
        </w:rPr>
        <w:t xml:space="preserve">“informazioni sulle violazioni”, </w:t>
      </w:r>
      <w:r w:rsidR="00875D19" w:rsidRPr="00CC04F3">
        <w:rPr>
          <w:color w:val="auto"/>
          <w:szCs w:val="24"/>
          <w:lang w:eastAsia="en-US"/>
        </w:rPr>
        <w:t xml:space="preserve">“le segnalazioni” sia interne che esterne, “la divulgazione pubblica”, </w:t>
      </w:r>
      <w:r w:rsidR="007C1731" w:rsidRPr="00CC04F3">
        <w:rPr>
          <w:color w:val="auto"/>
          <w:szCs w:val="24"/>
          <w:lang w:eastAsia="en-US"/>
        </w:rPr>
        <w:t xml:space="preserve">“persona segnalante”, “facilitatore”, </w:t>
      </w:r>
      <w:r w:rsidR="00875D19" w:rsidRPr="00CC04F3">
        <w:rPr>
          <w:color w:val="auto"/>
          <w:szCs w:val="24"/>
          <w:lang w:eastAsia="en-US"/>
        </w:rPr>
        <w:t>“contesto lavorativo”</w:t>
      </w:r>
      <w:r w:rsidR="007C1731" w:rsidRPr="00CC04F3">
        <w:rPr>
          <w:color w:val="auto"/>
          <w:szCs w:val="24"/>
          <w:lang w:eastAsia="en-US"/>
        </w:rPr>
        <w:t xml:space="preserve">, “persona coinvolta”, </w:t>
      </w:r>
      <w:r w:rsidR="00012A45" w:rsidRPr="00CC04F3">
        <w:rPr>
          <w:color w:val="auto"/>
          <w:szCs w:val="24"/>
          <w:lang w:eastAsia="en-US"/>
        </w:rPr>
        <w:t xml:space="preserve">“riscontro”, “seguito”, “soggetti del settore pubblico e del settore privato”, </w:t>
      </w:r>
      <w:r w:rsidR="00875D19" w:rsidRPr="00CC04F3">
        <w:rPr>
          <w:color w:val="auto"/>
          <w:szCs w:val="24"/>
          <w:lang w:eastAsia="en-US"/>
        </w:rPr>
        <w:t>“ritorsione”</w:t>
      </w:r>
      <w:r w:rsidR="00DA43A0" w:rsidRPr="00CC04F3">
        <w:rPr>
          <w:color w:val="auto"/>
          <w:szCs w:val="24"/>
          <w:lang w:eastAsia="en-US"/>
        </w:rPr>
        <w:t>, “seguito” e “riscontro”</w:t>
      </w:r>
      <w:r w:rsidR="00875D19" w:rsidRPr="00CC04F3">
        <w:rPr>
          <w:color w:val="auto"/>
          <w:szCs w:val="24"/>
          <w:lang w:eastAsia="en-US"/>
        </w:rPr>
        <w:t>.</w:t>
      </w:r>
    </w:p>
    <w:p w14:paraId="06B59F9A" w14:textId="77777777" w:rsidR="00CE57DD" w:rsidRPr="00F02D86" w:rsidRDefault="00CE57DD" w:rsidP="001A4063">
      <w:pPr>
        <w:spacing w:after="20" w:line="276" w:lineRule="auto"/>
        <w:ind w:left="11" w:right="0" w:firstLine="0"/>
        <w:rPr>
          <w:i/>
          <w:color w:val="auto"/>
          <w:szCs w:val="24"/>
          <w:lang w:eastAsia="en-US"/>
        </w:rPr>
      </w:pPr>
      <w:r w:rsidRPr="00F02D86">
        <w:rPr>
          <w:i/>
          <w:color w:val="auto"/>
          <w:szCs w:val="24"/>
          <w:lang w:eastAsia="en-US"/>
        </w:rPr>
        <w:t xml:space="preserve">Si </w:t>
      </w:r>
      <w:r>
        <w:rPr>
          <w:i/>
          <w:color w:val="auto"/>
          <w:szCs w:val="24"/>
          <w:lang w:eastAsia="en-US"/>
        </w:rPr>
        <w:t>tratta di una disposizione</w:t>
      </w:r>
      <w:r w:rsidRPr="00F02D86">
        <w:rPr>
          <w:i/>
          <w:color w:val="auto"/>
          <w:szCs w:val="24"/>
          <w:lang w:eastAsia="en-US"/>
        </w:rPr>
        <w:t xml:space="preserve"> di natura ordinamentale e definitoria che non è suscettibile di determinare effetti negativi per la finanza pubblica.</w:t>
      </w:r>
    </w:p>
    <w:p w14:paraId="49168608" w14:textId="76524996" w:rsidR="00625D58" w:rsidRDefault="00BA6755" w:rsidP="001A4063">
      <w:pPr>
        <w:spacing w:after="20" w:line="276" w:lineRule="auto"/>
        <w:ind w:left="11" w:right="0" w:firstLine="0"/>
        <w:rPr>
          <w:color w:val="auto"/>
          <w:szCs w:val="24"/>
          <w:lang w:eastAsia="en-US"/>
        </w:rPr>
      </w:pPr>
      <w:r w:rsidRPr="00A63807">
        <w:rPr>
          <w:color w:val="auto"/>
          <w:szCs w:val="24"/>
          <w:lang w:eastAsia="en-US"/>
        </w:rPr>
        <w:t xml:space="preserve">Riguardo </w:t>
      </w:r>
      <w:r w:rsidRPr="00A63807">
        <w:rPr>
          <w:b/>
          <w:i/>
          <w:color w:val="auto"/>
          <w:szCs w:val="24"/>
          <w:lang w:eastAsia="en-US"/>
        </w:rPr>
        <w:t xml:space="preserve">all’articolo </w:t>
      </w:r>
      <w:r w:rsidR="00792C07">
        <w:rPr>
          <w:b/>
          <w:i/>
          <w:color w:val="auto"/>
          <w:szCs w:val="24"/>
          <w:lang w:eastAsia="en-US"/>
        </w:rPr>
        <w:t>3</w:t>
      </w:r>
      <w:r w:rsidRPr="00A63807">
        <w:rPr>
          <w:b/>
          <w:i/>
          <w:color w:val="auto"/>
          <w:szCs w:val="24"/>
          <w:lang w:eastAsia="en-US"/>
        </w:rPr>
        <w:t xml:space="preserve">, </w:t>
      </w:r>
      <w:r w:rsidRPr="00A63807">
        <w:rPr>
          <w:color w:val="auto"/>
          <w:szCs w:val="24"/>
          <w:lang w:eastAsia="en-US"/>
        </w:rPr>
        <w:t>la norma identifica l’ambito di applicazione soggettivo</w:t>
      </w:r>
      <w:r w:rsidR="00254DA1" w:rsidRPr="00A63807">
        <w:rPr>
          <w:color w:val="auto"/>
          <w:szCs w:val="24"/>
          <w:lang w:eastAsia="en-US"/>
        </w:rPr>
        <w:t xml:space="preserve">, vale a dire le persone </w:t>
      </w:r>
      <w:r w:rsidR="001A7D0F" w:rsidRPr="00A63807">
        <w:rPr>
          <w:color w:val="auto"/>
          <w:szCs w:val="24"/>
          <w:lang w:eastAsia="en-US"/>
        </w:rPr>
        <w:t xml:space="preserve">fisiche </w:t>
      </w:r>
      <w:r w:rsidR="00254DA1" w:rsidRPr="00A63807">
        <w:rPr>
          <w:color w:val="auto"/>
          <w:szCs w:val="24"/>
          <w:lang w:eastAsia="en-US"/>
        </w:rPr>
        <w:t xml:space="preserve">che operano nel </w:t>
      </w:r>
      <w:r w:rsidR="001A7D0F" w:rsidRPr="00A63807">
        <w:rPr>
          <w:color w:val="auto"/>
          <w:szCs w:val="24"/>
          <w:lang w:eastAsia="en-US"/>
        </w:rPr>
        <w:t xml:space="preserve">contesto lavorativo del </w:t>
      </w:r>
      <w:r w:rsidR="00254DA1" w:rsidRPr="00A63807">
        <w:rPr>
          <w:color w:val="auto"/>
          <w:szCs w:val="24"/>
          <w:lang w:eastAsia="en-US"/>
        </w:rPr>
        <w:t xml:space="preserve">settore pubblico o privato in qualità di dipendenti o collaboratori, lavoratori subordinati e autonomi, liberi professionisti ed altre categorie </w:t>
      </w:r>
      <w:r w:rsidR="00C1717B">
        <w:rPr>
          <w:color w:val="auto"/>
          <w:szCs w:val="24"/>
          <w:lang w:eastAsia="en-US"/>
        </w:rPr>
        <w:t xml:space="preserve">specificate </w:t>
      </w:r>
      <w:r w:rsidR="00C1717B" w:rsidRPr="00CC04F3">
        <w:rPr>
          <w:color w:val="auto"/>
          <w:szCs w:val="24"/>
          <w:lang w:eastAsia="en-US"/>
        </w:rPr>
        <w:t>quali volontari e tirocinanti anche non retribuiti, gli azionisti</w:t>
      </w:r>
      <w:r w:rsidR="00254DA1" w:rsidRPr="00CC04F3">
        <w:rPr>
          <w:color w:val="auto"/>
          <w:szCs w:val="24"/>
          <w:lang w:eastAsia="en-US"/>
        </w:rPr>
        <w:t xml:space="preserve"> </w:t>
      </w:r>
      <w:r w:rsidR="00765A30" w:rsidRPr="00CC04F3">
        <w:rPr>
          <w:color w:val="000000" w:themeColor="text1"/>
          <w:szCs w:val="24"/>
        </w:rPr>
        <w:t>e le persone con funzioni di amministrazione, direzione, controllo, vigilanza o rappresentanza, anche qualora tali funzioni siano esercitate in via di mero fatto</w:t>
      </w:r>
      <w:r w:rsidR="00765A30" w:rsidRPr="00CC04F3">
        <w:rPr>
          <w:color w:val="auto"/>
          <w:szCs w:val="24"/>
          <w:lang w:eastAsia="en-US"/>
        </w:rPr>
        <w:t xml:space="preserve"> </w:t>
      </w:r>
      <w:r w:rsidR="00254DA1" w:rsidRPr="00CC04F3">
        <w:rPr>
          <w:color w:val="auto"/>
          <w:szCs w:val="24"/>
          <w:lang w:eastAsia="en-US"/>
        </w:rPr>
        <w:t xml:space="preserve">tutte interessate dalla tutela </w:t>
      </w:r>
      <w:r w:rsidR="00A63807" w:rsidRPr="00CC04F3">
        <w:rPr>
          <w:color w:val="auto"/>
          <w:szCs w:val="24"/>
          <w:lang w:eastAsia="en-US"/>
        </w:rPr>
        <w:t xml:space="preserve">per </w:t>
      </w:r>
      <w:r w:rsidR="00254DA1" w:rsidRPr="00CC04F3">
        <w:rPr>
          <w:color w:val="auto"/>
          <w:szCs w:val="24"/>
          <w:lang w:eastAsia="en-US"/>
        </w:rPr>
        <w:t>la segnalazione degli illeciti e che sono suscettibili di eventuali atti ritorsivi.</w:t>
      </w:r>
      <w:r w:rsidR="005E333C" w:rsidRPr="00CC04F3">
        <w:rPr>
          <w:color w:val="auto"/>
          <w:szCs w:val="24"/>
          <w:lang w:eastAsia="en-US"/>
        </w:rPr>
        <w:t xml:space="preserve"> </w:t>
      </w:r>
      <w:r w:rsidR="00644239" w:rsidRPr="00CC04F3">
        <w:rPr>
          <w:color w:val="auto"/>
          <w:szCs w:val="24"/>
          <w:lang w:eastAsia="en-US"/>
        </w:rPr>
        <w:t xml:space="preserve">La tutela delle persone segnalanti si applica anche quando il </w:t>
      </w:r>
      <w:r w:rsidR="00644239" w:rsidRPr="00DE5D61">
        <w:rPr>
          <w:color w:val="auto"/>
          <w:szCs w:val="24"/>
          <w:lang w:eastAsia="en-US"/>
        </w:rPr>
        <w:t>rapporto</w:t>
      </w:r>
      <w:r w:rsidR="003B5611" w:rsidRPr="00DE5D61">
        <w:rPr>
          <w:color w:val="auto"/>
          <w:szCs w:val="24"/>
          <w:lang w:eastAsia="en-US"/>
        </w:rPr>
        <w:t xml:space="preserve"> giuridico</w:t>
      </w:r>
      <w:r w:rsidR="00644239" w:rsidRPr="00CC04F3">
        <w:rPr>
          <w:color w:val="auto"/>
          <w:szCs w:val="24"/>
          <w:lang w:eastAsia="en-US"/>
        </w:rPr>
        <w:t xml:space="preserve"> non è stato costituito, durante il periodo di prova o successivamente allo scioglimento del rapporto stesso.</w:t>
      </w:r>
    </w:p>
    <w:p w14:paraId="2375A32C" w14:textId="7F303768" w:rsidR="00644239" w:rsidRPr="00667D75" w:rsidRDefault="005E333C" w:rsidP="001A4063">
      <w:pPr>
        <w:spacing w:after="20" w:line="276" w:lineRule="auto"/>
        <w:ind w:left="11" w:right="0" w:firstLine="0"/>
        <w:rPr>
          <w:i/>
          <w:color w:val="auto"/>
          <w:szCs w:val="24"/>
          <w:lang w:eastAsia="en-US"/>
        </w:rPr>
      </w:pPr>
      <w:r w:rsidRPr="00005772">
        <w:rPr>
          <w:szCs w:val="24"/>
        </w:rPr>
        <w:t xml:space="preserve">Inoltre, le misure di protezione previste </w:t>
      </w:r>
      <w:r w:rsidR="000C4848" w:rsidRPr="00005772">
        <w:rPr>
          <w:szCs w:val="24"/>
        </w:rPr>
        <w:t xml:space="preserve">dal Capo III </w:t>
      </w:r>
      <w:r w:rsidRPr="00005772">
        <w:rPr>
          <w:szCs w:val="24"/>
        </w:rPr>
        <w:t>si applicano anche ai c.d. “facilitatori”, alle persone che operano nel medesimo contesto lavorativo delle persone segnalanti</w:t>
      </w:r>
      <w:r w:rsidR="00005772" w:rsidRPr="00005772">
        <w:rPr>
          <w:szCs w:val="24"/>
        </w:rPr>
        <w:t xml:space="preserve"> </w:t>
      </w:r>
      <w:r w:rsidR="003B5611" w:rsidRPr="00005772">
        <w:rPr>
          <w:szCs w:val="24"/>
        </w:rPr>
        <w:t>o di coloro che hanno sporto una denuncia all’autorità giudiziaria o contabile o di coloro che hanno effettuato una divulgazione pubblica</w:t>
      </w:r>
      <w:r w:rsidRPr="00005772">
        <w:rPr>
          <w:szCs w:val="24"/>
        </w:rPr>
        <w:t xml:space="preserve"> </w:t>
      </w:r>
      <w:r w:rsidR="003B5611" w:rsidRPr="00005772">
        <w:rPr>
          <w:szCs w:val="24"/>
        </w:rPr>
        <w:t xml:space="preserve">e che sono </w:t>
      </w:r>
      <w:r w:rsidRPr="00005772">
        <w:rPr>
          <w:szCs w:val="24"/>
        </w:rPr>
        <w:t>legate da stabile legame affettivo con le persone segnalanti</w:t>
      </w:r>
      <w:r w:rsidR="003B5611" w:rsidRPr="00005772">
        <w:rPr>
          <w:szCs w:val="24"/>
        </w:rPr>
        <w:t xml:space="preserve"> o di parentela entro il quarto grado</w:t>
      </w:r>
      <w:r w:rsidR="00370B3B" w:rsidRPr="00005772">
        <w:rPr>
          <w:szCs w:val="24"/>
        </w:rPr>
        <w:t>,</w:t>
      </w:r>
      <w:r w:rsidR="00FD53B0" w:rsidRPr="00005772">
        <w:rPr>
          <w:szCs w:val="24"/>
        </w:rPr>
        <w:t xml:space="preserve"> </w:t>
      </w:r>
      <w:r w:rsidR="00370B3B" w:rsidRPr="00005772">
        <w:rPr>
          <w:szCs w:val="24"/>
        </w:rPr>
        <w:t>nonché agli</w:t>
      </w:r>
      <w:r w:rsidR="00370B3B" w:rsidRPr="00005772">
        <w:rPr>
          <w:color w:val="auto"/>
          <w:szCs w:val="24"/>
          <w:lang w:eastAsia="en-US"/>
        </w:rPr>
        <w:t xml:space="preserve"> enti di cui le persone segnalanti sono titolari</w:t>
      </w:r>
      <w:r w:rsidR="00FD53B0">
        <w:rPr>
          <w:color w:val="auto"/>
          <w:szCs w:val="24"/>
          <w:lang w:eastAsia="en-US"/>
        </w:rPr>
        <w:t xml:space="preserve"> </w:t>
      </w:r>
      <w:r w:rsidR="00FD53B0" w:rsidRPr="00667D75">
        <w:rPr>
          <w:color w:val="000000" w:themeColor="text1"/>
          <w:szCs w:val="24"/>
        </w:rPr>
        <w:t>ed agli enti che operano nel medesimo contesto di tali persone</w:t>
      </w:r>
      <w:r w:rsidRPr="00667D75">
        <w:rPr>
          <w:color w:val="auto"/>
          <w:szCs w:val="24"/>
          <w:lang w:eastAsia="en-US"/>
        </w:rPr>
        <w:t>.</w:t>
      </w:r>
      <w:r w:rsidR="00A11DC1" w:rsidRPr="00667D75">
        <w:rPr>
          <w:i/>
          <w:color w:val="auto"/>
          <w:szCs w:val="24"/>
          <w:lang w:eastAsia="en-US"/>
        </w:rPr>
        <w:t xml:space="preserve"> </w:t>
      </w:r>
    </w:p>
    <w:p w14:paraId="3C6C9032" w14:textId="7A9D2B90" w:rsidR="00BA6755" w:rsidRDefault="00A11DC1" w:rsidP="001A4063">
      <w:pPr>
        <w:spacing w:after="20" w:line="276" w:lineRule="auto"/>
        <w:ind w:left="11" w:right="0" w:firstLine="0"/>
        <w:rPr>
          <w:i/>
          <w:color w:val="auto"/>
          <w:szCs w:val="24"/>
          <w:lang w:eastAsia="en-US"/>
        </w:rPr>
      </w:pPr>
      <w:r w:rsidRPr="00A63807">
        <w:rPr>
          <w:i/>
          <w:color w:val="auto"/>
          <w:szCs w:val="24"/>
          <w:lang w:eastAsia="en-US"/>
        </w:rPr>
        <w:t>La</w:t>
      </w:r>
      <w:r>
        <w:rPr>
          <w:i/>
          <w:color w:val="auto"/>
          <w:szCs w:val="24"/>
          <w:lang w:eastAsia="en-US"/>
        </w:rPr>
        <w:t xml:space="preserve"> disposizione</w:t>
      </w:r>
      <w:r w:rsidRPr="00F02D86">
        <w:rPr>
          <w:i/>
          <w:color w:val="auto"/>
          <w:szCs w:val="24"/>
          <w:lang w:eastAsia="en-US"/>
        </w:rPr>
        <w:t xml:space="preserve"> </w:t>
      </w:r>
      <w:r>
        <w:rPr>
          <w:i/>
          <w:color w:val="auto"/>
          <w:szCs w:val="24"/>
          <w:lang w:eastAsia="en-US"/>
        </w:rPr>
        <w:t xml:space="preserve">ha </w:t>
      </w:r>
      <w:r w:rsidRPr="00F02D86">
        <w:rPr>
          <w:i/>
          <w:color w:val="auto"/>
          <w:szCs w:val="24"/>
          <w:lang w:eastAsia="en-US"/>
        </w:rPr>
        <w:t>natura ordinamentale e definitoria e non è suscettibile di determinare effetti negativi per la finanza pubblica</w:t>
      </w:r>
      <w:r>
        <w:rPr>
          <w:i/>
          <w:color w:val="auto"/>
          <w:szCs w:val="24"/>
          <w:lang w:eastAsia="en-US"/>
        </w:rPr>
        <w:t>.</w:t>
      </w:r>
    </w:p>
    <w:p w14:paraId="25A639F4" w14:textId="77777777" w:rsidR="00D21FA2" w:rsidRDefault="00D21FA2" w:rsidP="001A4063">
      <w:pPr>
        <w:spacing w:after="0" w:line="276" w:lineRule="auto"/>
        <w:ind w:right="0"/>
        <w:jc w:val="center"/>
        <w:rPr>
          <w:b/>
          <w:bCs/>
          <w:szCs w:val="24"/>
          <w:lang w:eastAsia="en-US"/>
        </w:rPr>
      </w:pPr>
    </w:p>
    <w:p w14:paraId="72E88B6C" w14:textId="77777777" w:rsidR="00005772" w:rsidRDefault="00005772" w:rsidP="001A4063">
      <w:pPr>
        <w:spacing w:after="0" w:line="276" w:lineRule="auto"/>
        <w:ind w:right="0"/>
        <w:jc w:val="center"/>
        <w:rPr>
          <w:b/>
          <w:bCs/>
          <w:szCs w:val="24"/>
          <w:lang w:eastAsia="en-US"/>
        </w:rPr>
      </w:pPr>
    </w:p>
    <w:p w14:paraId="797B1B64" w14:textId="750A143D" w:rsidR="00CE4E28" w:rsidRPr="00CC04F3" w:rsidRDefault="00CE4E28" w:rsidP="001A4063">
      <w:pPr>
        <w:spacing w:after="0" w:line="276" w:lineRule="auto"/>
        <w:ind w:right="0"/>
        <w:jc w:val="center"/>
        <w:rPr>
          <w:b/>
          <w:bCs/>
          <w:szCs w:val="24"/>
          <w:lang w:eastAsia="en-US"/>
        </w:rPr>
      </w:pPr>
      <w:r w:rsidRPr="00CC04F3">
        <w:rPr>
          <w:b/>
          <w:bCs/>
          <w:szCs w:val="24"/>
          <w:lang w:eastAsia="en-US"/>
        </w:rPr>
        <w:t>Capo II</w:t>
      </w:r>
    </w:p>
    <w:p w14:paraId="02D6D43A" w14:textId="77777777" w:rsidR="00CE4E28" w:rsidRPr="00CC04F3" w:rsidRDefault="00CE4E28" w:rsidP="001A4063">
      <w:pPr>
        <w:spacing w:after="0" w:line="276" w:lineRule="auto"/>
        <w:ind w:right="0"/>
        <w:jc w:val="center"/>
        <w:rPr>
          <w:b/>
          <w:bCs/>
          <w:szCs w:val="24"/>
          <w:lang w:eastAsia="en-US"/>
        </w:rPr>
      </w:pPr>
      <w:r w:rsidRPr="00CC04F3">
        <w:rPr>
          <w:b/>
          <w:bCs/>
          <w:szCs w:val="24"/>
          <w:lang w:eastAsia="en-US"/>
        </w:rPr>
        <w:t>Segnalazioni interne, segnalazioni esterne, obbligo di riservatezza e divulgazioni pubbliche</w:t>
      </w:r>
    </w:p>
    <w:p w14:paraId="7A9D2400" w14:textId="77777777" w:rsidR="00CE4E28" w:rsidRPr="00CC04F3" w:rsidRDefault="00CE4E28" w:rsidP="001A4063">
      <w:pPr>
        <w:spacing w:after="20" w:line="276" w:lineRule="auto"/>
        <w:ind w:left="11" w:right="0" w:firstLine="0"/>
        <w:rPr>
          <w:color w:val="auto"/>
          <w:szCs w:val="24"/>
          <w:lang w:eastAsia="en-US"/>
        </w:rPr>
      </w:pPr>
    </w:p>
    <w:p w14:paraId="7FC5CC3F" w14:textId="714435E8" w:rsidR="001C551D" w:rsidRPr="00CC04F3" w:rsidRDefault="00154F06" w:rsidP="001A4063">
      <w:pPr>
        <w:spacing w:after="20" w:line="276" w:lineRule="auto"/>
        <w:ind w:left="11" w:right="0" w:firstLine="0"/>
        <w:rPr>
          <w:color w:val="auto"/>
          <w:szCs w:val="24"/>
          <w:lang w:eastAsia="en-US"/>
        </w:rPr>
      </w:pPr>
      <w:r w:rsidRPr="00CC04F3">
        <w:rPr>
          <w:bCs/>
          <w:iCs/>
          <w:color w:val="auto"/>
          <w:szCs w:val="24"/>
          <w:lang w:eastAsia="en-US"/>
        </w:rPr>
        <w:t>Con gli</w:t>
      </w:r>
      <w:r w:rsidRPr="00CC04F3">
        <w:rPr>
          <w:b/>
          <w:i/>
          <w:color w:val="auto"/>
          <w:szCs w:val="24"/>
          <w:lang w:eastAsia="en-US"/>
        </w:rPr>
        <w:t xml:space="preserve"> articoli 4 e 5 </w:t>
      </w:r>
      <w:r w:rsidR="001C551D" w:rsidRPr="00CC04F3">
        <w:rPr>
          <w:color w:val="auto"/>
          <w:szCs w:val="24"/>
          <w:lang w:eastAsia="en-US"/>
        </w:rPr>
        <w:t>denominat</w:t>
      </w:r>
      <w:r w:rsidRPr="00CC04F3">
        <w:rPr>
          <w:color w:val="auto"/>
          <w:szCs w:val="24"/>
          <w:lang w:eastAsia="en-US"/>
        </w:rPr>
        <w:t xml:space="preserve">i </w:t>
      </w:r>
      <w:r w:rsidR="008D46DE" w:rsidRPr="00CC04F3">
        <w:rPr>
          <w:color w:val="auto"/>
          <w:szCs w:val="24"/>
          <w:lang w:eastAsia="en-US"/>
        </w:rPr>
        <w:t>rispettivamente “</w:t>
      </w:r>
      <w:r w:rsidR="00FF2E2C" w:rsidRPr="00CC04F3">
        <w:rPr>
          <w:i/>
          <w:iCs/>
          <w:color w:val="auto"/>
          <w:szCs w:val="24"/>
          <w:lang w:eastAsia="en-US"/>
        </w:rPr>
        <w:t xml:space="preserve">Canali di </w:t>
      </w:r>
      <w:r w:rsidR="00FF2E2C" w:rsidRPr="00CC04F3">
        <w:rPr>
          <w:i/>
          <w:color w:val="auto"/>
          <w:szCs w:val="24"/>
          <w:lang w:eastAsia="en-US"/>
        </w:rPr>
        <w:t>s</w:t>
      </w:r>
      <w:r w:rsidR="001C551D" w:rsidRPr="00CC04F3">
        <w:rPr>
          <w:i/>
          <w:color w:val="auto"/>
          <w:szCs w:val="24"/>
          <w:lang w:eastAsia="en-US"/>
        </w:rPr>
        <w:t>egnalazion</w:t>
      </w:r>
      <w:r w:rsidR="00FF2E2C" w:rsidRPr="00CC04F3">
        <w:rPr>
          <w:i/>
          <w:color w:val="auto"/>
          <w:szCs w:val="24"/>
          <w:lang w:eastAsia="en-US"/>
        </w:rPr>
        <w:t>e</w:t>
      </w:r>
      <w:r w:rsidR="001C551D" w:rsidRPr="001C551D">
        <w:rPr>
          <w:i/>
          <w:color w:val="auto"/>
          <w:szCs w:val="24"/>
          <w:lang w:eastAsia="en-US"/>
        </w:rPr>
        <w:t xml:space="preserve"> int</w:t>
      </w:r>
      <w:r w:rsidR="00F81D32">
        <w:rPr>
          <w:i/>
          <w:color w:val="auto"/>
          <w:szCs w:val="24"/>
          <w:lang w:eastAsia="en-US"/>
        </w:rPr>
        <w:t>ern</w:t>
      </w:r>
      <w:r w:rsidR="00FF2E2C">
        <w:rPr>
          <w:i/>
          <w:color w:val="auto"/>
          <w:szCs w:val="24"/>
          <w:lang w:eastAsia="en-US"/>
        </w:rPr>
        <w:t>a</w:t>
      </w:r>
      <w:r w:rsidR="001C551D">
        <w:rPr>
          <w:color w:val="auto"/>
          <w:szCs w:val="24"/>
          <w:lang w:eastAsia="en-US"/>
        </w:rPr>
        <w:t>”</w:t>
      </w:r>
      <w:r>
        <w:rPr>
          <w:color w:val="auto"/>
          <w:szCs w:val="24"/>
          <w:lang w:eastAsia="en-US"/>
        </w:rPr>
        <w:t xml:space="preserve"> e “</w:t>
      </w:r>
      <w:r w:rsidRPr="00154F06">
        <w:rPr>
          <w:i/>
          <w:iCs/>
          <w:color w:val="auto"/>
          <w:szCs w:val="24"/>
          <w:lang w:eastAsia="en-US"/>
        </w:rPr>
        <w:t>Gestione del canale di segnalazione interna</w:t>
      </w:r>
      <w:r>
        <w:rPr>
          <w:color w:val="auto"/>
          <w:szCs w:val="24"/>
          <w:lang w:eastAsia="en-US"/>
        </w:rPr>
        <w:t>”</w:t>
      </w:r>
      <w:r w:rsidR="001C551D">
        <w:rPr>
          <w:color w:val="auto"/>
          <w:szCs w:val="24"/>
          <w:lang w:eastAsia="en-US"/>
        </w:rPr>
        <w:t xml:space="preserve">, </w:t>
      </w:r>
      <w:r>
        <w:rPr>
          <w:color w:val="auto"/>
          <w:szCs w:val="24"/>
          <w:lang w:eastAsia="en-US"/>
        </w:rPr>
        <w:t xml:space="preserve">vengono </w:t>
      </w:r>
      <w:r w:rsidR="008D46DE">
        <w:rPr>
          <w:color w:val="auto"/>
          <w:szCs w:val="24"/>
          <w:lang w:eastAsia="en-US"/>
        </w:rPr>
        <w:t xml:space="preserve">fissate </w:t>
      </w:r>
      <w:r w:rsidR="001C551D">
        <w:rPr>
          <w:color w:val="auto"/>
          <w:szCs w:val="24"/>
          <w:lang w:eastAsia="en-US"/>
        </w:rPr>
        <w:t xml:space="preserve">tutte le </w:t>
      </w:r>
      <w:r w:rsidR="0073502A">
        <w:rPr>
          <w:color w:val="auto"/>
          <w:szCs w:val="24"/>
          <w:lang w:eastAsia="en-US"/>
        </w:rPr>
        <w:t>indicazioni</w:t>
      </w:r>
      <w:r w:rsidR="001C551D">
        <w:rPr>
          <w:color w:val="auto"/>
          <w:szCs w:val="24"/>
          <w:lang w:eastAsia="en-US"/>
        </w:rPr>
        <w:t xml:space="preserve"> necessarie, </w:t>
      </w:r>
      <w:r w:rsidR="0073502A">
        <w:rPr>
          <w:color w:val="auto"/>
          <w:szCs w:val="24"/>
          <w:lang w:eastAsia="en-US"/>
        </w:rPr>
        <w:t xml:space="preserve">per </w:t>
      </w:r>
      <w:r w:rsidR="008D46DE">
        <w:rPr>
          <w:color w:val="auto"/>
          <w:szCs w:val="24"/>
          <w:lang w:eastAsia="en-US"/>
        </w:rPr>
        <w:t xml:space="preserve">l’attivazione e gestione tanto nel settore </w:t>
      </w:r>
      <w:r w:rsidR="001C551D">
        <w:rPr>
          <w:color w:val="auto"/>
          <w:szCs w:val="24"/>
          <w:lang w:eastAsia="en-US"/>
        </w:rPr>
        <w:t xml:space="preserve">pubblico </w:t>
      </w:r>
      <w:r w:rsidR="008D46DE">
        <w:rPr>
          <w:color w:val="auto"/>
          <w:szCs w:val="24"/>
          <w:lang w:eastAsia="en-US"/>
        </w:rPr>
        <w:t>che</w:t>
      </w:r>
      <w:r w:rsidR="001C551D">
        <w:rPr>
          <w:color w:val="auto"/>
          <w:szCs w:val="24"/>
          <w:lang w:eastAsia="en-US"/>
        </w:rPr>
        <w:t xml:space="preserve"> privato, sentite </w:t>
      </w:r>
      <w:r w:rsidR="002E34E4">
        <w:rPr>
          <w:color w:val="auto"/>
          <w:szCs w:val="24"/>
          <w:lang w:eastAsia="en-US"/>
        </w:rPr>
        <w:t xml:space="preserve">le rappresentanze o </w:t>
      </w:r>
      <w:r w:rsidR="001C551D">
        <w:rPr>
          <w:color w:val="auto"/>
          <w:szCs w:val="24"/>
          <w:lang w:eastAsia="en-US"/>
        </w:rPr>
        <w:t xml:space="preserve">le O.O.S.S., </w:t>
      </w:r>
      <w:r w:rsidR="008D46DE">
        <w:rPr>
          <w:color w:val="auto"/>
          <w:szCs w:val="24"/>
          <w:lang w:eastAsia="en-US"/>
        </w:rPr>
        <w:t xml:space="preserve">di canali che garantendo la riservatezza del segnalante </w:t>
      </w:r>
      <w:r w:rsidR="001C551D">
        <w:rPr>
          <w:color w:val="auto"/>
          <w:szCs w:val="24"/>
          <w:lang w:eastAsia="en-US"/>
        </w:rPr>
        <w:t>permett</w:t>
      </w:r>
      <w:r w:rsidR="008D46DE">
        <w:rPr>
          <w:color w:val="auto"/>
          <w:szCs w:val="24"/>
          <w:lang w:eastAsia="en-US"/>
        </w:rPr>
        <w:t>ano</w:t>
      </w:r>
      <w:r w:rsidR="001C551D">
        <w:rPr>
          <w:color w:val="auto"/>
          <w:szCs w:val="24"/>
          <w:lang w:eastAsia="en-US"/>
        </w:rPr>
        <w:t xml:space="preserve"> alle persone di effettuare </w:t>
      </w:r>
      <w:r w:rsidR="001C551D" w:rsidRPr="00780902">
        <w:rPr>
          <w:color w:val="auto"/>
          <w:szCs w:val="24"/>
          <w:lang w:eastAsia="en-US"/>
        </w:rPr>
        <w:t>segnalazioni</w:t>
      </w:r>
      <w:r w:rsidR="008D46DE" w:rsidRPr="00780902">
        <w:rPr>
          <w:color w:val="auto"/>
          <w:szCs w:val="24"/>
          <w:lang w:eastAsia="en-US"/>
        </w:rPr>
        <w:t xml:space="preserve">. </w:t>
      </w:r>
      <w:r w:rsidR="00670FF9" w:rsidRPr="00780902">
        <w:rPr>
          <w:szCs w:val="24"/>
        </w:rPr>
        <w:t xml:space="preserve">La gestione del canale di segnalazione è affidata a una persona o a un ufficio interno dedicato, entrambi </w:t>
      </w:r>
      <w:r w:rsidR="001C7CC3">
        <w:rPr>
          <w:szCs w:val="24"/>
        </w:rPr>
        <w:t xml:space="preserve">autonomi </w:t>
      </w:r>
      <w:r w:rsidR="00670FF9" w:rsidRPr="00780902">
        <w:rPr>
          <w:szCs w:val="24"/>
        </w:rPr>
        <w:t xml:space="preserve">ovvero è affidata a un soggetto esterno, anch’esso </w:t>
      </w:r>
      <w:r w:rsidR="000B1B61" w:rsidRPr="001C7CC3">
        <w:rPr>
          <w:szCs w:val="24"/>
        </w:rPr>
        <w:t>autonomo</w:t>
      </w:r>
      <w:r w:rsidR="002B020A" w:rsidRPr="001C7CC3">
        <w:rPr>
          <w:szCs w:val="24"/>
        </w:rPr>
        <w:t xml:space="preserve"> </w:t>
      </w:r>
      <w:r w:rsidR="002B020A" w:rsidRPr="00D21FA2">
        <w:rPr>
          <w:szCs w:val="24"/>
        </w:rPr>
        <w:t>e, il personale destinato alla gestione dei canali di segnalazione è specificatamente formato nel limite delle risorse disponibili nei bilanci degli enti interessati</w:t>
      </w:r>
      <w:r w:rsidR="001C7CC3" w:rsidRPr="00D21FA2">
        <w:rPr>
          <w:szCs w:val="24"/>
        </w:rPr>
        <w:t xml:space="preserve"> destinati alla formazione</w:t>
      </w:r>
      <w:r w:rsidR="002B020A" w:rsidRPr="00D21FA2">
        <w:rPr>
          <w:szCs w:val="24"/>
        </w:rPr>
        <w:t>.</w:t>
      </w:r>
      <w:r w:rsidR="001040BA" w:rsidRPr="00D21FA2">
        <w:rPr>
          <w:szCs w:val="24"/>
        </w:rPr>
        <w:t xml:space="preserve"> Si prevede</w:t>
      </w:r>
      <w:r w:rsidR="001040BA" w:rsidRPr="001C7CC3">
        <w:rPr>
          <w:szCs w:val="24"/>
        </w:rPr>
        <w:t xml:space="preserve"> che le segnalazioni siano effettuate in forma scritta, anche con modalità informatiche o in forma orale. </w:t>
      </w:r>
      <w:r w:rsidR="00F94DF9" w:rsidRPr="001C7CC3">
        <w:rPr>
          <w:color w:val="auto"/>
          <w:szCs w:val="24"/>
          <w:lang w:eastAsia="en-US"/>
        </w:rPr>
        <w:t>Inoltre,</w:t>
      </w:r>
      <w:r w:rsidR="00A4222A" w:rsidRPr="001C7CC3">
        <w:rPr>
          <w:color w:val="auto"/>
          <w:szCs w:val="24"/>
          <w:lang w:eastAsia="en-US"/>
        </w:rPr>
        <w:t xml:space="preserve"> </w:t>
      </w:r>
      <w:r w:rsidR="001040BA" w:rsidRPr="001C7CC3">
        <w:rPr>
          <w:color w:val="auto"/>
          <w:szCs w:val="24"/>
          <w:lang w:eastAsia="en-US"/>
        </w:rPr>
        <w:t xml:space="preserve">viene </w:t>
      </w:r>
      <w:r w:rsidR="00A10AA5" w:rsidRPr="001C7CC3">
        <w:rPr>
          <w:color w:val="auto"/>
          <w:szCs w:val="24"/>
          <w:lang w:eastAsia="en-US"/>
        </w:rPr>
        <w:t>individuato</w:t>
      </w:r>
      <w:r w:rsidR="00A10AA5" w:rsidRPr="00780902">
        <w:rPr>
          <w:color w:val="auto"/>
          <w:szCs w:val="24"/>
          <w:lang w:eastAsia="en-US"/>
        </w:rPr>
        <w:t xml:space="preserve"> obbligatoriamente</w:t>
      </w:r>
      <w:r w:rsidR="00A4222A" w:rsidRPr="00780902">
        <w:rPr>
          <w:color w:val="auto"/>
          <w:szCs w:val="24"/>
          <w:lang w:eastAsia="en-US"/>
        </w:rPr>
        <w:t xml:space="preserve"> in ambito pubblico, </w:t>
      </w:r>
      <w:r w:rsidR="00111F38" w:rsidRPr="00780902">
        <w:rPr>
          <w:color w:val="auto"/>
          <w:szCs w:val="24"/>
          <w:lang w:eastAsia="en-US"/>
        </w:rPr>
        <w:t>nel</w:t>
      </w:r>
      <w:r w:rsidR="00A4222A" w:rsidRPr="00780902">
        <w:rPr>
          <w:color w:val="auto"/>
          <w:szCs w:val="24"/>
          <w:lang w:eastAsia="en-US"/>
        </w:rPr>
        <w:t>la figura del responsabile della</w:t>
      </w:r>
      <w:r w:rsidR="00A4222A">
        <w:rPr>
          <w:color w:val="auto"/>
          <w:szCs w:val="24"/>
          <w:lang w:eastAsia="en-US"/>
        </w:rPr>
        <w:t xml:space="preserve"> prevenzione della corruzione e della trasparenza </w:t>
      </w:r>
      <w:r w:rsidR="00111F38">
        <w:rPr>
          <w:color w:val="auto"/>
          <w:szCs w:val="24"/>
          <w:lang w:eastAsia="en-US"/>
        </w:rPr>
        <w:t xml:space="preserve">il soggetto </w:t>
      </w:r>
      <w:r w:rsidR="00A4222A">
        <w:rPr>
          <w:color w:val="auto"/>
          <w:szCs w:val="24"/>
          <w:lang w:eastAsia="en-US"/>
        </w:rPr>
        <w:t xml:space="preserve">a cui devono essere effettuate le segnalazioni, mentre </w:t>
      </w:r>
      <w:r w:rsidR="00111F38">
        <w:rPr>
          <w:color w:val="auto"/>
          <w:szCs w:val="24"/>
          <w:lang w:eastAsia="en-US"/>
        </w:rPr>
        <w:t xml:space="preserve">in ambito privato, tali segnalazioni devono essere effettuate al </w:t>
      </w:r>
      <w:r w:rsidR="00111F38" w:rsidRPr="00CC04F3">
        <w:rPr>
          <w:color w:val="auto"/>
          <w:szCs w:val="24"/>
          <w:lang w:eastAsia="en-US"/>
        </w:rPr>
        <w:t>soggetto che svolge, all’interno dell’ente, funzioni di vigilanza, come previsto dal decreto legislativo n. 231 del 2001.</w:t>
      </w:r>
      <w:r w:rsidR="00812F77">
        <w:t xml:space="preserve"> </w:t>
      </w:r>
      <w:r w:rsidR="00812F77" w:rsidRPr="00BD2E46">
        <w:t xml:space="preserve">Si rappresenta, al riguardo, che </w:t>
      </w:r>
      <w:r w:rsidR="00812F77" w:rsidRPr="00BD2E46">
        <w:rPr>
          <w:color w:val="auto"/>
          <w:szCs w:val="24"/>
          <w:lang w:eastAsia="en-US"/>
        </w:rPr>
        <w:t>i modelli di organizzazione e di gestione, di cui all’articolo 6, comma 1, lettera a), del decreto legislativo n. 231 del 2001, prevedono i canali di segnalazione interna di cui al presente decreto</w:t>
      </w:r>
      <w:r w:rsidR="00812F77" w:rsidRPr="001C7CC3">
        <w:rPr>
          <w:b/>
          <w:bCs/>
          <w:color w:val="auto"/>
          <w:szCs w:val="24"/>
          <w:lang w:eastAsia="en-US"/>
        </w:rPr>
        <w:t>.</w:t>
      </w:r>
      <w:r w:rsidR="00460B41" w:rsidRPr="00CC04F3">
        <w:rPr>
          <w:color w:val="auto"/>
          <w:szCs w:val="24"/>
          <w:lang w:eastAsia="en-US"/>
        </w:rPr>
        <w:t xml:space="preserve"> L’articolo descrive poi la forma e modalità con le quali le segnalazioni devono essere effettuate.</w:t>
      </w:r>
      <w:r w:rsidR="00E5272B" w:rsidRPr="00CC04F3">
        <w:rPr>
          <w:color w:val="auto"/>
          <w:szCs w:val="24"/>
          <w:lang w:eastAsia="en-US"/>
        </w:rPr>
        <w:t xml:space="preserve"> Particolarmente dettagliate sono le disposizioni successive al ricevimento della segnalazione che prevedono</w:t>
      </w:r>
      <w:r w:rsidR="00EC6802" w:rsidRPr="00CC04F3">
        <w:rPr>
          <w:color w:val="auto"/>
          <w:szCs w:val="24"/>
          <w:lang w:eastAsia="en-US"/>
        </w:rPr>
        <w:t xml:space="preserve">, tra il resto, </w:t>
      </w:r>
      <w:r w:rsidR="00E5272B" w:rsidRPr="00CC04F3">
        <w:rPr>
          <w:color w:val="auto"/>
          <w:szCs w:val="24"/>
          <w:lang w:eastAsia="en-US"/>
        </w:rPr>
        <w:t>che c</w:t>
      </w:r>
      <w:r w:rsidR="00A1019F" w:rsidRPr="00CC04F3">
        <w:rPr>
          <w:color w:val="auto"/>
          <w:szCs w:val="24"/>
          <w:lang w:eastAsia="en-US"/>
        </w:rPr>
        <w:t>oloro che sono deputati al</w:t>
      </w:r>
      <w:r w:rsidR="00421738" w:rsidRPr="00CC04F3">
        <w:rPr>
          <w:color w:val="auto"/>
          <w:szCs w:val="24"/>
          <w:lang w:eastAsia="en-US"/>
        </w:rPr>
        <w:t xml:space="preserve"> loro</w:t>
      </w:r>
      <w:r w:rsidR="00A1019F" w:rsidRPr="00CC04F3">
        <w:rPr>
          <w:color w:val="auto"/>
          <w:szCs w:val="24"/>
          <w:lang w:eastAsia="en-US"/>
        </w:rPr>
        <w:t xml:space="preserve"> ricevimento devono </w:t>
      </w:r>
      <w:r w:rsidR="00EC6802" w:rsidRPr="00CC04F3">
        <w:rPr>
          <w:color w:val="auto"/>
          <w:szCs w:val="24"/>
          <w:lang w:eastAsia="en-US"/>
        </w:rPr>
        <w:t>rilasciar</w:t>
      </w:r>
      <w:r w:rsidR="00421738" w:rsidRPr="00CC04F3">
        <w:rPr>
          <w:color w:val="auto"/>
          <w:szCs w:val="24"/>
          <w:lang w:eastAsia="en-US"/>
        </w:rPr>
        <w:t>ne</w:t>
      </w:r>
      <w:r w:rsidR="00EC6802" w:rsidRPr="00CC04F3">
        <w:rPr>
          <w:color w:val="auto"/>
          <w:szCs w:val="24"/>
          <w:lang w:eastAsia="en-US"/>
        </w:rPr>
        <w:t xml:space="preserve"> al segnalante </w:t>
      </w:r>
      <w:r w:rsidR="00421738" w:rsidRPr="00CC04F3">
        <w:rPr>
          <w:color w:val="auto"/>
          <w:szCs w:val="24"/>
          <w:lang w:eastAsia="en-US"/>
        </w:rPr>
        <w:t xml:space="preserve">relativo </w:t>
      </w:r>
      <w:r w:rsidR="00EC6802" w:rsidRPr="00CC04F3">
        <w:rPr>
          <w:color w:val="auto"/>
          <w:szCs w:val="24"/>
          <w:lang w:eastAsia="en-US"/>
        </w:rPr>
        <w:t xml:space="preserve">avviso entro sette giorni e mantengono interlocuzioni con la stessa dando diligente e tempestivo seguito alle segnalazioni ricevute. </w:t>
      </w:r>
    </w:p>
    <w:p w14:paraId="5BC52D0B" w14:textId="5A897ACE" w:rsidR="00DD2388" w:rsidRDefault="00DD2388" w:rsidP="001A4063">
      <w:pPr>
        <w:spacing w:after="20" w:line="276" w:lineRule="auto"/>
        <w:ind w:left="11" w:right="0" w:firstLine="0"/>
        <w:rPr>
          <w:color w:val="auto"/>
          <w:szCs w:val="24"/>
          <w:lang w:eastAsia="en-US"/>
        </w:rPr>
      </w:pPr>
      <w:r w:rsidRPr="00CC04F3">
        <w:rPr>
          <w:color w:val="auto"/>
          <w:szCs w:val="24"/>
          <w:lang w:eastAsia="en-US"/>
        </w:rPr>
        <w:t>Rilevanti sono le previsioni relative alle informazioni che debbono essere chiare, visibili e accessibili sulle modalità di effettuazione delle segnalazioni</w:t>
      </w:r>
      <w:r w:rsidR="00421738" w:rsidRPr="00CC04F3">
        <w:rPr>
          <w:color w:val="auto"/>
          <w:szCs w:val="24"/>
          <w:lang w:eastAsia="en-US"/>
        </w:rPr>
        <w:t xml:space="preserve"> e quelle che prevedono </w:t>
      </w:r>
      <w:r w:rsidR="00670C6E" w:rsidRPr="00CC04F3">
        <w:rPr>
          <w:color w:val="auto"/>
          <w:szCs w:val="24"/>
          <w:lang w:eastAsia="en-US"/>
        </w:rPr>
        <w:t>che laddove il soggetto</w:t>
      </w:r>
      <w:r w:rsidR="001667A1" w:rsidRPr="00CC04F3">
        <w:rPr>
          <w:color w:val="auto"/>
          <w:szCs w:val="24"/>
          <w:lang w:eastAsia="en-US"/>
        </w:rPr>
        <w:t>, tanto privato che pubblico,</w:t>
      </w:r>
      <w:r w:rsidR="00670C6E" w:rsidRPr="00CC04F3">
        <w:rPr>
          <w:color w:val="auto"/>
          <w:szCs w:val="24"/>
          <w:lang w:eastAsia="en-US"/>
        </w:rPr>
        <w:t xml:space="preserve"> sia dotato di un sito internet</w:t>
      </w:r>
      <w:r w:rsidR="00421738" w:rsidRPr="00CC04F3">
        <w:rPr>
          <w:color w:val="auto"/>
          <w:szCs w:val="24"/>
          <w:lang w:eastAsia="en-US"/>
        </w:rPr>
        <w:t>, le stesse informazioni</w:t>
      </w:r>
      <w:r w:rsidR="00670C6E" w:rsidRPr="00CC04F3">
        <w:rPr>
          <w:color w:val="auto"/>
          <w:szCs w:val="24"/>
          <w:lang w:eastAsia="en-US"/>
        </w:rPr>
        <w:t xml:space="preserve"> debbono esservi anche pubblicate.</w:t>
      </w:r>
      <w:r w:rsidR="00670C6E">
        <w:rPr>
          <w:color w:val="auto"/>
          <w:szCs w:val="24"/>
          <w:lang w:eastAsia="en-US"/>
        </w:rPr>
        <w:t xml:space="preserve"> </w:t>
      </w:r>
    </w:p>
    <w:p w14:paraId="541DB16B" w14:textId="77777777" w:rsidR="001C0904" w:rsidRDefault="001C0904" w:rsidP="001A4063">
      <w:pPr>
        <w:spacing w:after="20" w:line="276" w:lineRule="auto"/>
        <w:ind w:left="11" w:right="0" w:firstLine="0"/>
        <w:rPr>
          <w:i/>
          <w:iCs/>
          <w:color w:val="auto"/>
          <w:lang w:eastAsia="en-US"/>
        </w:rPr>
      </w:pPr>
      <w:r>
        <w:rPr>
          <w:i/>
          <w:iCs/>
          <w:color w:val="auto"/>
          <w:lang w:eastAsia="en-US"/>
        </w:rPr>
        <w:t>Si tratta di disposizioni di carattere organizzativo rientranti nelle ordinarie attività gestionali delle amministrazioni o enti pubblici, che potranno essere attuate nell’ambito delle risorse umane, strumentali e finanziarie disponibili a legislazione vigente. In particolare, con riferimento alle ipotesi di esternalizzazione della gestione delle segnalazioni prevista dal comma 2, dell’articolo 4, si rappresenta che tale possibilità è da considerare come facoltativa e residuale e attuabile previa verifica della sussistenza delle occorrenti disponibilità finanziarie nell’ambito degli ordinari stanziamenti di bilancio delle amministrazioni interessate, già destinate all’approvvigionamento di servizi e attuabile attraverso la riprogrammazione dell’attività contrattuale.</w:t>
      </w:r>
    </w:p>
    <w:p w14:paraId="3373FFEA" w14:textId="115B44BE" w:rsidR="00D649CA" w:rsidRDefault="00F81D32" w:rsidP="001A4063">
      <w:pPr>
        <w:spacing w:after="20" w:line="276" w:lineRule="auto"/>
        <w:ind w:left="11" w:right="0" w:firstLine="0"/>
        <w:rPr>
          <w:color w:val="auto"/>
          <w:szCs w:val="24"/>
          <w:lang w:eastAsia="en-US"/>
        </w:rPr>
      </w:pPr>
      <w:r w:rsidRPr="00CC04F3">
        <w:rPr>
          <w:b/>
          <w:i/>
          <w:color w:val="auto"/>
          <w:szCs w:val="24"/>
          <w:lang w:eastAsia="en-US"/>
        </w:rPr>
        <w:t>L’articolo 6</w:t>
      </w:r>
      <w:r w:rsidR="00547882" w:rsidRPr="00CC04F3">
        <w:rPr>
          <w:b/>
          <w:i/>
          <w:color w:val="auto"/>
          <w:szCs w:val="24"/>
          <w:lang w:eastAsia="en-US"/>
        </w:rPr>
        <w:t xml:space="preserve"> </w:t>
      </w:r>
      <w:r w:rsidR="00547882" w:rsidRPr="00CC04F3">
        <w:rPr>
          <w:bCs/>
          <w:iCs/>
          <w:color w:val="auto"/>
          <w:szCs w:val="24"/>
          <w:lang w:eastAsia="en-US"/>
        </w:rPr>
        <w:t>denominato</w:t>
      </w:r>
      <w:r w:rsidR="00B74BA2" w:rsidRPr="00CC04F3">
        <w:rPr>
          <w:b/>
          <w:iCs/>
          <w:color w:val="auto"/>
          <w:szCs w:val="24"/>
          <w:lang w:eastAsia="en-US"/>
        </w:rPr>
        <w:t>:</w:t>
      </w:r>
      <w:r w:rsidR="00380BC9" w:rsidRPr="00CC04F3">
        <w:rPr>
          <w:b/>
          <w:i/>
          <w:color w:val="auto"/>
          <w:szCs w:val="24"/>
          <w:lang w:eastAsia="en-US"/>
        </w:rPr>
        <w:t xml:space="preserve"> </w:t>
      </w:r>
      <w:r w:rsidR="00380BC9" w:rsidRPr="00CC04F3">
        <w:rPr>
          <w:i/>
          <w:color w:val="auto"/>
          <w:szCs w:val="24"/>
          <w:lang w:eastAsia="en-US"/>
        </w:rPr>
        <w:t>“</w:t>
      </w:r>
      <w:r w:rsidR="001040BA" w:rsidRPr="00CC04F3">
        <w:rPr>
          <w:i/>
          <w:color w:val="auto"/>
          <w:szCs w:val="24"/>
          <w:lang w:eastAsia="en-US"/>
        </w:rPr>
        <w:t>Condizioni per l’effettuazione della s</w:t>
      </w:r>
      <w:r w:rsidR="00380BC9" w:rsidRPr="00CC04F3">
        <w:rPr>
          <w:i/>
          <w:color w:val="auto"/>
          <w:szCs w:val="24"/>
          <w:lang w:eastAsia="en-US"/>
        </w:rPr>
        <w:t>egnalazion</w:t>
      </w:r>
      <w:r w:rsidR="00BD2E46">
        <w:rPr>
          <w:i/>
          <w:color w:val="auto"/>
          <w:szCs w:val="24"/>
          <w:lang w:eastAsia="en-US"/>
        </w:rPr>
        <w:t>e</w:t>
      </w:r>
      <w:r w:rsidR="00380BC9" w:rsidRPr="00CC04F3">
        <w:rPr>
          <w:i/>
          <w:color w:val="auto"/>
          <w:szCs w:val="24"/>
          <w:lang w:eastAsia="en-US"/>
        </w:rPr>
        <w:t xml:space="preserve"> estern</w:t>
      </w:r>
      <w:r w:rsidR="001040BA" w:rsidRPr="00CC04F3">
        <w:rPr>
          <w:i/>
          <w:color w:val="auto"/>
          <w:szCs w:val="24"/>
          <w:lang w:eastAsia="en-US"/>
        </w:rPr>
        <w:t>a</w:t>
      </w:r>
      <w:r w:rsidR="00380BC9" w:rsidRPr="00CC04F3">
        <w:rPr>
          <w:i/>
          <w:color w:val="auto"/>
          <w:szCs w:val="24"/>
          <w:lang w:eastAsia="en-US"/>
        </w:rPr>
        <w:t>”,</w:t>
      </w:r>
      <w:r w:rsidR="00380BC9" w:rsidRPr="00CC04F3">
        <w:rPr>
          <w:color w:val="auto"/>
          <w:szCs w:val="24"/>
          <w:lang w:eastAsia="en-US"/>
        </w:rPr>
        <w:t xml:space="preserve"> stabilisce che, nel caso in </w:t>
      </w:r>
      <w:r w:rsidR="00B14786" w:rsidRPr="00CC04F3">
        <w:rPr>
          <w:color w:val="auto"/>
          <w:szCs w:val="24"/>
          <w:lang w:eastAsia="en-US"/>
        </w:rPr>
        <w:t>c</w:t>
      </w:r>
      <w:r w:rsidR="00380BC9" w:rsidRPr="00CC04F3">
        <w:rPr>
          <w:color w:val="auto"/>
          <w:szCs w:val="24"/>
          <w:lang w:eastAsia="en-US"/>
        </w:rPr>
        <w:t xml:space="preserve">ui non siano previsti </w:t>
      </w:r>
      <w:r w:rsidR="00DA2E33" w:rsidRPr="00CC04F3">
        <w:rPr>
          <w:color w:val="auto"/>
          <w:szCs w:val="24"/>
          <w:lang w:eastAsia="en-US"/>
        </w:rPr>
        <w:t xml:space="preserve">in quanto non obbligatori o istituiti </w:t>
      </w:r>
      <w:r w:rsidR="00380BC9" w:rsidRPr="00CC04F3">
        <w:rPr>
          <w:color w:val="auto"/>
          <w:szCs w:val="24"/>
          <w:lang w:eastAsia="en-US"/>
        </w:rPr>
        <w:t>canali di segnalazione interna</w:t>
      </w:r>
      <w:r w:rsidR="00DA2E33" w:rsidRPr="00CC04F3">
        <w:rPr>
          <w:color w:val="auto"/>
          <w:szCs w:val="24"/>
          <w:lang w:eastAsia="en-US"/>
        </w:rPr>
        <w:t xml:space="preserve"> di cui all’articolo </w:t>
      </w:r>
      <w:r w:rsidR="001040BA" w:rsidRPr="00CC04F3">
        <w:rPr>
          <w:color w:val="auto"/>
          <w:szCs w:val="24"/>
          <w:lang w:eastAsia="en-US"/>
        </w:rPr>
        <w:t>4</w:t>
      </w:r>
      <w:r w:rsidR="00380BC9" w:rsidRPr="00CC04F3">
        <w:rPr>
          <w:color w:val="auto"/>
          <w:szCs w:val="24"/>
          <w:lang w:eastAsia="en-US"/>
        </w:rPr>
        <w:t xml:space="preserve"> ovvero possa ritenersi che tali canali</w:t>
      </w:r>
      <w:r w:rsidR="00DA2E33" w:rsidRPr="00CC04F3">
        <w:rPr>
          <w:color w:val="auto"/>
          <w:szCs w:val="24"/>
          <w:lang w:eastAsia="en-US"/>
        </w:rPr>
        <w:t xml:space="preserve"> </w:t>
      </w:r>
      <w:r w:rsidR="00380BC9" w:rsidRPr="00CC04F3">
        <w:rPr>
          <w:color w:val="auto"/>
          <w:szCs w:val="24"/>
          <w:lang w:eastAsia="en-US"/>
        </w:rPr>
        <w:t>non siano efficaci</w:t>
      </w:r>
      <w:r w:rsidR="00DA2E33" w:rsidRPr="00CC04F3">
        <w:rPr>
          <w:color w:val="auto"/>
          <w:szCs w:val="24"/>
          <w:lang w:eastAsia="en-US"/>
        </w:rPr>
        <w:t xml:space="preserve"> nel trattare la segnalazione</w:t>
      </w:r>
      <w:r w:rsidR="00A2065C" w:rsidRPr="00CC04F3">
        <w:rPr>
          <w:color w:val="auto"/>
          <w:szCs w:val="24"/>
          <w:lang w:eastAsia="en-US"/>
        </w:rPr>
        <w:t>,</w:t>
      </w:r>
      <w:r w:rsidR="00DA2E33" w:rsidRPr="00CC04F3">
        <w:rPr>
          <w:color w:val="auto"/>
          <w:szCs w:val="24"/>
          <w:lang w:eastAsia="en-US"/>
        </w:rPr>
        <w:t xml:space="preserve"> anche alla luce del contesto ambientale</w:t>
      </w:r>
      <w:r w:rsidR="00380BC9" w:rsidRPr="00CC04F3">
        <w:rPr>
          <w:color w:val="auto"/>
          <w:szCs w:val="24"/>
          <w:lang w:eastAsia="en-US"/>
        </w:rPr>
        <w:t xml:space="preserve">, </w:t>
      </w:r>
      <w:r w:rsidR="00A94465" w:rsidRPr="001C0904">
        <w:rPr>
          <w:color w:val="auto"/>
          <w:szCs w:val="24"/>
          <w:lang w:eastAsia="en-US"/>
        </w:rPr>
        <w:t xml:space="preserve">o che possa determinarsi il rischio di ritorsione </w:t>
      </w:r>
      <w:r w:rsidR="00380BC9" w:rsidRPr="001C0904">
        <w:rPr>
          <w:color w:val="auto"/>
          <w:szCs w:val="24"/>
          <w:lang w:eastAsia="en-US"/>
        </w:rPr>
        <w:t xml:space="preserve">la segnalazione può essere effettuata </w:t>
      </w:r>
      <w:r w:rsidR="00A94465" w:rsidRPr="001C0904">
        <w:rPr>
          <w:color w:val="auto"/>
          <w:szCs w:val="24"/>
          <w:lang w:eastAsia="en-US"/>
        </w:rPr>
        <w:t>su un canale esterno</w:t>
      </w:r>
      <w:r w:rsidR="00B57D1E" w:rsidRPr="001C0904">
        <w:rPr>
          <w:color w:val="auto"/>
          <w:szCs w:val="24"/>
          <w:lang w:eastAsia="en-US"/>
        </w:rPr>
        <w:t>.</w:t>
      </w:r>
    </w:p>
    <w:p w14:paraId="52543ACB" w14:textId="75D284CB" w:rsidR="00A2065C" w:rsidRPr="00B644F1" w:rsidRDefault="00A94465" w:rsidP="001A4063">
      <w:pPr>
        <w:spacing w:after="20" w:line="276" w:lineRule="auto"/>
        <w:ind w:left="11" w:right="0" w:firstLine="0"/>
        <w:rPr>
          <w:strike/>
          <w:color w:val="auto"/>
          <w:szCs w:val="24"/>
          <w:lang w:eastAsia="en-US"/>
        </w:rPr>
      </w:pPr>
      <w:r>
        <w:rPr>
          <w:b/>
          <w:bCs/>
          <w:i/>
          <w:iCs/>
          <w:color w:val="auto"/>
          <w:szCs w:val="24"/>
          <w:lang w:eastAsia="en-US"/>
        </w:rPr>
        <w:t xml:space="preserve">Gli articoli </w:t>
      </w:r>
      <w:r w:rsidRPr="00A94465">
        <w:rPr>
          <w:b/>
          <w:bCs/>
          <w:i/>
          <w:iCs/>
          <w:color w:val="auto"/>
          <w:szCs w:val="24"/>
          <w:lang w:eastAsia="en-US"/>
        </w:rPr>
        <w:t>7 e 8</w:t>
      </w:r>
      <w:r>
        <w:rPr>
          <w:color w:val="auto"/>
          <w:szCs w:val="24"/>
          <w:lang w:eastAsia="en-US"/>
        </w:rPr>
        <w:t xml:space="preserve"> disciplinano il canale di segnalazione esterna attivato </w:t>
      </w:r>
      <w:r w:rsidR="00380BC9">
        <w:rPr>
          <w:color w:val="auto"/>
          <w:szCs w:val="24"/>
          <w:lang w:eastAsia="en-US"/>
        </w:rPr>
        <w:t>direttamente all’ANAC</w:t>
      </w:r>
      <w:r w:rsidR="008542F1">
        <w:rPr>
          <w:color w:val="auto"/>
          <w:szCs w:val="24"/>
          <w:lang w:eastAsia="en-US"/>
        </w:rPr>
        <w:t xml:space="preserve"> </w:t>
      </w:r>
      <w:r w:rsidR="00380BC9">
        <w:rPr>
          <w:color w:val="auto"/>
          <w:szCs w:val="24"/>
          <w:lang w:eastAsia="en-US"/>
        </w:rPr>
        <w:t>sia per quanto concerne il settore pubblico che quello privato.</w:t>
      </w:r>
      <w:r w:rsidR="00A2065C">
        <w:rPr>
          <w:color w:val="auto"/>
          <w:szCs w:val="24"/>
          <w:lang w:eastAsia="en-US"/>
        </w:rPr>
        <w:t xml:space="preserve"> </w:t>
      </w:r>
    </w:p>
    <w:p w14:paraId="4F82B795" w14:textId="0B30D7DF" w:rsidR="00B644F1" w:rsidRDefault="000C3528" w:rsidP="001A4063">
      <w:pPr>
        <w:spacing w:after="20" w:line="276" w:lineRule="auto"/>
        <w:ind w:left="11" w:right="0" w:firstLine="0"/>
        <w:rPr>
          <w:color w:val="auto"/>
          <w:szCs w:val="24"/>
          <w:lang w:eastAsia="en-US"/>
        </w:rPr>
      </w:pPr>
      <w:r>
        <w:rPr>
          <w:color w:val="auto"/>
          <w:szCs w:val="24"/>
          <w:lang w:eastAsia="en-US"/>
        </w:rPr>
        <w:t>E’, in tal senso, prevista l’istituzione di un canale di segnalazione indipendente ed autonomo per il ricevimento e la trattazione delle segnalazioni, sempre nel rispetto dei principi di riservatezza delle persone segnalanti e delle informazioni segnalate. Si evidenzia che le segnalazioni sono effettuate tramite piattaforma informatica messa a disposizione da ANAC oppure in forma scritta o orale (attraverso linee telefoniche e altri sistemi di messaggistica vocale)</w:t>
      </w:r>
      <w:r w:rsidR="00B644F1">
        <w:rPr>
          <w:color w:val="auto"/>
          <w:szCs w:val="24"/>
          <w:lang w:eastAsia="en-US"/>
        </w:rPr>
        <w:t xml:space="preserve">, nonché qualora la persona lo richieda anche attraverso un incontro in presenza fissato in un tempo ragionevole. </w:t>
      </w:r>
    </w:p>
    <w:p w14:paraId="6BD6433A" w14:textId="53A29587" w:rsidR="00B644F1" w:rsidRDefault="00B644F1" w:rsidP="001A4063">
      <w:pPr>
        <w:spacing w:after="20" w:line="276" w:lineRule="auto"/>
        <w:ind w:left="11" w:right="0" w:firstLine="0"/>
        <w:rPr>
          <w:color w:val="auto"/>
          <w:szCs w:val="24"/>
          <w:lang w:eastAsia="en-US"/>
        </w:rPr>
      </w:pPr>
      <w:r w:rsidRPr="00CC04F3">
        <w:rPr>
          <w:color w:val="auto"/>
          <w:szCs w:val="24"/>
          <w:lang w:eastAsia="en-US"/>
        </w:rPr>
        <w:t>Si rappresenta che la segnalazione inoltrata a soggetto diverso dall’ANAC</w:t>
      </w:r>
      <w:r w:rsidR="008542F1">
        <w:rPr>
          <w:color w:val="auto"/>
          <w:szCs w:val="24"/>
          <w:lang w:eastAsia="en-US"/>
        </w:rPr>
        <w:t>,</w:t>
      </w:r>
      <w:r w:rsidR="001C0904">
        <w:rPr>
          <w:color w:val="auto"/>
          <w:szCs w:val="24"/>
          <w:lang w:eastAsia="en-US"/>
        </w:rPr>
        <w:t xml:space="preserve"> </w:t>
      </w:r>
      <w:r w:rsidRPr="00CC04F3">
        <w:rPr>
          <w:color w:val="auto"/>
          <w:szCs w:val="24"/>
          <w:lang w:eastAsia="en-US"/>
        </w:rPr>
        <w:t>deve essere comunque inviata all’</w:t>
      </w:r>
      <w:r w:rsidR="007607F8" w:rsidRPr="00CC04F3">
        <w:rPr>
          <w:color w:val="auto"/>
          <w:szCs w:val="24"/>
          <w:lang w:eastAsia="en-US"/>
        </w:rPr>
        <w:t>autorità competente e</w:t>
      </w:r>
      <w:r w:rsidRPr="00CC04F3">
        <w:rPr>
          <w:color w:val="auto"/>
          <w:szCs w:val="24"/>
          <w:lang w:eastAsia="en-US"/>
        </w:rPr>
        <w:t>ntro sette giorni dal suo ricevimento.</w:t>
      </w:r>
    </w:p>
    <w:p w14:paraId="05DEF001" w14:textId="01CB5ED1" w:rsidR="00807617" w:rsidRDefault="002D5098" w:rsidP="001A4063">
      <w:pPr>
        <w:spacing w:after="20" w:line="276" w:lineRule="auto"/>
        <w:ind w:left="11" w:right="0" w:firstLine="0"/>
        <w:rPr>
          <w:color w:val="auto"/>
          <w:szCs w:val="24"/>
          <w:lang w:eastAsia="en-US"/>
        </w:rPr>
      </w:pPr>
      <w:r>
        <w:rPr>
          <w:color w:val="auto"/>
          <w:szCs w:val="24"/>
          <w:lang w:eastAsia="en-US"/>
        </w:rPr>
        <w:t xml:space="preserve">Le </w:t>
      </w:r>
      <w:r w:rsidR="00807617">
        <w:rPr>
          <w:color w:val="auto"/>
          <w:szCs w:val="24"/>
          <w:lang w:eastAsia="en-US"/>
        </w:rPr>
        <w:t>attività</w:t>
      </w:r>
      <w:r w:rsidR="00AD7ACA">
        <w:rPr>
          <w:color w:val="auto"/>
          <w:szCs w:val="24"/>
          <w:lang w:eastAsia="en-US"/>
        </w:rPr>
        <w:t xml:space="preserve"> </w:t>
      </w:r>
      <w:r w:rsidR="00807617">
        <w:rPr>
          <w:color w:val="auto"/>
          <w:szCs w:val="24"/>
          <w:lang w:eastAsia="en-US"/>
        </w:rPr>
        <w:t>dell’ANAC</w:t>
      </w:r>
      <w:r w:rsidR="008542F1">
        <w:rPr>
          <w:color w:val="auto"/>
          <w:szCs w:val="24"/>
          <w:lang w:eastAsia="en-US"/>
        </w:rPr>
        <w:t xml:space="preserve"> </w:t>
      </w:r>
      <w:r w:rsidR="00807617">
        <w:rPr>
          <w:color w:val="auto"/>
          <w:szCs w:val="24"/>
          <w:lang w:eastAsia="en-US"/>
        </w:rPr>
        <w:t xml:space="preserve">sono </w:t>
      </w:r>
      <w:r>
        <w:rPr>
          <w:color w:val="auto"/>
          <w:szCs w:val="24"/>
          <w:lang w:eastAsia="en-US"/>
        </w:rPr>
        <w:t>espletate</w:t>
      </w:r>
      <w:r w:rsidR="00AD7ACA">
        <w:rPr>
          <w:color w:val="auto"/>
          <w:szCs w:val="24"/>
          <w:lang w:eastAsia="en-US"/>
        </w:rPr>
        <w:t xml:space="preserve"> in modo </w:t>
      </w:r>
      <w:r w:rsidR="007955D8">
        <w:rPr>
          <w:color w:val="auto"/>
          <w:szCs w:val="24"/>
          <w:lang w:eastAsia="en-US"/>
        </w:rPr>
        <w:t>dettagliat</w:t>
      </w:r>
      <w:r w:rsidR="00AD7ACA">
        <w:rPr>
          <w:color w:val="auto"/>
          <w:szCs w:val="24"/>
          <w:lang w:eastAsia="en-US"/>
        </w:rPr>
        <w:t xml:space="preserve">o </w:t>
      </w:r>
      <w:r w:rsidR="007955D8">
        <w:rPr>
          <w:color w:val="auto"/>
          <w:szCs w:val="24"/>
          <w:lang w:eastAsia="en-US"/>
        </w:rPr>
        <w:t xml:space="preserve">sia in relazione all’ambito informativo </w:t>
      </w:r>
      <w:r w:rsidR="00357333">
        <w:rPr>
          <w:color w:val="auto"/>
          <w:szCs w:val="24"/>
          <w:lang w:eastAsia="en-US"/>
        </w:rPr>
        <w:t>offerto a</w:t>
      </w:r>
      <w:r w:rsidR="007955D8">
        <w:rPr>
          <w:color w:val="auto"/>
          <w:szCs w:val="24"/>
          <w:lang w:eastAsia="en-US"/>
        </w:rPr>
        <w:t xml:space="preserve"> qualsiasi persona interessata</w:t>
      </w:r>
      <w:r w:rsidR="00357333">
        <w:rPr>
          <w:color w:val="auto"/>
          <w:szCs w:val="24"/>
          <w:lang w:eastAsia="en-US"/>
        </w:rPr>
        <w:t xml:space="preserve"> sia</w:t>
      </w:r>
      <w:r w:rsidR="007955D8">
        <w:rPr>
          <w:color w:val="auto"/>
          <w:szCs w:val="24"/>
          <w:lang w:eastAsia="en-US"/>
        </w:rPr>
        <w:t xml:space="preserve"> nei confronti del segnalante destinatario di alcune specifiche azioni collegate e successive alla segnalazione operata.</w:t>
      </w:r>
    </w:p>
    <w:p w14:paraId="60D24748" w14:textId="6D9B33BE" w:rsidR="00C247BE" w:rsidRDefault="00415E16" w:rsidP="001A4063">
      <w:pPr>
        <w:spacing w:after="20" w:line="276" w:lineRule="auto"/>
        <w:ind w:right="0"/>
        <w:rPr>
          <w:szCs w:val="24"/>
        </w:rPr>
      </w:pPr>
      <w:r>
        <w:rPr>
          <w:color w:val="auto"/>
          <w:szCs w:val="24"/>
          <w:lang w:eastAsia="en-US"/>
        </w:rPr>
        <w:t>In particolare,</w:t>
      </w:r>
      <w:r w:rsidR="0095528C">
        <w:rPr>
          <w:color w:val="auto"/>
          <w:szCs w:val="24"/>
          <w:lang w:eastAsia="en-US"/>
        </w:rPr>
        <w:t xml:space="preserve"> si segnala </w:t>
      </w:r>
      <w:r w:rsidR="0095528C" w:rsidRPr="001C0904">
        <w:rPr>
          <w:color w:val="auto"/>
          <w:szCs w:val="24"/>
          <w:lang w:eastAsia="en-US"/>
        </w:rPr>
        <w:t>che l’ANAC</w:t>
      </w:r>
      <w:r w:rsidR="008542F1" w:rsidRPr="001C0904">
        <w:rPr>
          <w:color w:val="auto"/>
          <w:szCs w:val="24"/>
          <w:lang w:eastAsia="en-US"/>
        </w:rPr>
        <w:t xml:space="preserve"> </w:t>
      </w:r>
      <w:r w:rsidR="00F0252B" w:rsidRPr="00B129AE">
        <w:rPr>
          <w:szCs w:val="24"/>
        </w:rPr>
        <w:t>dispone</w:t>
      </w:r>
      <w:r w:rsidR="003E5FF0">
        <w:rPr>
          <w:szCs w:val="24"/>
        </w:rPr>
        <w:t xml:space="preserve"> </w:t>
      </w:r>
      <w:r w:rsidR="00F0252B" w:rsidRPr="00B129AE">
        <w:rPr>
          <w:szCs w:val="24"/>
        </w:rPr>
        <w:t>il rinvio delle segnalazioni avent</w:t>
      </w:r>
      <w:r w:rsidR="00CB7DD5">
        <w:rPr>
          <w:szCs w:val="24"/>
        </w:rPr>
        <w:t>i</w:t>
      </w:r>
      <w:r w:rsidR="00F0252B" w:rsidRPr="00B129AE">
        <w:rPr>
          <w:szCs w:val="24"/>
        </w:rPr>
        <w:t xml:space="preserve"> ad oggetto informazioni </w:t>
      </w:r>
      <w:r w:rsidR="00F0252B">
        <w:rPr>
          <w:szCs w:val="24"/>
        </w:rPr>
        <w:t xml:space="preserve">sulle violazioni </w:t>
      </w:r>
      <w:r w:rsidR="00F0252B" w:rsidRPr="00B129AE">
        <w:rPr>
          <w:szCs w:val="24"/>
        </w:rPr>
        <w:t>che non rientrano nella propria competenza all</w:t>
      </w:r>
      <w:r w:rsidR="00F0252B">
        <w:rPr>
          <w:szCs w:val="24"/>
        </w:rPr>
        <w:t>a</w:t>
      </w:r>
      <w:r w:rsidR="00F0252B" w:rsidRPr="00B129AE">
        <w:rPr>
          <w:szCs w:val="24"/>
        </w:rPr>
        <w:t xml:space="preserve"> competent</w:t>
      </w:r>
      <w:r w:rsidR="00F0252B">
        <w:rPr>
          <w:szCs w:val="24"/>
        </w:rPr>
        <w:t>e</w:t>
      </w:r>
      <w:r w:rsidR="00F0252B" w:rsidRPr="00B129AE">
        <w:rPr>
          <w:szCs w:val="24"/>
        </w:rPr>
        <w:t xml:space="preserve"> autorità amministrativa o giudiziaria, ivi</w:t>
      </w:r>
      <w:r w:rsidR="00F0252B" w:rsidRPr="00293341">
        <w:rPr>
          <w:szCs w:val="24"/>
        </w:rPr>
        <w:t xml:space="preserve"> compresi le istituzioni, gli organi o gli organismi dell’Unione europea</w:t>
      </w:r>
      <w:r w:rsidR="00F0252B">
        <w:rPr>
          <w:szCs w:val="24"/>
        </w:rPr>
        <w:t xml:space="preserve"> e</w:t>
      </w:r>
      <w:r w:rsidR="00F0252B" w:rsidRPr="007D54B2">
        <w:rPr>
          <w:szCs w:val="24"/>
        </w:rPr>
        <w:t xml:space="preserve"> dà contestuale avviso alla persona segnalante dell’avvenuto rinvio</w:t>
      </w:r>
      <w:r w:rsidR="00216815">
        <w:rPr>
          <w:szCs w:val="24"/>
        </w:rPr>
        <w:t>,</w:t>
      </w:r>
      <w:r w:rsidR="00F0252B" w:rsidRPr="007D54B2">
        <w:rPr>
          <w:szCs w:val="24"/>
        </w:rPr>
        <w:t xml:space="preserve"> ed entro tre mesi dall’avviso chiede al soggetto destinatario del rinvio</w:t>
      </w:r>
      <w:r w:rsidR="00BD2E46">
        <w:rPr>
          <w:szCs w:val="24"/>
        </w:rPr>
        <w:t>,</w:t>
      </w:r>
      <w:r w:rsidR="00F0252B" w:rsidRPr="007D54B2">
        <w:rPr>
          <w:szCs w:val="24"/>
        </w:rPr>
        <w:t xml:space="preserve"> informazioni sul seguito dato o che intende dare. Entro sei mesi dall’avviso, l’</w:t>
      </w:r>
      <w:r w:rsidR="00F0252B">
        <w:rPr>
          <w:szCs w:val="24"/>
        </w:rPr>
        <w:t>ANAC</w:t>
      </w:r>
      <w:r w:rsidR="008542F1">
        <w:rPr>
          <w:szCs w:val="24"/>
        </w:rPr>
        <w:t xml:space="preserve"> </w:t>
      </w:r>
      <w:r w:rsidR="00F0252B">
        <w:rPr>
          <w:szCs w:val="24"/>
        </w:rPr>
        <w:t>fornisce</w:t>
      </w:r>
      <w:r w:rsidR="00F0252B" w:rsidRPr="007D54B2">
        <w:rPr>
          <w:szCs w:val="24"/>
        </w:rPr>
        <w:t xml:space="preserve"> riscontro alla persona segnalante sulle informazioni ricevute dal soggetto destinatario del rinvio</w:t>
      </w:r>
      <w:r w:rsidR="00F0252B">
        <w:rPr>
          <w:szCs w:val="24"/>
        </w:rPr>
        <w:t>.</w:t>
      </w:r>
    </w:p>
    <w:p w14:paraId="381E8206" w14:textId="42F9A80C" w:rsidR="00EC251A" w:rsidRDefault="00EC251A" w:rsidP="001A4063">
      <w:pPr>
        <w:spacing w:after="20" w:line="276" w:lineRule="auto"/>
        <w:ind w:right="0"/>
        <w:rPr>
          <w:szCs w:val="24"/>
        </w:rPr>
      </w:pPr>
      <w:r>
        <w:rPr>
          <w:szCs w:val="24"/>
        </w:rPr>
        <w:t>Annualmente l</w:t>
      </w:r>
      <w:r w:rsidRPr="00D94539">
        <w:rPr>
          <w:szCs w:val="24"/>
        </w:rPr>
        <w:t>’ANAC</w:t>
      </w:r>
      <w:r w:rsidR="008542F1">
        <w:rPr>
          <w:szCs w:val="24"/>
        </w:rPr>
        <w:t xml:space="preserve"> </w:t>
      </w:r>
      <w:r>
        <w:rPr>
          <w:szCs w:val="24"/>
        </w:rPr>
        <w:t xml:space="preserve">relaziona </w:t>
      </w:r>
      <w:r w:rsidRPr="00D94539">
        <w:rPr>
          <w:szCs w:val="24"/>
        </w:rPr>
        <w:t xml:space="preserve">la Commissione europea, </w:t>
      </w:r>
      <w:r>
        <w:rPr>
          <w:szCs w:val="24"/>
        </w:rPr>
        <w:t>sul numero delle segnalazioni esterne ricevute e sul volume e l’esito delle procedure avviate a seguito delle segnalazioni, nonché l’accertamento dei danni finanziari</w:t>
      </w:r>
      <w:r w:rsidR="002A6BFF">
        <w:rPr>
          <w:szCs w:val="24"/>
        </w:rPr>
        <w:t>.</w:t>
      </w:r>
    </w:p>
    <w:p w14:paraId="41B7960A" w14:textId="7EB0B2C4" w:rsidR="007641DC" w:rsidRDefault="007641DC" w:rsidP="001A4063">
      <w:pPr>
        <w:spacing w:after="20" w:line="276" w:lineRule="auto"/>
        <w:ind w:right="0"/>
        <w:rPr>
          <w:szCs w:val="24"/>
        </w:rPr>
      </w:pPr>
      <w:r>
        <w:rPr>
          <w:szCs w:val="24"/>
        </w:rPr>
        <w:t xml:space="preserve">Di rilievo anche la disposizione in virtù della quale l’ANAC può trattare in via prioritaria le segnalazioni esterne che hanno ad oggetto informazioni sulle violazioni riguardanti una grave lesione dell’interesse pubblico ovvero la lesione di principi di rango costituzionale o di diritto dell’Unione europea. </w:t>
      </w:r>
    </w:p>
    <w:p w14:paraId="7211546C" w14:textId="3E18A2D7" w:rsidR="001B3468" w:rsidRPr="005731FF" w:rsidRDefault="001B3468" w:rsidP="001A4063">
      <w:pPr>
        <w:spacing w:after="0" w:line="276" w:lineRule="auto"/>
        <w:ind w:right="0"/>
        <w:rPr>
          <w:strike/>
          <w:szCs w:val="24"/>
        </w:rPr>
      </w:pPr>
      <w:r w:rsidRPr="001B3468">
        <w:rPr>
          <w:b/>
          <w:bCs/>
          <w:i/>
          <w:iCs/>
          <w:szCs w:val="24"/>
        </w:rPr>
        <w:t xml:space="preserve">L’articolo 9 </w:t>
      </w:r>
      <w:r w:rsidRPr="001B3468">
        <w:rPr>
          <w:szCs w:val="24"/>
        </w:rPr>
        <w:t xml:space="preserve">disciplina </w:t>
      </w:r>
      <w:r w:rsidRPr="00DE5D61">
        <w:rPr>
          <w:szCs w:val="24"/>
        </w:rPr>
        <w:t xml:space="preserve">le informazioni </w:t>
      </w:r>
      <w:r w:rsidR="0062519C" w:rsidRPr="00DE5D61">
        <w:rPr>
          <w:szCs w:val="24"/>
        </w:rPr>
        <w:t xml:space="preserve">che </w:t>
      </w:r>
      <w:r w:rsidRPr="00DE5D61">
        <w:rPr>
          <w:szCs w:val="24"/>
        </w:rPr>
        <w:t>ANAC</w:t>
      </w:r>
      <w:r w:rsidR="008542F1" w:rsidRPr="00DE5D61">
        <w:rPr>
          <w:szCs w:val="24"/>
        </w:rPr>
        <w:t xml:space="preserve"> </w:t>
      </w:r>
      <w:r w:rsidR="0062519C" w:rsidRPr="00DE5D61">
        <w:rPr>
          <w:szCs w:val="24"/>
        </w:rPr>
        <w:t xml:space="preserve">pubblica sul proprio </w:t>
      </w:r>
      <w:r w:rsidR="00F92291" w:rsidRPr="00DE5D61">
        <w:rPr>
          <w:szCs w:val="24"/>
        </w:rPr>
        <w:t>sito, in</w:t>
      </w:r>
      <w:r w:rsidRPr="00DE5D61">
        <w:rPr>
          <w:szCs w:val="24"/>
        </w:rPr>
        <w:t xml:space="preserve"> una sezione</w:t>
      </w:r>
      <w:r w:rsidR="00F92291" w:rsidRPr="00DE5D61">
        <w:rPr>
          <w:szCs w:val="24"/>
        </w:rPr>
        <w:t xml:space="preserve"> dedicata</w:t>
      </w:r>
      <w:r w:rsidRPr="00DE5D61">
        <w:rPr>
          <w:szCs w:val="24"/>
        </w:rPr>
        <w:t xml:space="preserve"> accessibile e facilmente identificabile</w:t>
      </w:r>
      <w:r w:rsidR="00F71F43" w:rsidRPr="00DE5D61">
        <w:rPr>
          <w:szCs w:val="24"/>
        </w:rPr>
        <w:t>, destinata</w:t>
      </w:r>
      <w:r w:rsidRPr="00DE5D61">
        <w:rPr>
          <w:szCs w:val="24"/>
        </w:rPr>
        <w:t xml:space="preserve"> </w:t>
      </w:r>
      <w:r w:rsidR="002D4377" w:rsidRPr="00DE5D61">
        <w:rPr>
          <w:szCs w:val="24"/>
        </w:rPr>
        <w:t xml:space="preserve">ad illustrare </w:t>
      </w:r>
      <w:r w:rsidRPr="00DE5D61">
        <w:rPr>
          <w:szCs w:val="24"/>
        </w:rPr>
        <w:t xml:space="preserve">le misure di protezione, </w:t>
      </w:r>
      <w:r w:rsidR="004450FD" w:rsidRPr="00DE5D61">
        <w:rPr>
          <w:szCs w:val="24"/>
        </w:rPr>
        <w:t>il regime di riservatezza</w:t>
      </w:r>
      <w:r w:rsidR="00795A03" w:rsidRPr="00DE5D61">
        <w:rPr>
          <w:szCs w:val="24"/>
        </w:rPr>
        <w:t xml:space="preserve">, </w:t>
      </w:r>
      <w:r w:rsidRPr="00DE5D61">
        <w:rPr>
          <w:szCs w:val="24"/>
        </w:rPr>
        <w:t xml:space="preserve">i contatti e </w:t>
      </w:r>
      <w:r w:rsidR="00D13203" w:rsidRPr="00DE5D61">
        <w:rPr>
          <w:szCs w:val="24"/>
        </w:rPr>
        <w:t>le</w:t>
      </w:r>
      <w:r w:rsidRPr="00DE5D61">
        <w:rPr>
          <w:szCs w:val="24"/>
        </w:rPr>
        <w:t xml:space="preserve"> modalità di gestione delle segnalazioni da</w:t>
      </w:r>
      <w:r w:rsidR="004450FD" w:rsidRPr="00DE5D61">
        <w:rPr>
          <w:szCs w:val="24"/>
        </w:rPr>
        <w:t xml:space="preserve"> parte di</w:t>
      </w:r>
      <w:r w:rsidRPr="00DE5D61">
        <w:rPr>
          <w:szCs w:val="24"/>
        </w:rPr>
        <w:t xml:space="preserve"> ANAC</w:t>
      </w:r>
      <w:r w:rsidR="0049560D" w:rsidRPr="00DE5D61">
        <w:rPr>
          <w:szCs w:val="24"/>
        </w:rPr>
        <w:t>.</w:t>
      </w:r>
      <w:r w:rsidR="008542F1">
        <w:rPr>
          <w:szCs w:val="24"/>
        </w:rPr>
        <w:t xml:space="preserve"> </w:t>
      </w:r>
    </w:p>
    <w:p w14:paraId="046055B7" w14:textId="1EED9CD9" w:rsidR="00955D76" w:rsidRDefault="00471586" w:rsidP="001A4063">
      <w:pPr>
        <w:spacing w:after="20" w:line="276" w:lineRule="auto"/>
        <w:ind w:left="11" w:right="0" w:firstLine="0"/>
        <w:rPr>
          <w:color w:val="auto"/>
          <w:szCs w:val="24"/>
          <w:lang w:eastAsia="en-US"/>
        </w:rPr>
      </w:pPr>
      <w:r w:rsidRPr="0078625A">
        <w:rPr>
          <w:b/>
          <w:bCs/>
          <w:i/>
          <w:iCs/>
          <w:color w:val="auto"/>
          <w:szCs w:val="24"/>
          <w:lang w:eastAsia="en-US"/>
        </w:rPr>
        <w:t>L</w:t>
      </w:r>
      <w:r w:rsidR="00B644F1" w:rsidRPr="00B644F1">
        <w:rPr>
          <w:b/>
          <w:bCs/>
          <w:i/>
          <w:iCs/>
          <w:color w:val="auto"/>
          <w:szCs w:val="24"/>
          <w:lang w:eastAsia="en-US"/>
        </w:rPr>
        <w:t>’articolo 10</w:t>
      </w:r>
      <w:r w:rsidR="00B644F1">
        <w:rPr>
          <w:color w:val="auto"/>
          <w:szCs w:val="24"/>
          <w:lang w:eastAsia="en-US"/>
        </w:rPr>
        <w:t xml:space="preserve"> </w:t>
      </w:r>
      <w:r>
        <w:rPr>
          <w:color w:val="auto"/>
          <w:szCs w:val="24"/>
          <w:lang w:eastAsia="en-US"/>
        </w:rPr>
        <w:t xml:space="preserve">è dedicato alle </w:t>
      </w:r>
      <w:r w:rsidR="00B644F1" w:rsidRPr="00B644F1">
        <w:rPr>
          <w:color w:val="auto"/>
          <w:szCs w:val="24"/>
          <w:lang w:eastAsia="en-US"/>
        </w:rPr>
        <w:t>L</w:t>
      </w:r>
      <w:r w:rsidR="001840B0" w:rsidRPr="00B644F1">
        <w:rPr>
          <w:color w:val="auto"/>
          <w:szCs w:val="24"/>
          <w:lang w:eastAsia="en-US"/>
        </w:rPr>
        <w:t>inee guida</w:t>
      </w:r>
      <w:r w:rsidR="001840B0" w:rsidRPr="00B644F1">
        <w:rPr>
          <w:color w:val="FF0000"/>
          <w:szCs w:val="24"/>
          <w:lang w:eastAsia="en-US"/>
        </w:rPr>
        <w:t xml:space="preserve"> </w:t>
      </w:r>
      <w:r w:rsidR="001840B0">
        <w:rPr>
          <w:color w:val="auto"/>
          <w:szCs w:val="24"/>
          <w:lang w:eastAsia="en-US"/>
        </w:rPr>
        <w:t>redatte dall’ANAC, sentito il Garante per la pro</w:t>
      </w:r>
      <w:r w:rsidR="0048473F">
        <w:rPr>
          <w:color w:val="auto"/>
          <w:szCs w:val="24"/>
          <w:lang w:eastAsia="en-US"/>
        </w:rPr>
        <w:t>tezione dei dati persona</w:t>
      </w:r>
      <w:r w:rsidR="001840B0">
        <w:rPr>
          <w:color w:val="auto"/>
          <w:szCs w:val="24"/>
          <w:lang w:eastAsia="en-US"/>
        </w:rPr>
        <w:t>li.</w:t>
      </w:r>
      <w:r w:rsidR="000C3528">
        <w:rPr>
          <w:color w:val="auto"/>
          <w:szCs w:val="24"/>
          <w:lang w:eastAsia="en-US"/>
        </w:rPr>
        <w:t xml:space="preserve"> </w:t>
      </w:r>
      <w:r w:rsidR="00F523C0" w:rsidRPr="00140D1B">
        <w:rPr>
          <w:color w:val="auto"/>
          <w:szCs w:val="24"/>
          <w:lang w:eastAsia="en-US"/>
        </w:rPr>
        <w:t xml:space="preserve">Preposto </w:t>
      </w:r>
      <w:r w:rsidR="000C3528" w:rsidRPr="00140D1B">
        <w:rPr>
          <w:color w:val="auto"/>
          <w:szCs w:val="24"/>
          <w:lang w:eastAsia="en-US"/>
        </w:rPr>
        <w:t>al</w:t>
      </w:r>
      <w:r w:rsidR="000C3528">
        <w:rPr>
          <w:color w:val="auto"/>
          <w:szCs w:val="24"/>
          <w:lang w:eastAsia="en-US"/>
        </w:rPr>
        <w:t xml:space="preserve"> ricevimento ed alla trattazione delle informazioni è il personale dell’ANAC, a</w:t>
      </w:r>
      <w:r w:rsidR="0048473F">
        <w:rPr>
          <w:color w:val="auto"/>
          <w:szCs w:val="24"/>
          <w:lang w:eastAsia="en-US"/>
        </w:rPr>
        <w:t>deguatamente formato allo scopo.</w:t>
      </w:r>
      <w:r w:rsidR="000C3528">
        <w:rPr>
          <w:color w:val="auto"/>
          <w:szCs w:val="24"/>
          <w:lang w:eastAsia="en-US"/>
        </w:rPr>
        <w:t xml:space="preserve"> </w:t>
      </w:r>
      <w:r w:rsidR="0048473F">
        <w:rPr>
          <w:color w:val="auto"/>
          <w:szCs w:val="24"/>
          <w:lang w:eastAsia="en-US"/>
        </w:rPr>
        <w:t xml:space="preserve"> Si segnala, inoltre, che l’ANAC pubblica sul proprio sito web, in una sezione separata, le informazioni relative ai canali ed alle procedure di segnalazione interna ed esterna, nonché una serie di informazioni relative alle condizioni di accesso alla tutela prevista con il presente decreto, le procedure applicabili e i dati di contatto.</w:t>
      </w:r>
    </w:p>
    <w:p w14:paraId="7EC50A65" w14:textId="77777777" w:rsidR="00955D76" w:rsidRPr="00D61C52" w:rsidRDefault="00955D76" w:rsidP="001A4063">
      <w:pPr>
        <w:spacing w:after="20" w:line="276" w:lineRule="auto"/>
        <w:ind w:left="11" w:right="0" w:firstLine="0"/>
      </w:pPr>
      <w:r w:rsidRPr="00D61C52">
        <w:rPr>
          <w:color w:val="000000" w:themeColor="text1"/>
          <w:szCs w:val="24"/>
        </w:rPr>
        <w:t xml:space="preserve">L'ANAC, sentito il Garante per la protezione dei dati personali, adotta apposite linee guida relative alle modalità di utilizzo dei canali per la presentazione e la gestione delle segnalazioni esterne. Le linee guida prevedono l’utilizzo di modalità anche informatiche e promuovono il ricorso a strumenti di crittografia per garantire la riservatezza dell’identità della persona segnalante e il contenuto delle segnalazioni e della relativa documentazione. </w:t>
      </w:r>
    </w:p>
    <w:p w14:paraId="682CB861" w14:textId="77777777" w:rsidR="00955D76" w:rsidRPr="00D61C52" w:rsidRDefault="00955D76" w:rsidP="001A4063">
      <w:pPr>
        <w:spacing w:line="276" w:lineRule="auto"/>
        <w:ind w:left="0" w:right="0" w:firstLine="0"/>
        <w:rPr>
          <w:color w:val="000000" w:themeColor="text1"/>
          <w:szCs w:val="24"/>
        </w:rPr>
      </w:pPr>
      <w:r w:rsidRPr="00D61C52">
        <w:rPr>
          <w:color w:val="000000" w:themeColor="text1"/>
          <w:szCs w:val="24"/>
        </w:rPr>
        <w:t>Inoltre, l’ANAC, riesamina periodicamente, almeno una volta ogni tre anni, le proprie procedure per il ricevimento e il trattamento delle segnalazioni e le adegua, ove necessario, alla luce della propria esperienza e di quella di altre autorità competenti per le segnalazioni esterne nell’ambito dell’Unione europea.</w:t>
      </w:r>
    </w:p>
    <w:p w14:paraId="16AA4C77" w14:textId="6D56F8D4" w:rsidR="00955D76" w:rsidRPr="00D61C52" w:rsidRDefault="00955D76" w:rsidP="001A4063">
      <w:pPr>
        <w:spacing w:line="276" w:lineRule="auto"/>
        <w:ind w:left="0" w:right="0" w:firstLine="0"/>
      </w:pPr>
      <w:r w:rsidRPr="00D61C52">
        <w:rPr>
          <w:color w:val="000000" w:themeColor="text1"/>
          <w:szCs w:val="24"/>
        </w:rPr>
        <w:t xml:space="preserve">Altri compiti sono </w:t>
      </w:r>
      <w:r w:rsidR="00AE13A6">
        <w:rPr>
          <w:color w:val="000000" w:themeColor="text1"/>
          <w:szCs w:val="24"/>
        </w:rPr>
        <w:t>inseriti</w:t>
      </w:r>
      <w:r w:rsidR="00D13203">
        <w:rPr>
          <w:color w:val="000000" w:themeColor="text1"/>
          <w:szCs w:val="24"/>
        </w:rPr>
        <w:t xml:space="preserve"> dal Capo II nel quale sono previste l</w:t>
      </w:r>
      <w:r w:rsidRPr="00D61C52">
        <w:rPr>
          <w:color w:val="000000" w:themeColor="text1"/>
          <w:szCs w:val="24"/>
        </w:rPr>
        <w:t>e disposizioni in materia di misure di protezione dalle ritorsioni, misure per la protezione delle persone coinvolte (articolo 1</w:t>
      </w:r>
      <w:r w:rsidR="00BD545D" w:rsidRPr="00D61C52">
        <w:rPr>
          <w:color w:val="000000" w:themeColor="text1"/>
          <w:szCs w:val="24"/>
        </w:rPr>
        <w:t>6)</w:t>
      </w:r>
      <w:r w:rsidRPr="00D61C52">
        <w:rPr>
          <w:color w:val="000000" w:themeColor="text1"/>
          <w:szCs w:val="24"/>
        </w:rPr>
        <w:t xml:space="preserve"> e </w:t>
      </w:r>
      <w:r w:rsidR="00137A5B">
        <w:rPr>
          <w:color w:val="000000" w:themeColor="text1"/>
          <w:szCs w:val="24"/>
        </w:rPr>
        <w:t>divieto di ritorsioni</w:t>
      </w:r>
      <w:r w:rsidRPr="00D61C52">
        <w:rPr>
          <w:color w:val="000000" w:themeColor="text1"/>
          <w:szCs w:val="24"/>
        </w:rPr>
        <w:t xml:space="preserve"> (articolo 17).</w:t>
      </w:r>
    </w:p>
    <w:p w14:paraId="3EBC4B94" w14:textId="1FBA3279" w:rsidR="0033248F" w:rsidRPr="00CC04F3" w:rsidRDefault="0033248F" w:rsidP="001A4063">
      <w:pPr>
        <w:spacing w:after="0" w:line="276" w:lineRule="auto"/>
        <w:ind w:left="0" w:right="0" w:firstLine="0"/>
        <w:rPr>
          <w:szCs w:val="24"/>
        </w:rPr>
      </w:pPr>
      <w:r w:rsidRPr="00CC04F3">
        <w:rPr>
          <w:color w:val="auto"/>
          <w:szCs w:val="24"/>
          <w:lang w:eastAsia="en-US"/>
        </w:rPr>
        <w:t>In conseguenz</w:t>
      </w:r>
      <w:r w:rsidR="00CC04F3">
        <w:rPr>
          <w:color w:val="auto"/>
          <w:szCs w:val="24"/>
          <w:lang w:eastAsia="en-US"/>
        </w:rPr>
        <w:t>a</w:t>
      </w:r>
      <w:r w:rsidRPr="00CC04F3">
        <w:rPr>
          <w:color w:val="auto"/>
          <w:szCs w:val="24"/>
          <w:lang w:eastAsia="en-US"/>
        </w:rPr>
        <w:t xml:space="preserve"> dell’insieme delle previsioni indicate va collocata la disposizione relativa al personale ANAC e alla copertura finanziaria</w:t>
      </w:r>
      <w:r w:rsidRPr="00CC04F3">
        <w:rPr>
          <w:szCs w:val="24"/>
        </w:rPr>
        <w:t xml:space="preserve"> prevista </w:t>
      </w:r>
      <w:r w:rsidRPr="00CC04F3">
        <w:rPr>
          <w:b/>
          <w:bCs/>
          <w:i/>
          <w:iCs/>
          <w:szCs w:val="24"/>
        </w:rPr>
        <w:t>dall’articolo 11</w:t>
      </w:r>
      <w:r w:rsidRPr="00CC04F3">
        <w:rPr>
          <w:szCs w:val="24"/>
        </w:rPr>
        <w:t>.</w:t>
      </w:r>
    </w:p>
    <w:p w14:paraId="1E4421F0" w14:textId="039D2FDC" w:rsidR="00955D76" w:rsidRDefault="0033248F" w:rsidP="001A4063">
      <w:pPr>
        <w:spacing w:after="20" w:line="276" w:lineRule="auto"/>
        <w:ind w:left="11" w:right="0" w:firstLine="0"/>
        <w:rPr>
          <w:color w:val="auto"/>
          <w:szCs w:val="24"/>
          <w:lang w:eastAsia="en-US"/>
        </w:rPr>
      </w:pPr>
      <w:r w:rsidRPr="00CC04F3">
        <w:rPr>
          <w:color w:val="auto"/>
          <w:szCs w:val="24"/>
          <w:lang w:eastAsia="en-US"/>
        </w:rPr>
        <w:t>Si rende, infatti, necessari</w:t>
      </w:r>
      <w:r w:rsidR="0068128F" w:rsidRPr="00CC04F3">
        <w:rPr>
          <w:color w:val="auto"/>
          <w:szCs w:val="24"/>
          <w:lang w:eastAsia="en-US"/>
        </w:rPr>
        <w:t xml:space="preserve">o un intervento di </w:t>
      </w:r>
      <w:r w:rsidR="00BD545D" w:rsidRPr="00CC04F3">
        <w:rPr>
          <w:color w:val="auto"/>
          <w:szCs w:val="24"/>
          <w:lang w:eastAsia="en-US"/>
        </w:rPr>
        <w:t xml:space="preserve">rafforzamento di tutte le strutture coinvolte nella realizzazione delle iniziative </w:t>
      </w:r>
      <w:r w:rsidR="00DA31B3" w:rsidRPr="00CC04F3">
        <w:rPr>
          <w:color w:val="auto"/>
          <w:szCs w:val="24"/>
          <w:lang w:eastAsia="en-US"/>
        </w:rPr>
        <w:t xml:space="preserve">sopra </w:t>
      </w:r>
      <w:r w:rsidR="00BD545D" w:rsidRPr="00CC04F3">
        <w:rPr>
          <w:color w:val="auto"/>
          <w:szCs w:val="24"/>
          <w:lang w:eastAsia="en-US"/>
        </w:rPr>
        <w:t>indicate, in modo da assicurare un presidio costante dei processi attraverso l’ampliamento della dotazione organica della suddetta Autorità.</w:t>
      </w:r>
    </w:p>
    <w:p w14:paraId="36D6AA36" w14:textId="2FE219E6" w:rsidR="00894858" w:rsidRPr="00531AB1" w:rsidRDefault="00007DF4" w:rsidP="001A4063">
      <w:pPr>
        <w:spacing w:after="20" w:line="276" w:lineRule="auto"/>
        <w:ind w:left="11" w:right="0" w:firstLine="0"/>
        <w:rPr>
          <w:color w:val="auto"/>
          <w:szCs w:val="24"/>
          <w:lang w:eastAsia="en-US"/>
        </w:rPr>
      </w:pPr>
      <w:r w:rsidRPr="00531AB1">
        <w:rPr>
          <w:color w:val="auto"/>
          <w:szCs w:val="24"/>
          <w:lang w:eastAsia="en-US"/>
        </w:rPr>
        <w:t>Nello specifico</w:t>
      </w:r>
      <w:r w:rsidR="00EC6690" w:rsidRPr="00531AB1">
        <w:rPr>
          <w:color w:val="auto"/>
          <w:szCs w:val="24"/>
          <w:lang w:eastAsia="en-US"/>
        </w:rPr>
        <w:t>,</w:t>
      </w:r>
      <w:r w:rsidRPr="00531AB1">
        <w:rPr>
          <w:color w:val="auto"/>
          <w:szCs w:val="24"/>
          <w:lang w:eastAsia="en-US"/>
        </w:rPr>
        <w:t xml:space="preserve"> e in</w:t>
      </w:r>
      <w:r w:rsidR="00894858" w:rsidRPr="00531AB1">
        <w:rPr>
          <w:color w:val="auto"/>
          <w:szCs w:val="24"/>
          <w:lang w:eastAsia="en-US"/>
        </w:rPr>
        <w:t xml:space="preserve"> considerazione dei nuovi, maggiori compiti assegnati all’Autorità Nazionale Anticorruzione ed in particolare, dagli articoli  </w:t>
      </w:r>
      <w:r w:rsidR="002D10DA">
        <w:rPr>
          <w:color w:val="auto"/>
          <w:szCs w:val="24"/>
          <w:lang w:eastAsia="en-US"/>
        </w:rPr>
        <w:t>7</w:t>
      </w:r>
      <w:r w:rsidR="00894858" w:rsidRPr="00531AB1">
        <w:rPr>
          <w:color w:val="auto"/>
          <w:szCs w:val="24"/>
          <w:lang w:eastAsia="en-US"/>
        </w:rPr>
        <w:t xml:space="preserve">, </w:t>
      </w:r>
      <w:r w:rsidR="002D10DA">
        <w:rPr>
          <w:color w:val="auto"/>
          <w:szCs w:val="24"/>
          <w:lang w:eastAsia="en-US"/>
        </w:rPr>
        <w:t xml:space="preserve">8, 9, 10, </w:t>
      </w:r>
      <w:r w:rsidR="00894858" w:rsidRPr="00531AB1">
        <w:rPr>
          <w:color w:val="auto"/>
          <w:szCs w:val="24"/>
          <w:lang w:eastAsia="en-US"/>
        </w:rPr>
        <w:t>1</w:t>
      </w:r>
      <w:r w:rsidR="00080459">
        <w:rPr>
          <w:color w:val="auto"/>
          <w:szCs w:val="24"/>
          <w:lang w:eastAsia="en-US"/>
        </w:rPr>
        <w:t>8, 19</w:t>
      </w:r>
      <w:r w:rsidR="00894858" w:rsidRPr="00531AB1">
        <w:rPr>
          <w:color w:val="auto"/>
          <w:szCs w:val="24"/>
          <w:lang w:eastAsia="en-US"/>
        </w:rPr>
        <w:t xml:space="preserve">, </w:t>
      </w:r>
      <w:r w:rsidR="00080459">
        <w:rPr>
          <w:color w:val="auto"/>
          <w:szCs w:val="24"/>
          <w:lang w:eastAsia="en-US"/>
        </w:rPr>
        <w:t xml:space="preserve">21, </w:t>
      </w:r>
      <w:r w:rsidR="00894858" w:rsidRPr="00531AB1">
        <w:rPr>
          <w:color w:val="auto"/>
          <w:szCs w:val="24"/>
          <w:lang w:eastAsia="en-US"/>
        </w:rPr>
        <w:t xml:space="preserve"> </w:t>
      </w:r>
      <w:r w:rsidR="00080459">
        <w:rPr>
          <w:color w:val="auto"/>
          <w:szCs w:val="24"/>
          <w:lang w:eastAsia="en-US"/>
        </w:rPr>
        <w:t xml:space="preserve">occorre prevedere un adeguamento della </w:t>
      </w:r>
      <w:r w:rsidR="00080459" w:rsidRPr="00531AB1">
        <w:rPr>
          <w:color w:val="auto"/>
          <w:szCs w:val="24"/>
          <w:lang w:eastAsia="en-US"/>
        </w:rPr>
        <w:t>dotazione</w:t>
      </w:r>
      <w:r w:rsidR="00080459">
        <w:rPr>
          <w:color w:val="auto"/>
          <w:szCs w:val="24"/>
          <w:lang w:eastAsia="en-US"/>
        </w:rPr>
        <w:t xml:space="preserve"> del personale</w:t>
      </w:r>
      <w:r w:rsidR="00080459" w:rsidRPr="00531AB1">
        <w:rPr>
          <w:color w:val="auto"/>
          <w:szCs w:val="24"/>
          <w:lang w:eastAsia="en-US"/>
        </w:rPr>
        <w:t xml:space="preserve"> </w:t>
      </w:r>
      <w:r w:rsidR="00080459">
        <w:rPr>
          <w:color w:val="auto"/>
          <w:szCs w:val="24"/>
          <w:lang w:eastAsia="en-US"/>
        </w:rPr>
        <w:t>de</w:t>
      </w:r>
      <w:r w:rsidR="00080459" w:rsidRPr="00531AB1">
        <w:rPr>
          <w:color w:val="auto"/>
          <w:szCs w:val="24"/>
          <w:lang w:eastAsia="en-US"/>
        </w:rPr>
        <w:t xml:space="preserve">ll’Autorità </w:t>
      </w:r>
      <w:r w:rsidR="00080459">
        <w:rPr>
          <w:color w:val="auto"/>
          <w:szCs w:val="24"/>
          <w:lang w:eastAsia="en-US"/>
        </w:rPr>
        <w:t xml:space="preserve">mediante un incremento ulteriore sebbene </w:t>
      </w:r>
      <w:r w:rsidR="00894858" w:rsidRPr="00531AB1">
        <w:rPr>
          <w:color w:val="auto"/>
          <w:szCs w:val="24"/>
          <w:lang w:eastAsia="en-US"/>
        </w:rPr>
        <w:t xml:space="preserve"> </w:t>
      </w:r>
      <w:r w:rsidR="00080459">
        <w:rPr>
          <w:color w:val="auto"/>
          <w:szCs w:val="24"/>
          <w:lang w:eastAsia="en-US"/>
        </w:rPr>
        <w:t xml:space="preserve">in </w:t>
      </w:r>
      <w:r w:rsidR="00894858" w:rsidRPr="00531AB1">
        <w:rPr>
          <w:color w:val="auto"/>
          <w:szCs w:val="24"/>
          <w:lang w:eastAsia="en-US"/>
        </w:rPr>
        <w:t xml:space="preserve">un numero limitato </w:t>
      </w:r>
      <w:r w:rsidR="00080459">
        <w:rPr>
          <w:color w:val="auto"/>
          <w:szCs w:val="24"/>
          <w:lang w:eastAsia="en-US"/>
        </w:rPr>
        <w:t xml:space="preserve">che </w:t>
      </w:r>
      <w:r w:rsidR="00894858" w:rsidRPr="00531AB1">
        <w:rPr>
          <w:color w:val="auto"/>
          <w:szCs w:val="24"/>
          <w:lang w:eastAsia="en-US"/>
        </w:rPr>
        <w:t>consentirebbe alla</w:t>
      </w:r>
      <w:r w:rsidR="00080459">
        <w:rPr>
          <w:color w:val="auto"/>
          <w:szCs w:val="24"/>
          <w:lang w:eastAsia="en-US"/>
        </w:rPr>
        <w:t xml:space="preserve"> stessa ANAC </w:t>
      </w:r>
      <w:r w:rsidR="00894858" w:rsidRPr="00531AB1">
        <w:rPr>
          <w:color w:val="auto"/>
          <w:szCs w:val="24"/>
          <w:lang w:eastAsia="en-US"/>
        </w:rPr>
        <w:t xml:space="preserve">di acquisire professionalità tecnico-specialistiche idonee allo svolgimento di mansioni dell’area informatica e/o dell’area economico-statistica da considerarsi imprescindibili ai fini di un efficace, tempestivo e pieno sviluppo degli obiettivi di sua competenza. Tali maggiori unità di personale </w:t>
      </w:r>
      <w:r w:rsidR="00457ED2" w:rsidRPr="00531AB1">
        <w:rPr>
          <w:color w:val="auto"/>
          <w:szCs w:val="24"/>
          <w:lang w:eastAsia="en-US"/>
        </w:rPr>
        <w:t>sono state stimate</w:t>
      </w:r>
      <w:r w:rsidR="00894858" w:rsidRPr="00531AB1">
        <w:rPr>
          <w:color w:val="auto"/>
          <w:szCs w:val="24"/>
          <w:lang w:eastAsia="en-US"/>
        </w:rPr>
        <w:t xml:space="preserve"> in n. </w:t>
      </w:r>
      <w:r w:rsidR="00894858" w:rsidRPr="0052072D">
        <w:rPr>
          <w:color w:val="auto"/>
          <w:szCs w:val="24"/>
          <w:lang w:eastAsia="en-US"/>
        </w:rPr>
        <w:t>10 unità di funzionari e n. 2 operativi da distribuire nei quattro uffici informatici, la cui dotazione</w:t>
      </w:r>
      <w:r w:rsidR="00894858" w:rsidRPr="00531AB1">
        <w:rPr>
          <w:color w:val="auto"/>
          <w:szCs w:val="24"/>
          <w:lang w:eastAsia="en-US"/>
        </w:rPr>
        <w:t xml:space="preserve"> attuale non è sufficiente a garantire i nuovi compiti assegnati, essendo gli addetti impegnati nello sviluppo della banca dati contratti pubblici, nella creazione del fascicolo virtuale dell’operatore economico, nello sviluppo del portale unico sulla trasparenza e nel potenziamento degli attuali sistemi informativi interni.</w:t>
      </w:r>
    </w:p>
    <w:p w14:paraId="644CB208" w14:textId="0CF5AB9B" w:rsidR="00894858" w:rsidRPr="00531AB1" w:rsidRDefault="00894858" w:rsidP="001A4063">
      <w:pPr>
        <w:spacing w:after="20" w:line="276" w:lineRule="auto"/>
        <w:ind w:left="11" w:right="0" w:firstLine="0"/>
        <w:rPr>
          <w:color w:val="auto"/>
          <w:szCs w:val="24"/>
          <w:lang w:eastAsia="en-US"/>
        </w:rPr>
      </w:pPr>
      <w:r w:rsidRPr="00531AB1">
        <w:rPr>
          <w:color w:val="auto"/>
          <w:szCs w:val="24"/>
          <w:lang w:eastAsia="en-US"/>
        </w:rPr>
        <w:t>Altre esigenze sono state manifestate per l’acquisizione di personale giuridico specialistico,</w:t>
      </w:r>
      <w:r w:rsidR="002925C5" w:rsidRPr="00531AB1">
        <w:rPr>
          <w:color w:val="auto"/>
          <w:szCs w:val="24"/>
          <w:lang w:eastAsia="en-US"/>
        </w:rPr>
        <w:t xml:space="preserve"> </w:t>
      </w:r>
      <w:r w:rsidRPr="00531AB1">
        <w:rPr>
          <w:color w:val="auto"/>
          <w:szCs w:val="24"/>
          <w:lang w:eastAsia="en-US"/>
        </w:rPr>
        <w:t>da qualificare nella materia (n. 4 nuovi funzionari e n. 2 operativi per l’ufficio w</w:t>
      </w:r>
      <w:r w:rsidR="00CC04F3">
        <w:rPr>
          <w:color w:val="auto"/>
          <w:szCs w:val="24"/>
          <w:lang w:eastAsia="en-US"/>
        </w:rPr>
        <w:t>h</w:t>
      </w:r>
      <w:r w:rsidRPr="00531AB1">
        <w:rPr>
          <w:color w:val="auto"/>
          <w:szCs w:val="24"/>
          <w:lang w:eastAsia="en-US"/>
        </w:rPr>
        <w:t>istleblowing, attualmente dotato solo di n. tre funzionari e n. due operativi e n. 2 funzionari nell’ufficio che si occupa di linee guida, ove sono presenti solo due funzionari in dotazione).</w:t>
      </w:r>
    </w:p>
    <w:p w14:paraId="6D56C3A1" w14:textId="7F430F15" w:rsidR="00BD545D" w:rsidRDefault="00661387" w:rsidP="001A4063">
      <w:pPr>
        <w:spacing w:after="20" w:line="276" w:lineRule="auto"/>
        <w:ind w:left="11" w:right="0" w:firstLine="0"/>
        <w:rPr>
          <w:color w:val="auto"/>
          <w:szCs w:val="24"/>
          <w:lang w:eastAsia="en-US"/>
        </w:rPr>
      </w:pPr>
      <w:r>
        <w:rPr>
          <w:color w:val="auto"/>
          <w:szCs w:val="24"/>
          <w:lang w:eastAsia="en-US"/>
        </w:rPr>
        <w:t>S</w:t>
      </w:r>
      <w:r w:rsidR="00BD545D" w:rsidRPr="00D61C52">
        <w:rPr>
          <w:color w:val="auto"/>
          <w:szCs w:val="24"/>
          <w:lang w:eastAsia="en-US"/>
        </w:rPr>
        <w:t xml:space="preserve">i </w:t>
      </w:r>
      <w:r w:rsidR="00425F2C" w:rsidRPr="00D61C52">
        <w:rPr>
          <w:color w:val="auto"/>
          <w:szCs w:val="24"/>
          <w:lang w:eastAsia="en-US"/>
        </w:rPr>
        <w:t>prevede</w:t>
      </w:r>
      <w:r w:rsidR="003E726A">
        <w:rPr>
          <w:color w:val="auto"/>
          <w:szCs w:val="24"/>
          <w:lang w:eastAsia="en-US"/>
        </w:rPr>
        <w:t>,</w:t>
      </w:r>
      <w:r w:rsidR="00425F2C" w:rsidRPr="00D61C52">
        <w:rPr>
          <w:color w:val="auto"/>
          <w:szCs w:val="24"/>
          <w:lang w:eastAsia="en-US"/>
        </w:rPr>
        <w:t xml:space="preserve"> </w:t>
      </w:r>
      <w:r w:rsidR="001E31BE">
        <w:rPr>
          <w:color w:val="auto"/>
          <w:szCs w:val="24"/>
          <w:lang w:eastAsia="en-US"/>
        </w:rPr>
        <w:t>pertanto</w:t>
      </w:r>
      <w:r w:rsidR="003E726A">
        <w:rPr>
          <w:color w:val="auto"/>
          <w:szCs w:val="24"/>
          <w:lang w:eastAsia="en-US"/>
        </w:rPr>
        <w:t>,</w:t>
      </w:r>
      <w:r w:rsidR="001E31BE">
        <w:rPr>
          <w:color w:val="auto"/>
          <w:szCs w:val="24"/>
          <w:lang w:eastAsia="en-US"/>
        </w:rPr>
        <w:t xml:space="preserve"> </w:t>
      </w:r>
      <w:r w:rsidR="00425F2C" w:rsidRPr="00D61C52">
        <w:rPr>
          <w:color w:val="auto"/>
          <w:szCs w:val="24"/>
          <w:lang w:eastAsia="en-US"/>
        </w:rPr>
        <w:t xml:space="preserve">di </w:t>
      </w:r>
      <w:r w:rsidR="00BD545D" w:rsidRPr="00D61C52">
        <w:rPr>
          <w:color w:val="auto"/>
          <w:szCs w:val="24"/>
          <w:lang w:eastAsia="en-US"/>
        </w:rPr>
        <w:t>implementa</w:t>
      </w:r>
      <w:r w:rsidR="00425F2C" w:rsidRPr="00D61C52">
        <w:rPr>
          <w:color w:val="auto"/>
          <w:szCs w:val="24"/>
          <w:lang w:eastAsia="en-US"/>
        </w:rPr>
        <w:t>re</w:t>
      </w:r>
      <w:r w:rsidR="00BD545D" w:rsidRPr="00D61C52">
        <w:rPr>
          <w:color w:val="auto"/>
          <w:szCs w:val="24"/>
          <w:lang w:eastAsia="en-US"/>
        </w:rPr>
        <w:t xml:space="preserve"> la dotazione organica </w:t>
      </w:r>
      <w:r w:rsidR="00425F2C" w:rsidRPr="00D61C52">
        <w:rPr>
          <w:color w:val="auto"/>
          <w:szCs w:val="24"/>
          <w:lang w:eastAsia="en-US"/>
        </w:rPr>
        <w:t>della stessa Autorità</w:t>
      </w:r>
      <w:r w:rsidR="00BD545D" w:rsidRPr="00D61C52">
        <w:rPr>
          <w:color w:val="auto"/>
          <w:szCs w:val="24"/>
          <w:lang w:eastAsia="en-US"/>
        </w:rPr>
        <w:t xml:space="preserve"> mediante reclutamento di complessive 22 unità di personale con professionalità tecniche</w:t>
      </w:r>
      <w:r w:rsidR="00DA31B3" w:rsidRPr="00D61C52">
        <w:rPr>
          <w:color w:val="auto"/>
          <w:szCs w:val="24"/>
          <w:lang w:eastAsia="en-US"/>
        </w:rPr>
        <w:t xml:space="preserve"> </w:t>
      </w:r>
      <w:r w:rsidR="00BD545D" w:rsidRPr="00D61C52">
        <w:rPr>
          <w:color w:val="auto"/>
          <w:szCs w:val="24"/>
          <w:lang w:eastAsia="en-US"/>
        </w:rPr>
        <w:t xml:space="preserve">- specialistiche di cui n. 18 funzionari e n. 4 </w:t>
      </w:r>
      <w:r w:rsidR="00640F62">
        <w:rPr>
          <w:color w:val="auto"/>
          <w:szCs w:val="24"/>
          <w:lang w:eastAsia="en-US"/>
        </w:rPr>
        <w:t>operativi</w:t>
      </w:r>
      <w:r w:rsidR="00BD545D" w:rsidRPr="00D61C52">
        <w:rPr>
          <w:color w:val="auto"/>
          <w:szCs w:val="24"/>
          <w:lang w:eastAsia="en-US"/>
        </w:rPr>
        <w:t xml:space="preserve"> </w:t>
      </w:r>
      <w:r w:rsidR="00107030">
        <w:rPr>
          <w:color w:val="auto"/>
          <w:szCs w:val="24"/>
          <w:lang w:eastAsia="en-US"/>
        </w:rPr>
        <w:t>–</w:t>
      </w:r>
      <w:r w:rsidR="00BD545D" w:rsidRPr="00D61C52">
        <w:rPr>
          <w:color w:val="auto"/>
          <w:szCs w:val="24"/>
          <w:lang w:eastAsia="en-US"/>
        </w:rPr>
        <w:t xml:space="preserve"> </w:t>
      </w:r>
      <w:r w:rsidR="00107030" w:rsidRPr="0049560D">
        <w:rPr>
          <w:color w:val="auto"/>
          <w:szCs w:val="24"/>
          <w:lang w:eastAsia="en-US"/>
        </w:rPr>
        <w:t xml:space="preserve">da </w:t>
      </w:r>
      <w:r w:rsidR="00BD545D" w:rsidRPr="0049560D">
        <w:rPr>
          <w:color w:val="auto"/>
          <w:szCs w:val="24"/>
          <w:lang w:eastAsia="en-US"/>
        </w:rPr>
        <w:t>inquadra</w:t>
      </w:r>
      <w:r w:rsidR="00107030" w:rsidRPr="0049560D">
        <w:rPr>
          <w:color w:val="auto"/>
          <w:szCs w:val="24"/>
          <w:lang w:eastAsia="en-US"/>
        </w:rPr>
        <w:t>re</w:t>
      </w:r>
      <w:r w:rsidR="00BD545D" w:rsidRPr="0049560D">
        <w:rPr>
          <w:color w:val="auto"/>
          <w:szCs w:val="24"/>
          <w:lang w:eastAsia="en-US"/>
        </w:rPr>
        <w:t xml:space="preserve"> al livello iniziale delle rispettive </w:t>
      </w:r>
      <w:r w:rsidR="00107030" w:rsidRPr="0049560D">
        <w:rPr>
          <w:color w:val="auto"/>
          <w:szCs w:val="24"/>
          <w:lang w:eastAsia="en-US"/>
        </w:rPr>
        <w:t xml:space="preserve">scale stipendiali </w:t>
      </w:r>
      <w:r w:rsidR="00BD545D" w:rsidRPr="0049560D">
        <w:rPr>
          <w:color w:val="auto"/>
          <w:szCs w:val="24"/>
          <w:lang w:eastAsia="en-US"/>
        </w:rPr>
        <w:t>secondo quanto previsto dal Regolamento sull’ordinamento</w:t>
      </w:r>
      <w:r w:rsidR="00BD545D" w:rsidRPr="00D61C52">
        <w:rPr>
          <w:color w:val="auto"/>
          <w:szCs w:val="24"/>
          <w:lang w:eastAsia="en-US"/>
        </w:rPr>
        <w:t xml:space="preserve"> giuridico ed economico del personale dell’ANAC</w:t>
      </w:r>
      <w:r w:rsidR="006B4AEB">
        <w:rPr>
          <w:color w:val="auto"/>
          <w:szCs w:val="24"/>
          <w:lang w:eastAsia="en-US"/>
        </w:rPr>
        <w:t>.</w:t>
      </w:r>
      <w:r w:rsidR="00BD545D" w:rsidRPr="00D61C52">
        <w:rPr>
          <w:color w:val="auto"/>
          <w:szCs w:val="24"/>
          <w:lang w:eastAsia="en-US"/>
        </w:rPr>
        <w:t xml:space="preserve"> </w:t>
      </w:r>
    </w:p>
    <w:p w14:paraId="3CA90BD9" w14:textId="75362217" w:rsidR="006B4AEB" w:rsidRPr="006B4AEB" w:rsidRDefault="006B4AEB" w:rsidP="001A4063">
      <w:pPr>
        <w:spacing w:after="160" w:line="276" w:lineRule="auto"/>
        <w:ind w:left="0" w:right="0" w:firstLine="0"/>
        <w:rPr>
          <w:color w:val="auto"/>
          <w:szCs w:val="24"/>
          <w:lang w:eastAsia="en-US"/>
        </w:rPr>
      </w:pPr>
      <w:r w:rsidRPr="006B4AEB">
        <w:rPr>
          <w:color w:val="auto"/>
          <w:szCs w:val="24"/>
          <w:lang w:eastAsia="en-US"/>
        </w:rPr>
        <w:t>La stima prudenziale dell’impatto economico-finanziario derivante dalle assunzioni delle predette unità di personale considerata con decorrenza 1° luglio 2023 è riporta</w:t>
      </w:r>
      <w:r w:rsidRPr="00526AF8">
        <w:rPr>
          <w:color w:val="auto"/>
          <w:szCs w:val="24"/>
          <w:lang w:eastAsia="en-US"/>
        </w:rPr>
        <w:t>t</w:t>
      </w:r>
      <w:r w:rsidR="00F84A38" w:rsidRPr="00526AF8">
        <w:rPr>
          <w:color w:val="auto"/>
          <w:szCs w:val="24"/>
          <w:lang w:eastAsia="en-US"/>
        </w:rPr>
        <w:t>a</w:t>
      </w:r>
      <w:r w:rsidRPr="006B4AEB">
        <w:rPr>
          <w:color w:val="auto"/>
          <w:szCs w:val="24"/>
          <w:lang w:eastAsia="en-US"/>
        </w:rPr>
        <w:t xml:space="preserve"> di seguito nel prospetto riassuntivo che evidenzia un trend decennale comprensivo delle progressioni di carriera (ipotizzate pari a due livelli medi annui - art. 32 e art. 40 del Regolamento Anac) suddiviso fra le competenze lorde dovute al personale e gli oneri a carico dell’amministrazione (24,2% previdenziale, 0,4% assistenziali/assicurativi, 8,5% IRAP e indennità di fine rapporto IFR).</w:t>
      </w:r>
    </w:p>
    <w:p w14:paraId="3C384D1D" w14:textId="77777777" w:rsidR="006B4AEB" w:rsidRPr="006B4AEB" w:rsidRDefault="006B4AEB" w:rsidP="001A4063">
      <w:pPr>
        <w:spacing w:after="160" w:line="360" w:lineRule="auto"/>
        <w:ind w:left="0" w:right="0" w:firstLine="0"/>
        <w:rPr>
          <w:color w:val="auto"/>
          <w:szCs w:val="24"/>
          <w:lang w:eastAsia="en-US"/>
        </w:rPr>
      </w:pPr>
      <w:r w:rsidRPr="006B4AEB">
        <w:rPr>
          <w:noProof/>
          <w:color w:val="auto"/>
          <w:szCs w:val="24"/>
        </w:rPr>
        <w:drawing>
          <wp:inline distT="0" distB="0" distL="0" distR="0" wp14:anchorId="1F39FFB6" wp14:editId="0F13B446">
            <wp:extent cx="6118828" cy="225083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1863" cy="2259304"/>
                    </a:xfrm>
                    <a:prstGeom prst="rect">
                      <a:avLst/>
                    </a:prstGeom>
                    <a:noFill/>
                    <a:ln>
                      <a:noFill/>
                    </a:ln>
                  </pic:spPr>
                </pic:pic>
              </a:graphicData>
            </a:graphic>
          </wp:inline>
        </w:drawing>
      </w:r>
    </w:p>
    <w:p w14:paraId="56F31DBC" w14:textId="77777777" w:rsidR="006B4AEB" w:rsidRPr="006B4AEB" w:rsidRDefault="006B4AEB" w:rsidP="001A4063">
      <w:pPr>
        <w:spacing w:after="160" w:line="276" w:lineRule="auto"/>
        <w:ind w:left="0" w:right="0" w:firstLine="0"/>
        <w:rPr>
          <w:color w:val="auto"/>
          <w:szCs w:val="24"/>
          <w:lang w:eastAsia="en-US"/>
        </w:rPr>
      </w:pPr>
      <w:r w:rsidRPr="006B4AEB">
        <w:rPr>
          <w:color w:val="auto"/>
          <w:szCs w:val="24"/>
          <w:lang w:eastAsia="en-US"/>
        </w:rPr>
        <w:t>Le ipotesi alla base della stima prudenziale effettuata sono state:</w:t>
      </w:r>
    </w:p>
    <w:p w14:paraId="47C8AB16" w14:textId="77777777" w:rsidR="006B4AEB" w:rsidRPr="006B4AEB" w:rsidRDefault="006B4AEB" w:rsidP="001A4063">
      <w:pPr>
        <w:spacing w:after="160" w:line="276" w:lineRule="auto"/>
        <w:ind w:left="709" w:right="0" w:hanging="141"/>
        <w:rPr>
          <w:color w:val="auto"/>
          <w:szCs w:val="24"/>
          <w:lang w:eastAsia="en-US"/>
        </w:rPr>
      </w:pPr>
      <w:r w:rsidRPr="006B4AEB">
        <w:rPr>
          <w:color w:val="auto"/>
          <w:szCs w:val="24"/>
          <w:lang w:eastAsia="en-US"/>
        </w:rPr>
        <w:t>- l’assunzione del personale citato ai livelli iniziali delle rispettive scale stipendiali (funzionario 0, impiegato 1);</w:t>
      </w:r>
    </w:p>
    <w:p w14:paraId="78583325" w14:textId="2FBB5900" w:rsidR="006B4AEB" w:rsidRPr="006B4AEB" w:rsidRDefault="006B4AEB" w:rsidP="001A4063">
      <w:pPr>
        <w:spacing w:after="160" w:line="276" w:lineRule="auto"/>
        <w:ind w:left="709" w:right="0" w:hanging="141"/>
        <w:rPr>
          <w:color w:val="auto"/>
          <w:szCs w:val="24"/>
          <w:lang w:eastAsia="en-US"/>
        </w:rPr>
      </w:pPr>
      <w:r w:rsidRPr="006B4AEB">
        <w:rPr>
          <w:color w:val="auto"/>
          <w:szCs w:val="24"/>
          <w:lang w:eastAsia="en-US"/>
        </w:rPr>
        <w:t xml:space="preserve">- la rivalutazione di tutti i tabellari </w:t>
      </w:r>
      <w:proofErr w:type="spellStart"/>
      <w:r w:rsidRPr="006B4AEB">
        <w:rPr>
          <w:color w:val="auto"/>
          <w:szCs w:val="24"/>
          <w:lang w:eastAsia="en-US"/>
        </w:rPr>
        <w:t>Agcm</w:t>
      </w:r>
      <w:proofErr w:type="spellEnd"/>
      <w:r w:rsidRPr="006B4AEB">
        <w:rPr>
          <w:color w:val="auto"/>
          <w:szCs w:val="24"/>
          <w:lang w:eastAsia="en-US"/>
        </w:rPr>
        <w:t xml:space="preserve"> (retribuzione di livello, basi di calcolo premi, straordinario e IFR) del 2,6%</w:t>
      </w:r>
      <w:r w:rsidR="00F84A38">
        <w:rPr>
          <w:color w:val="auto"/>
          <w:szCs w:val="24"/>
          <w:lang w:eastAsia="en-US"/>
        </w:rPr>
        <w:t xml:space="preserve"> </w:t>
      </w:r>
      <w:r w:rsidRPr="006B4AEB">
        <w:rPr>
          <w:color w:val="auto"/>
          <w:szCs w:val="24"/>
          <w:lang w:eastAsia="en-US"/>
        </w:rPr>
        <w:t>per il 2023 e del 1,5% nell’arco temporale 2024-2032;</w:t>
      </w:r>
    </w:p>
    <w:p w14:paraId="6AAF0F92" w14:textId="1E2A9659" w:rsidR="006B4AEB" w:rsidRDefault="006B4AEB" w:rsidP="001A4063">
      <w:pPr>
        <w:spacing w:after="160" w:line="276" w:lineRule="auto"/>
        <w:ind w:left="709" w:right="0" w:hanging="141"/>
        <w:rPr>
          <w:color w:val="auto"/>
          <w:szCs w:val="24"/>
          <w:lang w:eastAsia="en-US"/>
        </w:rPr>
      </w:pPr>
      <w:r w:rsidRPr="006B4AEB">
        <w:rPr>
          <w:color w:val="auto"/>
          <w:szCs w:val="24"/>
          <w:lang w:eastAsia="en-US"/>
        </w:rPr>
        <w:t>- trattamento accessorio pari al massimo erogabile e parametri relativi</w:t>
      </w:r>
      <w:r w:rsidR="00DD4F90">
        <w:rPr>
          <w:color w:val="auto"/>
          <w:szCs w:val="24"/>
          <w:lang w:eastAsia="en-US"/>
        </w:rPr>
        <w:t xml:space="preserve"> </w:t>
      </w:r>
      <w:r w:rsidRPr="006B4AEB">
        <w:rPr>
          <w:color w:val="auto"/>
          <w:szCs w:val="24"/>
          <w:lang w:eastAsia="en-US"/>
        </w:rPr>
        <w:t>pari a quelli utilizzati nelle previsioni di bilancio ovvero derivanti da accordi sindacali vigenti.</w:t>
      </w:r>
    </w:p>
    <w:p w14:paraId="33D11CB7" w14:textId="0E042C3C" w:rsidR="00912983" w:rsidRPr="00741695" w:rsidRDefault="00912983" w:rsidP="001A4063">
      <w:pPr>
        <w:spacing w:after="160" w:line="276" w:lineRule="auto"/>
        <w:ind w:left="0" w:right="0" w:firstLine="0"/>
        <w:rPr>
          <w:color w:val="auto"/>
          <w:szCs w:val="24"/>
          <w:lang w:eastAsia="en-US"/>
        </w:rPr>
      </w:pPr>
      <w:r w:rsidRPr="00741695">
        <w:rPr>
          <w:color w:val="auto"/>
          <w:szCs w:val="24"/>
          <w:lang w:eastAsia="en-US"/>
        </w:rPr>
        <w:t>I maggiori oneri del personale, rispetto a quanto in precedenza stimato sono imputabili principalmente agli effetti della sentenza del Consiglio di Stato, sez. V, n. 7725 del 5 settembre 2022, che ha disposto una riparametrazione dei tabellari dei funzionari per uguagliarli a quelli AGCM (dal 85%/94% al 100%). Inoltre, nel corso del 2022, vi è stata una rivalutazione degli stessi superiore a quella precedentemente ipotizzata in ragione della inattesa dinamica inflazionistica (4,9% nel 2021 e 2,6% nel 2023). Nello specifico, in riferimento all’annualità 2023, la significativa differenza è ascrivibile, oltre che alle circostanze sopra menzionate, anche:</w:t>
      </w:r>
    </w:p>
    <w:p w14:paraId="78477A8F" w14:textId="77777777" w:rsidR="00912983" w:rsidRPr="00741695" w:rsidRDefault="00912983" w:rsidP="001A4063">
      <w:pPr>
        <w:spacing w:after="160" w:line="276" w:lineRule="auto"/>
        <w:ind w:left="709" w:right="0" w:hanging="141"/>
        <w:rPr>
          <w:color w:val="auto"/>
          <w:szCs w:val="24"/>
          <w:lang w:eastAsia="en-US"/>
        </w:rPr>
      </w:pPr>
      <w:r w:rsidRPr="00741695">
        <w:rPr>
          <w:color w:val="auto"/>
          <w:szCs w:val="24"/>
          <w:lang w:eastAsia="en-US"/>
        </w:rPr>
        <w:t>- agli effetti che produce il differente periodo di servizio (data di assunzione) considerato nelle due stime (trimestre vs semestre) in relazione al trattamento economico fondamentale del personale;</w:t>
      </w:r>
    </w:p>
    <w:p w14:paraId="6935B73C" w14:textId="77777777" w:rsidR="00912983" w:rsidRPr="00741695" w:rsidRDefault="00912983" w:rsidP="001A4063">
      <w:pPr>
        <w:spacing w:after="160" w:line="276" w:lineRule="auto"/>
        <w:ind w:left="709" w:right="0" w:hanging="141"/>
        <w:rPr>
          <w:color w:val="auto"/>
          <w:szCs w:val="24"/>
          <w:lang w:eastAsia="en-US"/>
        </w:rPr>
      </w:pPr>
      <w:r w:rsidRPr="00741695">
        <w:rPr>
          <w:color w:val="auto"/>
          <w:szCs w:val="24"/>
          <w:lang w:eastAsia="en-US"/>
        </w:rPr>
        <w:t>- agli effetti, più che proporzionali, che il differente periodo considerato nelle stime produce in relazione al trattamento economico accessorio.</w:t>
      </w:r>
    </w:p>
    <w:p w14:paraId="3FB90CAF" w14:textId="7EB4872A" w:rsidR="006B4AEB" w:rsidRPr="006B4AEB" w:rsidRDefault="006B4AEB" w:rsidP="001A4063">
      <w:pPr>
        <w:spacing w:after="160" w:line="276" w:lineRule="auto"/>
        <w:ind w:left="0" w:right="0" w:firstLine="0"/>
        <w:rPr>
          <w:color w:val="auto"/>
          <w:szCs w:val="24"/>
          <w:lang w:eastAsia="en-US"/>
        </w:rPr>
      </w:pPr>
      <w:r w:rsidRPr="006B4AEB">
        <w:rPr>
          <w:color w:val="auto"/>
          <w:szCs w:val="24"/>
          <w:lang w:eastAsia="en-US"/>
        </w:rPr>
        <w:t>Relativamente alla piattaforma, necessaria per la corretta gestione delle istanze e la garanzia dell’anonimato, e richiamata nelle Linee Gu</w:t>
      </w:r>
      <w:r w:rsidR="00960BF8">
        <w:rPr>
          <w:color w:val="auto"/>
          <w:szCs w:val="24"/>
          <w:lang w:eastAsia="en-US"/>
        </w:rPr>
        <w:t>i</w:t>
      </w:r>
      <w:r w:rsidRPr="006B4AEB">
        <w:rPr>
          <w:color w:val="auto"/>
          <w:szCs w:val="24"/>
          <w:lang w:eastAsia="en-US"/>
        </w:rPr>
        <w:t>da dell’ANAC “Linee Guida in materia di tutela degli autori di segnalazioni di reati o irregolarità di cui siano venuti a conoscenza in ragione di un rapporto di lavoro, ai sensi dell’art. 54-bis, del d.lgs. 165/2001”, il trend degli oneri su base decennale sostenuti per lo sviluppo della piattaforma informatica necessaria per il trattamento dei dati, nonché la quantificazione dei maggiori costi di funzionamento derivanti dalla gestione delle nuove competenze, sono stati riportati nel prospetto riepilogativo seguente:</w:t>
      </w:r>
    </w:p>
    <w:p w14:paraId="39285B55" w14:textId="77777777" w:rsidR="006B4AEB" w:rsidRPr="006B4AEB" w:rsidRDefault="006B4AEB" w:rsidP="001A4063">
      <w:pPr>
        <w:spacing w:after="160" w:line="360" w:lineRule="auto"/>
        <w:ind w:left="0" w:right="0" w:firstLine="0"/>
        <w:rPr>
          <w:color w:val="auto"/>
          <w:szCs w:val="24"/>
          <w:lang w:eastAsia="en-US"/>
        </w:rPr>
      </w:pPr>
      <w:r w:rsidRPr="006B4AEB">
        <w:rPr>
          <w:noProof/>
          <w:color w:val="auto"/>
          <w:szCs w:val="24"/>
        </w:rPr>
        <w:drawing>
          <wp:inline distT="0" distB="0" distL="0" distR="0" wp14:anchorId="01F79C07" wp14:editId="13296DAC">
            <wp:extent cx="6117609" cy="122495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4527" cy="1232343"/>
                    </a:xfrm>
                    <a:prstGeom prst="rect">
                      <a:avLst/>
                    </a:prstGeom>
                    <a:noFill/>
                    <a:ln>
                      <a:noFill/>
                    </a:ln>
                  </pic:spPr>
                </pic:pic>
              </a:graphicData>
            </a:graphic>
          </wp:inline>
        </w:drawing>
      </w:r>
    </w:p>
    <w:p w14:paraId="54ECDE26" w14:textId="77777777" w:rsidR="0055317B" w:rsidRDefault="006B4AEB" w:rsidP="001A4063">
      <w:pPr>
        <w:spacing w:after="0" w:line="276" w:lineRule="auto"/>
        <w:ind w:left="0" w:right="0" w:firstLine="0"/>
        <w:rPr>
          <w:color w:val="auto"/>
          <w:szCs w:val="24"/>
          <w:lang w:eastAsia="en-US"/>
        </w:rPr>
      </w:pPr>
      <w:r w:rsidRPr="006B4AEB">
        <w:rPr>
          <w:color w:val="auto"/>
          <w:szCs w:val="24"/>
          <w:lang w:eastAsia="en-US"/>
        </w:rPr>
        <w:t xml:space="preserve">Nello specifico trattandosi di stime (non conoscendo allo stato i requisiti funzionali delle evoluzioni da implementare sulla piattaforma) si è semplicemente ritenuto di arrotondare i relativi importi (anche in ragione della dinamica dell’inflazione in atto) includendo nel 2026 i costi di adeguamento e revisione delle piattaforme tecnologiche utilizzate dalla piattaforma nonché i costi di eventuali attività di </w:t>
      </w:r>
      <w:proofErr w:type="spellStart"/>
      <w:r w:rsidRPr="006B4AEB">
        <w:rPr>
          <w:color w:val="auto"/>
          <w:szCs w:val="24"/>
          <w:lang w:eastAsia="en-US"/>
        </w:rPr>
        <w:t>vulnerability</w:t>
      </w:r>
      <w:proofErr w:type="spellEnd"/>
      <w:r w:rsidRPr="006B4AEB">
        <w:rPr>
          <w:color w:val="auto"/>
          <w:szCs w:val="24"/>
          <w:lang w:eastAsia="en-US"/>
        </w:rPr>
        <w:t xml:space="preserve"> </w:t>
      </w:r>
      <w:proofErr w:type="spellStart"/>
      <w:r w:rsidRPr="006B4AEB">
        <w:rPr>
          <w:color w:val="auto"/>
          <w:szCs w:val="24"/>
          <w:lang w:eastAsia="en-US"/>
        </w:rPr>
        <w:t>assessment</w:t>
      </w:r>
      <w:proofErr w:type="spellEnd"/>
      <w:r w:rsidRPr="006B4AEB">
        <w:rPr>
          <w:color w:val="auto"/>
          <w:szCs w:val="24"/>
          <w:lang w:eastAsia="en-US"/>
        </w:rPr>
        <w:t xml:space="preserve"> sulla stessa. I costi sono da intendersi come costi di investimento per i primi 4 anni, mentre per i successivi si tratta di costi di funzionamento (prevalentemente gestione e manutenzione applicativa).</w:t>
      </w:r>
    </w:p>
    <w:p w14:paraId="51346E67" w14:textId="77777777" w:rsidR="006B4AEB" w:rsidRPr="006B4AEB" w:rsidRDefault="006B4AEB" w:rsidP="001A4063">
      <w:pPr>
        <w:spacing w:after="160" w:line="276" w:lineRule="auto"/>
        <w:ind w:left="0" w:right="0" w:firstLine="0"/>
        <w:rPr>
          <w:color w:val="auto"/>
          <w:szCs w:val="24"/>
          <w:lang w:eastAsia="en-US"/>
        </w:rPr>
      </w:pPr>
      <w:r w:rsidRPr="006B4AEB">
        <w:rPr>
          <w:color w:val="auto"/>
          <w:szCs w:val="24"/>
          <w:lang w:eastAsia="en-US"/>
        </w:rPr>
        <w:t>A titolo esemplificativo si riporta il prospetto riepilogativo degli oneri relativi sia all’implementazione della dotazione organica di n. 22 unità di personale, comprensiva degli oneri riflessi a carico dell’amministrazione sia degli oneri relativi allo sviluppo e alle spese di funzionamento della piattaforma informatica da utilizzare per il trattamento dei dati da parte di ANAC.</w:t>
      </w:r>
    </w:p>
    <w:p w14:paraId="637C4254" w14:textId="77777777" w:rsidR="006B4AEB" w:rsidRPr="006B4AEB" w:rsidRDefault="006B4AEB" w:rsidP="001A4063">
      <w:pPr>
        <w:spacing w:after="160" w:line="360" w:lineRule="auto"/>
        <w:ind w:left="0" w:right="0" w:firstLine="0"/>
        <w:rPr>
          <w:color w:val="auto"/>
          <w:szCs w:val="24"/>
          <w:lang w:eastAsia="en-US"/>
        </w:rPr>
      </w:pPr>
      <w:r w:rsidRPr="006B4AEB">
        <w:rPr>
          <w:noProof/>
          <w:color w:val="auto"/>
          <w:szCs w:val="24"/>
        </w:rPr>
        <w:drawing>
          <wp:inline distT="0" distB="0" distL="0" distR="0" wp14:anchorId="37610AA5" wp14:editId="20E23E66">
            <wp:extent cx="6118917" cy="2829464"/>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0571" cy="2834853"/>
                    </a:xfrm>
                    <a:prstGeom prst="rect">
                      <a:avLst/>
                    </a:prstGeom>
                    <a:noFill/>
                    <a:ln>
                      <a:noFill/>
                    </a:ln>
                  </pic:spPr>
                </pic:pic>
              </a:graphicData>
            </a:graphic>
          </wp:inline>
        </w:drawing>
      </w:r>
    </w:p>
    <w:p w14:paraId="31097359" w14:textId="7A2DE32B" w:rsidR="006B4AEB" w:rsidRPr="004D69C2" w:rsidRDefault="006B4AEB" w:rsidP="001A4063">
      <w:pPr>
        <w:spacing w:after="160" w:line="276" w:lineRule="auto"/>
        <w:ind w:left="0" w:right="0" w:firstLine="0"/>
        <w:rPr>
          <w:color w:val="auto"/>
          <w:szCs w:val="24"/>
          <w:lang w:eastAsia="en-US"/>
        </w:rPr>
      </w:pPr>
      <w:r w:rsidRPr="006B4AEB">
        <w:rPr>
          <w:color w:val="auto"/>
          <w:szCs w:val="24"/>
          <w:lang w:eastAsia="en-US"/>
        </w:rPr>
        <w:t xml:space="preserve">Il costo per il personale (importi arrotondati) è </w:t>
      </w:r>
      <w:r w:rsidR="00A24E13" w:rsidRPr="006B4AEB">
        <w:rPr>
          <w:color w:val="auto"/>
          <w:szCs w:val="24"/>
          <w:lang w:eastAsia="en-US"/>
        </w:rPr>
        <w:t>così</w:t>
      </w:r>
      <w:r w:rsidRPr="006B4AEB">
        <w:rPr>
          <w:color w:val="auto"/>
          <w:szCs w:val="24"/>
          <w:lang w:eastAsia="en-US"/>
        </w:rPr>
        <w:t xml:space="preserve"> </w:t>
      </w:r>
      <w:r w:rsidRPr="006E22DE">
        <w:rPr>
          <w:color w:val="auto"/>
          <w:szCs w:val="24"/>
          <w:lang w:eastAsia="en-US"/>
        </w:rPr>
        <w:t xml:space="preserve">quantificato: euro 1.147.004 per l’anno 2023, euro 2.177.662 per l’anno 2024, euro 2.300.718 per l’anno 2025, euro 2.398.788 per l’anno 2026, euro 2.526.719 per l’anno 2027, euro 2.629.043 per l’anno 2028, euro 2.790.224 per l’anno 2029, euro 2.967.127 per l’anno 2030, euro 3.147.128 per l’anno 2031 ed in euro 3.308.866 </w:t>
      </w:r>
      <w:r w:rsidR="00F67223" w:rsidRPr="004D69C2">
        <w:rPr>
          <w:color w:val="auto"/>
          <w:szCs w:val="24"/>
          <w:lang w:eastAsia="en-US"/>
        </w:rPr>
        <w:t xml:space="preserve">annui </w:t>
      </w:r>
      <w:r w:rsidR="00A24E13" w:rsidRPr="004D69C2">
        <w:rPr>
          <w:color w:val="auto"/>
          <w:szCs w:val="24"/>
          <w:lang w:eastAsia="en-US"/>
        </w:rPr>
        <w:t>a decorrere dall’anno 2032</w:t>
      </w:r>
      <w:r w:rsidRPr="004D69C2">
        <w:rPr>
          <w:color w:val="auto"/>
          <w:szCs w:val="24"/>
          <w:lang w:eastAsia="en-US"/>
        </w:rPr>
        <w:t xml:space="preserve">. </w:t>
      </w:r>
    </w:p>
    <w:p w14:paraId="529AE736" w14:textId="6F677769" w:rsidR="006B4AEB" w:rsidRPr="00C80179" w:rsidRDefault="006B4AEB" w:rsidP="001A4063">
      <w:pPr>
        <w:spacing w:after="160" w:line="276" w:lineRule="auto"/>
        <w:ind w:left="0" w:right="0" w:firstLine="0"/>
        <w:rPr>
          <w:strike/>
          <w:color w:val="auto"/>
          <w:szCs w:val="24"/>
          <w:lang w:eastAsia="en-US"/>
        </w:rPr>
      </w:pPr>
      <w:r w:rsidRPr="006B4AEB">
        <w:rPr>
          <w:color w:val="auto"/>
          <w:szCs w:val="24"/>
          <w:lang w:eastAsia="en-US"/>
        </w:rPr>
        <w:t xml:space="preserve">Per lo sviluppo della piattaforma informatica necessaria per il trattamento dei dati nonché i maggiori costi di funzionamento derivanti dalla gestione delle nuove competenze sono così quantificati: euro 250.000 per l’anno 2023, euro 250.000 per l’anno 2024, euro 250.000 per l’anno 2025, euro 250.000 per l’anno 2026, euro 80.000 </w:t>
      </w:r>
      <w:r w:rsidR="00C80179">
        <w:rPr>
          <w:color w:val="auto"/>
          <w:szCs w:val="24"/>
          <w:lang w:eastAsia="en-US"/>
        </w:rPr>
        <w:t>a decorrere dall’anno 2027</w:t>
      </w:r>
      <w:r w:rsidR="00F67223">
        <w:rPr>
          <w:color w:val="auto"/>
          <w:szCs w:val="24"/>
          <w:lang w:eastAsia="en-US"/>
        </w:rPr>
        <w:t>.</w:t>
      </w:r>
      <w:r w:rsidR="00C80179">
        <w:rPr>
          <w:color w:val="auto"/>
          <w:szCs w:val="24"/>
          <w:lang w:eastAsia="en-US"/>
        </w:rPr>
        <w:t xml:space="preserve"> </w:t>
      </w:r>
    </w:p>
    <w:p w14:paraId="1BA4E035" w14:textId="76B534E1" w:rsidR="006B4AEB" w:rsidRPr="004D69C2" w:rsidRDefault="006B4AEB" w:rsidP="001A4063">
      <w:pPr>
        <w:spacing w:after="0" w:line="276" w:lineRule="auto"/>
        <w:ind w:left="0" w:right="0" w:firstLine="0"/>
        <w:rPr>
          <w:strike/>
          <w:color w:val="auto"/>
          <w:szCs w:val="24"/>
          <w:lang w:eastAsia="en-US"/>
        </w:rPr>
      </w:pPr>
      <w:r w:rsidRPr="004D69C2">
        <w:rPr>
          <w:color w:val="auto"/>
          <w:szCs w:val="24"/>
          <w:lang w:eastAsia="en-US"/>
        </w:rPr>
        <w:t xml:space="preserve">In ordine alla relativa copertura degli oneri sopra quantificati si procederà con prelevamento dal </w:t>
      </w:r>
      <w:r w:rsidR="00F67223" w:rsidRPr="004D69C2">
        <w:rPr>
          <w:color w:val="auto"/>
          <w:szCs w:val="24"/>
          <w:lang w:eastAsia="en-US"/>
        </w:rPr>
        <w:t>F</w:t>
      </w:r>
      <w:r w:rsidR="00C80179" w:rsidRPr="004D69C2">
        <w:t>ondo per il recepimento della normativa europea di cui all’articolo 41-</w:t>
      </w:r>
      <w:r w:rsidR="00C80179" w:rsidRPr="004D69C2">
        <w:rPr>
          <w:i/>
          <w:iCs/>
        </w:rPr>
        <w:t>bis</w:t>
      </w:r>
      <w:r w:rsidR="00C80179" w:rsidRPr="004D69C2">
        <w:t xml:space="preserve"> della legge 24 dicembre 2012, n. 234. </w:t>
      </w:r>
    </w:p>
    <w:p w14:paraId="06435820" w14:textId="2681521E" w:rsidR="007343C1" w:rsidRDefault="00CD374F" w:rsidP="001A4063">
      <w:pPr>
        <w:spacing w:after="0" w:line="276" w:lineRule="auto"/>
        <w:ind w:right="0" w:firstLine="0"/>
      </w:pPr>
      <w:r>
        <w:rPr>
          <w:color w:val="000000" w:themeColor="text1"/>
          <w:szCs w:val="24"/>
        </w:rPr>
        <w:t>Si prevede altresì</w:t>
      </w:r>
      <w:r w:rsidR="007343C1">
        <w:rPr>
          <w:color w:val="000000" w:themeColor="text1"/>
          <w:szCs w:val="24"/>
        </w:rPr>
        <w:t xml:space="preserve"> che</w:t>
      </w:r>
      <w:r>
        <w:rPr>
          <w:color w:val="000000" w:themeColor="text1"/>
          <w:szCs w:val="24"/>
        </w:rPr>
        <w:t xml:space="preserve"> </w:t>
      </w:r>
      <w:r w:rsidR="007343C1">
        <w:rPr>
          <w:color w:val="000000" w:themeColor="text1"/>
          <w:szCs w:val="24"/>
        </w:rPr>
        <w:t>i</w:t>
      </w:r>
      <w:r w:rsidR="007343C1" w:rsidRPr="48BF9CF9">
        <w:rPr>
          <w:szCs w:val="24"/>
        </w:rPr>
        <w:t xml:space="preserve">l Ministro dell’economia e delle finanze </w:t>
      </w:r>
      <w:r w:rsidR="00562CEE">
        <w:rPr>
          <w:szCs w:val="24"/>
        </w:rPr>
        <w:t>sia</w:t>
      </w:r>
      <w:r w:rsidR="007343C1" w:rsidRPr="48BF9CF9">
        <w:rPr>
          <w:szCs w:val="24"/>
        </w:rPr>
        <w:t xml:space="preserve"> autorizzato ad apportare, con propri decreti, le occorrenti variazioni di bilancio.</w:t>
      </w:r>
    </w:p>
    <w:p w14:paraId="3E6E284C" w14:textId="77777777" w:rsidR="004D69C2" w:rsidRPr="00DE5D61" w:rsidRDefault="00091ACB" w:rsidP="001A4063">
      <w:pPr>
        <w:spacing w:line="276" w:lineRule="auto"/>
        <w:ind w:right="0" w:firstLine="0"/>
        <w:rPr>
          <w:i/>
          <w:color w:val="auto"/>
          <w:szCs w:val="24"/>
          <w:lang w:eastAsia="en-US"/>
        </w:rPr>
      </w:pPr>
      <w:r>
        <w:rPr>
          <w:b/>
          <w:i/>
          <w:color w:val="auto"/>
          <w:szCs w:val="24"/>
          <w:lang w:eastAsia="en-US"/>
        </w:rPr>
        <w:t xml:space="preserve">L’articolo </w:t>
      </w:r>
      <w:r w:rsidR="00A23A41">
        <w:rPr>
          <w:b/>
          <w:i/>
          <w:color w:val="auto"/>
          <w:szCs w:val="24"/>
          <w:lang w:eastAsia="en-US"/>
        </w:rPr>
        <w:t>12</w:t>
      </w:r>
      <w:r>
        <w:rPr>
          <w:b/>
          <w:i/>
          <w:color w:val="auto"/>
          <w:szCs w:val="24"/>
          <w:lang w:eastAsia="en-US"/>
        </w:rPr>
        <w:t xml:space="preserve"> </w:t>
      </w:r>
      <w:r w:rsidRPr="00091ACB">
        <w:rPr>
          <w:color w:val="auto"/>
          <w:szCs w:val="24"/>
          <w:lang w:eastAsia="en-US"/>
        </w:rPr>
        <w:t xml:space="preserve">disciplina il contenuto dell’obbligo di riservatezza in ordine all’identità del segnalante, che non deve </w:t>
      </w:r>
      <w:r w:rsidRPr="00296888">
        <w:rPr>
          <w:color w:val="auto"/>
          <w:szCs w:val="24"/>
          <w:lang w:eastAsia="en-US"/>
        </w:rPr>
        <w:t xml:space="preserve">essere </w:t>
      </w:r>
      <w:r w:rsidR="008A5FBD" w:rsidRPr="00296888">
        <w:rPr>
          <w:color w:val="auto"/>
          <w:szCs w:val="24"/>
          <w:lang w:eastAsia="en-US"/>
        </w:rPr>
        <w:t>rivelata</w:t>
      </w:r>
      <w:r w:rsidR="008A5FBD">
        <w:rPr>
          <w:color w:val="auto"/>
          <w:szCs w:val="24"/>
          <w:lang w:eastAsia="en-US"/>
        </w:rPr>
        <w:t xml:space="preserve"> </w:t>
      </w:r>
      <w:r w:rsidRPr="00091ACB">
        <w:rPr>
          <w:color w:val="auto"/>
          <w:szCs w:val="24"/>
          <w:lang w:eastAsia="en-US"/>
        </w:rPr>
        <w:t>a persone diverse rispetto a quelle competenti a ricevere o a dare seguito alla segnalazione</w:t>
      </w:r>
      <w:r>
        <w:rPr>
          <w:color w:val="auto"/>
          <w:szCs w:val="24"/>
          <w:lang w:eastAsia="en-US"/>
        </w:rPr>
        <w:t>, sia per i procedimenti penali che</w:t>
      </w:r>
      <w:r w:rsidR="002A2E43">
        <w:rPr>
          <w:color w:val="auto"/>
          <w:szCs w:val="24"/>
          <w:lang w:eastAsia="en-US"/>
        </w:rPr>
        <w:t xml:space="preserve"> contabili e disciplinari, mentre </w:t>
      </w:r>
      <w:r w:rsidR="002A2E43" w:rsidRPr="002A2E43">
        <w:rPr>
          <w:b/>
          <w:i/>
          <w:color w:val="auto"/>
          <w:szCs w:val="24"/>
          <w:lang w:eastAsia="en-US"/>
        </w:rPr>
        <w:t xml:space="preserve">l’articolo </w:t>
      </w:r>
      <w:r w:rsidR="007E7C87">
        <w:rPr>
          <w:b/>
          <w:i/>
          <w:color w:val="auto"/>
          <w:szCs w:val="24"/>
          <w:lang w:eastAsia="en-US"/>
        </w:rPr>
        <w:t>13</w:t>
      </w:r>
      <w:r w:rsidR="002A2E43">
        <w:rPr>
          <w:color w:val="auto"/>
          <w:szCs w:val="24"/>
          <w:lang w:eastAsia="en-US"/>
        </w:rPr>
        <w:t xml:space="preserve"> </w:t>
      </w:r>
      <w:r w:rsidR="002A2E43" w:rsidRPr="00DE5D61">
        <w:rPr>
          <w:color w:val="auto"/>
          <w:szCs w:val="24"/>
          <w:lang w:eastAsia="en-US"/>
        </w:rPr>
        <w:t>riguarda il trattamento dei dati personali contenuti nelle segnalazioni.</w:t>
      </w:r>
      <w:r w:rsidR="001B4EAD" w:rsidRPr="00DE5D61">
        <w:rPr>
          <w:i/>
          <w:color w:val="auto"/>
          <w:szCs w:val="24"/>
          <w:lang w:eastAsia="en-US"/>
        </w:rPr>
        <w:t xml:space="preserve"> </w:t>
      </w:r>
    </w:p>
    <w:p w14:paraId="74132B9F" w14:textId="77777777" w:rsidR="00625D58" w:rsidRPr="00DE5D61" w:rsidRDefault="004D69C2" w:rsidP="001A4063">
      <w:pPr>
        <w:spacing w:line="276" w:lineRule="auto"/>
        <w:ind w:right="0" w:firstLine="0"/>
        <w:rPr>
          <w:i/>
          <w:color w:val="auto"/>
          <w:szCs w:val="24"/>
          <w:lang w:eastAsia="en-US"/>
        </w:rPr>
      </w:pPr>
      <w:r w:rsidRPr="00DE5D61">
        <w:rPr>
          <w:iCs/>
          <w:color w:val="auto"/>
          <w:szCs w:val="24"/>
          <w:lang w:eastAsia="en-US"/>
        </w:rPr>
        <w:t>Si segnala, inoltre, che sia nelle procedure interne che esterne la persona coinvolta può essere sentita, anche mediante procedimento cartolare attraverso l’acquisizione di osservazioni scritte e documenti.</w:t>
      </w:r>
      <w:r w:rsidRPr="00DE5D61">
        <w:rPr>
          <w:i/>
          <w:color w:val="auto"/>
          <w:szCs w:val="24"/>
          <w:lang w:eastAsia="en-US"/>
        </w:rPr>
        <w:t xml:space="preserve"> </w:t>
      </w:r>
    </w:p>
    <w:p w14:paraId="60988363" w14:textId="209AF76F" w:rsidR="00091ACB" w:rsidRPr="008831A2" w:rsidRDefault="001B4EAD" w:rsidP="001A4063">
      <w:pPr>
        <w:spacing w:line="276" w:lineRule="auto"/>
        <w:ind w:right="0" w:firstLine="0"/>
        <w:rPr>
          <w:i/>
          <w:color w:val="auto"/>
          <w:szCs w:val="24"/>
          <w:lang w:eastAsia="en-US"/>
        </w:rPr>
      </w:pPr>
      <w:r w:rsidRPr="001B4EAD">
        <w:rPr>
          <w:i/>
          <w:color w:val="auto"/>
          <w:szCs w:val="24"/>
          <w:lang w:eastAsia="en-US"/>
        </w:rPr>
        <w:t>L</w:t>
      </w:r>
      <w:r w:rsidR="002A2E43">
        <w:rPr>
          <w:i/>
          <w:color w:val="auto"/>
          <w:szCs w:val="24"/>
          <w:lang w:eastAsia="en-US"/>
        </w:rPr>
        <w:t>e disposizioni</w:t>
      </w:r>
      <w:r w:rsidRPr="001B4EAD">
        <w:rPr>
          <w:i/>
          <w:color w:val="auto"/>
          <w:szCs w:val="24"/>
          <w:lang w:eastAsia="en-US"/>
        </w:rPr>
        <w:t xml:space="preserve"> ha</w:t>
      </w:r>
      <w:r w:rsidR="002A2E43">
        <w:rPr>
          <w:i/>
          <w:color w:val="auto"/>
          <w:szCs w:val="24"/>
          <w:lang w:eastAsia="en-US"/>
        </w:rPr>
        <w:t>nno</w:t>
      </w:r>
      <w:r w:rsidRPr="001B4EAD">
        <w:rPr>
          <w:i/>
          <w:color w:val="auto"/>
          <w:szCs w:val="24"/>
          <w:lang w:eastAsia="en-US"/>
        </w:rPr>
        <w:t xml:space="preserve"> natura ordinamentale</w:t>
      </w:r>
      <w:r w:rsidR="008831A2">
        <w:rPr>
          <w:i/>
          <w:color w:val="auto"/>
          <w:szCs w:val="24"/>
          <w:lang w:eastAsia="en-US"/>
        </w:rPr>
        <w:t xml:space="preserve"> </w:t>
      </w:r>
      <w:r w:rsidR="008831A2" w:rsidRPr="00F3282A">
        <w:rPr>
          <w:i/>
          <w:color w:val="auto"/>
          <w:szCs w:val="24"/>
          <w:lang w:eastAsia="en-US"/>
        </w:rPr>
        <w:t>e pertanto, non si prevedono</w:t>
      </w:r>
      <w:r w:rsidR="0010386A" w:rsidRPr="00F3282A">
        <w:rPr>
          <w:i/>
          <w:color w:val="FF0000"/>
          <w:szCs w:val="24"/>
          <w:lang w:eastAsia="en-US"/>
        </w:rPr>
        <w:t xml:space="preserve"> </w:t>
      </w:r>
      <w:r w:rsidR="0010386A" w:rsidRPr="00F3282A">
        <w:rPr>
          <w:i/>
          <w:color w:val="auto"/>
          <w:szCs w:val="24"/>
          <w:lang w:eastAsia="en-US"/>
        </w:rPr>
        <w:t xml:space="preserve">oneri aggiuntivi </w:t>
      </w:r>
      <w:r w:rsidR="008831A2" w:rsidRPr="00F3282A">
        <w:rPr>
          <w:i/>
          <w:color w:val="auto"/>
          <w:szCs w:val="24"/>
          <w:lang w:eastAsia="en-US"/>
        </w:rPr>
        <w:t>a carico della finanza pubblica.</w:t>
      </w:r>
    </w:p>
    <w:p w14:paraId="6D938B05" w14:textId="4CD781AD" w:rsidR="00327542" w:rsidRPr="00DE5D61" w:rsidRDefault="002947B7" w:rsidP="001A4063">
      <w:pPr>
        <w:spacing w:after="20" w:line="276" w:lineRule="auto"/>
        <w:ind w:left="11" w:right="0" w:firstLine="0"/>
        <w:rPr>
          <w:color w:val="auto"/>
          <w:szCs w:val="24"/>
          <w:lang w:eastAsia="en-US"/>
        </w:rPr>
      </w:pPr>
      <w:r>
        <w:rPr>
          <w:color w:val="auto"/>
          <w:szCs w:val="24"/>
          <w:lang w:eastAsia="en-US"/>
        </w:rPr>
        <w:t xml:space="preserve">Con </w:t>
      </w:r>
      <w:r w:rsidRPr="00F86B84">
        <w:rPr>
          <w:b/>
          <w:i/>
          <w:color w:val="auto"/>
          <w:szCs w:val="24"/>
          <w:lang w:eastAsia="en-US"/>
        </w:rPr>
        <w:t xml:space="preserve">l’articolo </w:t>
      </w:r>
      <w:r w:rsidR="007E7C87">
        <w:rPr>
          <w:b/>
          <w:i/>
          <w:color w:val="auto"/>
          <w:szCs w:val="24"/>
          <w:lang w:eastAsia="en-US"/>
        </w:rPr>
        <w:t>14</w:t>
      </w:r>
      <w:r>
        <w:rPr>
          <w:color w:val="auto"/>
          <w:szCs w:val="24"/>
          <w:lang w:eastAsia="en-US"/>
        </w:rPr>
        <w:t xml:space="preserve"> si disciplina la modalità di conservazione delle segnalazioni e della relativa documentazione per il tempo necessario a gestire e definire le stesse. Si ha un’ulteriore precisazione sulle modalità di conservazione a seconda se le segnalazioni s</w:t>
      </w:r>
      <w:r w:rsidR="004F49BA">
        <w:rPr>
          <w:color w:val="auto"/>
          <w:szCs w:val="24"/>
          <w:lang w:eastAsia="en-US"/>
        </w:rPr>
        <w:t>ia</w:t>
      </w:r>
      <w:r>
        <w:rPr>
          <w:color w:val="auto"/>
          <w:szCs w:val="24"/>
          <w:lang w:eastAsia="en-US"/>
        </w:rPr>
        <w:t>no state effettuate utilizzando linee telefoniche o altro sistema di messaggistica vocale registrate oppure non registrate o ancora, nel corso di un incontro col personale addetto.</w:t>
      </w:r>
      <w:r w:rsidR="00F86B84">
        <w:rPr>
          <w:color w:val="auto"/>
          <w:szCs w:val="24"/>
          <w:lang w:eastAsia="en-US"/>
        </w:rPr>
        <w:t xml:space="preserve"> </w:t>
      </w:r>
      <w:r w:rsidR="0050765F" w:rsidRPr="0050765F">
        <w:rPr>
          <w:i/>
          <w:iCs/>
          <w:color w:val="auto"/>
          <w:szCs w:val="24"/>
          <w:lang w:eastAsia="en-US"/>
        </w:rPr>
        <w:t>Si tratta</w:t>
      </w:r>
      <w:r w:rsidR="0050765F">
        <w:rPr>
          <w:color w:val="auto"/>
          <w:szCs w:val="24"/>
          <w:lang w:eastAsia="en-US"/>
        </w:rPr>
        <w:t xml:space="preserve"> </w:t>
      </w:r>
      <w:r w:rsidR="0050765F">
        <w:rPr>
          <w:i/>
          <w:color w:val="auto"/>
          <w:szCs w:val="24"/>
          <w:lang w:eastAsia="en-US"/>
        </w:rPr>
        <w:t xml:space="preserve">di modalità procedurali </w:t>
      </w:r>
      <w:r w:rsidR="00136E27">
        <w:rPr>
          <w:i/>
          <w:color w:val="auto"/>
          <w:szCs w:val="24"/>
          <w:lang w:eastAsia="en-US"/>
        </w:rPr>
        <w:t xml:space="preserve">attuabili </w:t>
      </w:r>
      <w:r w:rsidR="001E6026">
        <w:rPr>
          <w:i/>
          <w:color w:val="auto"/>
          <w:szCs w:val="24"/>
          <w:lang w:eastAsia="en-US"/>
        </w:rPr>
        <w:t>nell’ambito dell’implementazione della piattaforma inform</w:t>
      </w:r>
      <w:r w:rsidR="00816E1F">
        <w:rPr>
          <w:i/>
          <w:color w:val="auto"/>
          <w:szCs w:val="24"/>
          <w:lang w:eastAsia="en-US"/>
        </w:rPr>
        <w:t>a</w:t>
      </w:r>
      <w:r w:rsidR="001E6026">
        <w:rPr>
          <w:i/>
          <w:color w:val="auto"/>
          <w:szCs w:val="24"/>
          <w:lang w:eastAsia="en-US"/>
        </w:rPr>
        <w:t xml:space="preserve">tica </w:t>
      </w:r>
      <w:r w:rsidR="00930035">
        <w:rPr>
          <w:i/>
          <w:color w:val="auto"/>
          <w:szCs w:val="24"/>
          <w:lang w:eastAsia="en-US"/>
        </w:rPr>
        <w:t xml:space="preserve">a cui si è già fatto riferimento, </w:t>
      </w:r>
      <w:r w:rsidR="00816E1F">
        <w:rPr>
          <w:i/>
          <w:color w:val="auto"/>
          <w:szCs w:val="24"/>
          <w:lang w:eastAsia="en-US"/>
        </w:rPr>
        <w:t xml:space="preserve">senza ulteriori aggravi per la </w:t>
      </w:r>
      <w:r w:rsidR="00A2065C">
        <w:rPr>
          <w:i/>
          <w:color w:val="auto"/>
          <w:szCs w:val="24"/>
          <w:lang w:eastAsia="en-US"/>
        </w:rPr>
        <w:t>finanza pubblica</w:t>
      </w:r>
      <w:r w:rsidR="00F86B84" w:rsidRPr="007D0061">
        <w:rPr>
          <w:i/>
          <w:color w:val="auto"/>
          <w:szCs w:val="24"/>
          <w:lang w:eastAsia="en-US"/>
        </w:rPr>
        <w:t>.</w:t>
      </w:r>
      <w:r w:rsidR="00327542">
        <w:rPr>
          <w:i/>
          <w:color w:val="auto"/>
          <w:szCs w:val="24"/>
          <w:lang w:eastAsia="en-US"/>
        </w:rPr>
        <w:t xml:space="preserve"> </w:t>
      </w:r>
      <w:r w:rsidR="00327542" w:rsidRPr="00327542">
        <w:rPr>
          <w:b/>
          <w:bCs/>
          <w:i/>
          <w:color w:val="auto"/>
          <w:szCs w:val="24"/>
          <w:lang w:eastAsia="en-US"/>
        </w:rPr>
        <w:t>L’articolo</w:t>
      </w:r>
      <w:r w:rsidR="00327542">
        <w:rPr>
          <w:i/>
          <w:color w:val="auto"/>
          <w:szCs w:val="24"/>
          <w:lang w:eastAsia="en-US"/>
        </w:rPr>
        <w:t xml:space="preserve"> </w:t>
      </w:r>
      <w:r w:rsidR="00E347F9" w:rsidRPr="00E347F9">
        <w:rPr>
          <w:b/>
          <w:i/>
          <w:color w:val="auto"/>
          <w:szCs w:val="24"/>
          <w:lang w:eastAsia="en-US"/>
        </w:rPr>
        <w:t>1</w:t>
      </w:r>
      <w:r w:rsidR="001171F3">
        <w:rPr>
          <w:b/>
          <w:i/>
          <w:color w:val="auto"/>
          <w:szCs w:val="24"/>
          <w:lang w:eastAsia="en-US"/>
        </w:rPr>
        <w:t>5</w:t>
      </w:r>
      <w:r w:rsidR="00E347F9">
        <w:rPr>
          <w:i/>
          <w:color w:val="auto"/>
          <w:szCs w:val="24"/>
          <w:lang w:eastAsia="en-US"/>
        </w:rPr>
        <w:t xml:space="preserve"> (Divulgazion</w:t>
      </w:r>
      <w:r w:rsidR="001171F3">
        <w:rPr>
          <w:i/>
          <w:color w:val="auto"/>
          <w:szCs w:val="24"/>
          <w:lang w:eastAsia="en-US"/>
        </w:rPr>
        <w:t>i</w:t>
      </w:r>
      <w:r w:rsidR="00E347F9">
        <w:rPr>
          <w:i/>
          <w:color w:val="auto"/>
          <w:szCs w:val="24"/>
          <w:lang w:eastAsia="en-US"/>
        </w:rPr>
        <w:t xml:space="preserve"> pubblic</w:t>
      </w:r>
      <w:r w:rsidR="001171F3">
        <w:rPr>
          <w:i/>
          <w:color w:val="auto"/>
          <w:szCs w:val="24"/>
          <w:lang w:eastAsia="en-US"/>
        </w:rPr>
        <w:t>he</w:t>
      </w:r>
      <w:r w:rsidR="00E347F9">
        <w:rPr>
          <w:i/>
          <w:color w:val="auto"/>
          <w:szCs w:val="24"/>
          <w:lang w:eastAsia="en-US"/>
        </w:rPr>
        <w:t>)</w:t>
      </w:r>
      <w:r w:rsidR="00327542">
        <w:rPr>
          <w:i/>
          <w:color w:val="auto"/>
          <w:szCs w:val="24"/>
          <w:lang w:eastAsia="en-US"/>
        </w:rPr>
        <w:t xml:space="preserve"> </w:t>
      </w:r>
      <w:r w:rsidR="00327542" w:rsidRPr="00E347F9">
        <w:rPr>
          <w:color w:val="auto"/>
          <w:szCs w:val="24"/>
          <w:lang w:eastAsia="en-US"/>
        </w:rPr>
        <w:t>di</w:t>
      </w:r>
      <w:r w:rsidR="00327542">
        <w:rPr>
          <w:color w:val="auto"/>
          <w:szCs w:val="24"/>
          <w:lang w:eastAsia="en-US"/>
        </w:rPr>
        <w:t xml:space="preserve">sciplina le condizioni per le quali la persona che effettua una divulgazione pubblica può accedere ai benefici di protezione previsti dal presente decreto, anche quando le informazioni divulgate erano ritenute vere dal </w:t>
      </w:r>
      <w:r w:rsidR="00327542" w:rsidRPr="00B35B8B">
        <w:rPr>
          <w:color w:val="auto"/>
          <w:szCs w:val="24"/>
          <w:lang w:eastAsia="en-US"/>
        </w:rPr>
        <w:t>segnalante</w:t>
      </w:r>
      <w:r w:rsidR="007E3356" w:rsidRPr="00B35B8B">
        <w:rPr>
          <w:color w:val="auto"/>
          <w:szCs w:val="24"/>
          <w:lang w:eastAsia="en-US"/>
        </w:rPr>
        <w:t xml:space="preserve"> </w:t>
      </w:r>
      <w:r w:rsidR="007E3356" w:rsidRPr="00DE5D61">
        <w:rPr>
          <w:color w:val="auto"/>
          <w:szCs w:val="24"/>
          <w:lang w:eastAsia="en-US"/>
        </w:rPr>
        <w:t>oppure si abbia motivo di ritenere che la segnalazione possa non avere seguito a causa dell’occultamento o distruzione delle prove oppure</w:t>
      </w:r>
      <w:r w:rsidR="001E5441" w:rsidRPr="00DE5D61">
        <w:rPr>
          <w:color w:val="auto"/>
          <w:szCs w:val="24"/>
          <w:lang w:eastAsia="en-US"/>
        </w:rPr>
        <w:t xml:space="preserve"> in cui vi sia fondato timore che chi ha ricevuto la segnalazione possa essere colluso con l'autore della violazione o coinvolto nella violazione stessa</w:t>
      </w:r>
      <w:r w:rsidR="007E3356" w:rsidRPr="00DE5D61">
        <w:rPr>
          <w:color w:val="auto"/>
          <w:szCs w:val="24"/>
          <w:lang w:eastAsia="en-US"/>
        </w:rPr>
        <w:t>.</w:t>
      </w:r>
    </w:p>
    <w:p w14:paraId="6A0C51D9" w14:textId="77777777" w:rsidR="009C249D" w:rsidRDefault="009C249D" w:rsidP="001A4063">
      <w:pPr>
        <w:spacing w:after="0" w:line="276" w:lineRule="auto"/>
        <w:ind w:right="0"/>
        <w:jc w:val="center"/>
        <w:rPr>
          <w:b/>
          <w:bCs/>
          <w:color w:val="000000" w:themeColor="text1"/>
          <w:szCs w:val="24"/>
        </w:rPr>
      </w:pPr>
    </w:p>
    <w:p w14:paraId="36E6AD33" w14:textId="0296B0E1" w:rsidR="00416F99" w:rsidRPr="006C041F" w:rsidRDefault="00416F99" w:rsidP="001A4063">
      <w:pPr>
        <w:spacing w:after="0" w:line="276" w:lineRule="auto"/>
        <w:ind w:right="0"/>
        <w:jc w:val="center"/>
        <w:rPr>
          <w:b/>
          <w:bCs/>
          <w:color w:val="000000" w:themeColor="text1"/>
          <w:szCs w:val="24"/>
        </w:rPr>
      </w:pPr>
      <w:r w:rsidRPr="006C041F">
        <w:rPr>
          <w:b/>
          <w:bCs/>
          <w:color w:val="000000" w:themeColor="text1"/>
          <w:szCs w:val="24"/>
        </w:rPr>
        <w:t>Capo III</w:t>
      </w:r>
    </w:p>
    <w:p w14:paraId="4A8F3ECA" w14:textId="1598E341" w:rsidR="00416F99" w:rsidRDefault="00416F99" w:rsidP="001A4063">
      <w:pPr>
        <w:spacing w:after="0" w:line="276" w:lineRule="auto"/>
        <w:ind w:right="0"/>
        <w:jc w:val="center"/>
        <w:rPr>
          <w:b/>
          <w:bCs/>
          <w:color w:val="000000" w:themeColor="text1"/>
          <w:szCs w:val="24"/>
        </w:rPr>
      </w:pPr>
      <w:r w:rsidRPr="006C041F">
        <w:rPr>
          <w:b/>
          <w:bCs/>
          <w:color w:val="000000" w:themeColor="text1"/>
          <w:szCs w:val="24"/>
        </w:rPr>
        <w:t>Misure di protezione</w:t>
      </w:r>
    </w:p>
    <w:p w14:paraId="2552DFC6" w14:textId="77777777" w:rsidR="00493619" w:rsidRPr="006C041F" w:rsidRDefault="00493619" w:rsidP="001A4063">
      <w:pPr>
        <w:spacing w:after="0" w:line="276" w:lineRule="auto"/>
        <w:ind w:right="0"/>
        <w:jc w:val="center"/>
        <w:rPr>
          <w:b/>
          <w:bCs/>
          <w:color w:val="000000" w:themeColor="text1"/>
          <w:szCs w:val="24"/>
        </w:rPr>
      </w:pPr>
    </w:p>
    <w:p w14:paraId="7049723C" w14:textId="42035BAE" w:rsidR="00E13BFE" w:rsidRPr="002D5EC3" w:rsidRDefault="00416F99" w:rsidP="001A4063">
      <w:pPr>
        <w:spacing w:after="20" w:line="276" w:lineRule="auto"/>
        <w:ind w:left="11" w:right="0" w:firstLine="0"/>
        <w:rPr>
          <w:strike/>
          <w:color w:val="000000" w:themeColor="text1"/>
          <w:szCs w:val="24"/>
        </w:rPr>
      </w:pPr>
      <w:r w:rsidRPr="00416F99">
        <w:rPr>
          <w:iCs/>
          <w:color w:val="auto"/>
          <w:szCs w:val="24"/>
          <w:lang w:eastAsia="en-US"/>
        </w:rPr>
        <w:t xml:space="preserve">Con il presente capo vengono disciplinate le </w:t>
      </w:r>
      <w:r>
        <w:rPr>
          <w:iCs/>
          <w:color w:val="auto"/>
          <w:szCs w:val="24"/>
          <w:lang w:eastAsia="en-US"/>
        </w:rPr>
        <w:t xml:space="preserve">misure di protezione che costituiscono gli strumenti a tutela dei segnalanti.  In particolare, </w:t>
      </w:r>
      <w:r w:rsidRPr="00C80179">
        <w:rPr>
          <w:b/>
          <w:bCs/>
          <w:i/>
          <w:color w:val="auto"/>
          <w:szCs w:val="24"/>
          <w:lang w:eastAsia="en-US"/>
        </w:rPr>
        <w:t>l’articolo</w:t>
      </w:r>
      <w:r>
        <w:rPr>
          <w:iCs/>
          <w:color w:val="auto"/>
          <w:szCs w:val="24"/>
          <w:lang w:eastAsia="en-US"/>
        </w:rPr>
        <w:t xml:space="preserve"> </w:t>
      </w:r>
      <w:r w:rsidR="00E347F9" w:rsidRPr="00E347F9">
        <w:rPr>
          <w:b/>
          <w:i/>
          <w:color w:val="auto"/>
          <w:szCs w:val="24"/>
          <w:lang w:eastAsia="en-US"/>
        </w:rPr>
        <w:t>1</w:t>
      </w:r>
      <w:r w:rsidR="00327542">
        <w:rPr>
          <w:b/>
          <w:i/>
          <w:color w:val="auto"/>
          <w:szCs w:val="24"/>
          <w:lang w:eastAsia="en-US"/>
        </w:rPr>
        <w:t>6</w:t>
      </w:r>
      <w:r w:rsidR="00E347F9">
        <w:rPr>
          <w:i/>
          <w:color w:val="auto"/>
          <w:szCs w:val="24"/>
          <w:lang w:eastAsia="en-US"/>
        </w:rPr>
        <w:t xml:space="preserve"> (Condizioni per la </w:t>
      </w:r>
      <w:r w:rsidR="00E347F9" w:rsidRPr="000F4E26">
        <w:rPr>
          <w:i/>
          <w:color w:val="auto"/>
          <w:szCs w:val="24"/>
          <w:lang w:eastAsia="en-US"/>
        </w:rPr>
        <w:t>protezione del</w:t>
      </w:r>
      <w:r w:rsidR="004F49BA" w:rsidRPr="000F4E26">
        <w:rPr>
          <w:i/>
          <w:color w:val="auto"/>
          <w:szCs w:val="24"/>
          <w:lang w:eastAsia="en-US"/>
        </w:rPr>
        <w:t>la persona</w:t>
      </w:r>
      <w:r w:rsidR="00E347F9" w:rsidRPr="000F4E26">
        <w:rPr>
          <w:i/>
          <w:color w:val="auto"/>
          <w:szCs w:val="24"/>
          <w:lang w:eastAsia="en-US"/>
        </w:rPr>
        <w:t xml:space="preserve"> segnalante) </w:t>
      </w:r>
      <w:r w:rsidRPr="000F4E26">
        <w:rPr>
          <w:iCs/>
          <w:color w:val="auto"/>
          <w:szCs w:val="24"/>
          <w:lang w:eastAsia="en-US"/>
        </w:rPr>
        <w:t>prevede</w:t>
      </w:r>
      <w:r w:rsidR="00E347F9" w:rsidRPr="000F4E26">
        <w:rPr>
          <w:iCs/>
          <w:color w:val="auto"/>
          <w:szCs w:val="24"/>
          <w:lang w:eastAsia="en-US"/>
        </w:rPr>
        <w:t xml:space="preserve"> </w:t>
      </w:r>
      <w:r w:rsidR="00E347F9" w:rsidRPr="000F4E26">
        <w:rPr>
          <w:color w:val="auto"/>
          <w:szCs w:val="24"/>
          <w:lang w:eastAsia="en-US"/>
        </w:rPr>
        <w:t xml:space="preserve">le condizioni </w:t>
      </w:r>
      <w:r w:rsidR="00A93C09" w:rsidRPr="000F4E26">
        <w:rPr>
          <w:color w:val="auto"/>
          <w:szCs w:val="24"/>
          <w:lang w:eastAsia="en-US"/>
        </w:rPr>
        <w:t>mediante l</w:t>
      </w:r>
      <w:r w:rsidR="00E347F9" w:rsidRPr="000F4E26">
        <w:rPr>
          <w:color w:val="auto"/>
          <w:szCs w:val="24"/>
          <w:lang w:eastAsia="en-US"/>
        </w:rPr>
        <w:t xml:space="preserve">e quali la persona che effettua una divulgazione pubblica può accedere ai benefici </w:t>
      </w:r>
      <w:r w:rsidR="002D5BB8" w:rsidRPr="000F4E26">
        <w:rPr>
          <w:color w:val="auto"/>
          <w:szCs w:val="24"/>
          <w:lang w:eastAsia="en-US"/>
        </w:rPr>
        <w:t xml:space="preserve">di protezione </w:t>
      </w:r>
      <w:r w:rsidR="00E347F9" w:rsidRPr="000F4E26">
        <w:rPr>
          <w:color w:val="auto"/>
          <w:szCs w:val="24"/>
          <w:lang w:eastAsia="en-US"/>
        </w:rPr>
        <w:t>previsti dal presente decreto</w:t>
      </w:r>
      <w:r w:rsidR="002D5BB8" w:rsidRPr="000F4E26">
        <w:rPr>
          <w:color w:val="auto"/>
          <w:szCs w:val="24"/>
          <w:lang w:eastAsia="en-US"/>
        </w:rPr>
        <w:t xml:space="preserve">, quando </w:t>
      </w:r>
      <w:r w:rsidR="00A93C09" w:rsidRPr="000F4E26">
        <w:rPr>
          <w:color w:val="auto"/>
          <w:szCs w:val="24"/>
          <w:lang w:eastAsia="en-US"/>
        </w:rPr>
        <w:t xml:space="preserve">al momento della segnalazione/denuncia o divulgazione pubblica il soggetto segnalante riteneva che </w:t>
      </w:r>
      <w:r w:rsidR="002D5BB8" w:rsidRPr="000F4E26">
        <w:rPr>
          <w:color w:val="auto"/>
          <w:szCs w:val="24"/>
          <w:lang w:eastAsia="en-US"/>
        </w:rPr>
        <w:t xml:space="preserve">le informazioni divulgate </w:t>
      </w:r>
      <w:r w:rsidR="00A93C09" w:rsidRPr="000F4E26">
        <w:rPr>
          <w:color w:val="auto"/>
          <w:szCs w:val="24"/>
          <w:lang w:eastAsia="en-US"/>
        </w:rPr>
        <w:t xml:space="preserve">fossero </w:t>
      </w:r>
      <w:r w:rsidR="002D5BB8" w:rsidRPr="000F4E26">
        <w:rPr>
          <w:color w:val="auto"/>
          <w:szCs w:val="24"/>
          <w:lang w:eastAsia="en-US"/>
        </w:rPr>
        <w:t xml:space="preserve">vere. Tale tutela è assicurata, in caso di segnalazione anonima, </w:t>
      </w:r>
      <w:r w:rsidR="00960BF8" w:rsidRPr="00826193">
        <w:rPr>
          <w:color w:val="auto"/>
          <w:szCs w:val="24"/>
          <w:lang w:eastAsia="en-US"/>
        </w:rPr>
        <w:t>solo</w:t>
      </w:r>
      <w:r w:rsidR="00960BF8" w:rsidRPr="00960BF8">
        <w:rPr>
          <w:b/>
          <w:bCs/>
          <w:color w:val="auto"/>
          <w:szCs w:val="24"/>
          <w:lang w:eastAsia="en-US"/>
        </w:rPr>
        <w:t xml:space="preserve"> </w:t>
      </w:r>
      <w:r w:rsidR="002D5BB8" w:rsidRPr="000F4E26">
        <w:rPr>
          <w:color w:val="auto"/>
          <w:szCs w:val="24"/>
          <w:lang w:eastAsia="en-US"/>
        </w:rPr>
        <w:t>al</w:t>
      </w:r>
      <w:r w:rsidR="00FE188E" w:rsidRPr="000F4E26">
        <w:rPr>
          <w:color w:val="auto"/>
          <w:szCs w:val="24"/>
          <w:lang w:eastAsia="en-US"/>
        </w:rPr>
        <w:t>la persona</w:t>
      </w:r>
      <w:r w:rsidR="002D5BB8" w:rsidRPr="000F4E26">
        <w:rPr>
          <w:color w:val="auto"/>
          <w:szCs w:val="24"/>
          <w:lang w:eastAsia="en-US"/>
        </w:rPr>
        <w:t xml:space="preserve"> segnalante che sia stat</w:t>
      </w:r>
      <w:r w:rsidR="00826193">
        <w:rPr>
          <w:color w:val="auto"/>
          <w:szCs w:val="24"/>
          <w:lang w:eastAsia="en-US"/>
        </w:rPr>
        <w:t>a</w:t>
      </w:r>
      <w:r w:rsidR="002D5BB8" w:rsidRPr="000F4E26">
        <w:rPr>
          <w:color w:val="auto"/>
          <w:szCs w:val="24"/>
          <w:lang w:eastAsia="en-US"/>
        </w:rPr>
        <w:t xml:space="preserve"> successivamente identificat</w:t>
      </w:r>
      <w:r w:rsidR="00F62E7D">
        <w:rPr>
          <w:color w:val="auto"/>
          <w:szCs w:val="24"/>
          <w:lang w:eastAsia="en-US"/>
        </w:rPr>
        <w:t>a</w:t>
      </w:r>
      <w:r w:rsidR="002D5BB8" w:rsidRPr="000F4E26">
        <w:rPr>
          <w:color w:val="auto"/>
          <w:szCs w:val="24"/>
          <w:lang w:eastAsia="en-US"/>
        </w:rPr>
        <w:t xml:space="preserve"> e che abbia subito ritorsioni</w:t>
      </w:r>
      <w:r w:rsidR="000A16E6" w:rsidRPr="000F4E26">
        <w:rPr>
          <w:color w:val="auto"/>
          <w:szCs w:val="24"/>
          <w:lang w:eastAsia="en-US"/>
        </w:rPr>
        <w:t xml:space="preserve"> (comma 4)</w:t>
      </w:r>
      <w:r w:rsidR="00E13BFE" w:rsidRPr="000F4E26">
        <w:rPr>
          <w:color w:val="auto"/>
          <w:szCs w:val="24"/>
          <w:lang w:eastAsia="en-US"/>
        </w:rPr>
        <w:t>,</w:t>
      </w:r>
      <w:r w:rsidR="002D5BB8" w:rsidRPr="000F4E26">
        <w:rPr>
          <w:color w:val="auto"/>
          <w:szCs w:val="24"/>
          <w:lang w:eastAsia="en-US"/>
        </w:rPr>
        <w:t xml:space="preserve"> nonché nei casi di segnalazione presentata alle istituzioni, agli organi e agli organismi competenti dell’Unione.</w:t>
      </w:r>
      <w:r w:rsidR="00E13BFE" w:rsidRPr="000F4E26">
        <w:rPr>
          <w:color w:val="auto"/>
          <w:szCs w:val="24"/>
          <w:lang w:eastAsia="en-US"/>
        </w:rPr>
        <w:t xml:space="preserve"> Si rappresenta che, salvo quanto previsto dal successivo articolo 20, </w:t>
      </w:r>
      <w:r w:rsidR="00E13BFE" w:rsidRPr="000F4E26">
        <w:rPr>
          <w:color w:val="000000" w:themeColor="text1"/>
          <w:szCs w:val="24"/>
        </w:rPr>
        <w:t xml:space="preserve">quando è accertata, anche con sentenza di primo grado, la responsabilità penale della persona segnalante per i reati di diffamazione o di calunnia o comunque per i reati commessi con la denuncia all’autorità giudiziaria o contabile ovvero la sua responsabilità civile, per lo stesso titolo, nei casi di dolo o colpa grave, le </w:t>
      </w:r>
      <w:r w:rsidR="00E13BFE" w:rsidRPr="002D5EC3">
        <w:rPr>
          <w:color w:val="000000" w:themeColor="text1"/>
          <w:szCs w:val="24"/>
        </w:rPr>
        <w:t>tutele indicate non sono garantite e alla persona segnalante o denunciante è irrogata una sanzione disciplinare.</w:t>
      </w:r>
    </w:p>
    <w:p w14:paraId="40FA185B" w14:textId="30D7DD71" w:rsidR="00E347F9" w:rsidRDefault="00B753BD" w:rsidP="001A4063">
      <w:pPr>
        <w:spacing w:after="20" w:line="276" w:lineRule="auto"/>
        <w:ind w:left="11" w:right="0" w:firstLine="0"/>
        <w:rPr>
          <w:i/>
          <w:color w:val="auto"/>
          <w:szCs w:val="24"/>
          <w:lang w:eastAsia="en-US"/>
        </w:rPr>
      </w:pPr>
      <w:r w:rsidRPr="00B753BD">
        <w:rPr>
          <w:i/>
          <w:color w:val="auto"/>
          <w:szCs w:val="24"/>
          <w:lang w:eastAsia="en-US"/>
        </w:rPr>
        <w:t xml:space="preserve"> </w:t>
      </w:r>
      <w:r>
        <w:rPr>
          <w:i/>
          <w:color w:val="auto"/>
          <w:szCs w:val="24"/>
          <w:lang w:eastAsia="en-US"/>
        </w:rPr>
        <w:t>La disposizione</w:t>
      </w:r>
      <w:r w:rsidRPr="00F02D86">
        <w:rPr>
          <w:i/>
          <w:color w:val="auto"/>
          <w:szCs w:val="24"/>
          <w:lang w:eastAsia="en-US"/>
        </w:rPr>
        <w:t xml:space="preserve"> </w:t>
      </w:r>
      <w:r>
        <w:rPr>
          <w:i/>
          <w:color w:val="auto"/>
          <w:szCs w:val="24"/>
          <w:lang w:eastAsia="en-US"/>
        </w:rPr>
        <w:t xml:space="preserve">ha </w:t>
      </w:r>
      <w:r w:rsidRPr="00F02D86">
        <w:rPr>
          <w:i/>
          <w:color w:val="auto"/>
          <w:szCs w:val="24"/>
          <w:lang w:eastAsia="en-US"/>
        </w:rPr>
        <w:t>natura ordinamentale e definitoria e non è suscettibile di determinare effetti negativi per la finanza pubblica</w:t>
      </w:r>
      <w:r w:rsidR="000C5FBE">
        <w:rPr>
          <w:i/>
          <w:color w:val="auto"/>
          <w:szCs w:val="24"/>
          <w:lang w:eastAsia="en-US"/>
        </w:rPr>
        <w:t>.</w:t>
      </w:r>
    </w:p>
    <w:p w14:paraId="39796356" w14:textId="1B845A25" w:rsidR="00AA0B0B" w:rsidRDefault="00B82696" w:rsidP="001A4063">
      <w:pPr>
        <w:spacing w:after="20" w:line="276" w:lineRule="auto"/>
        <w:ind w:right="0" w:firstLine="0"/>
        <w:rPr>
          <w:color w:val="auto"/>
          <w:szCs w:val="24"/>
          <w:lang w:eastAsia="en-US"/>
        </w:rPr>
      </w:pPr>
      <w:r w:rsidRPr="00B82696">
        <w:rPr>
          <w:b/>
          <w:i/>
          <w:color w:val="auto"/>
          <w:szCs w:val="24"/>
          <w:lang w:eastAsia="en-US"/>
        </w:rPr>
        <w:t>L’articolo 1</w:t>
      </w:r>
      <w:r w:rsidR="00AA0B0B">
        <w:rPr>
          <w:b/>
          <w:i/>
          <w:color w:val="auto"/>
          <w:szCs w:val="24"/>
          <w:lang w:eastAsia="en-US"/>
        </w:rPr>
        <w:t>7</w:t>
      </w:r>
      <w:r>
        <w:rPr>
          <w:color w:val="auto"/>
          <w:szCs w:val="24"/>
          <w:lang w:eastAsia="en-US"/>
        </w:rPr>
        <w:t xml:space="preserve"> prevede che è vietata ogni forma di ritorsione, in quanto il segnalante non può essere sottoposto a misure che abbiano effetti negativi sul rapporto di lavoro</w:t>
      </w:r>
      <w:r w:rsidR="00AA0B0B">
        <w:rPr>
          <w:color w:val="auto"/>
          <w:szCs w:val="24"/>
          <w:lang w:eastAsia="en-US"/>
        </w:rPr>
        <w:t xml:space="preserve"> e sulla persona e la sua reputazione</w:t>
      </w:r>
      <w:r>
        <w:rPr>
          <w:color w:val="auto"/>
          <w:szCs w:val="24"/>
          <w:lang w:eastAsia="en-US"/>
        </w:rPr>
        <w:t xml:space="preserve">: pertanto, </w:t>
      </w:r>
      <w:r w:rsidR="00AA0B0B">
        <w:rPr>
          <w:color w:val="auto"/>
          <w:szCs w:val="24"/>
          <w:lang w:eastAsia="en-US"/>
        </w:rPr>
        <w:t xml:space="preserve">si prevede un dettagliato elenco delle possibili forme di ritorsione, o discriminazione operate nei confronti del </w:t>
      </w:r>
      <w:r>
        <w:rPr>
          <w:color w:val="auto"/>
          <w:szCs w:val="24"/>
          <w:lang w:eastAsia="en-US"/>
        </w:rPr>
        <w:t xml:space="preserve">whistleblower </w:t>
      </w:r>
      <w:r w:rsidR="00AA0B0B">
        <w:rPr>
          <w:color w:val="auto"/>
          <w:szCs w:val="24"/>
          <w:lang w:eastAsia="en-US"/>
        </w:rPr>
        <w:t xml:space="preserve">tra cui si evidenziano quelle del  licenziamento, demansionamento, </w:t>
      </w:r>
      <w:r>
        <w:rPr>
          <w:color w:val="auto"/>
          <w:szCs w:val="24"/>
          <w:lang w:eastAsia="en-US"/>
        </w:rPr>
        <w:t xml:space="preserve"> trasfer</w:t>
      </w:r>
      <w:r w:rsidR="00AA0B0B">
        <w:rPr>
          <w:color w:val="auto"/>
          <w:szCs w:val="24"/>
          <w:lang w:eastAsia="en-US"/>
        </w:rPr>
        <w:t>imento di sede e ogni altra azione che comporti effetti negativi sui contratti di lavoro (come il mancato rinnovo o la risoluzione anticipata),</w:t>
      </w:r>
      <w:r>
        <w:rPr>
          <w:color w:val="auto"/>
          <w:szCs w:val="24"/>
          <w:lang w:eastAsia="en-US"/>
        </w:rPr>
        <w:t xml:space="preserve"> </w:t>
      </w:r>
      <w:r w:rsidR="00D034E0">
        <w:rPr>
          <w:color w:val="auto"/>
          <w:szCs w:val="24"/>
          <w:lang w:eastAsia="en-US"/>
        </w:rPr>
        <w:t xml:space="preserve">nonché una serie di altre gravi </w:t>
      </w:r>
      <w:r>
        <w:rPr>
          <w:color w:val="auto"/>
          <w:szCs w:val="24"/>
          <w:lang w:eastAsia="en-US"/>
        </w:rPr>
        <w:t>condotte afflittive</w:t>
      </w:r>
      <w:r w:rsidR="000F24DE">
        <w:rPr>
          <w:color w:val="auto"/>
          <w:szCs w:val="24"/>
          <w:lang w:eastAsia="en-US"/>
        </w:rPr>
        <w:t xml:space="preserve"> come ad esempio la richiesta di sottoposizione ad accertamenti psichiatrici o medici </w:t>
      </w:r>
      <w:r>
        <w:rPr>
          <w:color w:val="auto"/>
          <w:szCs w:val="24"/>
          <w:lang w:eastAsia="en-US"/>
        </w:rPr>
        <w:t xml:space="preserve"> </w:t>
      </w:r>
      <w:r w:rsidR="00D034E0">
        <w:rPr>
          <w:color w:val="auto"/>
          <w:szCs w:val="24"/>
          <w:lang w:eastAsia="en-US"/>
        </w:rPr>
        <w:t xml:space="preserve">e azioni discriminatorie dalle quali conseguono pregiudizi economici o finanziari anche in termini di perdita di opportunità e di redditi </w:t>
      </w:r>
      <w:r>
        <w:rPr>
          <w:color w:val="auto"/>
          <w:szCs w:val="24"/>
          <w:lang w:eastAsia="en-US"/>
        </w:rPr>
        <w:t>a cagione del suo agire.</w:t>
      </w:r>
      <w:r w:rsidR="003717F4">
        <w:rPr>
          <w:color w:val="auto"/>
          <w:szCs w:val="24"/>
          <w:lang w:eastAsia="en-US"/>
        </w:rPr>
        <w:t xml:space="preserve"> </w:t>
      </w:r>
    </w:p>
    <w:p w14:paraId="5585405C" w14:textId="158F6744" w:rsidR="00B82696" w:rsidRDefault="003717F4" w:rsidP="001A4063">
      <w:pPr>
        <w:spacing w:after="20" w:line="276" w:lineRule="auto"/>
        <w:ind w:right="0" w:firstLine="0"/>
        <w:rPr>
          <w:color w:val="auto"/>
          <w:szCs w:val="24"/>
          <w:lang w:eastAsia="en-US"/>
        </w:rPr>
      </w:pPr>
      <w:r w:rsidRPr="003717F4">
        <w:rPr>
          <w:i/>
          <w:color w:val="auto"/>
          <w:szCs w:val="24"/>
          <w:lang w:eastAsia="en-US"/>
        </w:rPr>
        <w:t>La disposizione ha carattere precettivo e non comporta oneri per la finanza pubblica.</w:t>
      </w:r>
      <w:r>
        <w:rPr>
          <w:color w:val="auto"/>
          <w:szCs w:val="24"/>
          <w:lang w:eastAsia="en-US"/>
        </w:rPr>
        <w:t xml:space="preserve"> </w:t>
      </w:r>
    </w:p>
    <w:p w14:paraId="7402F970" w14:textId="69B52E34" w:rsidR="00CF1475" w:rsidRPr="00296888" w:rsidRDefault="00EA0543" w:rsidP="001A4063">
      <w:pPr>
        <w:spacing w:after="20" w:line="276" w:lineRule="auto"/>
        <w:ind w:right="0" w:firstLine="0"/>
        <w:rPr>
          <w:color w:val="auto"/>
          <w:szCs w:val="24"/>
          <w:lang w:eastAsia="en-US"/>
        </w:rPr>
      </w:pPr>
      <w:r>
        <w:rPr>
          <w:b/>
          <w:i/>
          <w:color w:val="auto"/>
          <w:szCs w:val="24"/>
          <w:lang w:eastAsia="en-US"/>
        </w:rPr>
        <w:t xml:space="preserve">L’articolo </w:t>
      </w:r>
      <w:r w:rsidRPr="00EB1E4C">
        <w:rPr>
          <w:b/>
          <w:i/>
          <w:color w:val="auto"/>
          <w:szCs w:val="24"/>
          <w:lang w:eastAsia="en-US"/>
        </w:rPr>
        <w:t>1</w:t>
      </w:r>
      <w:r w:rsidR="000F24DE">
        <w:rPr>
          <w:b/>
          <w:i/>
          <w:color w:val="auto"/>
          <w:szCs w:val="24"/>
          <w:lang w:eastAsia="en-US"/>
        </w:rPr>
        <w:t>8</w:t>
      </w:r>
      <w:r w:rsidRPr="00EB1E4C">
        <w:rPr>
          <w:b/>
          <w:i/>
          <w:color w:val="auto"/>
          <w:szCs w:val="24"/>
          <w:lang w:eastAsia="en-US"/>
        </w:rPr>
        <w:t xml:space="preserve"> </w:t>
      </w:r>
      <w:r w:rsidRPr="00EB1E4C">
        <w:rPr>
          <w:color w:val="auto"/>
          <w:szCs w:val="24"/>
          <w:lang w:eastAsia="en-US"/>
        </w:rPr>
        <w:t>si o</w:t>
      </w:r>
      <w:r w:rsidR="0046061A" w:rsidRPr="00EB1E4C">
        <w:rPr>
          <w:color w:val="auto"/>
          <w:szCs w:val="24"/>
          <w:lang w:eastAsia="en-US"/>
        </w:rPr>
        <w:t>ccupa d</w:t>
      </w:r>
      <w:r w:rsidRPr="00EB1E4C">
        <w:rPr>
          <w:color w:val="auto"/>
          <w:szCs w:val="24"/>
          <w:lang w:eastAsia="en-US"/>
        </w:rPr>
        <w:t>i inquadrare le c.d. misure di sostegno</w:t>
      </w:r>
      <w:r w:rsidR="005A761D" w:rsidRPr="00EB1E4C">
        <w:rPr>
          <w:color w:val="auto"/>
          <w:szCs w:val="24"/>
          <w:lang w:eastAsia="en-US"/>
        </w:rPr>
        <w:t xml:space="preserve"> a favore della persona segnalante</w:t>
      </w:r>
      <w:r w:rsidRPr="00EB1E4C">
        <w:rPr>
          <w:color w:val="auto"/>
          <w:szCs w:val="24"/>
          <w:lang w:eastAsia="en-US"/>
        </w:rPr>
        <w:t xml:space="preserve"> </w:t>
      </w:r>
      <w:r w:rsidR="006C13CB" w:rsidRPr="00296888">
        <w:rPr>
          <w:color w:val="auto"/>
          <w:szCs w:val="24"/>
          <w:lang w:eastAsia="en-US"/>
        </w:rPr>
        <w:t xml:space="preserve">fornite da </w:t>
      </w:r>
      <w:r w:rsidR="005A761D" w:rsidRPr="00296888">
        <w:rPr>
          <w:color w:val="auto"/>
          <w:szCs w:val="24"/>
          <w:lang w:eastAsia="en-US"/>
        </w:rPr>
        <w:t xml:space="preserve">enti </w:t>
      </w:r>
      <w:r w:rsidR="006C13CB" w:rsidRPr="00296888">
        <w:rPr>
          <w:color w:val="auto"/>
          <w:szCs w:val="24"/>
          <w:lang w:eastAsia="en-US"/>
        </w:rPr>
        <w:t xml:space="preserve">del Terzo settore </w:t>
      </w:r>
      <w:r w:rsidR="0046061A" w:rsidRPr="00296888">
        <w:rPr>
          <w:color w:val="auto"/>
          <w:szCs w:val="24"/>
          <w:lang w:eastAsia="en-US"/>
        </w:rPr>
        <w:t>che perseguono finalità</w:t>
      </w:r>
      <w:r w:rsidR="006C13CB" w:rsidRPr="00296888">
        <w:rPr>
          <w:color w:val="auto"/>
          <w:szCs w:val="24"/>
          <w:lang w:eastAsia="en-US"/>
        </w:rPr>
        <w:t xml:space="preserve"> di promozione della legalità, </w:t>
      </w:r>
      <w:r w:rsidR="0046061A" w:rsidRPr="00296888">
        <w:rPr>
          <w:color w:val="auto"/>
          <w:szCs w:val="24"/>
          <w:lang w:eastAsia="en-US"/>
        </w:rPr>
        <w:t xml:space="preserve">della trasparenza </w:t>
      </w:r>
      <w:r w:rsidR="006C13CB" w:rsidRPr="00296888">
        <w:rPr>
          <w:color w:val="auto"/>
          <w:szCs w:val="24"/>
          <w:lang w:eastAsia="en-US"/>
        </w:rPr>
        <w:t xml:space="preserve">e tutela di diritti umani, civili, sociali e politici, nonché dei diritti dei consumatori </w:t>
      </w:r>
      <w:r w:rsidR="0046061A" w:rsidRPr="00296888">
        <w:rPr>
          <w:color w:val="auto"/>
          <w:szCs w:val="24"/>
          <w:lang w:eastAsia="en-US"/>
        </w:rPr>
        <w:t>sia nel settore pubblico che privato, mediante la stipula, a titolo gratuito, di apposite convenzioni</w:t>
      </w:r>
      <w:r w:rsidR="005A761D" w:rsidRPr="00296888">
        <w:rPr>
          <w:color w:val="auto"/>
          <w:szCs w:val="24"/>
          <w:lang w:eastAsia="en-US"/>
        </w:rPr>
        <w:t xml:space="preserve"> con l</w:t>
      </w:r>
      <w:r w:rsidR="0046061A" w:rsidRPr="00296888">
        <w:rPr>
          <w:color w:val="auto"/>
          <w:szCs w:val="24"/>
          <w:lang w:eastAsia="en-US"/>
        </w:rPr>
        <w:t>’ANAC. Tali misure consistono in informazioni</w:t>
      </w:r>
      <w:r w:rsidR="006C13CB" w:rsidRPr="00296888">
        <w:rPr>
          <w:color w:val="auto"/>
          <w:szCs w:val="24"/>
          <w:lang w:eastAsia="en-US"/>
        </w:rPr>
        <w:t>, assistenza</w:t>
      </w:r>
      <w:r w:rsidR="0046061A" w:rsidRPr="00296888">
        <w:rPr>
          <w:color w:val="auto"/>
          <w:szCs w:val="24"/>
          <w:lang w:eastAsia="en-US"/>
        </w:rPr>
        <w:t xml:space="preserve"> e consulenze legali </w:t>
      </w:r>
      <w:r w:rsidR="00CF1475" w:rsidRPr="00296888">
        <w:rPr>
          <w:color w:val="auto"/>
          <w:szCs w:val="24"/>
          <w:lang w:eastAsia="en-US"/>
        </w:rPr>
        <w:t xml:space="preserve">- </w:t>
      </w:r>
      <w:r w:rsidR="0046061A" w:rsidRPr="00296888">
        <w:rPr>
          <w:color w:val="auto"/>
          <w:szCs w:val="24"/>
          <w:lang w:eastAsia="en-US"/>
        </w:rPr>
        <w:t xml:space="preserve">rilasciate gratuitamente </w:t>
      </w:r>
      <w:r w:rsidR="006C13CB" w:rsidRPr="00296888">
        <w:rPr>
          <w:color w:val="auto"/>
          <w:szCs w:val="24"/>
          <w:lang w:eastAsia="en-US"/>
        </w:rPr>
        <w:t>–</w:t>
      </w:r>
      <w:r w:rsidR="0046061A" w:rsidRPr="00296888">
        <w:rPr>
          <w:color w:val="auto"/>
          <w:szCs w:val="24"/>
          <w:lang w:eastAsia="en-US"/>
        </w:rPr>
        <w:t xml:space="preserve"> sulla</w:t>
      </w:r>
      <w:r w:rsidR="006C13CB" w:rsidRPr="00296888">
        <w:rPr>
          <w:color w:val="auto"/>
          <w:szCs w:val="24"/>
          <w:lang w:eastAsia="en-US"/>
        </w:rPr>
        <w:t xml:space="preserve"> modalità di segnalazione e sulla </w:t>
      </w:r>
      <w:r w:rsidR="0046061A" w:rsidRPr="00296888">
        <w:rPr>
          <w:color w:val="auto"/>
          <w:szCs w:val="24"/>
          <w:lang w:eastAsia="en-US"/>
        </w:rPr>
        <w:t>protezione dalle ritorsioni secondo le forme di tutela apprestate dall’ordinamento interno e dal diritto unionale</w:t>
      </w:r>
      <w:r w:rsidR="006F356D" w:rsidRPr="00296888">
        <w:rPr>
          <w:color w:val="auto"/>
          <w:szCs w:val="24"/>
          <w:lang w:eastAsia="en-US"/>
        </w:rPr>
        <w:t>, sui diritti della persona coinvolta, nonché sulle modalità e condizioni di accesso al patrocinio a</w:t>
      </w:r>
      <w:r w:rsidR="00296888">
        <w:rPr>
          <w:color w:val="auto"/>
          <w:szCs w:val="24"/>
          <w:lang w:eastAsia="en-US"/>
        </w:rPr>
        <w:t xml:space="preserve"> </w:t>
      </w:r>
      <w:r w:rsidR="006F356D" w:rsidRPr="00296888">
        <w:rPr>
          <w:color w:val="auto"/>
          <w:szCs w:val="24"/>
          <w:lang w:eastAsia="en-US"/>
        </w:rPr>
        <w:t>spese dello Stato previsto dal diritto intern</w:t>
      </w:r>
      <w:r w:rsidR="004E34BE" w:rsidRPr="00296888">
        <w:rPr>
          <w:color w:val="auto"/>
          <w:szCs w:val="24"/>
          <w:lang w:eastAsia="en-US"/>
        </w:rPr>
        <w:t>o o dell’Unione europea</w:t>
      </w:r>
      <w:r w:rsidR="0046061A" w:rsidRPr="00296888">
        <w:rPr>
          <w:color w:val="auto"/>
          <w:szCs w:val="24"/>
          <w:lang w:eastAsia="en-US"/>
        </w:rPr>
        <w:t>.</w:t>
      </w:r>
    </w:p>
    <w:p w14:paraId="17F65547" w14:textId="5EFB29BC" w:rsidR="00753FAE" w:rsidRDefault="00CF1475" w:rsidP="001A4063">
      <w:pPr>
        <w:spacing w:after="20" w:line="276" w:lineRule="auto"/>
        <w:ind w:right="0" w:firstLine="0"/>
        <w:rPr>
          <w:i/>
          <w:color w:val="auto"/>
          <w:szCs w:val="24"/>
          <w:lang w:eastAsia="en-US"/>
        </w:rPr>
      </w:pPr>
      <w:r w:rsidRPr="009C3ED3">
        <w:rPr>
          <w:iCs/>
          <w:color w:val="auto"/>
          <w:szCs w:val="24"/>
          <w:lang w:eastAsia="en-US"/>
        </w:rPr>
        <w:t>In caso di possesso dei requisiti previsti dalle disposizioni dell’ordinamento giuridico, la persona che ha inoltrato la segnalazione potrà avvalersi del patrocinio a spese dello Stato, secondo quanto già previsto a legislazione vigente dagli articoli 74 e ss. del D.P.R. 30 maggio 2002, n. 115 (T.U. spese di giustizia)</w:t>
      </w:r>
      <w:r w:rsidR="00753FAE">
        <w:rPr>
          <w:iCs/>
          <w:color w:val="auto"/>
          <w:szCs w:val="24"/>
          <w:lang w:eastAsia="en-US"/>
        </w:rPr>
        <w:t xml:space="preserve">, e </w:t>
      </w:r>
      <w:r w:rsidR="00753FAE">
        <w:rPr>
          <w:i/>
          <w:color w:val="auto"/>
          <w:szCs w:val="24"/>
          <w:lang w:eastAsia="en-US"/>
        </w:rPr>
        <w:t>p</w:t>
      </w:r>
      <w:r w:rsidR="00753FAE" w:rsidRPr="00CF1475">
        <w:rPr>
          <w:i/>
          <w:color w:val="auto"/>
          <w:szCs w:val="24"/>
          <w:lang w:eastAsia="en-US"/>
        </w:rPr>
        <w:t>ertanto, la previsione di cui sopra rientra tra le fattispecie contemplate dal diritto interno per l’ammissione al beneficio del gratuito patrocinio e non determina oneri aggiuntivi a carico della finanza pubblica.</w:t>
      </w:r>
    </w:p>
    <w:p w14:paraId="6D48E343" w14:textId="569EB413" w:rsidR="006C13CB" w:rsidRDefault="00563812" w:rsidP="001A4063">
      <w:pPr>
        <w:spacing w:after="20" w:line="276" w:lineRule="auto"/>
        <w:ind w:right="0" w:firstLine="0"/>
        <w:rPr>
          <w:i/>
          <w:color w:val="auto"/>
          <w:szCs w:val="24"/>
          <w:lang w:eastAsia="en-US"/>
        </w:rPr>
      </w:pPr>
      <w:r w:rsidRPr="00296888">
        <w:rPr>
          <w:color w:val="auto"/>
          <w:szCs w:val="24"/>
          <w:lang w:eastAsia="en-US"/>
        </w:rPr>
        <w:t xml:space="preserve">Al </w:t>
      </w:r>
      <w:r w:rsidRPr="00296888">
        <w:rPr>
          <w:i/>
          <w:color w:val="auto"/>
          <w:szCs w:val="24"/>
          <w:lang w:eastAsia="en-US"/>
        </w:rPr>
        <w:t xml:space="preserve">comma </w:t>
      </w:r>
      <w:r w:rsidR="00047E28">
        <w:rPr>
          <w:i/>
          <w:color w:val="auto"/>
          <w:szCs w:val="24"/>
          <w:lang w:eastAsia="en-US"/>
        </w:rPr>
        <w:t>3</w:t>
      </w:r>
      <w:r w:rsidRPr="00296888">
        <w:rPr>
          <w:color w:val="auto"/>
          <w:szCs w:val="24"/>
          <w:lang w:eastAsia="en-US"/>
        </w:rPr>
        <w:t xml:space="preserve"> del presente articolo si prevede la possibilità per l’autorità giudiziaria o amministrativa, alla quale si è rivolta la persona segnalante per ottenere protezione dalle ritorsioni, di richiedere all’ANAC informazioni e documenti relativi alle segnalazioni eventualmente presentate. Si osservano le forme di cui all’articolo 210 e seguenti del </w:t>
      </w:r>
      <w:r w:rsidR="00D76A0E" w:rsidRPr="00296888">
        <w:rPr>
          <w:color w:val="auto"/>
          <w:szCs w:val="24"/>
          <w:lang w:eastAsia="en-US"/>
        </w:rPr>
        <w:t>Codice di procedura civile</w:t>
      </w:r>
      <w:r w:rsidRPr="00296888">
        <w:rPr>
          <w:color w:val="auto"/>
          <w:szCs w:val="24"/>
          <w:lang w:eastAsia="en-US"/>
        </w:rPr>
        <w:t xml:space="preserve"> nei procedimenti giudiziari, nonché l’articolo 63, secondo comma </w:t>
      </w:r>
      <w:proofErr w:type="spellStart"/>
      <w:r w:rsidRPr="00296888">
        <w:rPr>
          <w:color w:val="auto"/>
          <w:szCs w:val="24"/>
          <w:lang w:eastAsia="en-US"/>
        </w:rPr>
        <w:t>c.p.a</w:t>
      </w:r>
      <w:proofErr w:type="spellEnd"/>
      <w:r w:rsidRPr="00296888">
        <w:rPr>
          <w:color w:val="auto"/>
          <w:szCs w:val="24"/>
          <w:lang w:eastAsia="en-US"/>
        </w:rPr>
        <w:t>. per i processi amministrativi.</w:t>
      </w:r>
    </w:p>
    <w:p w14:paraId="5885A68D" w14:textId="0FEE7C16" w:rsidR="00096D19" w:rsidRDefault="00F4393B" w:rsidP="001A4063">
      <w:pPr>
        <w:spacing w:after="20" w:line="276" w:lineRule="auto"/>
        <w:ind w:right="0" w:firstLine="0"/>
        <w:rPr>
          <w:color w:val="auto"/>
          <w:szCs w:val="24"/>
          <w:lang w:eastAsia="en-US"/>
        </w:rPr>
      </w:pPr>
      <w:r w:rsidRPr="00F4393B">
        <w:rPr>
          <w:b/>
          <w:i/>
          <w:color w:val="auto"/>
          <w:szCs w:val="24"/>
          <w:lang w:eastAsia="en-US"/>
        </w:rPr>
        <w:t>L’articolo 1</w:t>
      </w:r>
      <w:r w:rsidR="000856EB">
        <w:rPr>
          <w:b/>
          <w:i/>
          <w:color w:val="auto"/>
          <w:szCs w:val="24"/>
          <w:lang w:eastAsia="en-US"/>
        </w:rPr>
        <w:t>9</w:t>
      </w:r>
      <w:r w:rsidRPr="00F4393B">
        <w:rPr>
          <w:b/>
          <w:i/>
          <w:color w:val="auto"/>
          <w:szCs w:val="24"/>
          <w:lang w:eastAsia="en-US"/>
        </w:rPr>
        <w:t xml:space="preserve"> </w:t>
      </w:r>
      <w:r w:rsidRPr="00F4393B">
        <w:rPr>
          <w:color w:val="auto"/>
          <w:szCs w:val="24"/>
          <w:lang w:eastAsia="en-US"/>
        </w:rPr>
        <w:t>si</w:t>
      </w:r>
      <w:r>
        <w:rPr>
          <w:color w:val="auto"/>
          <w:szCs w:val="24"/>
          <w:lang w:eastAsia="en-US"/>
        </w:rPr>
        <w:t xml:space="preserve"> occupa di disciplinare la tutela del segnalante in caso di adozione di misure ritorsive e detta, quindi, le misure di protezione che l’ANAC attiva al riguardo, informando </w:t>
      </w:r>
      <w:r w:rsidR="00164B31">
        <w:rPr>
          <w:color w:val="auto"/>
          <w:szCs w:val="24"/>
          <w:lang w:eastAsia="en-US"/>
        </w:rPr>
        <w:t>-</w:t>
      </w:r>
      <w:r>
        <w:rPr>
          <w:color w:val="auto"/>
          <w:szCs w:val="24"/>
          <w:lang w:eastAsia="en-US"/>
        </w:rPr>
        <w:t xml:space="preserve"> in caso di </w:t>
      </w:r>
      <w:r w:rsidR="00164B31">
        <w:rPr>
          <w:color w:val="auto"/>
          <w:szCs w:val="24"/>
          <w:lang w:eastAsia="en-US"/>
        </w:rPr>
        <w:t xml:space="preserve">ritorsioni </w:t>
      </w:r>
      <w:r w:rsidR="00B13BFC" w:rsidRPr="000533ED">
        <w:rPr>
          <w:color w:val="auto"/>
          <w:szCs w:val="24"/>
          <w:lang w:eastAsia="en-US"/>
        </w:rPr>
        <w:t>commesse</w:t>
      </w:r>
      <w:r w:rsidR="00B13BFC">
        <w:rPr>
          <w:color w:val="auto"/>
          <w:szCs w:val="24"/>
          <w:lang w:eastAsia="en-US"/>
        </w:rPr>
        <w:t xml:space="preserve"> </w:t>
      </w:r>
      <w:r w:rsidR="00164B31">
        <w:rPr>
          <w:color w:val="auto"/>
          <w:szCs w:val="24"/>
          <w:lang w:eastAsia="en-US"/>
        </w:rPr>
        <w:t xml:space="preserve">in ambito lavorativo pubblico - </w:t>
      </w:r>
      <w:r>
        <w:rPr>
          <w:color w:val="auto"/>
          <w:szCs w:val="24"/>
          <w:lang w:eastAsia="en-US"/>
        </w:rPr>
        <w:t xml:space="preserve">immediatamente il Dipartimento della </w:t>
      </w:r>
      <w:r w:rsidR="000856EB">
        <w:rPr>
          <w:color w:val="auto"/>
          <w:szCs w:val="24"/>
          <w:lang w:eastAsia="en-US"/>
        </w:rPr>
        <w:t>f</w:t>
      </w:r>
      <w:r>
        <w:rPr>
          <w:color w:val="auto"/>
          <w:szCs w:val="24"/>
          <w:lang w:eastAsia="en-US"/>
        </w:rPr>
        <w:t>unzione pubblica ed eventuali organismi di garanzia o disciplina</w:t>
      </w:r>
      <w:r w:rsidR="00467623">
        <w:rPr>
          <w:color w:val="auto"/>
          <w:szCs w:val="24"/>
          <w:lang w:eastAsia="en-US"/>
        </w:rPr>
        <w:t xml:space="preserve">, per gli eventuali provvedimenti di competenza. </w:t>
      </w:r>
      <w:r w:rsidR="00FB4B0C">
        <w:rPr>
          <w:color w:val="auto"/>
          <w:szCs w:val="24"/>
          <w:lang w:eastAsia="en-US"/>
        </w:rPr>
        <w:t xml:space="preserve">Si segnala che </w:t>
      </w:r>
      <w:r w:rsidR="00AA7B89">
        <w:rPr>
          <w:color w:val="auto"/>
          <w:szCs w:val="24"/>
          <w:lang w:eastAsia="en-US"/>
        </w:rPr>
        <w:t>p</w:t>
      </w:r>
      <w:r w:rsidR="00467623">
        <w:rPr>
          <w:color w:val="auto"/>
          <w:szCs w:val="24"/>
          <w:lang w:eastAsia="en-US"/>
        </w:rPr>
        <w:t>er gli accertamenti istruttori relativi alle misure ritorsive, l’ANAC si avvale della collabo</w:t>
      </w:r>
      <w:r w:rsidR="00AE6C28">
        <w:rPr>
          <w:color w:val="auto"/>
          <w:szCs w:val="24"/>
          <w:lang w:eastAsia="en-US"/>
        </w:rPr>
        <w:t>razione dell’Ispettorato della f</w:t>
      </w:r>
      <w:r w:rsidR="00467623">
        <w:rPr>
          <w:color w:val="auto"/>
          <w:szCs w:val="24"/>
          <w:lang w:eastAsia="en-US"/>
        </w:rPr>
        <w:t xml:space="preserve">unzione pubblica, per il settore pubblico, nonché della collaborazione dell’Ispettorato </w:t>
      </w:r>
      <w:r w:rsidR="001B00F2" w:rsidRPr="002D5EC3">
        <w:rPr>
          <w:color w:val="auto"/>
          <w:szCs w:val="24"/>
          <w:lang w:eastAsia="en-US"/>
        </w:rPr>
        <w:t xml:space="preserve">nazionale </w:t>
      </w:r>
      <w:r w:rsidR="00467623" w:rsidRPr="002D5EC3">
        <w:rPr>
          <w:color w:val="auto"/>
          <w:szCs w:val="24"/>
          <w:lang w:eastAsia="en-US"/>
        </w:rPr>
        <w:t>d</w:t>
      </w:r>
      <w:r w:rsidR="00467623">
        <w:rPr>
          <w:color w:val="auto"/>
          <w:szCs w:val="24"/>
          <w:lang w:eastAsia="en-US"/>
        </w:rPr>
        <w:t>el lavoro per il settore privato, concludendo con tali organismi, specifici accordi, ai sensi dell’articolo 15 della legge n. 241 del 1990.</w:t>
      </w:r>
      <w:r w:rsidR="005A015B">
        <w:rPr>
          <w:color w:val="auto"/>
          <w:szCs w:val="24"/>
          <w:lang w:eastAsia="en-US"/>
        </w:rPr>
        <w:t xml:space="preserve"> Gli atti ritorsivi sono considerati nulli </w:t>
      </w:r>
      <w:r w:rsidR="001F40DA">
        <w:rPr>
          <w:color w:val="auto"/>
          <w:szCs w:val="24"/>
          <w:lang w:eastAsia="en-US"/>
        </w:rPr>
        <w:t>con la previsione del</w:t>
      </w:r>
      <w:r w:rsidR="005A015B">
        <w:rPr>
          <w:color w:val="auto"/>
          <w:szCs w:val="24"/>
          <w:lang w:eastAsia="en-US"/>
        </w:rPr>
        <w:t xml:space="preserve">la reintegrazione </w:t>
      </w:r>
      <w:r w:rsidR="00672BAC">
        <w:rPr>
          <w:color w:val="auto"/>
          <w:szCs w:val="24"/>
          <w:lang w:eastAsia="en-US"/>
        </w:rPr>
        <w:t>nel</w:t>
      </w:r>
      <w:r w:rsidR="005A015B">
        <w:rPr>
          <w:color w:val="auto"/>
          <w:szCs w:val="24"/>
          <w:lang w:eastAsia="en-US"/>
        </w:rPr>
        <w:t xml:space="preserve"> posto di </w:t>
      </w:r>
      <w:r w:rsidR="00B13BFC">
        <w:rPr>
          <w:color w:val="auto"/>
          <w:szCs w:val="24"/>
          <w:lang w:eastAsia="en-US"/>
        </w:rPr>
        <w:t>lavoro in caso di licenziamento.</w:t>
      </w:r>
      <w:r w:rsidR="00096D19">
        <w:rPr>
          <w:color w:val="auto"/>
          <w:szCs w:val="24"/>
          <w:lang w:eastAsia="en-US"/>
        </w:rPr>
        <w:t xml:space="preserve"> </w:t>
      </w:r>
    </w:p>
    <w:p w14:paraId="1A534A7D" w14:textId="77777777" w:rsidR="00096D19" w:rsidRPr="0063393F" w:rsidRDefault="00096D19" w:rsidP="001A4063">
      <w:pPr>
        <w:spacing w:after="20" w:line="276" w:lineRule="auto"/>
        <w:ind w:right="0" w:firstLine="0"/>
        <w:rPr>
          <w:color w:val="000000" w:themeColor="text1"/>
          <w:szCs w:val="24"/>
        </w:rPr>
      </w:pPr>
      <w:r w:rsidRPr="00FC67C6">
        <w:rPr>
          <w:color w:val="000000" w:themeColor="text1"/>
          <w:szCs w:val="24"/>
        </w:rPr>
        <w:t>Nell’ambito dei procedimenti aventi ad oggetto l’accertamento delle condotte e degli atti vietati ai sensi dell’articolo 12, si presume che tali condotte o atti siano stati posti in essere a causa della segnalazione o divulgazione. L’onere di provare che tali condotte o atti sono estranei alla segnalazione o alla divulgazione è a carico di colui che li ha posti in essere.</w:t>
      </w:r>
    </w:p>
    <w:p w14:paraId="085D5A08" w14:textId="70ECF8E5" w:rsidR="0039373C" w:rsidRDefault="00CE09C5" w:rsidP="001A4063">
      <w:pPr>
        <w:spacing w:after="20" w:line="276" w:lineRule="auto"/>
        <w:ind w:right="0" w:firstLine="0"/>
        <w:rPr>
          <w:szCs w:val="24"/>
          <w:lang w:eastAsia="en-US"/>
        </w:rPr>
      </w:pPr>
      <w:r>
        <w:rPr>
          <w:color w:val="auto"/>
          <w:szCs w:val="24"/>
          <w:lang w:eastAsia="en-US"/>
        </w:rPr>
        <w:t xml:space="preserve">Competente a decidere riguardo alle condotte e agli atti dettati da forme di ritorsione è il giudice ordinario il quale </w:t>
      </w:r>
      <w:r w:rsidRPr="00CE09C5">
        <w:rPr>
          <w:szCs w:val="24"/>
          <w:lang w:eastAsia="en-US"/>
        </w:rPr>
        <w:t>adotta tutte le misure, anche provvisorie, necessarie ad assicurare la tutela alla situazione giuridica soggettiva azionata, ivi compreso il risarcimento del danno, la reintegrazione nel posto di lavoro, l’ordine di cessazione della condotta posta in essere in violazione dell’articolo 1</w:t>
      </w:r>
      <w:r w:rsidR="006054CA">
        <w:rPr>
          <w:szCs w:val="24"/>
          <w:lang w:eastAsia="en-US"/>
        </w:rPr>
        <w:t>7</w:t>
      </w:r>
      <w:r w:rsidRPr="00CE09C5">
        <w:rPr>
          <w:szCs w:val="24"/>
          <w:lang w:eastAsia="en-US"/>
        </w:rPr>
        <w:t xml:space="preserve"> e la dichiarazione di nullità degli atti adottati in violazione del medesimo articolo</w:t>
      </w:r>
      <w:r w:rsidR="006D355A">
        <w:rPr>
          <w:szCs w:val="24"/>
          <w:lang w:eastAsia="en-US"/>
        </w:rPr>
        <w:t xml:space="preserve">, </w:t>
      </w:r>
      <w:r w:rsidR="0019419C" w:rsidRPr="00B13BFC">
        <w:rPr>
          <w:szCs w:val="24"/>
          <w:lang w:eastAsia="en-US"/>
        </w:rPr>
        <w:t xml:space="preserve">mentre </w:t>
      </w:r>
      <w:r w:rsidR="008A5FBD" w:rsidRPr="00296888">
        <w:rPr>
          <w:szCs w:val="24"/>
          <w:lang w:eastAsia="en-US"/>
        </w:rPr>
        <w:t>non sono garantite le tutele perviste dal presente articolo</w:t>
      </w:r>
      <w:r w:rsidR="00F33714" w:rsidRPr="00296888">
        <w:rPr>
          <w:szCs w:val="24"/>
          <w:lang w:eastAsia="en-US"/>
        </w:rPr>
        <w:t>,</w:t>
      </w:r>
      <w:r w:rsidR="008A5FBD" w:rsidRPr="00296888">
        <w:rPr>
          <w:szCs w:val="24"/>
          <w:lang w:eastAsia="en-US"/>
        </w:rPr>
        <w:t xml:space="preserve"> </w:t>
      </w:r>
      <w:r w:rsidR="0019419C" w:rsidRPr="00296888">
        <w:rPr>
          <w:szCs w:val="24"/>
          <w:lang w:eastAsia="en-US"/>
        </w:rPr>
        <w:t>in caso di accertamento in via giudiziale</w:t>
      </w:r>
      <w:r w:rsidR="00F33714" w:rsidRPr="00296888">
        <w:rPr>
          <w:szCs w:val="24"/>
          <w:lang w:eastAsia="en-US"/>
        </w:rPr>
        <w:t>,</w:t>
      </w:r>
      <w:r w:rsidR="0019419C" w:rsidRPr="00296888">
        <w:rPr>
          <w:szCs w:val="24"/>
          <w:lang w:eastAsia="en-US"/>
        </w:rPr>
        <w:t xml:space="preserve"> </w:t>
      </w:r>
      <w:r w:rsidR="008A5FBD" w:rsidRPr="00296888">
        <w:rPr>
          <w:color w:val="000000" w:themeColor="text1"/>
          <w:szCs w:val="24"/>
        </w:rPr>
        <w:t xml:space="preserve">con sentenza passata in giudicato </w:t>
      </w:r>
      <w:r w:rsidR="00F33714" w:rsidRPr="00296888">
        <w:rPr>
          <w:color w:val="000000" w:themeColor="text1"/>
          <w:szCs w:val="24"/>
        </w:rPr>
        <w:t>per il fatto che</w:t>
      </w:r>
      <w:r w:rsidR="008A5FBD" w:rsidRPr="00296888">
        <w:rPr>
          <w:color w:val="000000" w:themeColor="text1"/>
          <w:szCs w:val="24"/>
        </w:rPr>
        <w:t xml:space="preserve"> la persona segnalante ha reso deliberatamente false informazioni sulle violazioni</w:t>
      </w:r>
      <w:r w:rsidR="00523BA9" w:rsidRPr="00296888">
        <w:rPr>
          <w:color w:val="000000" w:themeColor="text1"/>
          <w:szCs w:val="24"/>
        </w:rPr>
        <w:t>.</w:t>
      </w:r>
      <w:r w:rsidR="008A5FBD" w:rsidRPr="00296888">
        <w:rPr>
          <w:color w:val="000000" w:themeColor="text1"/>
          <w:szCs w:val="24"/>
        </w:rPr>
        <w:t xml:space="preserve"> </w:t>
      </w:r>
      <w:r w:rsidR="00246EE4" w:rsidRPr="00296888">
        <w:rPr>
          <w:szCs w:val="24"/>
          <w:lang w:eastAsia="en-US"/>
        </w:rPr>
        <w:t>È</w:t>
      </w:r>
      <w:r w:rsidR="00296888">
        <w:rPr>
          <w:szCs w:val="24"/>
          <w:lang w:eastAsia="en-US"/>
        </w:rPr>
        <w:t xml:space="preserve"> </w:t>
      </w:r>
      <w:r w:rsidR="00523BA9" w:rsidRPr="00296888">
        <w:rPr>
          <w:szCs w:val="24"/>
          <w:lang w:eastAsia="en-US"/>
        </w:rPr>
        <w:t xml:space="preserve">sottoposto a provvedimento disciplinare chi effettua con dolo o colpa grave segnalazioni rilevatesi infondate. </w:t>
      </w:r>
      <w:r w:rsidR="0019419C" w:rsidRPr="00296888">
        <w:rPr>
          <w:szCs w:val="24"/>
          <w:lang w:eastAsia="en-US"/>
        </w:rPr>
        <w:t xml:space="preserve"> </w:t>
      </w:r>
      <w:r w:rsidR="0019419C" w:rsidRPr="00B13BFC">
        <w:rPr>
          <w:szCs w:val="24"/>
          <w:lang w:eastAsia="en-US"/>
        </w:rPr>
        <w:t>Ricorrendo queste casistiche è conseguenziale il venir meno della tutela giudiziaria di cui al presente articolo.</w:t>
      </w:r>
    </w:p>
    <w:p w14:paraId="0053965D" w14:textId="3B849DED" w:rsidR="00003AB0" w:rsidRPr="00003AB0" w:rsidRDefault="00003AB0" w:rsidP="001A4063">
      <w:pPr>
        <w:spacing w:after="20" w:line="276" w:lineRule="auto"/>
        <w:ind w:right="0" w:firstLine="0"/>
        <w:rPr>
          <w:i/>
          <w:color w:val="auto"/>
          <w:szCs w:val="24"/>
          <w:lang w:eastAsia="en-US"/>
        </w:rPr>
      </w:pPr>
      <w:r w:rsidRPr="00003AB0">
        <w:rPr>
          <w:i/>
          <w:color w:val="auto"/>
          <w:szCs w:val="24"/>
          <w:lang w:eastAsia="en-US"/>
        </w:rPr>
        <w:t xml:space="preserve">La norma esplicita garanzie e forme </w:t>
      </w:r>
      <w:r w:rsidR="004C3E19" w:rsidRPr="00003AB0">
        <w:rPr>
          <w:i/>
          <w:color w:val="auto"/>
          <w:szCs w:val="24"/>
          <w:lang w:eastAsia="en-US"/>
        </w:rPr>
        <w:t xml:space="preserve">ordinarie </w:t>
      </w:r>
      <w:r w:rsidRPr="00003AB0">
        <w:rPr>
          <w:i/>
          <w:color w:val="auto"/>
          <w:szCs w:val="24"/>
          <w:lang w:eastAsia="en-US"/>
        </w:rPr>
        <w:t xml:space="preserve">di tutela giurisdizionale nell’ambito dell’ordinamento interno, pertanto </w:t>
      </w:r>
      <w:r w:rsidRPr="00296888">
        <w:rPr>
          <w:i/>
          <w:color w:val="auto"/>
          <w:szCs w:val="24"/>
          <w:lang w:eastAsia="en-US"/>
        </w:rPr>
        <w:t>gli adempimenti connessi alle attività istituzionali potranno essere fronteggiati con le risorse umane</w:t>
      </w:r>
      <w:r w:rsidR="00B560BA" w:rsidRPr="00296888">
        <w:rPr>
          <w:i/>
          <w:color w:val="auto"/>
          <w:szCs w:val="24"/>
          <w:lang w:eastAsia="en-US"/>
        </w:rPr>
        <w:t>,</w:t>
      </w:r>
      <w:r w:rsidR="00517D0C" w:rsidRPr="00296888">
        <w:rPr>
          <w:i/>
          <w:color w:val="auto"/>
          <w:szCs w:val="24"/>
          <w:lang w:eastAsia="en-US"/>
        </w:rPr>
        <w:t xml:space="preserve"> che andranno ad implementare la dotazione organica dell’ANAC</w:t>
      </w:r>
      <w:r w:rsidR="00B560BA" w:rsidRPr="00296888">
        <w:rPr>
          <w:i/>
          <w:color w:val="auto"/>
          <w:szCs w:val="24"/>
          <w:lang w:eastAsia="en-US"/>
        </w:rPr>
        <w:t xml:space="preserve"> così come quantificate e stimate nel precedente articolo </w:t>
      </w:r>
      <w:r w:rsidR="00175FF6">
        <w:rPr>
          <w:i/>
          <w:color w:val="auto"/>
          <w:szCs w:val="24"/>
          <w:lang w:eastAsia="en-US"/>
        </w:rPr>
        <w:t>11</w:t>
      </w:r>
      <w:r w:rsidR="00B560BA" w:rsidRPr="00296888">
        <w:rPr>
          <w:i/>
          <w:color w:val="auto"/>
          <w:szCs w:val="24"/>
          <w:lang w:eastAsia="en-US"/>
        </w:rPr>
        <w:t xml:space="preserve"> del presente provvedimento a cui si rimanda</w:t>
      </w:r>
      <w:r w:rsidR="00296888" w:rsidRPr="00296888">
        <w:rPr>
          <w:i/>
          <w:color w:val="auto"/>
          <w:szCs w:val="24"/>
          <w:lang w:eastAsia="en-US"/>
        </w:rPr>
        <w:t>.</w:t>
      </w:r>
      <w:r w:rsidR="00B560BA">
        <w:rPr>
          <w:i/>
          <w:color w:val="auto"/>
          <w:szCs w:val="24"/>
          <w:lang w:eastAsia="en-US"/>
        </w:rPr>
        <w:t xml:space="preserve"> </w:t>
      </w:r>
    </w:p>
    <w:p w14:paraId="2592DF76" w14:textId="490F08F8" w:rsidR="007A0509" w:rsidRDefault="00DB3B1D" w:rsidP="001A4063">
      <w:pPr>
        <w:spacing w:after="20" w:line="276" w:lineRule="auto"/>
        <w:ind w:right="0" w:firstLine="0"/>
        <w:rPr>
          <w:szCs w:val="24"/>
          <w:lang w:eastAsia="en-US"/>
        </w:rPr>
      </w:pPr>
      <w:r w:rsidRPr="00DB3B1D">
        <w:rPr>
          <w:b/>
          <w:i/>
          <w:color w:val="auto"/>
          <w:szCs w:val="24"/>
          <w:lang w:eastAsia="en-US"/>
        </w:rPr>
        <w:t xml:space="preserve">L’articolo </w:t>
      </w:r>
      <w:r w:rsidR="00EC6BED">
        <w:rPr>
          <w:b/>
          <w:i/>
          <w:color w:val="auto"/>
          <w:szCs w:val="24"/>
          <w:lang w:eastAsia="en-US"/>
        </w:rPr>
        <w:t>20</w:t>
      </w:r>
      <w:r>
        <w:rPr>
          <w:color w:val="auto"/>
          <w:szCs w:val="24"/>
          <w:lang w:eastAsia="en-US"/>
        </w:rPr>
        <w:t xml:space="preserve"> prevede le ipotesi di </w:t>
      </w:r>
      <w:r w:rsidR="00F077EB" w:rsidRPr="001B00F2">
        <w:rPr>
          <w:color w:val="auto"/>
          <w:szCs w:val="24"/>
          <w:lang w:eastAsia="en-US"/>
        </w:rPr>
        <w:t xml:space="preserve">limitazione </w:t>
      </w:r>
      <w:r w:rsidRPr="001B00F2">
        <w:rPr>
          <w:color w:val="auto"/>
          <w:szCs w:val="24"/>
          <w:lang w:eastAsia="en-US"/>
        </w:rPr>
        <w:t xml:space="preserve">della responsabilità della persona segnalante </w:t>
      </w:r>
      <w:r w:rsidR="00EC6BED" w:rsidRPr="001B00F2">
        <w:rPr>
          <w:color w:val="auto"/>
          <w:szCs w:val="24"/>
          <w:lang w:eastAsia="en-US"/>
        </w:rPr>
        <w:t xml:space="preserve">nel </w:t>
      </w:r>
      <w:r w:rsidRPr="001B00F2">
        <w:rPr>
          <w:color w:val="auto"/>
          <w:szCs w:val="24"/>
          <w:lang w:eastAsia="en-US"/>
        </w:rPr>
        <w:t>caso</w:t>
      </w:r>
      <w:r w:rsidR="00EC6BED" w:rsidRPr="001B00F2">
        <w:rPr>
          <w:color w:val="auto"/>
          <w:szCs w:val="24"/>
          <w:lang w:eastAsia="en-US"/>
        </w:rPr>
        <w:t xml:space="preserve"> in cui sia avvenuta </w:t>
      </w:r>
      <w:r w:rsidR="00CC2A51" w:rsidRPr="001B00F2">
        <w:rPr>
          <w:color w:val="auto"/>
          <w:szCs w:val="24"/>
          <w:lang w:eastAsia="en-US"/>
        </w:rPr>
        <w:t>la diffusione</w:t>
      </w:r>
      <w:r w:rsidRPr="001B00F2">
        <w:rPr>
          <w:color w:val="auto"/>
          <w:szCs w:val="24"/>
          <w:lang w:eastAsia="en-US"/>
        </w:rPr>
        <w:t xml:space="preserve"> di notizi</w:t>
      </w:r>
      <w:r w:rsidR="00EC6BED" w:rsidRPr="001B00F2">
        <w:rPr>
          <w:color w:val="auto"/>
          <w:szCs w:val="24"/>
          <w:lang w:eastAsia="en-US"/>
        </w:rPr>
        <w:t>e</w:t>
      </w:r>
      <w:r w:rsidRPr="001B00F2">
        <w:rPr>
          <w:color w:val="auto"/>
          <w:szCs w:val="24"/>
          <w:lang w:eastAsia="en-US"/>
        </w:rPr>
        <w:t xml:space="preserve"> coperte</w:t>
      </w:r>
      <w:r>
        <w:rPr>
          <w:color w:val="auto"/>
          <w:szCs w:val="24"/>
          <w:lang w:eastAsia="en-US"/>
        </w:rPr>
        <w:t xml:space="preserve"> dall’obbligo di segreto </w:t>
      </w:r>
      <w:r w:rsidR="001B00F2" w:rsidRPr="000C5022">
        <w:rPr>
          <w:color w:val="000000" w:themeColor="text1"/>
          <w:szCs w:val="24"/>
        </w:rPr>
        <w:t>divers</w:t>
      </w:r>
      <w:r w:rsidR="001B00F2">
        <w:rPr>
          <w:color w:val="000000" w:themeColor="text1"/>
          <w:szCs w:val="24"/>
        </w:rPr>
        <w:t>o</w:t>
      </w:r>
      <w:r w:rsidR="001B00F2" w:rsidRPr="000C5022">
        <w:rPr>
          <w:color w:val="000000" w:themeColor="text1"/>
          <w:szCs w:val="24"/>
        </w:rPr>
        <w:t xml:space="preserve"> da quello di cui all’articolo 1, comma 3,</w:t>
      </w:r>
      <w:r w:rsidR="001B00F2" w:rsidRPr="000C5022">
        <w:rPr>
          <w:color w:val="FF0000"/>
          <w:szCs w:val="24"/>
        </w:rPr>
        <w:t xml:space="preserve"> </w:t>
      </w:r>
      <w:r w:rsidR="001B00F2" w:rsidRPr="000C5022">
        <w:rPr>
          <w:color w:val="000000" w:themeColor="text1"/>
          <w:szCs w:val="24"/>
        </w:rPr>
        <w:t xml:space="preserve">o relative alla tutela del diritto d’autore o alla protezione dei dati personali ovvero riveli o diffonda informazioni sulle violazioni che </w:t>
      </w:r>
      <w:r w:rsidR="001B00F2">
        <w:rPr>
          <w:color w:val="000000" w:themeColor="text1"/>
          <w:szCs w:val="24"/>
        </w:rPr>
        <w:t xml:space="preserve">offendono la reputazione </w:t>
      </w:r>
      <w:r w:rsidR="001B00F2" w:rsidRPr="000C5022">
        <w:rPr>
          <w:color w:val="000000" w:themeColor="text1"/>
          <w:szCs w:val="24"/>
        </w:rPr>
        <w:t>della persona coinvolta</w:t>
      </w:r>
      <w:r w:rsidR="001B00F2">
        <w:rPr>
          <w:color w:val="000000" w:themeColor="text1"/>
          <w:szCs w:val="24"/>
        </w:rPr>
        <w:t xml:space="preserve"> </w:t>
      </w:r>
      <w:r w:rsidR="00CC2A51">
        <w:rPr>
          <w:color w:val="auto"/>
          <w:szCs w:val="24"/>
          <w:lang w:eastAsia="en-US"/>
        </w:rPr>
        <w:t xml:space="preserve">quando </w:t>
      </w:r>
      <w:r w:rsidR="00B13BFC" w:rsidRPr="005B6835">
        <w:rPr>
          <w:szCs w:val="24"/>
          <w:lang w:eastAsia="en-US"/>
        </w:rPr>
        <w:t xml:space="preserve">la sua segnalazione o divulgazione pubblica era necessaria al rilevamento di una violazione. </w:t>
      </w:r>
    </w:p>
    <w:p w14:paraId="731A2720" w14:textId="57830CBB" w:rsidR="00AD4FAE" w:rsidRDefault="007A0509" w:rsidP="001A4063">
      <w:pPr>
        <w:spacing w:after="20" w:line="276" w:lineRule="auto"/>
        <w:ind w:right="0" w:firstLine="0"/>
        <w:rPr>
          <w:szCs w:val="24"/>
        </w:rPr>
      </w:pPr>
      <w:r>
        <w:rPr>
          <w:color w:val="000000" w:themeColor="text1"/>
          <w:szCs w:val="24"/>
        </w:rPr>
        <w:t>Si prevede</w:t>
      </w:r>
      <w:r w:rsidR="00F077EB">
        <w:rPr>
          <w:color w:val="000000" w:themeColor="text1"/>
          <w:szCs w:val="24"/>
        </w:rPr>
        <w:t>,</w:t>
      </w:r>
      <w:r>
        <w:rPr>
          <w:color w:val="000000" w:themeColor="text1"/>
          <w:szCs w:val="24"/>
        </w:rPr>
        <w:t xml:space="preserve"> inoltre</w:t>
      </w:r>
      <w:r w:rsidR="00F077EB">
        <w:rPr>
          <w:color w:val="000000" w:themeColor="text1"/>
          <w:szCs w:val="24"/>
        </w:rPr>
        <w:t>,</w:t>
      </w:r>
      <w:r>
        <w:rPr>
          <w:color w:val="000000" w:themeColor="text1"/>
          <w:szCs w:val="24"/>
        </w:rPr>
        <w:t xml:space="preserve"> l’assenza di responsabilità anche di natura civile o amministrativa, eccetto che </w:t>
      </w:r>
      <w:r w:rsidR="00DA445A">
        <w:rPr>
          <w:color w:val="000000" w:themeColor="text1"/>
          <w:szCs w:val="24"/>
        </w:rPr>
        <w:t>il fatto</w:t>
      </w:r>
      <w:r>
        <w:rPr>
          <w:color w:val="000000" w:themeColor="text1"/>
          <w:szCs w:val="24"/>
        </w:rPr>
        <w:t xml:space="preserve"> costituisca reato</w:t>
      </w:r>
      <w:r w:rsidRPr="002D5EC3">
        <w:rPr>
          <w:color w:val="000000" w:themeColor="text1"/>
          <w:szCs w:val="24"/>
        </w:rPr>
        <w:t xml:space="preserve">, </w:t>
      </w:r>
      <w:r w:rsidR="00DA445A" w:rsidRPr="002D5EC3">
        <w:rPr>
          <w:color w:val="000000" w:themeColor="text1"/>
          <w:szCs w:val="24"/>
        </w:rPr>
        <w:t>dell’ente o</w:t>
      </w:r>
      <w:r w:rsidR="00DA445A">
        <w:rPr>
          <w:color w:val="000000" w:themeColor="text1"/>
          <w:szCs w:val="24"/>
        </w:rPr>
        <w:t xml:space="preserve"> </w:t>
      </w:r>
      <w:r>
        <w:rPr>
          <w:color w:val="000000" w:themeColor="text1"/>
          <w:szCs w:val="24"/>
        </w:rPr>
        <w:t xml:space="preserve">della persona segnalante </w:t>
      </w:r>
      <w:r w:rsidR="007F7927">
        <w:rPr>
          <w:color w:val="000000" w:themeColor="text1"/>
          <w:szCs w:val="24"/>
        </w:rPr>
        <w:t>nel</w:t>
      </w:r>
      <w:r>
        <w:rPr>
          <w:color w:val="000000" w:themeColor="text1"/>
          <w:szCs w:val="24"/>
        </w:rPr>
        <w:t>l’acquisizione delle informazioni sulle violazioni o per l’accesso alle stesse</w:t>
      </w:r>
      <w:r w:rsidRPr="00201471">
        <w:rPr>
          <w:szCs w:val="24"/>
        </w:rPr>
        <w:t>.</w:t>
      </w:r>
    </w:p>
    <w:p w14:paraId="7A04847B" w14:textId="58E855E9" w:rsidR="007A0509" w:rsidRDefault="00AD4FAE" w:rsidP="001A4063">
      <w:pPr>
        <w:spacing w:after="20" w:line="276" w:lineRule="auto"/>
        <w:ind w:right="0" w:firstLine="0"/>
        <w:rPr>
          <w:b/>
          <w:bCs/>
          <w:color w:val="000000" w:themeColor="text1"/>
          <w:szCs w:val="24"/>
        </w:rPr>
      </w:pPr>
      <w:r>
        <w:rPr>
          <w:color w:val="000000" w:themeColor="text1"/>
          <w:szCs w:val="24"/>
        </w:rPr>
        <w:t>I</w:t>
      </w:r>
      <w:r w:rsidR="007A0509">
        <w:rPr>
          <w:szCs w:val="24"/>
        </w:rPr>
        <w:t xml:space="preserve">n ogni caso, </w:t>
      </w:r>
      <w:r>
        <w:rPr>
          <w:szCs w:val="24"/>
        </w:rPr>
        <w:t xml:space="preserve">resta ferma </w:t>
      </w:r>
      <w:r w:rsidR="007A0509">
        <w:rPr>
          <w:szCs w:val="24"/>
        </w:rPr>
        <w:t>l</w:t>
      </w:r>
      <w:r w:rsidR="007A0509" w:rsidRPr="00201471">
        <w:rPr>
          <w:szCs w:val="24"/>
        </w:rPr>
        <w:t>a responsabilità penale</w:t>
      </w:r>
      <w:r w:rsidR="007A0509">
        <w:rPr>
          <w:szCs w:val="24"/>
        </w:rPr>
        <w:t xml:space="preserve"> e ogni altra</w:t>
      </w:r>
      <w:r>
        <w:rPr>
          <w:szCs w:val="24"/>
        </w:rPr>
        <w:t xml:space="preserve"> forma</w:t>
      </w:r>
      <w:r w:rsidR="00801AAC">
        <w:rPr>
          <w:szCs w:val="24"/>
        </w:rPr>
        <w:t xml:space="preserve"> di</w:t>
      </w:r>
      <w:r w:rsidR="007A0509">
        <w:rPr>
          <w:szCs w:val="24"/>
        </w:rPr>
        <w:t xml:space="preserve"> responsabilità, civile o amministrativa, </w:t>
      </w:r>
      <w:r w:rsidR="007A0509" w:rsidRPr="00201471">
        <w:rPr>
          <w:szCs w:val="24"/>
        </w:rPr>
        <w:t xml:space="preserve">per i comportamenti, gli atti o le omissioni </w:t>
      </w:r>
      <w:r w:rsidR="007A0509">
        <w:rPr>
          <w:szCs w:val="24"/>
        </w:rPr>
        <w:t xml:space="preserve">non collegati </w:t>
      </w:r>
      <w:r w:rsidR="007A0509" w:rsidRPr="00201471">
        <w:rPr>
          <w:szCs w:val="24"/>
        </w:rPr>
        <w:t>alla segnalazione o alla denuncia o alla divulgazione pubblica</w:t>
      </w:r>
      <w:r w:rsidR="007A0509">
        <w:rPr>
          <w:szCs w:val="24"/>
        </w:rPr>
        <w:t xml:space="preserve"> o</w:t>
      </w:r>
      <w:r w:rsidR="007A0509" w:rsidRPr="00201471">
        <w:rPr>
          <w:szCs w:val="24"/>
        </w:rPr>
        <w:t xml:space="preserve"> che non sono strettamente necessari a</w:t>
      </w:r>
      <w:r w:rsidR="007A0509">
        <w:rPr>
          <w:szCs w:val="24"/>
        </w:rPr>
        <w:t xml:space="preserve"> rivelare la violazione</w:t>
      </w:r>
      <w:r w:rsidR="007A0509" w:rsidRPr="00201471">
        <w:rPr>
          <w:szCs w:val="24"/>
        </w:rPr>
        <w:t xml:space="preserve">. </w:t>
      </w:r>
    </w:p>
    <w:p w14:paraId="07666F74" w14:textId="77777777" w:rsidR="00F007F3" w:rsidRPr="00DA445A" w:rsidRDefault="007766DF" w:rsidP="001A4063">
      <w:pPr>
        <w:spacing w:after="20" w:line="276" w:lineRule="auto"/>
        <w:ind w:right="0" w:firstLine="0"/>
        <w:rPr>
          <w:szCs w:val="24"/>
        </w:rPr>
      </w:pPr>
      <w:r w:rsidRPr="00DB3B1D">
        <w:rPr>
          <w:i/>
          <w:color w:val="auto"/>
          <w:szCs w:val="24"/>
          <w:lang w:eastAsia="en-US"/>
        </w:rPr>
        <w:t>La disposizione ha carattere ordinamentale e precettivo e non determina oneri aggiuntivi per la finanza pubblica</w:t>
      </w:r>
      <w:r w:rsidR="00DF70FF">
        <w:rPr>
          <w:i/>
          <w:color w:val="auto"/>
          <w:szCs w:val="24"/>
          <w:lang w:eastAsia="en-US"/>
        </w:rPr>
        <w:t>, segnalando che p</w:t>
      </w:r>
      <w:r w:rsidR="00E62ADE" w:rsidRPr="00E62ADE">
        <w:rPr>
          <w:i/>
          <w:color w:val="auto"/>
          <w:szCs w:val="24"/>
          <w:lang w:eastAsia="en-US"/>
        </w:rPr>
        <w:t xml:space="preserve">er quanto riguarda </w:t>
      </w:r>
      <w:r w:rsidR="00DF70FF">
        <w:rPr>
          <w:i/>
          <w:color w:val="auto"/>
          <w:szCs w:val="24"/>
          <w:lang w:eastAsia="en-US"/>
        </w:rPr>
        <w:t xml:space="preserve">le eventuali </w:t>
      </w:r>
      <w:r w:rsidR="00E62ADE" w:rsidRPr="00E62ADE">
        <w:rPr>
          <w:i/>
          <w:color w:val="auto"/>
          <w:szCs w:val="24"/>
          <w:lang w:eastAsia="en-US"/>
        </w:rPr>
        <w:t>attività giurisdizional</w:t>
      </w:r>
      <w:r w:rsidR="00DF70FF">
        <w:rPr>
          <w:i/>
          <w:color w:val="auto"/>
          <w:szCs w:val="24"/>
          <w:lang w:eastAsia="en-US"/>
        </w:rPr>
        <w:t>i</w:t>
      </w:r>
      <w:r w:rsidR="00E62ADE" w:rsidRPr="00E62ADE">
        <w:rPr>
          <w:i/>
          <w:color w:val="auto"/>
          <w:szCs w:val="24"/>
          <w:lang w:eastAsia="en-US"/>
        </w:rPr>
        <w:t>, si tratta di compiti istituzionalmente espletati secondo le norme del diritto processuale interno</w:t>
      </w:r>
      <w:r w:rsidR="00F007F3">
        <w:rPr>
          <w:i/>
          <w:color w:val="auto"/>
          <w:szCs w:val="24"/>
          <w:lang w:eastAsia="en-US"/>
        </w:rPr>
        <w:t>.</w:t>
      </w:r>
    </w:p>
    <w:p w14:paraId="77A6A104" w14:textId="1B210B4F" w:rsidR="00DA445A" w:rsidRPr="0074771F" w:rsidRDefault="00F007F3" w:rsidP="001A4063">
      <w:pPr>
        <w:spacing w:after="0" w:line="276" w:lineRule="auto"/>
        <w:ind w:left="49" w:right="0" w:firstLine="0"/>
        <w:rPr>
          <w:color w:val="000000" w:themeColor="text1"/>
          <w:szCs w:val="24"/>
        </w:rPr>
      </w:pPr>
      <w:r w:rsidRPr="00DA445A">
        <w:rPr>
          <w:szCs w:val="24"/>
        </w:rPr>
        <w:t>P</w:t>
      </w:r>
      <w:r w:rsidR="00BA714B" w:rsidRPr="00DA445A">
        <w:rPr>
          <w:szCs w:val="24"/>
        </w:rPr>
        <w:t xml:space="preserve">er quanto concerne </w:t>
      </w:r>
      <w:r w:rsidR="00BA714B" w:rsidRPr="00DA445A">
        <w:rPr>
          <w:b/>
          <w:bCs/>
          <w:i/>
          <w:iCs/>
          <w:szCs w:val="24"/>
        </w:rPr>
        <w:t xml:space="preserve">l’articolo </w:t>
      </w:r>
      <w:r w:rsidRPr="00DA445A">
        <w:rPr>
          <w:b/>
          <w:bCs/>
          <w:i/>
          <w:iCs/>
          <w:szCs w:val="24"/>
        </w:rPr>
        <w:t>2</w:t>
      </w:r>
      <w:r w:rsidR="00BA714B" w:rsidRPr="00DA445A">
        <w:rPr>
          <w:b/>
          <w:bCs/>
          <w:i/>
          <w:iCs/>
          <w:szCs w:val="24"/>
        </w:rPr>
        <w:t>1</w:t>
      </w:r>
      <w:r w:rsidR="00BA714B" w:rsidRPr="00DA445A">
        <w:rPr>
          <w:szCs w:val="24"/>
        </w:rPr>
        <w:t>, si rappresenta che l’ANAC, accertata la natura ritorsiva degli atti o delle omissioni, applica le sanzioni amministrative pecuniarie ai soggetti pubblici o privati, tenendo conto della dimensione dell’amministrazione o dell’ente cui si riferisce la segnalazione</w:t>
      </w:r>
      <w:r w:rsidR="00BA714B" w:rsidRPr="002D5EC3">
        <w:rPr>
          <w:szCs w:val="24"/>
        </w:rPr>
        <w:t xml:space="preserve">. </w:t>
      </w:r>
      <w:r w:rsidR="0074771F" w:rsidRPr="002D5EC3">
        <w:rPr>
          <w:szCs w:val="24"/>
        </w:rPr>
        <w:t>Per quanto riguarda i</w:t>
      </w:r>
      <w:r w:rsidR="00DA445A" w:rsidRPr="002D5EC3">
        <w:rPr>
          <w:szCs w:val="24"/>
        </w:rPr>
        <w:t xml:space="preserve">l settore privato </w:t>
      </w:r>
      <w:r w:rsidR="0074771F" w:rsidRPr="002D5EC3">
        <w:rPr>
          <w:szCs w:val="24"/>
        </w:rPr>
        <w:t xml:space="preserve">gli enti e le persone giuridiche </w:t>
      </w:r>
      <w:r w:rsidR="00DA445A" w:rsidRPr="002D5EC3">
        <w:rPr>
          <w:szCs w:val="24"/>
        </w:rPr>
        <w:t>adotta</w:t>
      </w:r>
      <w:r w:rsidR="0074771F" w:rsidRPr="002D5EC3">
        <w:rPr>
          <w:szCs w:val="24"/>
        </w:rPr>
        <w:t>no nei confronti di coloro che accertano essere responsabili</w:t>
      </w:r>
      <w:r w:rsidR="0074771F" w:rsidRPr="002D5EC3">
        <w:rPr>
          <w:color w:val="000000" w:themeColor="text1"/>
          <w:szCs w:val="24"/>
        </w:rPr>
        <w:t xml:space="preserve"> degli illeciti di cui al comma 1 le sanzioni previste dal decreto legislativo </w:t>
      </w:r>
      <w:r w:rsidR="00DA445A" w:rsidRPr="002D5EC3">
        <w:rPr>
          <w:szCs w:val="24"/>
        </w:rPr>
        <w:t>231</w:t>
      </w:r>
      <w:r w:rsidR="0074771F" w:rsidRPr="002D5EC3">
        <w:rPr>
          <w:szCs w:val="24"/>
        </w:rPr>
        <w:t>/2001.</w:t>
      </w:r>
      <w:r w:rsidR="00DA445A" w:rsidRPr="00DA445A">
        <w:rPr>
          <w:szCs w:val="24"/>
        </w:rPr>
        <w:t xml:space="preserve"> </w:t>
      </w:r>
    </w:p>
    <w:p w14:paraId="7E955E6C" w14:textId="598C5506" w:rsidR="00BA714B" w:rsidRDefault="00BA714B" w:rsidP="001A4063">
      <w:pPr>
        <w:spacing w:after="0" w:line="276" w:lineRule="auto"/>
        <w:ind w:right="0" w:firstLine="0"/>
        <w:rPr>
          <w:color w:val="auto"/>
          <w:szCs w:val="24"/>
          <w:lang w:eastAsia="en-US"/>
        </w:rPr>
      </w:pPr>
      <w:r w:rsidRPr="00BA714B">
        <w:rPr>
          <w:i/>
          <w:color w:val="auto"/>
          <w:szCs w:val="24"/>
          <w:lang w:eastAsia="en-US"/>
        </w:rPr>
        <w:t>Si tratta di norma precettiva che è suscettibile di determinare effetti positivi per la finanza pubblica, sebbene allo stato non quantificabili.</w:t>
      </w:r>
    </w:p>
    <w:p w14:paraId="3B77F25E" w14:textId="77777777" w:rsidR="001F000D" w:rsidRDefault="00311CE8" w:rsidP="001A4063">
      <w:pPr>
        <w:spacing w:after="20" w:line="276" w:lineRule="auto"/>
        <w:ind w:right="0" w:firstLine="0"/>
        <w:rPr>
          <w:i/>
          <w:color w:val="auto"/>
          <w:szCs w:val="24"/>
          <w:lang w:eastAsia="en-US"/>
        </w:rPr>
      </w:pPr>
      <w:r w:rsidRPr="00F3761F">
        <w:rPr>
          <w:b/>
          <w:i/>
          <w:color w:val="auto"/>
          <w:szCs w:val="24"/>
          <w:lang w:eastAsia="en-US"/>
        </w:rPr>
        <w:t xml:space="preserve">L’articolo </w:t>
      </w:r>
      <w:r w:rsidR="00102087">
        <w:rPr>
          <w:b/>
          <w:i/>
          <w:color w:val="auto"/>
          <w:szCs w:val="24"/>
          <w:lang w:eastAsia="en-US"/>
        </w:rPr>
        <w:t>22</w:t>
      </w:r>
      <w:r>
        <w:rPr>
          <w:color w:val="auto"/>
          <w:szCs w:val="24"/>
          <w:lang w:eastAsia="en-US"/>
        </w:rPr>
        <w:t xml:space="preserve"> dispone la nullità delle eventuali rinunce e delle transazioni relative a diritti e tutele previste dal presente provvedimento ad eccezione di quelle concluse </w:t>
      </w:r>
      <w:r w:rsidR="00F3761F">
        <w:rPr>
          <w:color w:val="auto"/>
          <w:szCs w:val="24"/>
          <w:lang w:eastAsia="en-US"/>
        </w:rPr>
        <w:t>a seguito di tentativo obbligatorio di conciliazione o di accordi di mediazione e conciliazione predisposti da organizzazioni sindacali ed associazioni che promuovano tra i loro scopi, la trasparenza e la legalità.</w:t>
      </w:r>
      <w:r w:rsidR="00F3761F" w:rsidRPr="00F3761F">
        <w:rPr>
          <w:i/>
          <w:color w:val="auto"/>
          <w:szCs w:val="24"/>
          <w:lang w:eastAsia="en-US"/>
        </w:rPr>
        <w:t xml:space="preserve"> </w:t>
      </w:r>
      <w:r w:rsidR="00F3761F" w:rsidRPr="00DB3B1D">
        <w:rPr>
          <w:i/>
          <w:color w:val="auto"/>
          <w:szCs w:val="24"/>
          <w:lang w:eastAsia="en-US"/>
        </w:rPr>
        <w:t>La disposizione ha carattere ordinamentale e non determina oneri aggiuntivi per la finanza pubblica.</w:t>
      </w:r>
    </w:p>
    <w:p w14:paraId="4015F30A" w14:textId="77777777" w:rsidR="001F000D" w:rsidRDefault="001F000D" w:rsidP="001A4063">
      <w:pPr>
        <w:spacing w:after="20" w:line="276" w:lineRule="auto"/>
        <w:ind w:right="0" w:firstLine="0"/>
        <w:rPr>
          <w:b/>
          <w:bCs/>
          <w:szCs w:val="24"/>
        </w:rPr>
      </w:pPr>
    </w:p>
    <w:p w14:paraId="635931B0" w14:textId="7805E29E" w:rsidR="001F000D" w:rsidRDefault="001F000D" w:rsidP="001A4063">
      <w:pPr>
        <w:spacing w:after="20" w:line="276" w:lineRule="auto"/>
        <w:ind w:right="0" w:firstLine="0"/>
        <w:jc w:val="center"/>
        <w:rPr>
          <w:b/>
          <w:bCs/>
          <w:szCs w:val="24"/>
        </w:rPr>
      </w:pPr>
      <w:r w:rsidRPr="00BC35B3">
        <w:rPr>
          <w:b/>
          <w:bCs/>
          <w:szCs w:val="24"/>
        </w:rPr>
        <w:t>CAPO IV</w:t>
      </w:r>
    </w:p>
    <w:p w14:paraId="0BA7A39C" w14:textId="6FD4153C" w:rsidR="001F000D" w:rsidRDefault="001F000D" w:rsidP="001A4063">
      <w:pPr>
        <w:spacing w:after="20" w:line="360" w:lineRule="auto"/>
        <w:ind w:right="0" w:firstLine="0"/>
        <w:jc w:val="center"/>
        <w:rPr>
          <w:b/>
          <w:bCs/>
          <w:szCs w:val="24"/>
        </w:rPr>
      </w:pPr>
      <w:r w:rsidRPr="00BC35B3">
        <w:rPr>
          <w:b/>
          <w:bCs/>
          <w:szCs w:val="24"/>
        </w:rPr>
        <w:t>Disposizioni finali</w:t>
      </w:r>
    </w:p>
    <w:p w14:paraId="154A5C44" w14:textId="5B670871" w:rsidR="00764E3D" w:rsidRDefault="00764E3D" w:rsidP="001A4063">
      <w:pPr>
        <w:spacing w:after="20" w:line="276" w:lineRule="auto"/>
        <w:ind w:right="0" w:firstLine="0"/>
        <w:rPr>
          <w:i/>
          <w:color w:val="auto"/>
          <w:szCs w:val="24"/>
          <w:lang w:eastAsia="en-US"/>
        </w:rPr>
      </w:pPr>
      <w:r>
        <w:rPr>
          <w:b/>
          <w:i/>
          <w:color w:val="auto"/>
          <w:szCs w:val="24"/>
          <w:lang w:eastAsia="en-US"/>
        </w:rPr>
        <w:t xml:space="preserve">L’articolo </w:t>
      </w:r>
      <w:r w:rsidR="0051083E">
        <w:rPr>
          <w:b/>
          <w:i/>
          <w:color w:val="auto"/>
          <w:szCs w:val="24"/>
          <w:lang w:eastAsia="en-US"/>
        </w:rPr>
        <w:t>23</w:t>
      </w:r>
      <w:r>
        <w:rPr>
          <w:b/>
          <w:i/>
          <w:color w:val="auto"/>
          <w:szCs w:val="24"/>
          <w:lang w:eastAsia="en-US"/>
        </w:rPr>
        <w:t xml:space="preserve"> </w:t>
      </w:r>
      <w:r w:rsidRPr="00764E3D">
        <w:rPr>
          <w:color w:val="auto"/>
          <w:szCs w:val="24"/>
          <w:lang w:eastAsia="en-US"/>
        </w:rPr>
        <w:t>detta le abrogazioni</w:t>
      </w:r>
      <w:r>
        <w:rPr>
          <w:b/>
          <w:i/>
          <w:color w:val="auto"/>
          <w:szCs w:val="24"/>
          <w:lang w:eastAsia="en-US"/>
        </w:rPr>
        <w:t xml:space="preserve"> </w:t>
      </w:r>
      <w:r w:rsidRPr="00764E3D">
        <w:rPr>
          <w:color w:val="auto"/>
          <w:szCs w:val="24"/>
          <w:lang w:eastAsia="en-US"/>
        </w:rPr>
        <w:t xml:space="preserve">delle precedenti disposizioni in materia di whistleblowing, perché trasposte nel presente decreto legislativo </w:t>
      </w:r>
      <w:r>
        <w:rPr>
          <w:color w:val="auto"/>
          <w:szCs w:val="24"/>
          <w:lang w:eastAsia="en-US"/>
        </w:rPr>
        <w:t>(vale a dire, l’art. 54</w:t>
      </w:r>
      <w:r w:rsidR="001F000D">
        <w:rPr>
          <w:color w:val="auto"/>
          <w:szCs w:val="24"/>
          <w:lang w:eastAsia="en-US"/>
        </w:rPr>
        <w:t>-</w:t>
      </w:r>
      <w:r w:rsidRPr="001F000D">
        <w:rPr>
          <w:i/>
          <w:iCs/>
          <w:color w:val="auto"/>
          <w:szCs w:val="24"/>
          <w:lang w:eastAsia="en-US"/>
        </w:rPr>
        <w:t>bis</w:t>
      </w:r>
      <w:r w:rsidRPr="001F000D">
        <w:rPr>
          <w:color w:val="auto"/>
          <w:szCs w:val="24"/>
          <w:lang w:eastAsia="en-US"/>
        </w:rPr>
        <w:t xml:space="preserve"> </w:t>
      </w:r>
      <w:r>
        <w:rPr>
          <w:color w:val="auto"/>
          <w:szCs w:val="24"/>
          <w:lang w:eastAsia="en-US"/>
        </w:rPr>
        <w:t>del D.Lgs 165/2001, i commi 2</w:t>
      </w:r>
      <w:r w:rsidR="00B11623">
        <w:rPr>
          <w:color w:val="auto"/>
          <w:szCs w:val="24"/>
          <w:lang w:eastAsia="en-US"/>
        </w:rPr>
        <w:t>-</w:t>
      </w:r>
      <w:r w:rsidRPr="00B11623">
        <w:rPr>
          <w:i/>
          <w:iCs/>
          <w:color w:val="auto"/>
          <w:szCs w:val="24"/>
          <w:lang w:eastAsia="en-US"/>
        </w:rPr>
        <w:t xml:space="preserve">ter </w:t>
      </w:r>
      <w:r>
        <w:rPr>
          <w:color w:val="auto"/>
          <w:szCs w:val="24"/>
          <w:lang w:eastAsia="en-US"/>
        </w:rPr>
        <w:t>e 2</w:t>
      </w:r>
      <w:r w:rsidR="00B11623">
        <w:rPr>
          <w:color w:val="auto"/>
          <w:szCs w:val="24"/>
          <w:lang w:eastAsia="en-US"/>
        </w:rPr>
        <w:t>-</w:t>
      </w:r>
      <w:r w:rsidRPr="00B11623">
        <w:rPr>
          <w:i/>
          <w:iCs/>
          <w:color w:val="auto"/>
          <w:szCs w:val="24"/>
          <w:lang w:eastAsia="en-US"/>
        </w:rPr>
        <w:t>quater</w:t>
      </w:r>
      <w:r>
        <w:rPr>
          <w:color w:val="auto"/>
          <w:szCs w:val="24"/>
          <w:lang w:eastAsia="en-US"/>
        </w:rPr>
        <w:t xml:space="preserve"> dell’art. 6 del D</w:t>
      </w:r>
      <w:r w:rsidR="00A30690">
        <w:rPr>
          <w:color w:val="auto"/>
          <w:szCs w:val="24"/>
          <w:lang w:eastAsia="en-US"/>
        </w:rPr>
        <w:t>.</w:t>
      </w:r>
      <w:r>
        <w:rPr>
          <w:color w:val="auto"/>
          <w:szCs w:val="24"/>
          <w:lang w:eastAsia="en-US"/>
        </w:rPr>
        <w:t>lgs. 231/2001 e l’art. 3 della legge 179/2017).</w:t>
      </w:r>
      <w:r w:rsidR="00E95039">
        <w:rPr>
          <w:color w:val="auto"/>
          <w:szCs w:val="24"/>
          <w:lang w:eastAsia="en-US"/>
        </w:rPr>
        <w:t xml:space="preserve"> </w:t>
      </w:r>
      <w:r w:rsidR="00E95039" w:rsidRPr="00E95039">
        <w:rPr>
          <w:i/>
          <w:color w:val="auto"/>
          <w:szCs w:val="24"/>
          <w:lang w:eastAsia="en-US"/>
        </w:rPr>
        <w:t>La presente disposizione è di natura precettiva e non produce effetti negativi per la finanza pubblica.</w:t>
      </w:r>
    </w:p>
    <w:p w14:paraId="4546F268" w14:textId="019EEBAB" w:rsidR="00B92276" w:rsidRDefault="00F36C80" w:rsidP="001A4063">
      <w:pPr>
        <w:spacing w:after="20" w:line="276" w:lineRule="auto"/>
        <w:ind w:right="0" w:firstLine="0"/>
        <w:rPr>
          <w:color w:val="auto"/>
          <w:szCs w:val="24"/>
          <w:lang w:eastAsia="en-US"/>
        </w:rPr>
      </w:pPr>
      <w:r>
        <w:rPr>
          <w:b/>
          <w:i/>
          <w:color w:val="auto"/>
          <w:szCs w:val="24"/>
          <w:lang w:eastAsia="en-US"/>
        </w:rPr>
        <w:t>L’articolo 2</w:t>
      </w:r>
      <w:r w:rsidR="00E1043E">
        <w:rPr>
          <w:b/>
          <w:i/>
          <w:color w:val="auto"/>
          <w:szCs w:val="24"/>
          <w:lang w:eastAsia="en-US"/>
        </w:rPr>
        <w:t>4</w:t>
      </w:r>
      <w:r>
        <w:rPr>
          <w:b/>
          <w:i/>
          <w:color w:val="auto"/>
          <w:szCs w:val="24"/>
          <w:lang w:eastAsia="en-US"/>
        </w:rPr>
        <w:t xml:space="preserve"> </w:t>
      </w:r>
      <w:r>
        <w:rPr>
          <w:color w:val="auto"/>
          <w:szCs w:val="24"/>
          <w:lang w:eastAsia="en-US"/>
        </w:rPr>
        <w:t xml:space="preserve">detta la disciplina transitoria </w:t>
      </w:r>
      <w:r w:rsidR="00426177">
        <w:rPr>
          <w:color w:val="auto"/>
          <w:szCs w:val="24"/>
          <w:lang w:eastAsia="en-US"/>
        </w:rPr>
        <w:t xml:space="preserve">e di coordinamento </w:t>
      </w:r>
      <w:r>
        <w:rPr>
          <w:color w:val="auto"/>
          <w:szCs w:val="24"/>
          <w:lang w:eastAsia="en-US"/>
        </w:rPr>
        <w:t xml:space="preserve">prevedendo </w:t>
      </w:r>
      <w:r w:rsidR="00CF6373" w:rsidRPr="00DE5D61">
        <w:rPr>
          <w:color w:val="auto"/>
          <w:szCs w:val="24"/>
          <w:lang w:eastAsia="en-US"/>
        </w:rPr>
        <w:t>al primo comma</w:t>
      </w:r>
      <w:r w:rsidR="00036C04" w:rsidRPr="00DE5D61">
        <w:rPr>
          <w:color w:val="auto"/>
          <w:szCs w:val="24"/>
          <w:lang w:eastAsia="en-US"/>
        </w:rPr>
        <w:t>,</w:t>
      </w:r>
      <w:r w:rsidR="00CF6373" w:rsidRPr="00DE5D61">
        <w:rPr>
          <w:color w:val="auto"/>
          <w:szCs w:val="24"/>
          <w:lang w:eastAsia="en-US"/>
        </w:rPr>
        <w:t xml:space="preserve"> </w:t>
      </w:r>
      <w:r w:rsidRPr="00DE5D61">
        <w:rPr>
          <w:color w:val="auto"/>
          <w:szCs w:val="24"/>
          <w:lang w:eastAsia="en-US"/>
        </w:rPr>
        <w:t>che le disposizioni del presente provvedimento</w:t>
      </w:r>
      <w:r w:rsidR="00CF6373" w:rsidRPr="00DE5D61">
        <w:rPr>
          <w:color w:val="auto"/>
          <w:szCs w:val="24"/>
          <w:lang w:eastAsia="en-US"/>
        </w:rPr>
        <w:t xml:space="preserve"> hanno effetto a decorrere dal 15 luglio 2023</w:t>
      </w:r>
      <w:r w:rsidR="0074771F" w:rsidRPr="008B25BB">
        <w:rPr>
          <w:color w:val="auto"/>
          <w:szCs w:val="24"/>
          <w:lang w:eastAsia="en-US"/>
        </w:rPr>
        <w:t xml:space="preserve">, ad </w:t>
      </w:r>
      <w:r w:rsidR="0074771F" w:rsidRPr="008B25BB">
        <w:rPr>
          <w:color w:val="000000" w:themeColor="text1"/>
          <w:szCs w:val="24"/>
        </w:rPr>
        <w:t>eccezione della specifica disciplina prevista per i soggetti del settore privato.</w:t>
      </w:r>
    </w:p>
    <w:p w14:paraId="53C73D7C" w14:textId="519B76F9" w:rsidR="00B92276" w:rsidRPr="00DE5D61" w:rsidRDefault="00CF6373" w:rsidP="001A4063">
      <w:pPr>
        <w:spacing w:after="20" w:line="276" w:lineRule="auto"/>
        <w:ind w:right="0" w:firstLine="0"/>
        <w:rPr>
          <w:color w:val="000000" w:themeColor="text1"/>
          <w:szCs w:val="24"/>
        </w:rPr>
      </w:pPr>
      <w:r w:rsidRPr="00DE5D61">
        <w:rPr>
          <w:color w:val="auto"/>
          <w:szCs w:val="24"/>
          <w:lang w:eastAsia="en-US"/>
        </w:rPr>
        <w:t xml:space="preserve">Si stabilisce, inoltre, </w:t>
      </w:r>
      <w:r w:rsidR="00036C04" w:rsidRPr="00DE5D61">
        <w:rPr>
          <w:color w:val="auto"/>
          <w:szCs w:val="24"/>
          <w:lang w:eastAsia="en-US"/>
        </w:rPr>
        <w:t>sempre al comma 1</w:t>
      </w:r>
      <w:r w:rsidR="003F0B40" w:rsidRPr="00DE5D61">
        <w:rPr>
          <w:color w:val="auto"/>
          <w:szCs w:val="24"/>
          <w:lang w:eastAsia="en-US"/>
        </w:rPr>
        <w:t>,</w:t>
      </w:r>
      <w:r w:rsidR="00036C04" w:rsidRPr="00DE5D61">
        <w:rPr>
          <w:color w:val="auto"/>
          <w:szCs w:val="24"/>
          <w:lang w:eastAsia="en-US"/>
        </w:rPr>
        <w:t xml:space="preserve"> </w:t>
      </w:r>
      <w:r w:rsidR="00D7556D" w:rsidRPr="00DE5D61">
        <w:rPr>
          <w:color w:val="auto"/>
          <w:szCs w:val="24"/>
          <w:lang w:eastAsia="en-US"/>
        </w:rPr>
        <w:t xml:space="preserve">che </w:t>
      </w:r>
      <w:r w:rsidR="00036C04" w:rsidRPr="00DE5D61">
        <w:rPr>
          <w:color w:val="000000" w:themeColor="text1"/>
          <w:szCs w:val="24"/>
        </w:rPr>
        <w:t>al</w:t>
      </w:r>
      <w:r w:rsidR="00D7556D" w:rsidRPr="00DE5D61">
        <w:rPr>
          <w:color w:val="000000" w:themeColor="text1"/>
          <w:szCs w:val="24"/>
        </w:rPr>
        <w:t>le segnalazioni</w:t>
      </w:r>
      <w:r w:rsidR="0074771F" w:rsidRPr="00DE5D61">
        <w:rPr>
          <w:color w:val="000000" w:themeColor="text1"/>
          <w:szCs w:val="24"/>
        </w:rPr>
        <w:t xml:space="preserve"> o </w:t>
      </w:r>
      <w:r w:rsidR="00036C04" w:rsidRPr="00DE5D61">
        <w:rPr>
          <w:color w:val="000000" w:themeColor="text1"/>
          <w:szCs w:val="24"/>
        </w:rPr>
        <w:t>al</w:t>
      </w:r>
      <w:r w:rsidR="0074771F" w:rsidRPr="00DE5D61">
        <w:rPr>
          <w:color w:val="000000" w:themeColor="text1"/>
          <w:szCs w:val="24"/>
        </w:rPr>
        <w:t>le</w:t>
      </w:r>
      <w:r w:rsidR="00D7556D" w:rsidRPr="00DE5D61">
        <w:rPr>
          <w:color w:val="000000" w:themeColor="text1"/>
          <w:szCs w:val="24"/>
        </w:rPr>
        <w:t xml:space="preserve"> denunce effettuate </w:t>
      </w:r>
      <w:r w:rsidR="0074771F" w:rsidRPr="00DE5D61">
        <w:rPr>
          <w:color w:val="000000" w:themeColor="text1"/>
          <w:szCs w:val="24"/>
        </w:rPr>
        <w:t xml:space="preserve">all’autorità giudiziaria o contabile </w:t>
      </w:r>
      <w:r w:rsidR="00D7556D" w:rsidRPr="00DE5D61">
        <w:rPr>
          <w:color w:val="000000" w:themeColor="text1"/>
          <w:szCs w:val="24"/>
        </w:rPr>
        <w:t>precedentemente all</w:t>
      </w:r>
      <w:r w:rsidRPr="00DE5D61">
        <w:rPr>
          <w:color w:val="000000" w:themeColor="text1"/>
          <w:szCs w:val="24"/>
        </w:rPr>
        <w:t xml:space="preserve">a data di </w:t>
      </w:r>
      <w:r w:rsidR="00D7556D" w:rsidRPr="00DE5D61">
        <w:rPr>
          <w:color w:val="000000" w:themeColor="text1"/>
          <w:szCs w:val="24"/>
        </w:rPr>
        <w:t>entrata in vigore del presente decreto</w:t>
      </w:r>
      <w:r w:rsidRPr="00DE5D61">
        <w:rPr>
          <w:color w:val="000000" w:themeColor="text1"/>
          <w:szCs w:val="24"/>
        </w:rPr>
        <w:t xml:space="preserve"> ovvero a quelle effettuate fino al 14 luglio 2023</w:t>
      </w:r>
      <w:r w:rsidR="00D7556D" w:rsidRPr="00DE5D61">
        <w:rPr>
          <w:color w:val="000000" w:themeColor="text1"/>
          <w:szCs w:val="24"/>
        </w:rPr>
        <w:t>, continuano ad applicarsi le disposizioni di cui all’articolo 54-</w:t>
      </w:r>
      <w:r w:rsidR="00D7556D" w:rsidRPr="00DE5D61">
        <w:rPr>
          <w:i/>
          <w:iCs/>
          <w:color w:val="000000" w:themeColor="text1"/>
          <w:szCs w:val="24"/>
        </w:rPr>
        <w:t>bis</w:t>
      </w:r>
      <w:r w:rsidR="00D7556D" w:rsidRPr="00DE5D61">
        <w:rPr>
          <w:color w:val="000000" w:themeColor="text1"/>
          <w:szCs w:val="24"/>
        </w:rPr>
        <w:t xml:space="preserve"> del decreto legislativo 30 marzo 2001 n. 165, all’articolo 6, commi 2-</w:t>
      </w:r>
      <w:r w:rsidR="00D7556D" w:rsidRPr="00DE5D61">
        <w:rPr>
          <w:i/>
          <w:iCs/>
          <w:color w:val="000000" w:themeColor="text1"/>
          <w:szCs w:val="24"/>
        </w:rPr>
        <w:t>bis</w:t>
      </w:r>
      <w:r w:rsidR="00D7556D" w:rsidRPr="00DE5D61">
        <w:rPr>
          <w:color w:val="000000" w:themeColor="text1"/>
          <w:szCs w:val="24"/>
        </w:rPr>
        <w:t>, 2-</w:t>
      </w:r>
      <w:r w:rsidR="00D7556D" w:rsidRPr="00DE5D61">
        <w:rPr>
          <w:i/>
          <w:iCs/>
          <w:color w:val="000000" w:themeColor="text1"/>
          <w:szCs w:val="24"/>
        </w:rPr>
        <w:t>ter</w:t>
      </w:r>
      <w:r w:rsidR="00D7556D" w:rsidRPr="00DE5D61">
        <w:rPr>
          <w:color w:val="000000" w:themeColor="text1"/>
          <w:szCs w:val="24"/>
        </w:rPr>
        <w:t xml:space="preserve"> e 2-</w:t>
      </w:r>
      <w:r w:rsidR="00D7556D" w:rsidRPr="00DE5D61">
        <w:rPr>
          <w:i/>
          <w:iCs/>
          <w:color w:val="000000" w:themeColor="text1"/>
          <w:szCs w:val="24"/>
        </w:rPr>
        <w:t>quater</w:t>
      </w:r>
      <w:r w:rsidR="00D7556D" w:rsidRPr="00DE5D61">
        <w:rPr>
          <w:color w:val="000000" w:themeColor="text1"/>
          <w:szCs w:val="24"/>
        </w:rPr>
        <w:t>, del decreto legislativo 8 giugno 2001, n. 231 e all’articolo 3 della legge 30 novembre 2017, n. 179.</w:t>
      </w:r>
      <w:r w:rsidR="00175766" w:rsidRPr="00DE5D61">
        <w:rPr>
          <w:color w:val="000000" w:themeColor="text1"/>
          <w:szCs w:val="24"/>
        </w:rPr>
        <w:t xml:space="preserve">  </w:t>
      </w:r>
    </w:p>
    <w:p w14:paraId="35643BBB" w14:textId="68A4271E" w:rsidR="00CF6373" w:rsidRPr="00DE5D61" w:rsidRDefault="00173E6E" w:rsidP="001A4063">
      <w:pPr>
        <w:spacing w:after="20" w:line="276" w:lineRule="auto"/>
        <w:ind w:right="0" w:firstLine="0"/>
        <w:rPr>
          <w:color w:val="000000" w:themeColor="text1"/>
          <w:szCs w:val="24"/>
        </w:rPr>
      </w:pPr>
      <w:r w:rsidRPr="00DE5D61">
        <w:rPr>
          <w:color w:val="000000" w:themeColor="text1"/>
          <w:szCs w:val="24"/>
        </w:rPr>
        <w:t>Al</w:t>
      </w:r>
      <w:r w:rsidR="00CF6373" w:rsidRPr="00DE5D61">
        <w:rPr>
          <w:color w:val="000000" w:themeColor="text1"/>
          <w:szCs w:val="24"/>
        </w:rPr>
        <w:t xml:space="preserve"> comma </w:t>
      </w:r>
      <w:r w:rsidR="00B9170E" w:rsidRPr="00DE5D61">
        <w:rPr>
          <w:color w:val="000000" w:themeColor="text1"/>
          <w:szCs w:val="24"/>
        </w:rPr>
        <w:t xml:space="preserve">2 </w:t>
      </w:r>
      <w:r w:rsidR="00CF6373" w:rsidRPr="00DE5D61">
        <w:rPr>
          <w:color w:val="000000" w:themeColor="text1"/>
          <w:szCs w:val="24"/>
        </w:rPr>
        <w:t xml:space="preserve">si prevede che per i soggetti del settore privato </w:t>
      </w:r>
      <w:r w:rsidR="00CF6373" w:rsidRPr="00DE5D61">
        <w:rPr>
          <w:szCs w:val="24"/>
        </w:rPr>
        <w:t xml:space="preserve">che hanno impiegato, nell’ultimo anno, una media di lavoratori subordinati, con contratti di lavoro a tempo indeterminato o determinato, </w:t>
      </w:r>
      <w:r w:rsidR="00CF6373" w:rsidRPr="00DE5D61">
        <w:rPr>
          <w:color w:val="000000" w:themeColor="text1"/>
          <w:szCs w:val="24"/>
        </w:rPr>
        <w:t>non superiore a 249, l’obbligo di istituzione del canale di segnalazione interna ai sensi del presente decreto ha effetto a decorrere dal 17 dicembre 2023 e, fino ad allora, continua ad applicarsi l’articolo 6, comma 2-</w:t>
      </w:r>
      <w:r w:rsidR="00CF6373" w:rsidRPr="00DE5D61">
        <w:rPr>
          <w:i/>
          <w:color w:val="000000" w:themeColor="text1"/>
          <w:szCs w:val="24"/>
        </w:rPr>
        <w:t>bis</w:t>
      </w:r>
      <w:r w:rsidR="00CF6373" w:rsidRPr="00DE5D61">
        <w:rPr>
          <w:color w:val="000000" w:themeColor="text1"/>
          <w:szCs w:val="24"/>
        </w:rPr>
        <w:t>, lettere a) e b), del decreto legislativo n. 231 del 2001, nella formulazione vigente fino alla data di entrata in vigore del presente decreto.</w:t>
      </w:r>
    </w:p>
    <w:p w14:paraId="1DCC355F" w14:textId="7D76DB47" w:rsidR="00F36C80" w:rsidRPr="00296888" w:rsidRDefault="00F36C80" w:rsidP="001A4063">
      <w:pPr>
        <w:spacing w:after="20" w:line="276" w:lineRule="auto"/>
        <w:ind w:right="0" w:firstLine="0"/>
        <w:rPr>
          <w:color w:val="auto"/>
          <w:szCs w:val="24"/>
          <w:lang w:eastAsia="en-US"/>
        </w:rPr>
      </w:pPr>
      <w:r w:rsidRPr="00F36C80">
        <w:rPr>
          <w:color w:val="auto"/>
          <w:szCs w:val="24"/>
          <w:lang w:eastAsia="en-US"/>
        </w:rPr>
        <w:t xml:space="preserve">Il </w:t>
      </w:r>
      <w:r w:rsidR="00030D76">
        <w:rPr>
          <w:color w:val="auto"/>
          <w:szCs w:val="24"/>
          <w:lang w:eastAsia="en-US"/>
        </w:rPr>
        <w:t>terzo</w:t>
      </w:r>
      <w:r w:rsidRPr="00F36C80">
        <w:rPr>
          <w:color w:val="auto"/>
          <w:szCs w:val="24"/>
          <w:lang w:eastAsia="en-US"/>
        </w:rPr>
        <w:t xml:space="preserve"> comma dell’articolo in esame prev</w:t>
      </w:r>
      <w:r>
        <w:rPr>
          <w:color w:val="auto"/>
          <w:szCs w:val="24"/>
          <w:lang w:eastAsia="en-US"/>
        </w:rPr>
        <w:t>e</w:t>
      </w:r>
      <w:r w:rsidRPr="00F36C80">
        <w:rPr>
          <w:color w:val="auto"/>
          <w:szCs w:val="24"/>
          <w:lang w:eastAsia="en-US"/>
        </w:rPr>
        <w:t xml:space="preserve">de la riformulazione dell’art. 4 della legge 604/1966, </w:t>
      </w:r>
      <w:r>
        <w:rPr>
          <w:color w:val="auto"/>
          <w:szCs w:val="24"/>
          <w:lang w:eastAsia="en-US"/>
        </w:rPr>
        <w:t xml:space="preserve">inserendo tra le cause di nullità del licenziamento la fattispecie inerente </w:t>
      </w:r>
      <w:r w:rsidR="006D35C7">
        <w:rPr>
          <w:color w:val="auto"/>
          <w:szCs w:val="24"/>
          <w:lang w:eastAsia="en-US"/>
        </w:rPr>
        <w:t>alla</w:t>
      </w:r>
      <w:r>
        <w:rPr>
          <w:color w:val="auto"/>
          <w:szCs w:val="24"/>
          <w:lang w:eastAsia="en-US"/>
        </w:rPr>
        <w:t xml:space="preserve"> segnalazione </w:t>
      </w:r>
      <w:r w:rsidRPr="00296888">
        <w:rPr>
          <w:color w:val="auto"/>
          <w:szCs w:val="24"/>
          <w:lang w:eastAsia="en-US"/>
        </w:rPr>
        <w:t>di un illecito di cui il dipendente sia venuto a conoscenza in ragione del rapporto di lavoro.</w:t>
      </w:r>
    </w:p>
    <w:p w14:paraId="3E283B8E" w14:textId="01170680" w:rsidR="003E4136" w:rsidRDefault="003E4136" w:rsidP="001A4063">
      <w:pPr>
        <w:spacing w:after="20" w:line="276" w:lineRule="auto"/>
        <w:ind w:right="0" w:firstLine="0"/>
        <w:rPr>
          <w:color w:val="000000" w:themeColor="text1"/>
          <w:szCs w:val="24"/>
        </w:rPr>
      </w:pPr>
      <w:r w:rsidRPr="00296888">
        <w:rPr>
          <w:color w:val="auto"/>
          <w:szCs w:val="24"/>
          <w:lang w:eastAsia="en-US"/>
        </w:rPr>
        <w:t xml:space="preserve">Il </w:t>
      </w:r>
      <w:r w:rsidR="00030D76">
        <w:rPr>
          <w:color w:val="auto"/>
          <w:szCs w:val="24"/>
          <w:lang w:eastAsia="en-US"/>
        </w:rPr>
        <w:t>quarto</w:t>
      </w:r>
      <w:r w:rsidRPr="00296888">
        <w:rPr>
          <w:color w:val="auto"/>
          <w:szCs w:val="24"/>
          <w:lang w:eastAsia="en-US"/>
        </w:rPr>
        <w:t xml:space="preserve"> comma sostituisce la lettera f) del comma 1 dell’articolo 2-</w:t>
      </w:r>
      <w:r w:rsidRPr="00296888">
        <w:rPr>
          <w:i/>
          <w:color w:val="auto"/>
          <w:szCs w:val="24"/>
          <w:lang w:eastAsia="en-US"/>
        </w:rPr>
        <w:t>undecies</w:t>
      </w:r>
      <w:r w:rsidRPr="00296888">
        <w:rPr>
          <w:color w:val="auto"/>
          <w:szCs w:val="24"/>
          <w:lang w:eastAsia="en-US"/>
        </w:rPr>
        <w:t xml:space="preserve"> del codice in materia di protezione dei dati personali di cui al decreto legislativo 30 giugno 2003, n. 196 e successive modifiche, relativamente </w:t>
      </w:r>
      <w:r w:rsidRPr="00296888">
        <w:rPr>
          <w:color w:val="000000" w:themeColor="text1"/>
          <w:szCs w:val="24"/>
        </w:rPr>
        <w:t>alla riservatezza dell'identità della persona che segnala violazioni di cui sia venuta a conoscenza in ragione del proprio rapporto di lavoro o delle funzioni svolte, ai sensi del decreto legislativo recante attuazione della direttiva (UE) 2019/1937 del Parlamento europeo e del Consiglio del 23 ottobre 2019</w:t>
      </w:r>
      <w:r w:rsidR="00230C59" w:rsidRPr="00296888">
        <w:rPr>
          <w:color w:val="000000" w:themeColor="text1"/>
          <w:szCs w:val="24"/>
        </w:rPr>
        <w:t>.</w:t>
      </w:r>
    </w:p>
    <w:p w14:paraId="6B611525" w14:textId="11CAE187" w:rsidR="00CB1B1B" w:rsidRPr="00DE5D61" w:rsidRDefault="00CB1B1B" w:rsidP="001A4063">
      <w:pPr>
        <w:spacing w:after="20" w:line="276" w:lineRule="auto"/>
        <w:ind w:right="0" w:firstLine="0"/>
        <w:rPr>
          <w:szCs w:val="24"/>
        </w:rPr>
      </w:pPr>
      <w:r w:rsidRPr="00065AD0">
        <w:rPr>
          <w:color w:val="000000" w:themeColor="text1"/>
          <w:szCs w:val="24"/>
        </w:rPr>
        <w:t xml:space="preserve">Il </w:t>
      </w:r>
      <w:r w:rsidRPr="00DE5D61">
        <w:rPr>
          <w:color w:val="000000" w:themeColor="text1"/>
          <w:szCs w:val="24"/>
        </w:rPr>
        <w:t>quinto comma, al fine di conseguire il coordinamento normativo, sostituisce integralmente il comma 2-</w:t>
      </w:r>
      <w:r w:rsidRPr="00DE5D61">
        <w:rPr>
          <w:i/>
          <w:iCs/>
          <w:color w:val="000000" w:themeColor="text1"/>
          <w:szCs w:val="24"/>
        </w:rPr>
        <w:t>bis</w:t>
      </w:r>
      <w:r w:rsidRPr="00DE5D61">
        <w:rPr>
          <w:color w:val="000000" w:themeColor="text1"/>
          <w:szCs w:val="24"/>
        </w:rPr>
        <w:t xml:space="preserve"> del</w:t>
      </w:r>
      <w:r w:rsidR="00EE0400" w:rsidRPr="00DE5D61">
        <w:rPr>
          <w:color w:val="000000" w:themeColor="text1"/>
          <w:szCs w:val="24"/>
        </w:rPr>
        <w:t>l’articolo 6 del D.</w:t>
      </w:r>
      <w:r w:rsidRPr="00DE5D61">
        <w:rPr>
          <w:color w:val="000000" w:themeColor="text1"/>
          <w:szCs w:val="24"/>
        </w:rPr>
        <w:t xml:space="preserve"> Lgs. 231 del 2001, </w:t>
      </w:r>
      <w:r w:rsidR="00384ADB" w:rsidRPr="00DE5D61">
        <w:rPr>
          <w:color w:val="000000" w:themeColor="text1"/>
          <w:szCs w:val="24"/>
        </w:rPr>
        <w:t>stabilendo</w:t>
      </w:r>
      <w:r w:rsidR="00AE014E" w:rsidRPr="00DE5D61">
        <w:rPr>
          <w:color w:val="000000" w:themeColor="text1"/>
          <w:szCs w:val="24"/>
        </w:rPr>
        <w:t xml:space="preserve"> – come già menzionato all’articolo 4 del presente provvedimento -</w:t>
      </w:r>
      <w:r w:rsidRPr="00DE5D61">
        <w:rPr>
          <w:color w:val="000000" w:themeColor="text1"/>
          <w:szCs w:val="24"/>
        </w:rPr>
        <w:t xml:space="preserve"> che i modelli che sono definiti al comma 1, lettera a) della disposizione prevedono, per l’appunto,</w:t>
      </w:r>
      <w:r w:rsidR="0070209A" w:rsidRPr="00DE5D61">
        <w:rPr>
          <w:color w:val="000000" w:themeColor="text1"/>
          <w:szCs w:val="24"/>
        </w:rPr>
        <w:t xml:space="preserve"> ai sensi </w:t>
      </w:r>
      <w:r w:rsidR="0082475D" w:rsidRPr="00DE5D61">
        <w:rPr>
          <w:color w:val="000000" w:themeColor="text1"/>
          <w:szCs w:val="24"/>
        </w:rPr>
        <w:t>del</w:t>
      </w:r>
      <w:r w:rsidR="0070209A" w:rsidRPr="00DE5D61">
        <w:rPr>
          <w:szCs w:val="24"/>
        </w:rPr>
        <w:t xml:space="preserve"> decreto legislativo attuativo della direttiva (UE) 1937/2019 del Parlamento europeo e del Consiglio del 23 ottobre 2019</w:t>
      </w:r>
      <w:r w:rsidR="0098509E" w:rsidRPr="00DE5D61">
        <w:rPr>
          <w:szCs w:val="24"/>
        </w:rPr>
        <w:t xml:space="preserve">, </w:t>
      </w:r>
      <w:r w:rsidRPr="00DE5D61">
        <w:rPr>
          <w:color w:val="000000" w:themeColor="text1"/>
          <w:szCs w:val="24"/>
        </w:rPr>
        <w:t xml:space="preserve">i canali di segnalazione interna, il divieto di ritorsione e il regime dettato in materia di procedimenti e di applicazione delle sanzioni disciplinari, che è </w:t>
      </w:r>
      <w:r w:rsidRPr="00DE5D61">
        <w:rPr>
          <w:szCs w:val="24"/>
        </w:rPr>
        <w:t xml:space="preserve">adottato ai sensi del comma 2, lettera </w:t>
      </w:r>
      <w:r w:rsidRPr="00DE5D61">
        <w:rPr>
          <w:i/>
          <w:iCs/>
          <w:szCs w:val="24"/>
        </w:rPr>
        <w:t>e)</w:t>
      </w:r>
      <w:r w:rsidR="0098509E" w:rsidRPr="00DE5D61">
        <w:rPr>
          <w:i/>
          <w:iCs/>
          <w:szCs w:val="24"/>
        </w:rPr>
        <w:t>.</w:t>
      </w:r>
    </w:p>
    <w:p w14:paraId="28817959" w14:textId="77777777" w:rsidR="00F36C80" w:rsidRDefault="00F36C80" w:rsidP="001A4063">
      <w:pPr>
        <w:spacing w:after="20" w:line="276" w:lineRule="auto"/>
        <w:ind w:right="0" w:firstLine="0"/>
        <w:rPr>
          <w:i/>
          <w:color w:val="auto"/>
          <w:szCs w:val="24"/>
          <w:lang w:eastAsia="en-US"/>
        </w:rPr>
      </w:pPr>
      <w:r w:rsidRPr="00AE6B91">
        <w:rPr>
          <w:i/>
          <w:color w:val="auto"/>
          <w:szCs w:val="24"/>
          <w:lang w:eastAsia="en-US"/>
        </w:rPr>
        <w:t xml:space="preserve">Le disposizioni sono di carattere ordinamentale e precettivo e </w:t>
      </w:r>
      <w:r w:rsidR="00AE6B91" w:rsidRPr="00AE6B91">
        <w:rPr>
          <w:i/>
          <w:color w:val="auto"/>
          <w:szCs w:val="24"/>
          <w:lang w:eastAsia="en-US"/>
        </w:rPr>
        <w:t>non determinano alcun onere per la finanza pubblica.</w:t>
      </w:r>
    </w:p>
    <w:p w14:paraId="0A191F1B" w14:textId="6D35E758" w:rsidR="002947B7" w:rsidRPr="002947B7" w:rsidRDefault="00B37532" w:rsidP="001A4063">
      <w:pPr>
        <w:spacing w:after="20" w:line="276" w:lineRule="auto"/>
        <w:ind w:right="0" w:firstLine="0"/>
        <w:rPr>
          <w:color w:val="auto"/>
          <w:szCs w:val="24"/>
          <w:lang w:eastAsia="en-US"/>
        </w:rPr>
      </w:pPr>
      <w:r w:rsidRPr="006D35C7">
        <w:rPr>
          <w:color w:val="auto"/>
          <w:szCs w:val="24"/>
          <w:lang w:eastAsia="en-US"/>
        </w:rPr>
        <w:t>Infine,</w:t>
      </w:r>
      <w:r w:rsidRPr="006D35C7">
        <w:rPr>
          <w:i/>
          <w:color w:val="auto"/>
          <w:szCs w:val="24"/>
          <w:lang w:eastAsia="en-US"/>
        </w:rPr>
        <w:t xml:space="preserve"> </w:t>
      </w:r>
      <w:r w:rsidRPr="006D35C7">
        <w:rPr>
          <w:b/>
          <w:i/>
          <w:color w:val="auto"/>
          <w:szCs w:val="24"/>
          <w:lang w:eastAsia="en-US"/>
        </w:rPr>
        <w:t xml:space="preserve">l’articolo </w:t>
      </w:r>
      <w:r w:rsidRPr="00936EF6">
        <w:rPr>
          <w:b/>
          <w:i/>
          <w:color w:val="auto"/>
          <w:szCs w:val="24"/>
          <w:lang w:eastAsia="en-US"/>
        </w:rPr>
        <w:t>2</w:t>
      </w:r>
      <w:r w:rsidR="0017161B" w:rsidRPr="00936EF6">
        <w:rPr>
          <w:b/>
          <w:i/>
          <w:color w:val="auto"/>
          <w:szCs w:val="24"/>
          <w:lang w:eastAsia="en-US"/>
        </w:rPr>
        <w:t>5</w:t>
      </w:r>
      <w:r w:rsidRPr="00936EF6">
        <w:rPr>
          <w:color w:val="auto"/>
          <w:szCs w:val="24"/>
          <w:lang w:eastAsia="en-US"/>
        </w:rPr>
        <w:t xml:space="preserve"> contiene</w:t>
      </w:r>
      <w:r w:rsidR="00F55AC3" w:rsidRPr="00936EF6">
        <w:rPr>
          <w:color w:val="auto"/>
          <w:szCs w:val="24"/>
          <w:lang w:eastAsia="en-US"/>
        </w:rPr>
        <w:t xml:space="preserve"> </w:t>
      </w:r>
      <w:r w:rsidR="002B66DB" w:rsidRPr="00936EF6">
        <w:rPr>
          <w:color w:val="auto"/>
          <w:szCs w:val="24"/>
          <w:lang w:eastAsia="en-US"/>
        </w:rPr>
        <w:t>l</w:t>
      </w:r>
      <w:r w:rsidR="00803ED7" w:rsidRPr="00936EF6">
        <w:rPr>
          <w:color w:val="auto"/>
          <w:szCs w:val="24"/>
          <w:lang w:eastAsia="en-US"/>
        </w:rPr>
        <w:t xml:space="preserve">e disposizioni </w:t>
      </w:r>
      <w:r w:rsidR="00F55AC3" w:rsidRPr="00936EF6">
        <w:rPr>
          <w:color w:val="auto"/>
          <w:szCs w:val="24"/>
          <w:lang w:eastAsia="en-US"/>
        </w:rPr>
        <w:t>finanziari</w:t>
      </w:r>
      <w:r w:rsidR="00803ED7" w:rsidRPr="00936EF6">
        <w:rPr>
          <w:color w:val="auto"/>
          <w:szCs w:val="24"/>
          <w:lang w:eastAsia="en-US"/>
        </w:rPr>
        <w:t>e</w:t>
      </w:r>
      <w:r w:rsidRPr="006D35C7">
        <w:rPr>
          <w:color w:val="auto"/>
          <w:szCs w:val="24"/>
          <w:lang w:eastAsia="en-US"/>
        </w:rPr>
        <w:t>, prevedendo che</w:t>
      </w:r>
      <w:r w:rsidR="00F55AC3" w:rsidRPr="006D35C7">
        <w:rPr>
          <w:color w:val="auto"/>
          <w:szCs w:val="24"/>
          <w:lang w:eastAsia="en-US"/>
        </w:rPr>
        <w:t xml:space="preserve"> - fatta eccezione per le disposizioni di cui all’articolo </w:t>
      </w:r>
      <w:r w:rsidR="0017161B">
        <w:rPr>
          <w:color w:val="auto"/>
          <w:szCs w:val="24"/>
          <w:lang w:eastAsia="en-US"/>
        </w:rPr>
        <w:t>11</w:t>
      </w:r>
      <w:r w:rsidR="00F55AC3" w:rsidRPr="006D35C7">
        <w:rPr>
          <w:color w:val="auto"/>
          <w:szCs w:val="24"/>
          <w:lang w:eastAsia="en-US"/>
        </w:rPr>
        <w:t xml:space="preserve"> -</w:t>
      </w:r>
      <w:r w:rsidRPr="006D35C7">
        <w:rPr>
          <w:color w:val="auto"/>
          <w:szCs w:val="24"/>
          <w:lang w:eastAsia="en-US"/>
        </w:rPr>
        <w:t xml:space="preserve"> dall’attuazione</w:t>
      </w:r>
      <w:r>
        <w:rPr>
          <w:color w:val="auto"/>
          <w:szCs w:val="24"/>
          <w:lang w:eastAsia="en-US"/>
        </w:rPr>
        <w:t xml:space="preserve"> delle disposizioni di cui al presente decreto legislativo non devono derivare nuovi o maggiori oneri a carico della finanza pubblica, </w:t>
      </w:r>
      <w:r w:rsidRPr="00B37532">
        <w:rPr>
          <w:i/>
          <w:color w:val="auto"/>
          <w:szCs w:val="24"/>
          <w:lang w:eastAsia="en-US"/>
        </w:rPr>
        <w:t>atteso che agli adempimenti e</w:t>
      </w:r>
      <w:r w:rsidR="0017161B">
        <w:rPr>
          <w:i/>
          <w:color w:val="auto"/>
          <w:szCs w:val="24"/>
          <w:lang w:eastAsia="en-US"/>
        </w:rPr>
        <w:t xml:space="preserve"> alle</w:t>
      </w:r>
      <w:r w:rsidRPr="00B37532">
        <w:rPr>
          <w:i/>
          <w:color w:val="auto"/>
          <w:szCs w:val="24"/>
          <w:lang w:eastAsia="en-US"/>
        </w:rPr>
        <w:t xml:space="preserve"> attività ad esso conness</w:t>
      </w:r>
      <w:r w:rsidR="00296888">
        <w:rPr>
          <w:i/>
          <w:color w:val="auto"/>
          <w:szCs w:val="24"/>
          <w:lang w:eastAsia="en-US"/>
        </w:rPr>
        <w:t>i</w:t>
      </w:r>
      <w:r w:rsidRPr="00B37532">
        <w:rPr>
          <w:i/>
          <w:color w:val="auto"/>
          <w:szCs w:val="24"/>
          <w:lang w:eastAsia="en-US"/>
        </w:rPr>
        <w:t xml:space="preserve"> potrà provvedersi attraverso</w:t>
      </w:r>
      <w:r w:rsidR="00677C96">
        <w:rPr>
          <w:i/>
          <w:color w:val="auto"/>
          <w:szCs w:val="24"/>
          <w:lang w:eastAsia="en-US"/>
        </w:rPr>
        <w:t xml:space="preserve"> l’utilizzo del</w:t>
      </w:r>
      <w:r w:rsidRPr="00B37532">
        <w:rPr>
          <w:i/>
          <w:color w:val="auto"/>
          <w:szCs w:val="24"/>
          <w:lang w:eastAsia="en-US"/>
        </w:rPr>
        <w:t>le risorse umane, strumentali e finanziarie disponibili a legislazione vigente.</w:t>
      </w:r>
    </w:p>
    <w:sectPr w:rsidR="002947B7" w:rsidRPr="002947B7" w:rsidSect="007647F4">
      <w:headerReference w:type="even" r:id="rId12"/>
      <w:headerReference w:type="default" r:id="rId13"/>
      <w:footerReference w:type="even" r:id="rId14"/>
      <w:footerReference w:type="default" r:id="rId15"/>
      <w:headerReference w:type="first" r:id="rId16"/>
      <w:footerReference w:type="first" r:id="rId17"/>
      <w:pgSz w:w="11920" w:h="16860"/>
      <w:pgMar w:top="142" w:right="1005" w:bottom="1641" w:left="113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E7A16" w14:textId="77777777" w:rsidR="002A31ED" w:rsidRDefault="002A31ED">
      <w:pPr>
        <w:spacing w:after="0" w:line="240" w:lineRule="auto"/>
      </w:pPr>
      <w:r>
        <w:separator/>
      </w:r>
    </w:p>
  </w:endnote>
  <w:endnote w:type="continuationSeparator" w:id="0">
    <w:p w14:paraId="0CC766DF" w14:textId="77777777" w:rsidR="002A31ED" w:rsidRDefault="002A3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utami">
    <w:altName w:val="Bahnschrift Light"/>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702A8" w14:textId="77777777" w:rsidR="00F36C80" w:rsidRDefault="00F36C80">
    <w:pPr>
      <w:spacing w:after="0" w:line="259" w:lineRule="auto"/>
      <w:ind w:left="0"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30BDAF1D" w14:textId="77777777" w:rsidR="00F36C80" w:rsidRDefault="00F36C80">
    <w:pPr>
      <w:spacing w:after="0" w:line="259" w:lineRule="auto"/>
      <w:ind w:left="49" w:right="0" w:firstLine="0"/>
      <w:jc w:val="left"/>
    </w:pPr>
    <w:r>
      <w:rPr>
        <w:sz w:val="20"/>
      </w:rPr>
      <w:t xml:space="preserve"> </w:t>
    </w:r>
  </w:p>
  <w:p w14:paraId="77F3BB55" w14:textId="77777777" w:rsidR="00F36C80" w:rsidRDefault="00F36C80">
    <w:pPr>
      <w:spacing w:after="0" w:line="259" w:lineRule="auto"/>
      <w:ind w:left="49" w:right="0" w:firstLine="0"/>
      <w:jc w:val="left"/>
    </w:pPr>
    <w:r>
      <w:rPr>
        <w:sz w:val="20"/>
      </w:rPr>
      <w:t xml:space="preserve"> </w:t>
    </w:r>
  </w:p>
  <w:p w14:paraId="5C6696E0" w14:textId="77777777" w:rsidR="00F36C80" w:rsidRDefault="00F36C80">
    <w:pPr>
      <w:spacing w:after="0" w:line="259" w:lineRule="auto"/>
      <w:ind w:left="49" w:righ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11B4F" w14:textId="328BC499" w:rsidR="00F36C80" w:rsidRDefault="00F36C80">
    <w:pPr>
      <w:spacing w:after="0" w:line="259" w:lineRule="auto"/>
      <w:ind w:left="0" w:firstLine="0"/>
      <w:jc w:val="right"/>
    </w:pPr>
    <w:r>
      <w:fldChar w:fldCharType="begin"/>
    </w:r>
    <w:r>
      <w:instrText xml:space="preserve"> PAGE   \* MERGEFORMAT </w:instrText>
    </w:r>
    <w:r>
      <w:fldChar w:fldCharType="separate"/>
    </w:r>
    <w:r w:rsidR="009D1D65" w:rsidRPr="009D1D65">
      <w:rPr>
        <w:noProof/>
        <w:sz w:val="20"/>
      </w:rPr>
      <w:t>14</w:t>
    </w:r>
    <w:r>
      <w:rPr>
        <w:sz w:val="20"/>
      </w:rPr>
      <w:fldChar w:fldCharType="end"/>
    </w:r>
    <w:r>
      <w:rPr>
        <w:sz w:val="20"/>
      </w:rPr>
      <w:t xml:space="preserve"> </w:t>
    </w:r>
  </w:p>
  <w:p w14:paraId="069156A2" w14:textId="77777777" w:rsidR="00F36C80" w:rsidRDefault="00F36C80">
    <w:pPr>
      <w:spacing w:after="0" w:line="259" w:lineRule="auto"/>
      <w:ind w:left="49" w:right="0" w:firstLine="0"/>
      <w:jc w:val="left"/>
    </w:pPr>
    <w:r>
      <w:rPr>
        <w:sz w:val="20"/>
      </w:rPr>
      <w:t xml:space="preserve"> </w:t>
    </w:r>
  </w:p>
  <w:p w14:paraId="10B5296B" w14:textId="77777777" w:rsidR="00F36C80" w:rsidRDefault="00F36C80">
    <w:pPr>
      <w:spacing w:after="0" w:line="259" w:lineRule="auto"/>
      <w:ind w:left="49" w:right="0" w:firstLine="0"/>
      <w:jc w:val="left"/>
    </w:pPr>
    <w:r>
      <w:rPr>
        <w:sz w:val="20"/>
      </w:rPr>
      <w:t xml:space="preserve"> </w:t>
    </w:r>
  </w:p>
  <w:p w14:paraId="1102B9ED" w14:textId="77777777" w:rsidR="00F36C80" w:rsidRDefault="00F36C80">
    <w:pPr>
      <w:spacing w:after="0" w:line="259" w:lineRule="auto"/>
      <w:ind w:left="49" w:righ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8C864" w14:textId="77777777" w:rsidR="00F36C80" w:rsidRDefault="00F36C8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BFB62" w14:textId="77777777" w:rsidR="002A31ED" w:rsidRDefault="002A31ED">
      <w:pPr>
        <w:spacing w:after="0" w:line="240" w:lineRule="auto"/>
      </w:pPr>
      <w:r>
        <w:separator/>
      </w:r>
    </w:p>
  </w:footnote>
  <w:footnote w:type="continuationSeparator" w:id="0">
    <w:p w14:paraId="68EB83EA" w14:textId="77777777" w:rsidR="002A31ED" w:rsidRDefault="002A3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0C2E0" w14:textId="77777777" w:rsidR="00F36C80" w:rsidRDefault="00F36C80">
    <w:pPr>
      <w:spacing w:after="0" w:line="259" w:lineRule="auto"/>
      <w:ind w:left="-1086" w:right="141" w:firstLine="0"/>
      <w:jc w:val="left"/>
    </w:pPr>
    <w:r>
      <w:rPr>
        <w:noProof/>
      </w:rPr>
      <w:drawing>
        <wp:anchor distT="0" distB="0" distL="114300" distR="114300" simplePos="0" relativeHeight="251658240" behindDoc="0" locked="0" layoutInCell="1" allowOverlap="0" wp14:anchorId="28876F7C" wp14:editId="6ECCC315">
          <wp:simplePos x="0" y="0"/>
          <wp:positionH relativeFrom="page">
            <wp:posOffset>905635</wp:posOffset>
          </wp:positionH>
          <wp:positionV relativeFrom="page">
            <wp:posOffset>171594</wp:posOffset>
          </wp:positionV>
          <wp:extent cx="6129718" cy="1592011"/>
          <wp:effectExtent l="0" t="0" r="0" b="0"/>
          <wp:wrapSquare wrapText="bothSides"/>
          <wp:docPr id="5" name="Picture 1547"/>
          <wp:cNvGraphicFramePr/>
          <a:graphic xmlns:a="http://schemas.openxmlformats.org/drawingml/2006/main">
            <a:graphicData uri="http://schemas.openxmlformats.org/drawingml/2006/picture">
              <pic:pic xmlns:pic="http://schemas.openxmlformats.org/drawingml/2006/picture">
                <pic:nvPicPr>
                  <pic:cNvPr id="1547" name="Picture 1547"/>
                  <pic:cNvPicPr/>
                </pic:nvPicPr>
                <pic:blipFill>
                  <a:blip r:embed="rId1"/>
                  <a:stretch>
                    <a:fillRect/>
                  </a:stretch>
                </pic:blipFill>
                <pic:spPr>
                  <a:xfrm>
                    <a:off x="0" y="0"/>
                    <a:ext cx="6129718" cy="159201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B7FC4" w14:textId="77777777" w:rsidR="00F36C80" w:rsidRDefault="00F36C80" w:rsidP="00AD2999">
    <w:pPr>
      <w:spacing w:after="20" w:line="360" w:lineRule="auto"/>
      <w:ind w:left="2843" w:right="147" w:firstLine="697"/>
    </w:pPr>
    <w:r>
      <w:rPr>
        <w:b/>
      </w:rPr>
      <w:t>GABINETTO</w:t>
    </w:r>
    <w:r>
      <w:rPr>
        <w:rFonts w:ascii="Gautami" w:eastAsia="Gautami" w:hAnsi="Gautami" w:cs="Gautami"/>
      </w:rPr>
      <w:t>​</w:t>
    </w:r>
    <w:r>
      <w:rPr>
        <w:b/>
      </w:rPr>
      <w:t xml:space="preserve"> </w:t>
    </w:r>
    <w:r>
      <w:rPr>
        <w:rFonts w:ascii="Gautami" w:eastAsia="Gautami" w:hAnsi="Gautami" w:cs="Gautami"/>
      </w:rPr>
      <w:t>​</w:t>
    </w:r>
    <w:r>
      <w:rPr>
        <w:b/>
      </w:rPr>
      <w:t xml:space="preserve">DEL </w:t>
    </w:r>
    <w:r>
      <w:rPr>
        <w:rFonts w:ascii="Gautami" w:eastAsia="Gautami" w:hAnsi="Gautami" w:cs="Gautami"/>
      </w:rPr>
      <w:t>​ ​</w:t>
    </w:r>
    <w:r>
      <w:rPr>
        <w:b/>
      </w:rPr>
      <w:t>MINISTRO</w:t>
    </w:r>
    <w:r>
      <w:t xml:space="preserve"> </w:t>
    </w:r>
  </w:p>
  <w:p w14:paraId="0C21456B" w14:textId="77777777" w:rsidR="00F36C80" w:rsidRDefault="00F36C80" w:rsidP="00AD2999">
    <w:pPr>
      <w:spacing w:after="20" w:line="360" w:lineRule="auto"/>
      <w:ind w:left="3551" w:right="147" w:firstLine="0"/>
      <w:rPr>
        <w:b/>
      </w:rPr>
    </w:pPr>
    <w:r>
      <w:rPr>
        <w:b/>
      </w:rPr>
      <w:t xml:space="preserve">    Area</w:t>
    </w:r>
    <w:r>
      <w:rPr>
        <w:rFonts w:ascii="Gautami" w:eastAsia="Gautami" w:hAnsi="Gautami" w:cs="Gautami"/>
      </w:rPr>
      <w:t>​</w:t>
    </w:r>
    <w:r>
      <w:rPr>
        <w:b/>
      </w:rPr>
      <w:t xml:space="preserve"> Economico-Finanziaria</w:t>
    </w:r>
  </w:p>
  <w:p w14:paraId="7370CAB9" w14:textId="77777777" w:rsidR="00F36C80" w:rsidRDefault="00F36C80">
    <w:pPr>
      <w:spacing w:after="0" w:line="259" w:lineRule="auto"/>
      <w:ind w:left="-1086" w:right="141" w:firstLine="0"/>
      <w:jc w:val="left"/>
    </w:pPr>
    <w:r>
      <w:rPr>
        <w:noProof/>
      </w:rPr>
      <w:drawing>
        <wp:anchor distT="0" distB="0" distL="114300" distR="114300" simplePos="0" relativeHeight="251659264" behindDoc="0" locked="0" layoutInCell="1" allowOverlap="0" wp14:anchorId="4064F111" wp14:editId="7B80FD80">
          <wp:simplePos x="0" y="0"/>
          <wp:positionH relativeFrom="page">
            <wp:posOffset>873705</wp:posOffset>
          </wp:positionH>
          <wp:positionV relativeFrom="page">
            <wp:posOffset>195304</wp:posOffset>
          </wp:positionV>
          <wp:extent cx="6129718" cy="1592011"/>
          <wp:effectExtent l="0" t="0" r="0" b="0"/>
          <wp:wrapSquare wrapText="bothSides"/>
          <wp:docPr id="7" name="Picture 1547"/>
          <wp:cNvGraphicFramePr/>
          <a:graphic xmlns:a="http://schemas.openxmlformats.org/drawingml/2006/main">
            <a:graphicData uri="http://schemas.openxmlformats.org/drawingml/2006/picture">
              <pic:pic xmlns:pic="http://schemas.openxmlformats.org/drawingml/2006/picture">
                <pic:nvPicPr>
                  <pic:cNvPr id="1547" name="Picture 1547"/>
                  <pic:cNvPicPr/>
                </pic:nvPicPr>
                <pic:blipFill>
                  <a:blip r:embed="rId1"/>
                  <a:stretch>
                    <a:fillRect/>
                  </a:stretch>
                </pic:blipFill>
                <pic:spPr>
                  <a:xfrm>
                    <a:off x="0" y="0"/>
                    <a:ext cx="6129718" cy="159201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29CE5" w14:textId="77777777" w:rsidR="00F36C80" w:rsidRDefault="00F36C8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56A16"/>
    <w:multiLevelType w:val="hybridMultilevel"/>
    <w:tmpl w:val="40EE43F2"/>
    <w:lvl w:ilvl="0" w:tplc="06E041B0">
      <w:start w:val="1"/>
      <w:numFmt w:val="lowerLetter"/>
      <w:lvlText w:val="%1)"/>
      <w:lvlJc w:val="left"/>
      <w:pPr>
        <w:ind w:left="1068" w:hanging="360"/>
      </w:pPr>
      <w:rPr>
        <w:rFonts w:hint="default"/>
        <w:color w:val="auto"/>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3E33619E"/>
    <w:multiLevelType w:val="hybridMultilevel"/>
    <w:tmpl w:val="A1DC160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78EA0E65"/>
    <w:multiLevelType w:val="hybridMultilevel"/>
    <w:tmpl w:val="D57A33A2"/>
    <w:lvl w:ilvl="0" w:tplc="8E2CAD46">
      <w:start w:val="1"/>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9B1"/>
    <w:rsid w:val="00003AB0"/>
    <w:rsid w:val="00003CC0"/>
    <w:rsid w:val="00005772"/>
    <w:rsid w:val="00007DF4"/>
    <w:rsid w:val="00012A45"/>
    <w:rsid w:val="000141AA"/>
    <w:rsid w:val="000225F8"/>
    <w:rsid w:val="00022615"/>
    <w:rsid w:val="00022FEA"/>
    <w:rsid w:val="000252B1"/>
    <w:rsid w:val="000273EB"/>
    <w:rsid w:val="00030D76"/>
    <w:rsid w:val="00035832"/>
    <w:rsid w:val="00036C04"/>
    <w:rsid w:val="00047311"/>
    <w:rsid w:val="00047E28"/>
    <w:rsid w:val="000533ED"/>
    <w:rsid w:val="0006248D"/>
    <w:rsid w:val="00065AD0"/>
    <w:rsid w:val="00074BFF"/>
    <w:rsid w:val="0007768C"/>
    <w:rsid w:val="00080459"/>
    <w:rsid w:val="000856EB"/>
    <w:rsid w:val="0009169B"/>
    <w:rsid w:val="00091ACB"/>
    <w:rsid w:val="00091C24"/>
    <w:rsid w:val="00093D3D"/>
    <w:rsid w:val="00096D19"/>
    <w:rsid w:val="00097167"/>
    <w:rsid w:val="000973AA"/>
    <w:rsid w:val="000A16E6"/>
    <w:rsid w:val="000A25D8"/>
    <w:rsid w:val="000A7FBF"/>
    <w:rsid w:val="000B094B"/>
    <w:rsid w:val="000B1B61"/>
    <w:rsid w:val="000B2354"/>
    <w:rsid w:val="000B28B5"/>
    <w:rsid w:val="000C3528"/>
    <w:rsid w:val="000C4848"/>
    <w:rsid w:val="000C5FBE"/>
    <w:rsid w:val="000D1C3C"/>
    <w:rsid w:val="000D5F81"/>
    <w:rsid w:val="000E2BAF"/>
    <w:rsid w:val="000F0010"/>
    <w:rsid w:val="000F24DE"/>
    <w:rsid w:val="000F4E26"/>
    <w:rsid w:val="00100A6E"/>
    <w:rsid w:val="00102087"/>
    <w:rsid w:val="0010386A"/>
    <w:rsid w:val="001040BA"/>
    <w:rsid w:val="00107030"/>
    <w:rsid w:val="0011002F"/>
    <w:rsid w:val="00111F38"/>
    <w:rsid w:val="00115A9B"/>
    <w:rsid w:val="001171F3"/>
    <w:rsid w:val="00121C27"/>
    <w:rsid w:val="00136E27"/>
    <w:rsid w:val="00137A5B"/>
    <w:rsid w:val="00140D1B"/>
    <w:rsid w:val="00152A22"/>
    <w:rsid w:val="001543C6"/>
    <w:rsid w:val="00154F06"/>
    <w:rsid w:val="001561B3"/>
    <w:rsid w:val="00156A16"/>
    <w:rsid w:val="00162E75"/>
    <w:rsid w:val="00163DCA"/>
    <w:rsid w:val="001641C6"/>
    <w:rsid w:val="00164B31"/>
    <w:rsid w:val="001667A1"/>
    <w:rsid w:val="0017161B"/>
    <w:rsid w:val="00171DF6"/>
    <w:rsid w:val="00171FA6"/>
    <w:rsid w:val="00172CF0"/>
    <w:rsid w:val="00173E6E"/>
    <w:rsid w:val="00175766"/>
    <w:rsid w:val="00175FF6"/>
    <w:rsid w:val="001827E4"/>
    <w:rsid w:val="001840B0"/>
    <w:rsid w:val="00192A62"/>
    <w:rsid w:val="00192B87"/>
    <w:rsid w:val="001934D3"/>
    <w:rsid w:val="00193A30"/>
    <w:rsid w:val="0019419C"/>
    <w:rsid w:val="00194FE1"/>
    <w:rsid w:val="00197A2E"/>
    <w:rsid w:val="001A4063"/>
    <w:rsid w:val="001A51E8"/>
    <w:rsid w:val="001A7526"/>
    <w:rsid w:val="001A7D0F"/>
    <w:rsid w:val="001B00F2"/>
    <w:rsid w:val="001B3468"/>
    <w:rsid w:val="001B4EAD"/>
    <w:rsid w:val="001C0904"/>
    <w:rsid w:val="001C0B5E"/>
    <w:rsid w:val="001C551D"/>
    <w:rsid w:val="001C7CC3"/>
    <w:rsid w:val="001E2C37"/>
    <w:rsid w:val="001E31BE"/>
    <w:rsid w:val="001E482F"/>
    <w:rsid w:val="001E5441"/>
    <w:rsid w:val="001E6026"/>
    <w:rsid w:val="001F000D"/>
    <w:rsid w:val="001F023E"/>
    <w:rsid w:val="001F400F"/>
    <w:rsid w:val="001F40DA"/>
    <w:rsid w:val="00202FDF"/>
    <w:rsid w:val="002030D3"/>
    <w:rsid w:val="00213646"/>
    <w:rsid w:val="00216815"/>
    <w:rsid w:val="002208A2"/>
    <w:rsid w:val="002209BC"/>
    <w:rsid w:val="0022469B"/>
    <w:rsid w:val="00230C59"/>
    <w:rsid w:val="00232398"/>
    <w:rsid w:val="00233C94"/>
    <w:rsid w:val="00242AFD"/>
    <w:rsid w:val="00245624"/>
    <w:rsid w:val="00246EE4"/>
    <w:rsid w:val="00247A56"/>
    <w:rsid w:val="002530B9"/>
    <w:rsid w:val="0025401F"/>
    <w:rsid w:val="00254786"/>
    <w:rsid w:val="00254DA1"/>
    <w:rsid w:val="0028195A"/>
    <w:rsid w:val="00283822"/>
    <w:rsid w:val="002925C5"/>
    <w:rsid w:val="002947B7"/>
    <w:rsid w:val="0029662E"/>
    <w:rsid w:val="00296888"/>
    <w:rsid w:val="002A1B0F"/>
    <w:rsid w:val="002A2E43"/>
    <w:rsid w:val="002A31ED"/>
    <w:rsid w:val="002A6BFF"/>
    <w:rsid w:val="002A7714"/>
    <w:rsid w:val="002B020A"/>
    <w:rsid w:val="002B2B16"/>
    <w:rsid w:val="002B66DB"/>
    <w:rsid w:val="002C1235"/>
    <w:rsid w:val="002C682D"/>
    <w:rsid w:val="002C728A"/>
    <w:rsid w:val="002D10DA"/>
    <w:rsid w:val="002D1427"/>
    <w:rsid w:val="002D1FC9"/>
    <w:rsid w:val="002D4377"/>
    <w:rsid w:val="002D43D9"/>
    <w:rsid w:val="002D5098"/>
    <w:rsid w:val="002D5BB8"/>
    <w:rsid w:val="002D5C92"/>
    <w:rsid w:val="002D5EC3"/>
    <w:rsid w:val="002E11F2"/>
    <w:rsid w:val="002E34E4"/>
    <w:rsid w:val="002E665E"/>
    <w:rsid w:val="002F02F2"/>
    <w:rsid w:val="00311CE8"/>
    <w:rsid w:val="003139B1"/>
    <w:rsid w:val="00327542"/>
    <w:rsid w:val="00330AF3"/>
    <w:rsid w:val="0033248F"/>
    <w:rsid w:val="00334966"/>
    <w:rsid w:val="00335E75"/>
    <w:rsid w:val="0033622E"/>
    <w:rsid w:val="003444CA"/>
    <w:rsid w:val="00353E8F"/>
    <w:rsid w:val="00353EFD"/>
    <w:rsid w:val="0035534C"/>
    <w:rsid w:val="00356AA7"/>
    <w:rsid w:val="00357333"/>
    <w:rsid w:val="00363593"/>
    <w:rsid w:val="00366791"/>
    <w:rsid w:val="00366A44"/>
    <w:rsid w:val="00367449"/>
    <w:rsid w:val="0037099A"/>
    <w:rsid w:val="00370B3B"/>
    <w:rsid w:val="003717F4"/>
    <w:rsid w:val="003753B8"/>
    <w:rsid w:val="00375ABC"/>
    <w:rsid w:val="0037771A"/>
    <w:rsid w:val="0037781A"/>
    <w:rsid w:val="00380BC9"/>
    <w:rsid w:val="00384ADB"/>
    <w:rsid w:val="00391966"/>
    <w:rsid w:val="00392C73"/>
    <w:rsid w:val="003930A6"/>
    <w:rsid w:val="0039373C"/>
    <w:rsid w:val="003A329F"/>
    <w:rsid w:val="003A4440"/>
    <w:rsid w:val="003A47C9"/>
    <w:rsid w:val="003B1D45"/>
    <w:rsid w:val="003B5611"/>
    <w:rsid w:val="003B669D"/>
    <w:rsid w:val="003B75E1"/>
    <w:rsid w:val="003C030E"/>
    <w:rsid w:val="003C06EF"/>
    <w:rsid w:val="003C0C42"/>
    <w:rsid w:val="003C32C5"/>
    <w:rsid w:val="003C521B"/>
    <w:rsid w:val="003C5422"/>
    <w:rsid w:val="003D778C"/>
    <w:rsid w:val="003E4136"/>
    <w:rsid w:val="003E5CC4"/>
    <w:rsid w:val="003E5FF0"/>
    <w:rsid w:val="003E726A"/>
    <w:rsid w:val="003F0B40"/>
    <w:rsid w:val="003F1486"/>
    <w:rsid w:val="003F1BA7"/>
    <w:rsid w:val="003F5E17"/>
    <w:rsid w:val="003F73C3"/>
    <w:rsid w:val="00415E16"/>
    <w:rsid w:val="00416F99"/>
    <w:rsid w:val="00421738"/>
    <w:rsid w:val="004228B6"/>
    <w:rsid w:val="00425F2C"/>
    <w:rsid w:val="00426177"/>
    <w:rsid w:val="0043065C"/>
    <w:rsid w:val="004319EB"/>
    <w:rsid w:val="00434814"/>
    <w:rsid w:val="004450FD"/>
    <w:rsid w:val="00447C5B"/>
    <w:rsid w:val="0045444D"/>
    <w:rsid w:val="0045698D"/>
    <w:rsid w:val="00457ED2"/>
    <w:rsid w:val="0046061A"/>
    <w:rsid w:val="00460B41"/>
    <w:rsid w:val="00461E6F"/>
    <w:rsid w:val="00462B0D"/>
    <w:rsid w:val="00466828"/>
    <w:rsid w:val="00467623"/>
    <w:rsid w:val="00471586"/>
    <w:rsid w:val="00473F4A"/>
    <w:rsid w:val="00476E49"/>
    <w:rsid w:val="0048473F"/>
    <w:rsid w:val="00487C47"/>
    <w:rsid w:val="00493619"/>
    <w:rsid w:val="00494A78"/>
    <w:rsid w:val="0049511F"/>
    <w:rsid w:val="0049560D"/>
    <w:rsid w:val="004A1F0D"/>
    <w:rsid w:val="004B5335"/>
    <w:rsid w:val="004C1F66"/>
    <w:rsid w:val="004C3E19"/>
    <w:rsid w:val="004C6691"/>
    <w:rsid w:val="004D69C2"/>
    <w:rsid w:val="004D7FA8"/>
    <w:rsid w:val="004E1B31"/>
    <w:rsid w:val="004E2F3F"/>
    <w:rsid w:val="004E3275"/>
    <w:rsid w:val="004E34BE"/>
    <w:rsid w:val="004E386C"/>
    <w:rsid w:val="004E5A8D"/>
    <w:rsid w:val="004F49BA"/>
    <w:rsid w:val="005068E9"/>
    <w:rsid w:val="0050765F"/>
    <w:rsid w:val="00507A15"/>
    <w:rsid w:val="0051083E"/>
    <w:rsid w:val="00517D0C"/>
    <w:rsid w:val="0052072D"/>
    <w:rsid w:val="005223E4"/>
    <w:rsid w:val="00523BA9"/>
    <w:rsid w:val="00526AF8"/>
    <w:rsid w:val="00531AB1"/>
    <w:rsid w:val="00532586"/>
    <w:rsid w:val="005365CE"/>
    <w:rsid w:val="00542ADD"/>
    <w:rsid w:val="005447F2"/>
    <w:rsid w:val="00545257"/>
    <w:rsid w:val="00547882"/>
    <w:rsid w:val="00551156"/>
    <w:rsid w:val="0055317B"/>
    <w:rsid w:val="00562CEE"/>
    <w:rsid w:val="00563812"/>
    <w:rsid w:val="0057199D"/>
    <w:rsid w:val="005726B0"/>
    <w:rsid w:val="005731FF"/>
    <w:rsid w:val="00575EA6"/>
    <w:rsid w:val="00577FE7"/>
    <w:rsid w:val="0058262E"/>
    <w:rsid w:val="005A015B"/>
    <w:rsid w:val="005A761D"/>
    <w:rsid w:val="005A7C8F"/>
    <w:rsid w:val="005B1B73"/>
    <w:rsid w:val="005B6835"/>
    <w:rsid w:val="005B7DB0"/>
    <w:rsid w:val="005C16CB"/>
    <w:rsid w:val="005C5108"/>
    <w:rsid w:val="005C6827"/>
    <w:rsid w:val="005D4E23"/>
    <w:rsid w:val="005E12B1"/>
    <w:rsid w:val="005E333C"/>
    <w:rsid w:val="005E6B08"/>
    <w:rsid w:val="005E78B2"/>
    <w:rsid w:val="00601BFC"/>
    <w:rsid w:val="006054CA"/>
    <w:rsid w:val="006059EF"/>
    <w:rsid w:val="00613184"/>
    <w:rsid w:val="00613994"/>
    <w:rsid w:val="00620233"/>
    <w:rsid w:val="0062125E"/>
    <w:rsid w:val="0062519C"/>
    <w:rsid w:val="00625D58"/>
    <w:rsid w:val="00626AD1"/>
    <w:rsid w:val="00632CBE"/>
    <w:rsid w:val="00640F62"/>
    <w:rsid w:val="00644239"/>
    <w:rsid w:val="00646043"/>
    <w:rsid w:val="00647EDD"/>
    <w:rsid w:val="00651456"/>
    <w:rsid w:val="0065295A"/>
    <w:rsid w:val="00657E55"/>
    <w:rsid w:val="00661387"/>
    <w:rsid w:val="0066245D"/>
    <w:rsid w:val="00667D75"/>
    <w:rsid w:val="00670C6E"/>
    <w:rsid w:val="00670FF9"/>
    <w:rsid w:val="00672BAC"/>
    <w:rsid w:val="00677C96"/>
    <w:rsid w:val="0068095D"/>
    <w:rsid w:val="0068128F"/>
    <w:rsid w:val="00691528"/>
    <w:rsid w:val="006920FA"/>
    <w:rsid w:val="00694FB5"/>
    <w:rsid w:val="006A2882"/>
    <w:rsid w:val="006A529E"/>
    <w:rsid w:val="006A6CF3"/>
    <w:rsid w:val="006B2B83"/>
    <w:rsid w:val="006B4AEB"/>
    <w:rsid w:val="006C0914"/>
    <w:rsid w:val="006C13CB"/>
    <w:rsid w:val="006D355A"/>
    <w:rsid w:val="006D35C7"/>
    <w:rsid w:val="006D3B85"/>
    <w:rsid w:val="006D6266"/>
    <w:rsid w:val="006D6CEF"/>
    <w:rsid w:val="006E22DE"/>
    <w:rsid w:val="006F356D"/>
    <w:rsid w:val="00701182"/>
    <w:rsid w:val="0070209A"/>
    <w:rsid w:val="0070269F"/>
    <w:rsid w:val="0070794A"/>
    <w:rsid w:val="00711630"/>
    <w:rsid w:val="00715921"/>
    <w:rsid w:val="00716070"/>
    <w:rsid w:val="00717C98"/>
    <w:rsid w:val="00720761"/>
    <w:rsid w:val="007234E0"/>
    <w:rsid w:val="00724064"/>
    <w:rsid w:val="00732855"/>
    <w:rsid w:val="007343C1"/>
    <w:rsid w:val="0073463D"/>
    <w:rsid w:val="0073502A"/>
    <w:rsid w:val="00741695"/>
    <w:rsid w:val="0074771F"/>
    <w:rsid w:val="00751142"/>
    <w:rsid w:val="00753FAE"/>
    <w:rsid w:val="007546D2"/>
    <w:rsid w:val="007607F8"/>
    <w:rsid w:val="00763557"/>
    <w:rsid w:val="007641DC"/>
    <w:rsid w:val="007647F4"/>
    <w:rsid w:val="00764E3D"/>
    <w:rsid w:val="00765A30"/>
    <w:rsid w:val="007741F8"/>
    <w:rsid w:val="007750D8"/>
    <w:rsid w:val="007766DF"/>
    <w:rsid w:val="00780902"/>
    <w:rsid w:val="00784447"/>
    <w:rsid w:val="00785B6F"/>
    <w:rsid w:val="0078625A"/>
    <w:rsid w:val="00791108"/>
    <w:rsid w:val="00792C07"/>
    <w:rsid w:val="007955D8"/>
    <w:rsid w:val="00795A03"/>
    <w:rsid w:val="007A0509"/>
    <w:rsid w:val="007B3E65"/>
    <w:rsid w:val="007B43B9"/>
    <w:rsid w:val="007B5B1A"/>
    <w:rsid w:val="007C1731"/>
    <w:rsid w:val="007C5F9F"/>
    <w:rsid w:val="007D0061"/>
    <w:rsid w:val="007D114A"/>
    <w:rsid w:val="007D11F3"/>
    <w:rsid w:val="007D391D"/>
    <w:rsid w:val="007D4605"/>
    <w:rsid w:val="007E0FF4"/>
    <w:rsid w:val="007E3356"/>
    <w:rsid w:val="007E3A43"/>
    <w:rsid w:val="007E6066"/>
    <w:rsid w:val="007E7C87"/>
    <w:rsid w:val="007F4DC1"/>
    <w:rsid w:val="007F50A7"/>
    <w:rsid w:val="007F7927"/>
    <w:rsid w:val="00801AAC"/>
    <w:rsid w:val="00803ED7"/>
    <w:rsid w:val="00807617"/>
    <w:rsid w:val="0081102D"/>
    <w:rsid w:val="00812F77"/>
    <w:rsid w:val="00813D81"/>
    <w:rsid w:val="00816930"/>
    <w:rsid w:val="00816E1F"/>
    <w:rsid w:val="0081717A"/>
    <w:rsid w:val="008171C8"/>
    <w:rsid w:val="00823ED3"/>
    <w:rsid w:val="0082475D"/>
    <w:rsid w:val="008249B8"/>
    <w:rsid w:val="00826193"/>
    <w:rsid w:val="008267E0"/>
    <w:rsid w:val="008329A5"/>
    <w:rsid w:val="008424AA"/>
    <w:rsid w:val="008424B1"/>
    <w:rsid w:val="0085088D"/>
    <w:rsid w:val="008542F1"/>
    <w:rsid w:val="00857848"/>
    <w:rsid w:val="00860978"/>
    <w:rsid w:val="00860AED"/>
    <w:rsid w:val="0086129A"/>
    <w:rsid w:val="00861941"/>
    <w:rsid w:val="008636AC"/>
    <w:rsid w:val="008665AF"/>
    <w:rsid w:val="00875D19"/>
    <w:rsid w:val="00880BE6"/>
    <w:rsid w:val="008831A2"/>
    <w:rsid w:val="00883BE7"/>
    <w:rsid w:val="00886874"/>
    <w:rsid w:val="00886DA0"/>
    <w:rsid w:val="00892028"/>
    <w:rsid w:val="00894858"/>
    <w:rsid w:val="00894C2D"/>
    <w:rsid w:val="00895C8A"/>
    <w:rsid w:val="008A2D60"/>
    <w:rsid w:val="008A3F04"/>
    <w:rsid w:val="008A5FBD"/>
    <w:rsid w:val="008B0CE8"/>
    <w:rsid w:val="008B25BB"/>
    <w:rsid w:val="008B30E8"/>
    <w:rsid w:val="008B4F74"/>
    <w:rsid w:val="008C7C4D"/>
    <w:rsid w:val="008D46DE"/>
    <w:rsid w:val="008E7BB2"/>
    <w:rsid w:val="008F3186"/>
    <w:rsid w:val="009006BC"/>
    <w:rsid w:val="009106DF"/>
    <w:rsid w:val="0091186A"/>
    <w:rsid w:val="00912983"/>
    <w:rsid w:val="00922EDF"/>
    <w:rsid w:val="00930035"/>
    <w:rsid w:val="00936EF6"/>
    <w:rsid w:val="00940BD9"/>
    <w:rsid w:val="009509DA"/>
    <w:rsid w:val="009513B1"/>
    <w:rsid w:val="009519B1"/>
    <w:rsid w:val="0095528C"/>
    <w:rsid w:val="00955D76"/>
    <w:rsid w:val="009574CA"/>
    <w:rsid w:val="00957F53"/>
    <w:rsid w:val="00960295"/>
    <w:rsid w:val="00960BF8"/>
    <w:rsid w:val="00967E4B"/>
    <w:rsid w:val="00983AFE"/>
    <w:rsid w:val="0098509E"/>
    <w:rsid w:val="0099055C"/>
    <w:rsid w:val="009A2C85"/>
    <w:rsid w:val="009C249D"/>
    <w:rsid w:val="009C3ED3"/>
    <w:rsid w:val="009D1C01"/>
    <w:rsid w:val="009D1D65"/>
    <w:rsid w:val="009D2152"/>
    <w:rsid w:val="009D39B9"/>
    <w:rsid w:val="009D5370"/>
    <w:rsid w:val="009E699F"/>
    <w:rsid w:val="009F2EB5"/>
    <w:rsid w:val="009F78D2"/>
    <w:rsid w:val="00A0236E"/>
    <w:rsid w:val="00A02BE9"/>
    <w:rsid w:val="00A1019F"/>
    <w:rsid w:val="00A10791"/>
    <w:rsid w:val="00A10AA5"/>
    <w:rsid w:val="00A11DC1"/>
    <w:rsid w:val="00A147AD"/>
    <w:rsid w:val="00A2065C"/>
    <w:rsid w:val="00A23612"/>
    <w:rsid w:val="00A23A41"/>
    <w:rsid w:val="00A248DE"/>
    <w:rsid w:val="00A24E13"/>
    <w:rsid w:val="00A30690"/>
    <w:rsid w:val="00A337AD"/>
    <w:rsid w:val="00A337BE"/>
    <w:rsid w:val="00A361C8"/>
    <w:rsid w:val="00A4222A"/>
    <w:rsid w:val="00A47CF9"/>
    <w:rsid w:val="00A55465"/>
    <w:rsid w:val="00A5550D"/>
    <w:rsid w:val="00A5683A"/>
    <w:rsid w:val="00A63807"/>
    <w:rsid w:val="00A651E7"/>
    <w:rsid w:val="00A6695C"/>
    <w:rsid w:val="00A70F05"/>
    <w:rsid w:val="00A92B5F"/>
    <w:rsid w:val="00A93C09"/>
    <w:rsid w:val="00A94465"/>
    <w:rsid w:val="00A9768E"/>
    <w:rsid w:val="00AA0B0B"/>
    <w:rsid w:val="00AA21A7"/>
    <w:rsid w:val="00AA4560"/>
    <w:rsid w:val="00AA7B89"/>
    <w:rsid w:val="00AB1FC4"/>
    <w:rsid w:val="00AB6B7C"/>
    <w:rsid w:val="00AC06D9"/>
    <w:rsid w:val="00AD1B40"/>
    <w:rsid w:val="00AD2999"/>
    <w:rsid w:val="00AD4FAE"/>
    <w:rsid w:val="00AD6ECF"/>
    <w:rsid w:val="00AD7ACA"/>
    <w:rsid w:val="00AE014E"/>
    <w:rsid w:val="00AE13A6"/>
    <w:rsid w:val="00AE25CC"/>
    <w:rsid w:val="00AE3856"/>
    <w:rsid w:val="00AE6B91"/>
    <w:rsid w:val="00AE6C28"/>
    <w:rsid w:val="00AE791C"/>
    <w:rsid w:val="00AF6A27"/>
    <w:rsid w:val="00B00178"/>
    <w:rsid w:val="00B03FAF"/>
    <w:rsid w:val="00B10DCA"/>
    <w:rsid w:val="00B11623"/>
    <w:rsid w:val="00B12DA6"/>
    <w:rsid w:val="00B13BFC"/>
    <w:rsid w:val="00B14786"/>
    <w:rsid w:val="00B15161"/>
    <w:rsid w:val="00B204EA"/>
    <w:rsid w:val="00B35B8B"/>
    <w:rsid w:val="00B37532"/>
    <w:rsid w:val="00B444AD"/>
    <w:rsid w:val="00B45D2F"/>
    <w:rsid w:val="00B46BA8"/>
    <w:rsid w:val="00B47F11"/>
    <w:rsid w:val="00B51BA8"/>
    <w:rsid w:val="00B54274"/>
    <w:rsid w:val="00B560BA"/>
    <w:rsid w:val="00B5744B"/>
    <w:rsid w:val="00B57C29"/>
    <w:rsid w:val="00B57D1E"/>
    <w:rsid w:val="00B644F1"/>
    <w:rsid w:val="00B663AB"/>
    <w:rsid w:val="00B73F40"/>
    <w:rsid w:val="00B74BA2"/>
    <w:rsid w:val="00B753BD"/>
    <w:rsid w:val="00B82696"/>
    <w:rsid w:val="00B84DCD"/>
    <w:rsid w:val="00B870C3"/>
    <w:rsid w:val="00B9170E"/>
    <w:rsid w:val="00B92276"/>
    <w:rsid w:val="00B94BFC"/>
    <w:rsid w:val="00B97E26"/>
    <w:rsid w:val="00BA12FD"/>
    <w:rsid w:val="00BA3722"/>
    <w:rsid w:val="00BA6755"/>
    <w:rsid w:val="00BA714B"/>
    <w:rsid w:val="00BB39EA"/>
    <w:rsid w:val="00BC17C0"/>
    <w:rsid w:val="00BC36A3"/>
    <w:rsid w:val="00BC3D04"/>
    <w:rsid w:val="00BD2E46"/>
    <w:rsid w:val="00BD545D"/>
    <w:rsid w:val="00BE0B95"/>
    <w:rsid w:val="00C0210F"/>
    <w:rsid w:val="00C101FD"/>
    <w:rsid w:val="00C11BE7"/>
    <w:rsid w:val="00C1717B"/>
    <w:rsid w:val="00C23F71"/>
    <w:rsid w:val="00C246FE"/>
    <w:rsid w:val="00C247BE"/>
    <w:rsid w:val="00C37747"/>
    <w:rsid w:val="00C60B23"/>
    <w:rsid w:val="00C64F37"/>
    <w:rsid w:val="00C70EAF"/>
    <w:rsid w:val="00C80179"/>
    <w:rsid w:val="00C85E21"/>
    <w:rsid w:val="00CA1060"/>
    <w:rsid w:val="00CA555E"/>
    <w:rsid w:val="00CB1B1B"/>
    <w:rsid w:val="00CB7DD5"/>
    <w:rsid w:val="00CC04F3"/>
    <w:rsid w:val="00CC180D"/>
    <w:rsid w:val="00CC2A51"/>
    <w:rsid w:val="00CD1DAA"/>
    <w:rsid w:val="00CD374F"/>
    <w:rsid w:val="00CD43B1"/>
    <w:rsid w:val="00CD4EF2"/>
    <w:rsid w:val="00CE09C5"/>
    <w:rsid w:val="00CE38EC"/>
    <w:rsid w:val="00CE4E28"/>
    <w:rsid w:val="00CE57DD"/>
    <w:rsid w:val="00CE5D99"/>
    <w:rsid w:val="00CE6426"/>
    <w:rsid w:val="00CE6A1E"/>
    <w:rsid w:val="00CF1475"/>
    <w:rsid w:val="00CF3709"/>
    <w:rsid w:val="00CF3E8D"/>
    <w:rsid w:val="00CF6373"/>
    <w:rsid w:val="00CF707B"/>
    <w:rsid w:val="00CF760C"/>
    <w:rsid w:val="00D033A5"/>
    <w:rsid w:val="00D034E0"/>
    <w:rsid w:val="00D03DF9"/>
    <w:rsid w:val="00D06C28"/>
    <w:rsid w:val="00D1207A"/>
    <w:rsid w:val="00D13203"/>
    <w:rsid w:val="00D1339E"/>
    <w:rsid w:val="00D156FA"/>
    <w:rsid w:val="00D163F2"/>
    <w:rsid w:val="00D21FA2"/>
    <w:rsid w:val="00D24FC8"/>
    <w:rsid w:val="00D46367"/>
    <w:rsid w:val="00D479FE"/>
    <w:rsid w:val="00D52148"/>
    <w:rsid w:val="00D52BA8"/>
    <w:rsid w:val="00D61C52"/>
    <w:rsid w:val="00D649CA"/>
    <w:rsid w:val="00D659A4"/>
    <w:rsid w:val="00D735DC"/>
    <w:rsid w:val="00D74AEE"/>
    <w:rsid w:val="00D7556D"/>
    <w:rsid w:val="00D76A0E"/>
    <w:rsid w:val="00D930D9"/>
    <w:rsid w:val="00D944E0"/>
    <w:rsid w:val="00D97064"/>
    <w:rsid w:val="00DA2E33"/>
    <w:rsid w:val="00DA31B3"/>
    <w:rsid w:val="00DA43A0"/>
    <w:rsid w:val="00DA445A"/>
    <w:rsid w:val="00DA7662"/>
    <w:rsid w:val="00DB2166"/>
    <w:rsid w:val="00DB3B1D"/>
    <w:rsid w:val="00DC39A7"/>
    <w:rsid w:val="00DD2388"/>
    <w:rsid w:val="00DD32E1"/>
    <w:rsid w:val="00DD4F90"/>
    <w:rsid w:val="00DE5D61"/>
    <w:rsid w:val="00DE6E82"/>
    <w:rsid w:val="00DF70FF"/>
    <w:rsid w:val="00DF77D9"/>
    <w:rsid w:val="00E014F4"/>
    <w:rsid w:val="00E01C5C"/>
    <w:rsid w:val="00E04F0B"/>
    <w:rsid w:val="00E07AF8"/>
    <w:rsid w:val="00E1043E"/>
    <w:rsid w:val="00E12264"/>
    <w:rsid w:val="00E13BFE"/>
    <w:rsid w:val="00E15D14"/>
    <w:rsid w:val="00E20C8A"/>
    <w:rsid w:val="00E32EEC"/>
    <w:rsid w:val="00E34528"/>
    <w:rsid w:val="00E347F9"/>
    <w:rsid w:val="00E372B8"/>
    <w:rsid w:val="00E37A7C"/>
    <w:rsid w:val="00E40359"/>
    <w:rsid w:val="00E40493"/>
    <w:rsid w:val="00E4185E"/>
    <w:rsid w:val="00E43740"/>
    <w:rsid w:val="00E45B8D"/>
    <w:rsid w:val="00E50E36"/>
    <w:rsid w:val="00E50F16"/>
    <w:rsid w:val="00E5272B"/>
    <w:rsid w:val="00E62ADE"/>
    <w:rsid w:val="00E6414D"/>
    <w:rsid w:val="00E643DF"/>
    <w:rsid w:val="00E72478"/>
    <w:rsid w:val="00E740F3"/>
    <w:rsid w:val="00E7699B"/>
    <w:rsid w:val="00E76A7E"/>
    <w:rsid w:val="00E84CC8"/>
    <w:rsid w:val="00E90BC8"/>
    <w:rsid w:val="00E926CD"/>
    <w:rsid w:val="00E95039"/>
    <w:rsid w:val="00E95A4A"/>
    <w:rsid w:val="00EA0543"/>
    <w:rsid w:val="00EA0E2D"/>
    <w:rsid w:val="00EA43E8"/>
    <w:rsid w:val="00EB1E4C"/>
    <w:rsid w:val="00EC251A"/>
    <w:rsid w:val="00EC6690"/>
    <w:rsid w:val="00EC6802"/>
    <w:rsid w:val="00EC6BED"/>
    <w:rsid w:val="00EE0400"/>
    <w:rsid w:val="00EE563C"/>
    <w:rsid w:val="00EF1819"/>
    <w:rsid w:val="00EF3AC5"/>
    <w:rsid w:val="00F007F3"/>
    <w:rsid w:val="00F0252B"/>
    <w:rsid w:val="00F02D86"/>
    <w:rsid w:val="00F077EB"/>
    <w:rsid w:val="00F13CAA"/>
    <w:rsid w:val="00F144BF"/>
    <w:rsid w:val="00F14DB1"/>
    <w:rsid w:val="00F210BE"/>
    <w:rsid w:val="00F24AEC"/>
    <w:rsid w:val="00F27676"/>
    <w:rsid w:val="00F3282A"/>
    <w:rsid w:val="00F32DF9"/>
    <w:rsid w:val="00F33714"/>
    <w:rsid w:val="00F36C80"/>
    <w:rsid w:val="00F3761F"/>
    <w:rsid w:val="00F378F0"/>
    <w:rsid w:val="00F4393B"/>
    <w:rsid w:val="00F44FFA"/>
    <w:rsid w:val="00F523C0"/>
    <w:rsid w:val="00F5346D"/>
    <w:rsid w:val="00F55AC3"/>
    <w:rsid w:val="00F62E7D"/>
    <w:rsid w:val="00F64E0B"/>
    <w:rsid w:val="00F65162"/>
    <w:rsid w:val="00F66ECA"/>
    <w:rsid w:val="00F67223"/>
    <w:rsid w:val="00F71F43"/>
    <w:rsid w:val="00F81D32"/>
    <w:rsid w:val="00F822CF"/>
    <w:rsid w:val="00F84A38"/>
    <w:rsid w:val="00F84BED"/>
    <w:rsid w:val="00F86B84"/>
    <w:rsid w:val="00F86C62"/>
    <w:rsid w:val="00F92291"/>
    <w:rsid w:val="00F92657"/>
    <w:rsid w:val="00F94DF9"/>
    <w:rsid w:val="00FA7EA5"/>
    <w:rsid w:val="00FB4B0C"/>
    <w:rsid w:val="00FC67C6"/>
    <w:rsid w:val="00FD53B0"/>
    <w:rsid w:val="00FD7CE6"/>
    <w:rsid w:val="00FE188E"/>
    <w:rsid w:val="00FE2A21"/>
    <w:rsid w:val="00FE5500"/>
    <w:rsid w:val="00FE6862"/>
    <w:rsid w:val="00FE77AF"/>
    <w:rsid w:val="00FF2E2C"/>
    <w:rsid w:val="00FF47F6"/>
    <w:rsid w:val="00FF5FDA"/>
    <w:rsid w:val="00FF6F20"/>
    <w:rsid w:val="00FF7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37DC"/>
  <w15:docId w15:val="{22A79B17-7F68-A140-AA56-CD332B20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366" w:lineRule="auto"/>
      <w:ind w:left="59" w:right="152"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0" w:line="228" w:lineRule="auto"/>
      <w:ind w:left="3108" w:right="3159" w:hanging="10"/>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paragraph" w:styleId="Testofumetto">
    <w:name w:val="Balloon Text"/>
    <w:basedOn w:val="Normale"/>
    <w:link w:val="TestofumettoCarattere"/>
    <w:uiPriority w:val="99"/>
    <w:semiHidden/>
    <w:unhideWhenUsed/>
    <w:rsid w:val="002208A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08A2"/>
    <w:rPr>
      <w:rFonts w:ascii="Segoe UI" w:eastAsia="Times New Roman" w:hAnsi="Segoe UI" w:cs="Segoe UI"/>
      <w:color w:val="000000"/>
      <w:sz w:val="18"/>
      <w:szCs w:val="18"/>
    </w:rPr>
  </w:style>
  <w:style w:type="paragraph" w:styleId="NormaleWeb">
    <w:name w:val="Normal (Web)"/>
    <w:basedOn w:val="Normale"/>
    <w:uiPriority w:val="99"/>
    <w:unhideWhenUsed/>
    <w:rsid w:val="001A7526"/>
    <w:pPr>
      <w:spacing w:before="100" w:beforeAutospacing="1" w:after="100" w:afterAutospacing="1" w:line="240" w:lineRule="auto"/>
      <w:ind w:left="0" w:right="0" w:firstLine="0"/>
      <w:jc w:val="left"/>
    </w:pPr>
    <w:rPr>
      <w:color w:val="auto"/>
      <w:szCs w:val="24"/>
    </w:rPr>
  </w:style>
  <w:style w:type="paragraph" w:styleId="Testonotaapidipagina">
    <w:name w:val="footnote text"/>
    <w:basedOn w:val="Normale"/>
    <w:link w:val="TestonotaapidipaginaCarattere"/>
    <w:uiPriority w:val="44"/>
    <w:unhideWhenUsed/>
    <w:qFormat/>
    <w:rsid w:val="006B4AEB"/>
    <w:pPr>
      <w:spacing w:after="0" w:line="240" w:lineRule="auto"/>
      <w:ind w:left="0" w:right="0" w:firstLine="0"/>
      <w:jc w:val="left"/>
    </w:pPr>
    <w:rPr>
      <w:rFonts w:ascii="Calibri" w:eastAsia="Calibri" w:hAnsi="Calibri"/>
      <w:color w:val="auto"/>
      <w:sz w:val="20"/>
      <w:szCs w:val="20"/>
      <w:lang w:eastAsia="en-US"/>
    </w:rPr>
  </w:style>
  <w:style w:type="character" w:customStyle="1" w:styleId="TestonotaapidipaginaCarattere">
    <w:name w:val="Testo nota a piè di pagina Carattere"/>
    <w:basedOn w:val="Carpredefinitoparagrafo"/>
    <w:link w:val="Testonotaapidipagina"/>
    <w:uiPriority w:val="44"/>
    <w:rsid w:val="006B4AEB"/>
    <w:rPr>
      <w:rFonts w:ascii="Calibri" w:eastAsia="Calibri" w:hAnsi="Calibri" w:cs="Times New Roman"/>
      <w:sz w:val="20"/>
      <w:szCs w:val="20"/>
      <w:lang w:eastAsia="en-US"/>
    </w:rPr>
  </w:style>
  <w:style w:type="character" w:styleId="Rimandonotaapidipagina">
    <w:name w:val="footnote reference"/>
    <w:basedOn w:val="Carpredefinitoparagrafo"/>
    <w:uiPriority w:val="99"/>
    <w:semiHidden/>
    <w:unhideWhenUsed/>
    <w:rsid w:val="006B4AEB"/>
    <w:rPr>
      <w:vertAlign w:val="superscript"/>
    </w:rPr>
  </w:style>
  <w:style w:type="paragraph" w:styleId="Paragrafoelenco">
    <w:name w:val="List Paragraph"/>
    <w:basedOn w:val="Normale"/>
    <w:link w:val="ParagrafoelencoCarattere"/>
    <w:uiPriority w:val="34"/>
    <w:qFormat/>
    <w:rsid w:val="00DA445A"/>
    <w:pPr>
      <w:spacing w:after="160" w:line="256" w:lineRule="auto"/>
      <w:ind w:left="720" w:right="0" w:firstLine="0"/>
      <w:contextualSpacing/>
      <w:jc w:val="left"/>
    </w:pPr>
    <w:rPr>
      <w:rFonts w:asciiTheme="minorHAnsi" w:eastAsiaTheme="minorHAnsi" w:hAnsiTheme="minorHAnsi" w:cstheme="minorBidi"/>
      <w:color w:val="auto"/>
      <w:sz w:val="22"/>
      <w:lang w:eastAsia="en-US"/>
    </w:rPr>
  </w:style>
  <w:style w:type="character" w:styleId="Collegamentoipertestuale">
    <w:name w:val="Hyperlink"/>
    <w:semiHidden/>
    <w:rsid w:val="003D778C"/>
    <w:rPr>
      <w:color w:val="0000FF"/>
      <w:u w:val="single"/>
    </w:rPr>
  </w:style>
  <w:style w:type="character" w:styleId="Enfasigrassetto">
    <w:name w:val="Strong"/>
    <w:basedOn w:val="Carpredefinitoparagrafo"/>
    <w:uiPriority w:val="22"/>
    <w:qFormat/>
    <w:rsid w:val="003D778C"/>
    <w:rPr>
      <w:b/>
      <w:bCs/>
    </w:rPr>
  </w:style>
  <w:style w:type="character" w:customStyle="1" w:styleId="ParagrafoelencoCarattere">
    <w:name w:val="Paragrafo elenco Carattere"/>
    <w:basedOn w:val="Carpredefinitoparagrafo"/>
    <w:link w:val="Paragrafoelenco"/>
    <w:uiPriority w:val="34"/>
    <w:locked/>
    <w:rsid w:val="003D778C"/>
    <w:rPr>
      <w:rFonts w:eastAsiaTheme="minorHAnsi"/>
      <w:lang w:eastAsia="en-US"/>
    </w:rPr>
  </w:style>
  <w:style w:type="paragraph" w:styleId="PreformattatoHTML">
    <w:name w:val="HTML Preformatted"/>
    <w:basedOn w:val="Normale"/>
    <w:link w:val="PreformattatoHTMLCarattere"/>
    <w:uiPriority w:val="99"/>
    <w:unhideWhenUsed/>
    <w:rsid w:val="00D64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PreformattatoHTMLCarattere">
    <w:name w:val="Preformattato HTML Carattere"/>
    <w:basedOn w:val="Carpredefinitoparagrafo"/>
    <w:link w:val="PreformattatoHTML"/>
    <w:uiPriority w:val="99"/>
    <w:rsid w:val="00D649CA"/>
    <w:rPr>
      <w:rFonts w:ascii="Courier New" w:eastAsia="Times New Roman" w:hAnsi="Courier New" w:cs="Courier New"/>
      <w:sz w:val="20"/>
      <w:szCs w:val="20"/>
    </w:rPr>
  </w:style>
  <w:style w:type="paragraph" w:customStyle="1" w:styleId="Testo13">
    <w:name w:val="Testo13"/>
    <w:link w:val="Testo13Carattere"/>
    <w:qFormat/>
    <w:rsid w:val="0055317B"/>
    <w:pPr>
      <w:spacing w:after="0" w:line="276" w:lineRule="auto"/>
      <w:ind w:firstLine="284"/>
      <w:jc w:val="both"/>
    </w:pPr>
    <w:rPr>
      <w:rFonts w:ascii="Times New Roman" w:eastAsiaTheme="minorHAnsi" w:hAnsi="Times New Roman"/>
      <w:sz w:val="26"/>
      <w:szCs w:val="26"/>
      <w:lang w:eastAsia="en-US"/>
    </w:rPr>
  </w:style>
  <w:style w:type="character" w:customStyle="1" w:styleId="Testo13Carattere">
    <w:name w:val="Testo13 Carattere"/>
    <w:basedOn w:val="Carpredefinitoparagrafo"/>
    <w:link w:val="Testo13"/>
    <w:rsid w:val="0055317B"/>
    <w:rPr>
      <w:rFonts w:ascii="Times New Roman" w:eastAsiaTheme="minorHAnsi" w:hAnsi="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351331">
      <w:bodyDiv w:val="1"/>
      <w:marLeft w:val="0"/>
      <w:marRight w:val="0"/>
      <w:marTop w:val="0"/>
      <w:marBottom w:val="0"/>
      <w:divBdr>
        <w:top w:val="none" w:sz="0" w:space="0" w:color="auto"/>
        <w:left w:val="none" w:sz="0" w:space="0" w:color="auto"/>
        <w:bottom w:val="none" w:sz="0" w:space="0" w:color="auto"/>
        <w:right w:val="none" w:sz="0" w:space="0" w:color="auto"/>
      </w:divBdr>
    </w:div>
    <w:div w:id="439497476">
      <w:bodyDiv w:val="1"/>
      <w:marLeft w:val="0"/>
      <w:marRight w:val="0"/>
      <w:marTop w:val="0"/>
      <w:marBottom w:val="0"/>
      <w:divBdr>
        <w:top w:val="none" w:sz="0" w:space="0" w:color="auto"/>
        <w:left w:val="none" w:sz="0" w:space="0" w:color="auto"/>
        <w:bottom w:val="none" w:sz="0" w:space="0" w:color="auto"/>
        <w:right w:val="none" w:sz="0" w:space="0" w:color="auto"/>
      </w:divBdr>
    </w:div>
    <w:div w:id="1134255206">
      <w:bodyDiv w:val="1"/>
      <w:marLeft w:val="0"/>
      <w:marRight w:val="0"/>
      <w:marTop w:val="0"/>
      <w:marBottom w:val="0"/>
      <w:divBdr>
        <w:top w:val="none" w:sz="0" w:space="0" w:color="auto"/>
        <w:left w:val="none" w:sz="0" w:space="0" w:color="auto"/>
        <w:bottom w:val="none" w:sz="0" w:space="0" w:color="auto"/>
        <w:right w:val="none" w:sz="0" w:space="0" w:color="auto"/>
      </w:divBdr>
    </w:div>
    <w:div w:id="1253733457">
      <w:bodyDiv w:val="1"/>
      <w:marLeft w:val="0"/>
      <w:marRight w:val="0"/>
      <w:marTop w:val="0"/>
      <w:marBottom w:val="0"/>
      <w:divBdr>
        <w:top w:val="none" w:sz="0" w:space="0" w:color="auto"/>
        <w:left w:val="none" w:sz="0" w:space="0" w:color="auto"/>
        <w:bottom w:val="none" w:sz="0" w:space="0" w:color="auto"/>
        <w:right w:val="none" w:sz="0" w:space="0" w:color="auto"/>
      </w:divBdr>
    </w:div>
    <w:div w:id="142044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3E5A9-D7C9-4E40-99DC-91991DFE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5857</Words>
  <Characters>33388</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Nino Valter</dc:creator>
  <cp:keywords/>
  <cp:lastModifiedBy>Di Nino Walter</cp:lastModifiedBy>
  <cp:revision>2</cp:revision>
  <cp:lastPrinted>2023-03-10T06:54:00Z</cp:lastPrinted>
  <dcterms:created xsi:type="dcterms:W3CDTF">2023-03-06T11:00:00Z</dcterms:created>
  <dcterms:modified xsi:type="dcterms:W3CDTF">2023-03-10T06:54:00Z</dcterms:modified>
</cp:coreProperties>
</file>