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94664" w14:textId="60393BDE" w:rsidR="00934EE7" w:rsidRPr="00FA47B3" w:rsidRDefault="00195CED" w:rsidP="00A00C17">
      <w:pPr>
        <w:pStyle w:val="Titolo1"/>
        <w:numPr>
          <w:ilvl w:val="0"/>
          <w:numId w:val="0"/>
        </w:numPr>
        <w:rPr>
          <w:sz w:val="24"/>
          <w:szCs w:val="24"/>
        </w:rPr>
      </w:pPr>
      <w:r w:rsidRPr="00FA47B3">
        <w:rPr>
          <w:sz w:val="24"/>
          <w:szCs w:val="24"/>
        </w:rPr>
        <w:t>Bandi di concorso</w:t>
      </w:r>
      <w:r w:rsidR="00916178" w:rsidRPr="00FA47B3">
        <w:rPr>
          <w:sz w:val="24"/>
          <w:szCs w:val="24"/>
        </w:rPr>
        <w:t xml:space="preserve"> (art. 19 d.lgs. 33/2013)</w:t>
      </w:r>
    </w:p>
    <w:p w14:paraId="5A8BB43A" w14:textId="77777777" w:rsidR="00A00C17" w:rsidRPr="00FA47B3" w:rsidRDefault="00A00C17" w:rsidP="00A00C17">
      <w:bookmarkStart w:id="0" w:name="_GoBack"/>
      <w:bookmarkEnd w:id="0"/>
    </w:p>
    <w:p w14:paraId="0810A8B9" w14:textId="3167F4F6" w:rsidR="00426762" w:rsidRPr="00FA47B3" w:rsidRDefault="00221B2B" w:rsidP="00381E40">
      <w:pPr>
        <w:pStyle w:val="Titolo2"/>
        <w:numPr>
          <w:ilvl w:val="0"/>
          <w:numId w:val="0"/>
        </w:numPr>
        <w:ind w:left="576" w:hanging="576"/>
        <w:rPr>
          <w:rStyle w:val="Riferimentodelicato"/>
          <w:smallCaps w:val="0"/>
          <w:color w:val="2F5496" w:themeColor="accent1" w:themeShade="BF"/>
          <w:sz w:val="24"/>
          <w:szCs w:val="24"/>
        </w:rPr>
      </w:pPr>
      <w:r>
        <w:rPr>
          <w:rStyle w:val="Riferimentodelicato"/>
          <w:smallCaps w:val="0"/>
          <w:color w:val="2F5496" w:themeColor="accent1" w:themeShade="BF"/>
          <w:sz w:val="24"/>
          <w:szCs w:val="24"/>
        </w:rPr>
        <w:t>La norma</w:t>
      </w:r>
    </w:p>
    <w:p w14:paraId="4269FB1D" w14:textId="77777777" w:rsidR="003D245E" w:rsidRPr="00FA47B3" w:rsidRDefault="003D245E" w:rsidP="007631D0">
      <w:pPr>
        <w:pStyle w:val="NormaleWeb"/>
        <w:jc w:val="both"/>
        <w:rPr>
          <w:rFonts w:ascii="Titillium" w:eastAsiaTheme="minorHAnsi" w:hAnsi="Titillium" w:cstheme="minorBidi"/>
          <w:i/>
          <w:iCs/>
          <w:sz w:val="20"/>
          <w:szCs w:val="20"/>
          <w:lang w:eastAsia="en-US"/>
        </w:rPr>
      </w:pPr>
      <w:r w:rsidRPr="00FA47B3">
        <w:rPr>
          <w:rFonts w:ascii="Titillium" w:eastAsiaTheme="minorHAnsi" w:hAnsi="Titillium" w:cstheme="minorBidi"/>
          <w:i/>
          <w:iCs/>
          <w:sz w:val="20"/>
          <w:szCs w:val="20"/>
          <w:lang w:eastAsia="en-US"/>
        </w:rPr>
        <w:t>1. Fermi restando gli altri obblighi di pubblicità legale, le pubbliche amministrazioni pubblicano i bandi di concorso per il reclutamento, a qualsiasi titolo, di personale presso l'amministrazione, nonché i criteri di valutazione della Commissione, le tracce delle prove e le graduatorie finali, aggiornate con l'eventuale scorrimento degli idonei non vincitori.</w:t>
      </w:r>
      <w:r w:rsidRPr="00FA47B3">
        <w:rPr>
          <w:rFonts w:ascii="Titillium" w:eastAsiaTheme="minorHAnsi" w:hAnsi="Titillium" w:cstheme="minorBidi"/>
          <w:i/>
          <w:iCs/>
          <w:sz w:val="20"/>
          <w:szCs w:val="20"/>
          <w:lang w:eastAsia="en-US"/>
        </w:rPr>
        <w:br/>
        <w:t>(comma così modificato dall'</w:t>
      </w:r>
      <w:hyperlink r:id="rId11" w:anchor="18" w:history="1">
        <w:r w:rsidRPr="00FA47B3">
          <w:rPr>
            <w:rFonts w:ascii="Titillium" w:eastAsiaTheme="minorHAnsi" w:hAnsi="Titillium" w:cstheme="minorBidi"/>
            <w:i/>
            <w:iCs/>
            <w:sz w:val="20"/>
            <w:szCs w:val="20"/>
            <w:lang w:eastAsia="en-US"/>
          </w:rPr>
          <w:t>art. 18 del d.lgs. n. 97 del 2016</w:t>
        </w:r>
      </w:hyperlink>
      <w:r w:rsidRPr="00FA47B3">
        <w:rPr>
          <w:rFonts w:ascii="Titillium" w:eastAsiaTheme="minorHAnsi" w:hAnsi="Titillium" w:cstheme="minorBidi"/>
          <w:i/>
          <w:iCs/>
          <w:sz w:val="20"/>
          <w:szCs w:val="20"/>
          <w:lang w:eastAsia="en-US"/>
        </w:rPr>
        <w:t>)</w:t>
      </w:r>
    </w:p>
    <w:p w14:paraId="76D35A67" w14:textId="77777777" w:rsidR="003D245E" w:rsidRPr="00FA47B3" w:rsidRDefault="003D245E" w:rsidP="007631D0">
      <w:pPr>
        <w:pStyle w:val="NormaleWeb"/>
        <w:jc w:val="both"/>
        <w:rPr>
          <w:rFonts w:ascii="Titillium" w:eastAsiaTheme="minorHAnsi" w:hAnsi="Titillium" w:cstheme="minorBidi"/>
          <w:i/>
          <w:iCs/>
          <w:sz w:val="20"/>
          <w:szCs w:val="20"/>
          <w:lang w:eastAsia="en-US"/>
        </w:rPr>
      </w:pPr>
      <w:r w:rsidRPr="00FA47B3">
        <w:rPr>
          <w:rFonts w:ascii="Titillium" w:eastAsiaTheme="minorHAnsi" w:hAnsi="Titillium" w:cstheme="minorBidi"/>
          <w:i/>
          <w:iCs/>
          <w:sz w:val="20"/>
          <w:szCs w:val="20"/>
          <w:lang w:eastAsia="en-US"/>
        </w:rPr>
        <w:t>2. Le pubbliche amministrazioni pubblicano e tengono costantemente aggiornati i dati di cui al comma 1.</w:t>
      </w:r>
      <w:r w:rsidRPr="00FA47B3">
        <w:rPr>
          <w:rFonts w:ascii="Titillium" w:eastAsiaTheme="minorHAnsi" w:hAnsi="Titillium" w:cstheme="minorBidi"/>
          <w:i/>
          <w:iCs/>
          <w:sz w:val="20"/>
          <w:szCs w:val="20"/>
          <w:lang w:eastAsia="en-US"/>
        </w:rPr>
        <w:br/>
        <w:t>(comma così modificato dall'</w:t>
      </w:r>
      <w:hyperlink r:id="rId12" w:anchor="18" w:history="1">
        <w:r w:rsidRPr="00FA47B3">
          <w:rPr>
            <w:rFonts w:ascii="Titillium" w:eastAsiaTheme="minorHAnsi" w:hAnsi="Titillium" w:cstheme="minorBidi"/>
            <w:i/>
            <w:iCs/>
            <w:sz w:val="20"/>
            <w:szCs w:val="20"/>
            <w:lang w:eastAsia="en-US"/>
          </w:rPr>
          <w:t>art. 18 del d.lgs. n. 97 del 2016</w:t>
        </w:r>
      </w:hyperlink>
      <w:r w:rsidRPr="00FA47B3">
        <w:rPr>
          <w:rFonts w:ascii="Titillium" w:eastAsiaTheme="minorHAnsi" w:hAnsi="Titillium" w:cstheme="minorBidi"/>
          <w:i/>
          <w:iCs/>
          <w:sz w:val="20"/>
          <w:szCs w:val="20"/>
          <w:lang w:eastAsia="en-US"/>
        </w:rPr>
        <w:t>)</w:t>
      </w:r>
    </w:p>
    <w:p w14:paraId="4D2839D6" w14:textId="29CD5727" w:rsidR="003D245E" w:rsidRPr="00FA47B3" w:rsidRDefault="003D245E" w:rsidP="007631D0">
      <w:pPr>
        <w:pStyle w:val="NormaleWeb"/>
        <w:jc w:val="both"/>
        <w:rPr>
          <w:rFonts w:ascii="Titillium" w:eastAsiaTheme="minorHAnsi" w:hAnsi="Titillium" w:cstheme="minorBidi"/>
          <w:i/>
          <w:iCs/>
          <w:sz w:val="20"/>
          <w:szCs w:val="20"/>
          <w:lang w:eastAsia="en-US"/>
        </w:rPr>
      </w:pPr>
      <w:r w:rsidRPr="00FA47B3">
        <w:rPr>
          <w:rFonts w:ascii="Calibri" w:eastAsiaTheme="minorHAnsi" w:hAnsi="Calibri" w:cs="Calibri"/>
          <w:i/>
          <w:iCs/>
          <w:sz w:val="20"/>
          <w:szCs w:val="20"/>
          <w:lang w:eastAsia="en-US"/>
        </w:rPr>
        <w:t> </w:t>
      </w:r>
      <w:r w:rsidRPr="00FA47B3">
        <w:rPr>
          <w:rFonts w:ascii="Titillium" w:eastAsiaTheme="minorHAnsi" w:hAnsi="Titillium" w:cstheme="minorBidi"/>
          <w:i/>
          <w:iCs/>
          <w:sz w:val="20"/>
          <w:szCs w:val="20"/>
          <w:lang w:eastAsia="en-US"/>
        </w:rPr>
        <w:t>2-bis. I soggetti di cui all'articolo 2-bis assicurano, tramite il Dipartimento della funzione pubblica della Presidenza del Consiglio dei ministri, la pubblicazione del collegamento ipertestuale dei dati di cui al presente articolo, ai fini dell'accessibilità ai sensi dell'articolo 4, comma 5, del decreto-legge 31 agosto 2013, n. 101, convertito, con modificazioni, dalla legge 30 ottobre 2013, n. 125.</w:t>
      </w:r>
    </w:p>
    <w:p w14:paraId="3DDF7C9F" w14:textId="77777777" w:rsidR="00916178" w:rsidRPr="00FA47B3" w:rsidRDefault="00916178">
      <w:pPr>
        <w:rPr>
          <w:rStyle w:val="Riferimentodelicato"/>
          <w:rFonts w:asciiTheme="majorHAnsi" w:eastAsiaTheme="majorEastAsia" w:hAnsiTheme="majorHAnsi" w:cstheme="majorBidi"/>
          <w:smallCaps w:val="0"/>
          <w:color w:val="2F5496" w:themeColor="accent1" w:themeShade="BF"/>
          <w:sz w:val="24"/>
          <w:szCs w:val="24"/>
        </w:rPr>
      </w:pPr>
      <w:r w:rsidRPr="00FA47B3">
        <w:rPr>
          <w:rStyle w:val="Riferimentodelicato"/>
          <w:smallCaps w:val="0"/>
          <w:color w:val="2F5496" w:themeColor="accent1" w:themeShade="BF"/>
          <w:sz w:val="24"/>
          <w:szCs w:val="24"/>
        </w:rPr>
        <w:br w:type="page"/>
      </w:r>
    </w:p>
    <w:p w14:paraId="4AD159BA" w14:textId="502F33B5" w:rsidR="003E03EE" w:rsidRPr="00FA47B3" w:rsidRDefault="003E03EE" w:rsidP="00381E40">
      <w:pPr>
        <w:pStyle w:val="Titolo2"/>
        <w:numPr>
          <w:ilvl w:val="0"/>
          <w:numId w:val="0"/>
        </w:numPr>
        <w:ind w:left="576" w:hanging="576"/>
        <w:rPr>
          <w:rStyle w:val="Riferimentodelicato"/>
          <w:smallCaps w:val="0"/>
          <w:color w:val="2F5496" w:themeColor="accent1" w:themeShade="BF"/>
          <w:sz w:val="24"/>
          <w:szCs w:val="24"/>
        </w:rPr>
      </w:pPr>
      <w:r w:rsidRPr="00FA47B3">
        <w:rPr>
          <w:rStyle w:val="Riferimentodelicato"/>
          <w:smallCaps w:val="0"/>
          <w:color w:val="2F5496" w:themeColor="accent1" w:themeShade="BF"/>
          <w:sz w:val="24"/>
          <w:szCs w:val="24"/>
        </w:rPr>
        <w:lastRenderedPageBreak/>
        <w:t>Schemi di pubblicazione</w:t>
      </w:r>
    </w:p>
    <w:p w14:paraId="7C4AE1AC" w14:textId="758C6EC2" w:rsidR="00E5494E" w:rsidRDefault="00916178" w:rsidP="003E03EE">
      <w:pPr>
        <w:pStyle w:val="NormaleWeb"/>
        <w:jc w:val="both"/>
        <w:rPr>
          <w:rFonts w:asciiTheme="majorHAnsi" w:eastAsiaTheme="minorHAnsi" w:hAnsiTheme="majorHAnsi" w:cstheme="minorBidi"/>
          <w:sz w:val="20"/>
          <w:szCs w:val="20"/>
          <w:lang w:eastAsia="en-US"/>
        </w:rPr>
      </w:pPr>
      <w:r w:rsidRPr="00FA47B3">
        <w:rPr>
          <w:rFonts w:ascii="Titillium" w:eastAsiaTheme="minorHAnsi" w:hAnsi="Titillium" w:cstheme="minorBidi"/>
          <w:sz w:val="20"/>
          <w:szCs w:val="20"/>
          <w:lang w:eastAsia="en-US"/>
        </w:rPr>
        <w:t>Gli schemi potranno essere usati come modelli per l'organizzazione, la codificazione e la rappresentazione dei documenti, delle informazioni e dei dati oggetto di pubblicazione obbligatoria ai sensi dell’art. 19 sia nella Piattaforma Unica della Trasparenza nella sezione Amministrazione trasparente dei siti istituzionali delle amministrazioni/enti</w:t>
      </w:r>
      <w:r w:rsidR="00E5494E" w:rsidRPr="00FA47B3">
        <w:rPr>
          <w:rFonts w:ascii="Titillium" w:eastAsiaTheme="minorHAnsi" w:hAnsi="Titillium" w:cstheme="minorBidi"/>
          <w:sz w:val="20"/>
          <w:szCs w:val="20"/>
          <w:lang w:eastAsia="en-US"/>
        </w:rPr>
        <w:t xml:space="preserve">, sotto-sezione di </w:t>
      </w:r>
      <w:r w:rsidR="0040254A" w:rsidRPr="00FA47B3">
        <w:rPr>
          <w:rFonts w:ascii="Titillium" w:eastAsiaTheme="minorHAnsi" w:hAnsi="Titillium" w:cstheme="minorBidi"/>
          <w:sz w:val="20"/>
          <w:szCs w:val="20"/>
          <w:lang w:eastAsia="en-US"/>
        </w:rPr>
        <w:t>primo</w:t>
      </w:r>
      <w:r w:rsidR="00E5494E" w:rsidRPr="00FA47B3">
        <w:rPr>
          <w:rFonts w:ascii="Titillium" w:eastAsiaTheme="minorHAnsi" w:hAnsi="Titillium" w:cstheme="minorBidi"/>
          <w:sz w:val="20"/>
          <w:szCs w:val="20"/>
          <w:lang w:eastAsia="en-US"/>
        </w:rPr>
        <w:t xml:space="preserve"> livello “</w:t>
      </w:r>
      <w:r w:rsidR="00EC1A17" w:rsidRPr="00FA47B3">
        <w:rPr>
          <w:rFonts w:ascii="Titillium" w:eastAsiaTheme="minorHAnsi" w:hAnsi="Titillium" w:cstheme="minorBidi"/>
          <w:sz w:val="20"/>
          <w:szCs w:val="20"/>
          <w:lang w:eastAsia="en-US"/>
        </w:rPr>
        <w:t>Bandi di concorso</w:t>
      </w:r>
      <w:r w:rsidR="005A2196" w:rsidRPr="00FA47B3">
        <w:rPr>
          <w:rFonts w:ascii="Titillium" w:eastAsiaTheme="minorHAnsi" w:hAnsi="Titillium" w:cstheme="minorBidi"/>
          <w:sz w:val="20"/>
          <w:szCs w:val="20"/>
          <w:lang w:eastAsia="en-US"/>
        </w:rPr>
        <w:t>”</w:t>
      </w:r>
      <w:r w:rsidR="00EC1A17" w:rsidRPr="00FA47B3">
        <w:rPr>
          <w:rFonts w:asciiTheme="majorHAnsi" w:eastAsiaTheme="minorHAnsi" w:hAnsiTheme="majorHAnsi" w:cstheme="minorBidi"/>
          <w:sz w:val="20"/>
          <w:szCs w:val="20"/>
          <w:lang w:eastAsia="en-US"/>
        </w:rPr>
        <w:t>.</w:t>
      </w:r>
    </w:p>
    <w:p w14:paraId="27820276" w14:textId="3E62DB31" w:rsidR="008301DC" w:rsidRDefault="008301DC" w:rsidP="003E03EE">
      <w:pPr>
        <w:pStyle w:val="NormaleWeb"/>
        <w:jc w:val="both"/>
        <w:rPr>
          <w:rFonts w:asciiTheme="majorHAnsi" w:eastAsiaTheme="minorHAnsi" w:hAnsiTheme="majorHAnsi" w:cstheme="minorBidi"/>
          <w:sz w:val="20"/>
          <w:szCs w:val="20"/>
          <w:lang w:eastAsia="en-US"/>
        </w:rPr>
      </w:pPr>
      <w:r>
        <w:rPr>
          <w:rFonts w:asciiTheme="majorHAnsi" w:eastAsiaTheme="minorHAnsi" w:hAnsiTheme="majorHAnsi" w:cstheme="minorBidi"/>
          <w:sz w:val="20"/>
          <w:szCs w:val="20"/>
          <w:lang w:eastAsia="en-US"/>
        </w:rPr>
        <w:t>il presente modello riguarda sia l’ente che ha indetto il concorso /procedura selettiva sia altro ente che gestisce la procedura o parte di essa.</w:t>
      </w:r>
    </w:p>
    <w:p w14:paraId="0DE147F3" w14:textId="1A9A1342" w:rsidR="00E64497" w:rsidRPr="00BB44D6" w:rsidRDefault="00083C44" w:rsidP="00887339">
      <w:pPr>
        <w:pStyle w:val="Titolo3"/>
        <w:numPr>
          <w:ilvl w:val="0"/>
          <w:numId w:val="0"/>
        </w:numPr>
      </w:pPr>
      <w:bookmarkStart w:id="1" w:name="_Ref134619761"/>
      <w:bookmarkStart w:id="2" w:name="_Ref134692164"/>
      <w:r w:rsidRPr="00BB44D6">
        <w:t>Dati identificativi del concorso</w:t>
      </w:r>
      <w:bookmarkEnd w:id="1"/>
      <w:r w:rsidR="00FC468A" w:rsidRPr="00BB44D6">
        <w:t>/procedura selettiva</w:t>
      </w:r>
      <w:bookmarkEnd w:id="2"/>
      <w:r w:rsidR="008301DC">
        <w:t xml:space="preserve"> </w:t>
      </w:r>
    </w:p>
    <w:tbl>
      <w:tblPr>
        <w:tblW w:w="9776" w:type="dxa"/>
        <w:tblLayout w:type="fixed"/>
        <w:tblCellMar>
          <w:left w:w="70" w:type="dxa"/>
          <w:right w:w="70" w:type="dxa"/>
        </w:tblCellMar>
        <w:tblLook w:val="04A0" w:firstRow="1" w:lastRow="0" w:firstColumn="1" w:lastColumn="0" w:noHBand="0" w:noVBand="1"/>
      </w:tblPr>
      <w:tblGrid>
        <w:gridCol w:w="160"/>
        <w:gridCol w:w="2245"/>
        <w:gridCol w:w="6378"/>
        <w:gridCol w:w="993"/>
      </w:tblGrid>
      <w:tr w:rsidR="008B7F99" w:rsidRPr="00FA47B3" w14:paraId="644ECE83" w14:textId="77777777" w:rsidTr="00FC3642">
        <w:trPr>
          <w:trHeight w:val="660"/>
        </w:trPr>
        <w:tc>
          <w:tcPr>
            <w:tcW w:w="9776" w:type="dxa"/>
            <w:gridSpan w:val="4"/>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6582A9AC" w14:textId="77777777" w:rsidR="008B7F99" w:rsidRPr="00FA47B3" w:rsidRDefault="00696A79" w:rsidP="00CE0928">
            <w:pPr>
              <w:spacing w:after="0" w:line="240" w:lineRule="auto"/>
              <w:jc w:val="center"/>
              <w:rPr>
                <w:rFonts w:ascii="Titillium" w:eastAsia="Times New Roman" w:hAnsi="Titillium" w:cs="Calibri"/>
                <w:color w:val="FFFFFF" w:themeColor="background1"/>
                <w:sz w:val="18"/>
                <w:szCs w:val="18"/>
                <w:lang w:eastAsia="it-IT"/>
              </w:rPr>
            </w:pPr>
            <w:r w:rsidRPr="00FA47B3">
              <w:rPr>
                <w:rFonts w:ascii="Titillium" w:eastAsia="Times New Roman" w:hAnsi="Titillium" w:cs="Calibri"/>
                <w:color w:val="FFFFFF" w:themeColor="background1"/>
                <w:sz w:val="18"/>
                <w:szCs w:val="18"/>
                <w:lang w:eastAsia="it-IT"/>
              </w:rPr>
              <w:t xml:space="preserve">Dati </w:t>
            </w:r>
            <w:r w:rsidR="00B31BC3" w:rsidRPr="00FA47B3">
              <w:rPr>
                <w:rFonts w:ascii="Titillium" w:eastAsia="Times New Roman" w:hAnsi="Titillium" w:cs="Calibri"/>
                <w:color w:val="FFFFFF" w:themeColor="background1"/>
                <w:sz w:val="18"/>
                <w:szCs w:val="18"/>
                <w:lang w:eastAsia="it-IT"/>
              </w:rPr>
              <w:t>identificativi del concorso/ procedura selettiva pubblica</w:t>
            </w:r>
          </w:p>
          <w:p w14:paraId="56E6837A" w14:textId="411DAED0" w:rsidR="000C44D5" w:rsidRPr="00FA47B3" w:rsidRDefault="000C44D5" w:rsidP="00CE0928">
            <w:pPr>
              <w:spacing w:after="0" w:line="240" w:lineRule="auto"/>
              <w:jc w:val="center"/>
              <w:rPr>
                <w:rFonts w:ascii="Titillium" w:eastAsia="Times New Roman" w:hAnsi="Titillium" w:cs="Calibri"/>
                <w:color w:val="FF0000"/>
                <w:sz w:val="18"/>
                <w:szCs w:val="18"/>
                <w:u w:val="single"/>
                <w:lang w:eastAsia="it-IT"/>
              </w:rPr>
            </w:pPr>
            <w:r w:rsidRPr="00FA47B3">
              <w:rPr>
                <w:rFonts w:ascii="Titillium" w:eastAsia="Times New Roman" w:hAnsi="Titillium" w:cs="Calibri"/>
                <w:color w:val="FFFFFF" w:themeColor="background1"/>
                <w:sz w:val="18"/>
                <w:szCs w:val="18"/>
                <w:lang w:eastAsia="it-IT"/>
              </w:rPr>
              <w:t>(DA REPLICARE PER OGNI PROCEDURA CONCORSUALE)</w:t>
            </w:r>
          </w:p>
        </w:tc>
      </w:tr>
      <w:tr w:rsidR="00C93FA7" w:rsidRPr="00FA47B3" w14:paraId="0C74B731" w14:textId="77777777" w:rsidTr="00FC3642">
        <w:trPr>
          <w:trHeight w:val="382"/>
        </w:trPr>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tcPr>
          <w:p w14:paraId="14DF081E" w14:textId="5134B9CE" w:rsidR="00C93FA7" w:rsidRPr="00FA47B3" w:rsidRDefault="00C93FA7" w:rsidP="00CE0928">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Anno</w:t>
            </w:r>
          </w:p>
        </w:tc>
        <w:tc>
          <w:tcPr>
            <w:tcW w:w="6378" w:type="dxa"/>
            <w:tcBorders>
              <w:top w:val="single" w:sz="4" w:space="0" w:color="auto"/>
              <w:left w:val="nil"/>
              <w:bottom w:val="single" w:sz="4" w:space="0" w:color="auto"/>
              <w:right w:val="single" w:sz="4" w:space="0" w:color="auto"/>
            </w:tcBorders>
            <w:shd w:val="clear" w:color="auto" w:fill="auto"/>
          </w:tcPr>
          <w:p w14:paraId="4B471C79" w14:textId="48C98747" w:rsidR="00C93FA7" w:rsidRPr="00FA47B3" w:rsidRDefault="00C93FA7" w:rsidP="00261711">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Anno di pubblicazione</w:t>
            </w:r>
            <w:r w:rsidR="0029142D">
              <w:rPr>
                <w:rFonts w:ascii="Titillium" w:eastAsia="Times New Roman" w:hAnsi="Titillium" w:cs="Calibri"/>
                <w:color w:val="000000"/>
                <w:sz w:val="18"/>
                <w:szCs w:val="18"/>
                <w:lang w:eastAsia="it-IT"/>
              </w:rPr>
              <w:t xml:space="preserve"> (</w:t>
            </w:r>
            <w:r w:rsidR="001C051C">
              <w:rPr>
                <w:rFonts w:ascii="Titillium" w:eastAsia="Times New Roman" w:hAnsi="Titillium" w:cs="Calibri"/>
                <w:color w:val="000000"/>
                <w:sz w:val="18"/>
                <w:szCs w:val="18"/>
                <w:lang w:eastAsia="it-IT"/>
              </w:rPr>
              <w:t>AAAA</w:t>
            </w:r>
            <w:r w:rsidR="0029142D">
              <w:rPr>
                <w:rFonts w:ascii="Titillium" w:eastAsia="Times New Roman" w:hAnsi="Titillium" w:cs="Calibri"/>
                <w:color w:val="000000"/>
                <w:sz w:val="18"/>
                <w:szCs w:val="18"/>
                <w:lang w:eastAsia="it-IT"/>
              </w:rPr>
              <w:t>)</w:t>
            </w:r>
          </w:p>
        </w:tc>
        <w:tc>
          <w:tcPr>
            <w:tcW w:w="993" w:type="dxa"/>
            <w:tcBorders>
              <w:top w:val="single" w:sz="4" w:space="0" w:color="auto"/>
              <w:left w:val="nil"/>
              <w:bottom w:val="single" w:sz="4" w:space="0" w:color="auto"/>
              <w:right w:val="single" w:sz="4" w:space="0" w:color="auto"/>
            </w:tcBorders>
            <w:shd w:val="clear" w:color="auto" w:fill="auto"/>
            <w:noWrap/>
          </w:tcPr>
          <w:p w14:paraId="021C22EE" w14:textId="677A8580" w:rsidR="00C93FA7" w:rsidRPr="00FA47B3" w:rsidRDefault="0029142D" w:rsidP="00CE0928">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n</w:t>
            </w:r>
            <w:r w:rsidR="00375152">
              <w:rPr>
                <w:rFonts w:ascii="Titillium" w:eastAsia="Times New Roman" w:hAnsi="Titillium" w:cs="Calibri"/>
                <w:color w:val="000000"/>
                <w:sz w:val="18"/>
                <w:szCs w:val="18"/>
                <w:lang w:eastAsia="it-IT"/>
              </w:rPr>
              <w:t>umero</w:t>
            </w:r>
          </w:p>
        </w:tc>
      </w:tr>
      <w:tr w:rsidR="00C93FA7" w:rsidRPr="00FA47B3" w14:paraId="73BDA0E6" w14:textId="77777777" w:rsidTr="00FC3642">
        <w:trPr>
          <w:trHeight w:val="382"/>
        </w:trPr>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tcPr>
          <w:p w14:paraId="26047AEF" w14:textId="176BAE5B" w:rsidR="00C93FA7" w:rsidRPr="00FA47B3" w:rsidRDefault="00C93FA7" w:rsidP="00CE0928">
            <w:pPr>
              <w:spacing w:after="0" w:line="240" w:lineRule="auto"/>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Stato</w:t>
            </w:r>
          </w:p>
        </w:tc>
        <w:tc>
          <w:tcPr>
            <w:tcW w:w="6378" w:type="dxa"/>
            <w:tcBorders>
              <w:top w:val="single" w:sz="4" w:space="0" w:color="auto"/>
              <w:left w:val="nil"/>
              <w:bottom w:val="single" w:sz="4" w:space="0" w:color="auto"/>
              <w:right w:val="single" w:sz="4" w:space="0" w:color="auto"/>
            </w:tcBorders>
            <w:shd w:val="clear" w:color="auto" w:fill="auto"/>
          </w:tcPr>
          <w:p w14:paraId="14ECF16E" w14:textId="19C4AC71" w:rsidR="00C93FA7" w:rsidRPr="00FA47B3" w:rsidRDefault="00375152" w:rsidP="00261711">
            <w:pPr>
              <w:spacing w:after="0" w:line="240" w:lineRule="auto"/>
              <w:rPr>
                <w:rFonts w:ascii="Titillium" w:eastAsia="Times New Roman" w:hAnsi="Titillium" w:cs="Calibri"/>
                <w:color w:val="000000"/>
                <w:sz w:val="18"/>
                <w:szCs w:val="18"/>
                <w:lang w:eastAsia="it-IT"/>
              </w:rPr>
            </w:pPr>
            <w:r w:rsidRPr="00FA47B3">
              <w:rPr>
                <w:rFonts w:ascii="Titillium" w:eastAsia="Times New Roman" w:hAnsi="Titillium" w:cs="Calibri"/>
                <w:color w:val="000000"/>
                <w:sz w:val="18"/>
                <w:szCs w:val="18"/>
                <w:lang w:eastAsia="it-IT"/>
              </w:rPr>
              <w:t>Possibili valori:</w:t>
            </w:r>
            <w:r>
              <w:rPr>
                <w:rFonts w:ascii="Titillium" w:eastAsia="Times New Roman" w:hAnsi="Titillium" w:cs="Calibri"/>
                <w:color w:val="000000"/>
                <w:sz w:val="18"/>
                <w:szCs w:val="18"/>
                <w:lang w:eastAsia="it-IT"/>
              </w:rPr>
              <w:t xml:space="preserve"> I</w:t>
            </w:r>
            <w:r w:rsidR="00C93FA7" w:rsidRPr="00FA47B3">
              <w:rPr>
                <w:sz w:val="18"/>
                <w:szCs w:val="18"/>
              </w:rPr>
              <w:t>n corso/</w:t>
            </w:r>
            <w:r>
              <w:rPr>
                <w:sz w:val="18"/>
                <w:szCs w:val="18"/>
              </w:rPr>
              <w:t>C</w:t>
            </w:r>
            <w:r w:rsidR="00C93FA7" w:rsidRPr="00FA47B3">
              <w:rPr>
                <w:sz w:val="18"/>
                <w:szCs w:val="18"/>
              </w:rPr>
              <w:t>oncluso</w:t>
            </w:r>
          </w:p>
        </w:tc>
        <w:tc>
          <w:tcPr>
            <w:tcW w:w="993" w:type="dxa"/>
            <w:tcBorders>
              <w:top w:val="single" w:sz="4" w:space="0" w:color="auto"/>
              <w:left w:val="nil"/>
              <w:bottom w:val="single" w:sz="4" w:space="0" w:color="auto"/>
              <w:right w:val="single" w:sz="4" w:space="0" w:color="auto"/>
            </w:tcBorders>
            <w:shd w:val="clear" w:color="auto" w:fill="auto"/>
            <w:noWrap/>
          </w:tcPr>
          <w:p w14:paraId="60F6B654" w14:textId="1E29C947" w:rsidR="00C93FA7" w:rsidRPr="00FA47B3" w:rsidRDefault="00375152" w:rsidP="00CE0928">
            <w:pPr>
              <w:spacing w:after="0" w:line="240" w:lineRule="auto"/>
              <w:jc w:val="center"/>
              <w:rPr>
                <w:rFonts w:ascii="Titillium" w:eastAsia="Times New Roman" w:hAnsi="Titillium" w:cs="Calibri"/>
                <w:color w:val="000000"/>
                <w:sz w:val="18"/>
                <w:szCs w:val="18"/>
                <w:lang w:eastAsia="it-IT"/>
              </w:rPr>
            </w:pPr>
            <w:r w:rsidRPr="00FA47B3">
              <w:rPr>
                <w:rFonts w:ascii="Titillium" w:eastAsia="Times New Roman" w:hAnsi="Titillium" w:cs="Calibri"/>
                <w:color w:val="000000"/>
                <w:sz w:val="18"/>
                <w:szCs w:val="18"/>
                <w:lang w:eastAsia="it-IT"/>
              </w:rPr>
              <w:t>testo</w:t>
            </w:r>
          </w:p>
        </w:tc>
      </w:tr>
      <w:tr w:rsidR="00C93FA7" w:rsidRPr="00FA47B3" w14:paraId="5633A1D7" w14:textId="77777777" w:rsidTr="00FC3642">
        <w:trPr>
          <w:trHeight w:val="382"/>
        </w:trPr>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tcPr>
          <w:p w14:paraId="3214E673" w14:textId="59E648FB" w:rsidR="00C93FA7" w:rsidRDefault="00C93FA7" w:rsidP="00C93FA7">
            <w:pPr>
              <w:spacing w:after="0" w:line="240" w:lineRule="auto"/>
              <w:rPr>
                <w:rFonts w:ascii="Titillium" w:eastAsia="Times New Roman" w:hAnsi="Titillium" w:cs="Calibri"/>
                <w:color w:val="000000"/>
                <w:sz w:val="18"/>
                <w:szCs w:val="18"/>
                <w:lang w:eastAsia="it-IT"/>
              </w:rPr>
            </w:pPr>
            <w:r w:rsidRPr="00FA47B3">
              <w:rPr>
                <w:rFonts w:ascii="Titillium" w:eastAsia="Times New Roman" w:hAnsi="Titillium" w:cs="Calibri"/>
                <w:color w:val="000000"/>
                <w:sz w:val="18"/>
                <w:szCs w:val="18"/>
                <w:lang w:eastAsia="it-IT"/>
              </w:rPr>
              <w:t>Denominazione</w:t>
            </w:r>
          </w:p>
        </w:tc>
        <w:tc>
          <w:tcPr>
            <w:tcW w:w="6378" w:type="dxa"/>
            <w:tcBorders>
              <w:top w:val="single" w:sz="4" w:space="0" w:color="auto"/>
              <w:left w:val="nil"/>
              <w:bottom w:val="single" w:sz="4" w:space="0" w:color="auto"/>
              <w:right w:val="single" w:sz="4" w:space="0" w:color="auto"/>
            </w:tcBorders>
            <w:shd w:val="clear" w:color="auto" w:fill="auto"/>
          </w:tcPr>
          <w:p w14:paraId="66D991DB" w14:textId="53C99A6F" w:rsidR="00C93FA7" w:rsidRPr="00FA47B3" w:rsidRDefault="00C93FA7" w:rsidP="00C93FA7">
            <w:pPr>
              <w:spacing w:after="0" w:line="240" w:lineRule="auto"/>
              <w:rPr>
                <w:sz w:val="18"/>
                <w:szCs w:val="18"/>
              </w:rPr>
            </w:pPr>
            <w:r w:rsidRPr="00FA47B3">
              <w:rPr>
                <w:rFonts w:ascii="Titillium" w:eastAsia="Times New Roman" w:hAnsi="Titillium" w:cs="Calibri"/>
                <w:color w:val="000000"/>
                <w:sz w:val="18"/>
                <w:szCs w:val="18"/>
                <w:lang w:eastAsia="it-IT"/>
              </w:rPr>
              <w:t>Denominazione del concorso/procedura selettiva pubblica</w:t>
            </w:r>
          </w:p>
        </w:tc>
        <w:tc>
          <w:tcPr>
            <w:tcW w:w="993" w:type="dxa"/>
            <w:tcBorders>
              <w:top w:val="single" w:sz="4" w:space="0" w:color="auto"/>
              <w:left w:val="nil"/>
              <w:bottom w:val="single" w:sz="4" w:space="0" w:color="auto"/>
              <w:right w:val="single" w:sz="4" w:space="0" w:color="auto"/>
            </w:tcBorders>
            <w:shd w:val="clear" w:color="auto" w:fill="auto"/>
            <w:noWrap/>
          </w:tcPr>
          <w:p w14:paraId="43BD74B8" w14:textId="600E6BE9" w:rsidR="00C93FA7" w:rsidRPr="00FA47B3" w:rsidRDefault="00C93FA7" w:rsidP="00C93FA7">
            <w:pPr>
              <w:spacing w:after="0" w:line="240" w:lineRule="auto"/>
              <w:jc w:val="center"/>
              <w:rPr>
                <w:rFonts w:ascii="Titillium" w:eastAsia="Times New Roman" w:hAnsi="Titillium" w:cs="Calibri"/>
                <w:color w:val="000000"/>
                <w:sz w:val="18"/>
                <w:szCs w:val="18"/>
                <w:lang w:eastAsia="it-IT"/>
              </w:rPr>
            </w:pPr>
            <w:r w:rsidRPr="00FA47B3">
              <w:rPr>
                <w:rFonts w:ascii="Titillium" w:eastAsia="Times New Roman" w:hAnsi="Titillium" w:cs="Calibri"/>
                <w:color w:val="000000"/>
                <w:sz w:val="18"/>
                <w:szCs w:val="18"/>
                <w:lang w:eastAsia="it-IT"/>
              </w:rPr>
              <w:t>testo</w:t>
            </w:r>
          </w:p>
        </w:tc>
      </w:tr>
      <w:tr w:rsidR="00C93FA7" w:rsidRPr="00FA47B3" w14:paraId="2D0DA65C" w14:textId="77777777" w:rsidTr="00FC3642">
        <w:trPr>
          <w:trHeight w:val="382"/>
        </w:trPr>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tcPr>
          <w:p w14:paraId="6DA051FF" w14:textId="0BB04E79" w:rsidR="00C93FA7" w:rsidRPr="00FA47B3" w:rsidRDefault="00C93FA7" w:rsidP="00C93FA7">
            <w:pPr>
              <w:spacing w:after="0" w:line="240" w:lineRule="auto"/>
              <w:rPr>
                <w:rFonts w:ascii="Titillium" w:eastAsia="Times New Roman" w:hAnsi="Titillium" w:cs="Calibri"/>
                <w:color w:val="000000"/>
                <w:sz w:val="18"/>
                <w:szCs w:val="18"/>
                <w:lang w:eastAsia="it-IT"/>
              </w:rPr>
            </w:pPr>
            <w:r w:rsidRPr="00FA47B3">
              <w:rPr>
                <w:rFonts w:ascii="Titillium" w:eastAsia="Times New Roman" w:hAnsi="Titillium" w:cs="Calibri"/>
                <w:color w:val="000000"/>
                <w:sz w:val="18"/>
                <w:szCs w:val="18"/>
                <w:lang w:eastAsia="it-IT"/>
              </w:rPr>
              <w:t>Tipologia</w:t>
            </w:r>
            <w:r w:rsidRPr="00FA47B3">
              <w:rPr>
                <w:rStyle w:val="Rimandonotaapidipagina"/>
                <w:rFonts w:ascii="Titillium" w:eastAsia="Times New Roman" w:hAnsi="Titillium" w:cs="Calibri"/>
                <w:color w:val="000000"/>
                <w:sz w:val="18"/>
                <w:szCs w:val="18"/>
                <w:lang w:eastAsia="it-IT"/>
              </w:rPr>
              <w:footnoteReference w:id="1"/>
            </w:r>
            <w:r w:rsidRPr="00FA47B3">
              <w:rPr>
                <w:rFonts w:ascii="Titillium" w:eastAsia="Times New Roman" w:hAnsi="Titillium" w:cs="Calibri"/>
                <w:color w:val="000000"/>
                <w:sz w:val="18"/>
                <w:szCs w:val="18"/>
                <w:lang w:eastAsia="it-IT"/>
              </w:rPr>
              <w:t xml:space="preserve"> </w:t>
            </w:r>
          </w:p>
        </w:tc>
        <w:tc>
          <w:tcPr>
            <w:tcW w:w="6378" w:type="dxa"/>
            <w:tcBorders>
              <w:top w:val="single" w:sz="4" w:space="0" w:color="auto"/>
              <w:left w:val="nil"/>
              <w:bottom w:val="single" w:sz="4" w:space="0" w:color="auto"/>
              <w:right w:val="single" w:sz="4" w:space="0" w:color="auto"/>
            </w:tcBorders>
            <w:shd w:val="clear" w:color="auto" w:fill="auto"/>
          </w:tcPr>
          <w:p w14:paraId="0DBD153A" w14:textId="77777777" w:rsidR="00C93FA7" w:rsidRDefault="00C93FA7" w:rsidP="00C93FA7">
            <w:pPr>
              <w:spacing w:after="0" w:line="240" w:lineRule="auto"/>
              <w:rPr>
                <w:rFonts w:ascii="Titillium" w:eastAsia="Times New Roman" w:hAnsi="Titillium" w:cs="Calibri"/>
                <w:color w:val="000000"/>
                <w:sz w:val="18"/>
                <w:szCs w:val="18"/>
                <w:lang w:eastAsia="it-IT"/>
              </w:rPr>
            </w:pPr>
            <w:r w:rsidRPr="00FA47B3">
              <w:rPr>
                <w:rFonts w:ascii="Titillium" w:eastAsia="Times New Roman" w:hAnsi="Titillium" w:cs="Calibri"/>
                <w:color w:val="000000"/>
                <w:sz w:val="18"/>
                <w:szCs w:val="18"/>
                <w:lang w:eastAsia="it-IT"/>
              </w:rPr>
              <w:t>Possibili valori:</w:t>
            </w:r>
            <w:r>
              <w:rPr>
                <w:rFonts w:ascii="Titillium" w:eastAsia="Times New Roman" w:hAnsi="Titillium" w:cs="Calibri"/>
                <w:color w:val="000000"/>
                <w:sz w:val="18"/>
                <w:szCs w:val="18"/>
                <w:lang w:eastAsia="it-IT"/>
              </w:rPr>
              <w:t xml:space="preserve"> </w:t>
            </w:r>
          </w:p>
          <w:p w14:paraId="00DD7503" w14:textId="74A58A71" w:rsidR="00C93FA7" w:rsidRPr="009E6E8F" w:rsidRDefault="00C93FA7" w:rsidP="00C93FA7">
            <w:pPr>
              <w:pStyle w:val="Paragrafoelenco"/>
              <w:numPr>
                <w:ilvl w:val="0"/>
                <w:numId w:val="41"/>
              </w:numPr>
              <w:spacing w:after="0" w:line="240" w:lineRule="auto"/>
              <w:rPr>
                <w:rFonts w:ascii="Titillium" w:eastAsia="Times New Roman" w:hAnsi="Titillium" w:cs="Calibri"/>
                <w:color w:val="000000"/>
                <w:sz w:val="18"/>
                <w:szCs w:val="18"/>
                <w:lang w:eastAsia="it-IT"/>
              </w:rPr>
            </w:pPr>
            <w:r w:rsidRPr="009E6E8F">
              <w:rPr>
                <w:rFonts w:ascii="Titillium" w:eastAsia="Times New Roman" w:hAnsi="Titillium" w:cs="Calibri"/>
                <w:color w:val="000000"/>
                <w:sz w:val="18"/>
                <w:szCs w:val="18"/>
                <w:lang w:eastAsia="it-IT"/>
              </w:rPr>
              <w:t>Concorsi (per l'assunzione di personale a tempo indeterminato);</w:t>
            </w:r>
          </w:p>
          <w:p w14:paraId="741BA186" w14:textId="0F8982CD" w:rsidR="00C93FA7" w:rsidRPr="009E6E8F" w:rsidRDefault="00C93FA7" w:rsidP="00C93FA7">
            <w:pPr>
              <w:pStyle w:val="Paragrafoelenco"/>
              <w:numPr>
                <w:ilvl w:val="0"/>
                <w:numId w:val="41"/>
              </w:numPr>
              <w:spacing w:after="0" w:line="240" w:lineRule="auto"/>
              <w:jc w:val="both"/>
              <w:rPr>
                <w:rFonts w:ascii="Titillium" w:eastAsia="Times New Roman" w:hAnsi="Titillium" w:cs="Calibri"/>
                <w:color w:val="000000"/>
                <w:sz w:val="18"/>
                <w:szCs w:val="18"/>
                <w:lang w:eastAsia="it-IT"/>
              </w:rPr>
            </w:pPr>
            <w:r w:rsidRPr="009E6E8F">
              <w:rPr>
                <w:rFonts w:ascii="Titillium" w:eastAsia="Times New Roman" w:hAnsi="Titillium" w:cs="Calibri"/>
                <w:color w:val="000000"/>
                <w:sz w:val="18"/>
                <w:szCs w:val="18"/>
                <w:lang w:eastAsia="it-IT"/>
              </w:rPr>
              <w:t>Selezioni (per l'assunzione di personale a tempo determinato o ricerca di collaboratori esterni);</w:t>
            </w:r>
          </w:p>
          <w:p w14:paraId="6EFD87FA" w14:textId="231D5DB1" w:rsidR="00C93FA7" w:rsidRPr="009E6E8F" w:rsidRDefault="00C93FA7" w:rsidP="00C93FA7">
            <w:pPr>
              <w:pStyle w:val="Paragrafoelenco"/>
              <w:numPr>
                <w:ilvl w:val="0"/>
                <w:numId w:val="41"/>
              </w:numPr>
              <w:spacing w:after="0" w:line="240" w:lineRule="auto"/>
              <w:jc w:val="both"/>
              <w:rPr>
                <w:rFonts w:ascii="Titillium" w:eastAsia="Times New Roman" w:hAnsi="Titillium" w:cs="Calibri"/>
                <w:color w:val="000000"/>
                <w:sz w:val="18"/>
                <w:szCs w:val="18"/>
                <w:lang w:eastAsia="it-IT"/>
              </w:rPr>
            </w:pPr>
            <w:r w:rsidRPr="009E6E8F">
              <w:rPr>
                <w:rFonts w:ascii="Titillium" w:eastAsia="Times New Roman" w:hAnsi="Titillium" w:cs="Calibri"/>
                <w:color w:val="000000"/>
                <w:sz w:val="18"/>
                <w:szCs w:val="18"/>
                <w:lang w:eastAsia="it-IT"/>
              </w:rPr>
              <w:t>Mobilità (mobilità volontaria per dipendenti di altre Pubbliche Amministrazioni);</w:t>
            </w:r>
          </w:p>
          <w:p w14:paraId="212FE202" w14:textId="11384FAE" w:rsidR="00C93FA7" w:rsidRPr="009E6E8F" w:rsidRDefault="00C93FA7" w:rsidP="00810F8F">
            <w:pPr>
              <w:pStyle w:val="Paragrafoelenco"/>
              <w:numPr>
                <w:ilvl w:val="0"/>
                <w:numId w:val="41"/>
              </w:numPr>
              <w:spacing w:after="0" w:line="240" w:lineRule="auto"/>
              <w:jc w:val="both"/>
              <w:rPr>
                <w:rFonts w:ascii="Titillium" w:eastAsia="Times New Roman" w:hAnsi="Titillium" w:cs="Calibri"/>
                <w:color w:val="000000"/>
                <w:sz w:val="18"/>
                <w:szCs w:val="18"/>
                <w:lang w:eastAsia="it-IT"/>
              </w:rPr>
            </w:pPr>
            <w:r w:rsidRPr="009E6E8F">
              <w:rPr>
                <w:rFonts w:ascii="Titillium" w:eastAsia="Times New Roman" w:hAnsi="Titillium" w:cs="Calibri"/>
                <w:color w:val="000000"/>
                <w:sz w:val="18"/>
                <w:szCs w:val="18"/>
                <w:lang w:eastAsia="it-IT"/>
              </w:rPr>
              <w:t>Progressioni verticali (per il passaggio tra le Aree e riservate esclusivamente ai dipendenti</w:t>
            </w:r>
            <w:r w:rsidR="00810F8F">
              <w:rPr>
                <w:rFonts w:ascii="Titillium" w:eastAsia="Times New Roman" w:hAnsi="Titillium" w:cs="Calibri"/>
                <w:color w:val="000000"/>
                <w:sz w:val="18"/>
                <w:szCs w:val="18"/>
                <w:lang w:eastAsia="it-IT"/>
              </w:rPr>
              <w:t xml:space="preserve"> cfr. delibera ANAC n. </w:t>
            </w:r>
            <w:r w:rsidR="00810F8F" w:rsidRPr="00810F8F">
              <w:rPr>
                <w:rFonts w:ascii="Titillium" w:eastAsia="Times New Roman" w:hAnsi="Titillium" w:cs="Calibri"/>
                <w:color w:val="000000"/>
                <w:sz w:val="18"/>
                <w:szCs w:val="18"/>
                <w:lang w:eastAsia="it-IT"/>
              </w:rPr>
              <w:t>775</w:t>
            </w:r>
            <w:r w:rsidR="00810F8F">
              <w:rPr>
                <w:rFonts w:ascii="Titillium" w:eastAsia="Times New Roman" w:hAnsi="Titillium" w:cs="Calibri"/>
                <w:color w:val="000000"/>
                <w:sz w:val="18"/>
                <w:szCs w:val="18"/>
                <w:lang w:eastAsia="it-IT"/>
              </w:rPr>
              <w:t>/2021</w:t>
            </w:r>
            <w:r w:rsidRPr="009E6E8F">
              <w:rPr>
                <w:rFonts w:ascii="Titillium" w:eastAsia="Times New Roman" w:hAnsi="Titillium" w:cs="Calibri"/>
                <w:color w:val="000000"/>
                <w:sz w:val="18"/>
                <w:szCs w:val="18"/>
                <w:lang w:eastAsia="it-IT"/>
              </w:rPr>
              <w:t>)</w:t>
            </w:r>
          </w:p>
          <w:p w14:paraId="3A7696F4" w14:textId="4A416213" w:rsidR="00C93FA7" w:rsidRPr="00FA47B3" w:rsidRDefault="00C93FA7" w:rsidP="00C93FA7">
            <w:pPr>
              <w:pStyle w:val="Paragrafoelenco"/>
              <w:numPr>
                <w:ilvl w:val="0"/>
                <w:numId w:val="41"/>
              </w:numPr>
              <w:spacing w:after="0" w:line="240" w:lineRule="auto"/>
              <w:jc w:val="both"/>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Altro (specificare valore con testo libero)</w:t>
            </w:r>
          </w:p>
        </w:tc>
        <w:tc>
          <w:tcPr>
            <w:tcW w:w="993" w:type="dxa"/>
            <w:tcBorders>
              <w:top w:val="single" w:sz="4" w:space="0" w:color="auto"/>
              <w:left w:val="nil"/>
              <w:bottom w:val="single" w:sz="4" w:space="0" w:color="auto"/>
              <w:right w:val="single" w:sz="4" w:space="0" w:color="auto"/>
            </w:tcBorders>
            <w:shd w:val="clear" w:color="auto" w:fill="auto"/>
            <w:noWrap/>
          </w:tcPr>
          <w:p w14:paraId="7289D718" w14:textId="2AEA9E22" w:rsidR="00C93FA7" w:rsidRPr="00FA47B3" w:rsidRDefault="0029142D" w:rsidP="00C93FA7">
            <w:pPr>
              <w:spacing w:after="0" w:line="240" w:lineRule="auto"/>
              <w:jc w:val="center"/>
              <w:rPr>
                <w:rFonts w:ascii="Titillium" w:eastAsia="Times New Roman" w:hAnsi="Titillium" w:cs="Calibri"/>
                <w:color w:val="000000"/>
                <w:sz w:val="18"/>
                <w:szCs w:val="18"/>
                <w:lang w:eastAsia="it-IT"/>
              </w:rPr>
            </w:pPr>
            <w:r>
              <w:rPr>
                <w:rFonts w:ascii="Titillium" w:eastAsia="Times New Roman" w:hAnsi="Titillium" w:cs="Calibri"/>
                <w:color w:val="000000"/>
                <w:sz w:val="18"/>
                <w:szCs w:val="18"/>
                <w:lang w:eastAsia="it-IT"/>
              </w:rPr>
              <w:t>t</w:t>
            </w:r>
            <w:r w:rsidR="00C93FA7" w:rsidRPr="00FA47B3">
              <w:rPr>
                <w:rFonts w:ascii="Titillium" w:eastAsia="Times New Roman" w:hAnsi="Titillium" w:cs="Calibri"/>
                <w:color w:val="000000"/>
                <w:sz w:val="18"/>
                <w:szCs w:val="18"/>
                <w:lang w:eastAsia="it-IT"/>
              </w:rPr>
              <w:t>esto</w:t>
            </w:r>
          </w:p>
        </w:tc>
      </w:tr>
      <w:tr w:rsidR="00C93FA7" w:rsidRPr="00FA47B3" w14:paraId="02789B52" w14:textId="77777777" w:rsidTr="00FC3642">
        <w:trPr>
          <w:trHeight w:val="382"/>
        </w:trPr>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tcPr>
          <w:p w14:paraId="64B07ACA" w14:textId="0E774EF6" w:rsidR="00C93FA7" w:rsidRPr="00FA47B3" w:rsidRDefault="00C93FA7" w:rsidP="00C93FA7">
            <w:pPr>
              <w:spacing w:after="0" w:line="240" w:lineRule="auto"/>
              <w:rPr>
                <w:rFonts w:ascii="Titillium" w:eastAsia="Times New Roman" w:hAnsi="Titillium" w:cs="Calibri"/>
                <w:sz w:val="18"/>
                <w:szCs w:val="18"/>
                <w:lang w:eastAsia="it-IT"/>
              </w:rPr>
            </w:pPr>
            <w:r w:rsidRPr="00FA47B3">
              <w:rPr>
                <w:rFonts w:ascii="Titillium" w:eastAsia="Times New Roman" w:hAnsi="Titillium" w:cs="Calibri"/>
                <w:sz w:val="18"/>
                <w:szCs w:val="18"/>
                <w:lang w:eastAsia="it-IT"/>
              </w:rPr>
              <w:t>Bando/Avviso o atto equivalente</w:t>
            </w:r>
          </w:p>
        </w:tc>
        <w:tc>
          <w:tcPr>
            <w:tcW w:w="6378" w:type="dxa"/>
            <w:tcBorders>
              <w:top w:val="single" w:sz="4" w:space="0" w:color="auto"/>
              <w:left w:val="nil"/>
              <w:bottom w:val="single" w:sz="4" w:space="0" w:color="auto"/>
              <w:right w:val="single" w:sz="4" w:space="0" w:color="auto"/>
            </w:tcBorders>
            <w:shd w:val="clear" w:color="auto" w:fill="auto"/>
          </w:tcPr>
          <w:p w14:paraId="37CF2FFC" w14:textId="440C61C2" w:rsidR="00C93FA7" w:rsidRDefault="00C93FA7" w:rsidP="00C93FA7">
            <w:pPr>
              <w:spacing w:after="0" w:line="240" w:lineRule="auto"/>
              <w:rPr>
                <w:rFonts w:ascii="Titillium" w:eastAsia="Times New Roman" w:hAnsi="Titillium" w:cs="Calibri"/>
                <w:sz w:val="18"/>
                <w:szCs w:val="18"/>
                <w:lang w:eastAsia="it-IT"/>
              </w:rPr>
            </w:pPr>
            <w:r w:rsidRPr="00FA47B3">
              <w:rPr>
                <w:rFonts w:ascii="Titillium" w:eastAsia="Times New Roman" w:hAnsi="Titillium" w:cs="Calibri"/>
                <w:sz w:val="18"/>
                <w:szCs w:val="18"/>
                <w:lang w:eastAsia="it-IT"/>
              </w:rPr>
              <w:t>Link al documento pubblicato nel sito istituzionale</w:t>
            </w:r>
            <w:r w:rsidR="00810F8F">
              <w:rPr>
                <w:rFonts w:ascii="Titillium" w:eastAsia="Times New Roman" w:hAnsi="Titillium" w:cs="Calibri"/>
                <w:sz w:val="18"/>
                <w:szCs w:val="18"/>
                <w:lang w:eastAsia="it-IT"/>
              </w:rPr>
              <w:t xml:space="preserve"> </w:t>
            </w:r>
            <w:r w:rsidR="009327ED">
              <w:rPr>
                <w:rFonts w:ascii="Titillium" w:eastAsia="Times New Roman" w:hAnsi="Titillium" w:cs="Calibri"/>
                <w:sz w:val="18"/>
                <w:szCs w:val="18"/>
                <w:lang w:eastAsia="it-IT"/>
              </w:rPr>
              <w:t>dell’ente che ha indetto e/o gestisce il concorso</w:t>
            </w:r>
            <w:r w:rsidR="001F14A8">
              <w:rPr>
                <w:rFonts w:ascii="Titillium" w:eastAsia="Times New Roman" w:hAnsi="Titillium" w:cs="Calibri"/>
                <w:sz w:val="18"/>
                <w:szCs w:val="18"/>
                <w:lang w:eastAsia="it-IT"/>
              </w:rPr>
              <w:t>/procedura selettiva</w:t>
            </w:r>
          </w:p>
          <w:p w14:paraId="61638E38" w14:textId="0151BD13" w:rsidR="00810F8F" w:rsidRPr="00FA47B3" w:rsidRDefault="00810F8F" w:rsidP="00C93FA7">
            <w:pPr>
              <w:spacing w:after="0" w:line="240" w:lineRule="auto"/>
              <w:rPr>
                <w:rFonts w:ascii="Titillium" w:eastAsia="Times New Roman" w:hAnsi="Titillium" w:cs="Calibri"/>
                <w:sz w:val="18"/>
                <w:szCs w:val="18"/>
                <w:lang w:eastAsia="it-IT"/>
              </w:rPr>
            </w:pPr>
          </w:p>
        </w:tc>
        <w:tc>
          <w:tcPr>
            <w:tcW w:w="993" w:type="dxa"/>
            <w:tcBorders>
              <w:top w:val="single" w:sz="4" w:space="0" w:color="auto"/>
              <w:left w:val="nil"/>
              <w:bottom w:val="single" w:sz="4" w:space="0" w:color="auto"/>
              <w:right w:val="single" w:sz="4" w:space="0" w:color="auto"/>
            </w:tcBorders>
            <w:shd w:val="clear" w:color="auto" w:fill="auto"/>
            <w:noWrap/>
          </w:tcPr>
          <w:p w14:paraId="4353D754" w14:textId="772E3DC4" w:rsidR="00C93FA7" w:rsidRPr="00FA47B3" w:rsidRDefault="00C93FA7" w:rsidP="00C93FA7">
            <w:pPr>
              <w:spacing w:after="0" w:line="240" w:lineRule="auto"/>
              <w:jc w:val="center"/>
              <w:rPr>
                <w:rFonts w:ascii="Titillium" w:eastAsia="Times New Roman" w:hAnsi="Titillium" w:cs="Calibri"/>
                <w:sz w:val="18"/>
                <w:szCs w:val="18"/>
                <w:lang w:eastAsia="it-IT"/>
              </w:rPr>
            </w:pPr>
            <w:r w:rsidRPr="00FA47B3">
              <w:rPr>
                <w:rFonts w:ascii="Titillium" w:eastAsia="Times New Roman" w:hAnsi="Titillium" w:cs="Calibri"/>
                <w:sz w:val="18"/>
                <w:szCs w:val="18"/>
                <w:lang w:eastAsia="it-IT"/>
              </w:rPr>
              <w:t>URL</w:t>
            </w:r>
          </w:p>
        </w:tc>
      </w:tr>
      <w:tr w:rsidR="00C93FA7" w:rsidRPr="00FA47B3" w14:paraId="568841D0" w14:textId="77777777" w:rsidTr="00FC3642">
        <w:trPr>
          <w:trHeight w:val="382"/>
        </w:trPr>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tcPr>
          <w:p w14:paraId="4CF55AE2" w14:textId="5A3C337E" w:rsidR="00C93FA7" w:rsidRPr="00FA47B3" w:rsidRDefault="00C93FA7" w:rsidP="00C93FA7">
            <w:pPr>
              <w:spacing w:after="0" w:line="240" w:lineRule="auto"/>
              <w:rPr>
                <w:rFonts w:ascii="Titillium" w:eastAsia="Times New Roman" w:hAnsi="Titillium" w:cs="Calibri"/>
                <w:sz w:val="18"/>
                <w:szCs w:val="18"/>
                <w:lang w:eastAsia="it-IT"/>
              </w:rPr>
            </w:pPr>
            <w:r w:rsidRPr="00FA47B3">
              <w:rPr>
                <w:rFonts w:ascii="Titillium" w:eastAsia="Times New Roman" w:hAnsi="Titillium" w:cs="Calibri"/>
                <w:sz w:val="18"/>
                <w:szCs w:val="18"/>
                <w:lang w:eastAsia="it-IT"/>
              </w:rPr>
              <w:t>Criteri di valutazione</w:t>
            </w:r>
            <w:r w:rsidR="00157425">
              <w:rPr>
                <w:rFonts w:ascii="Titillium" w:eastAsia="Times New Roman" w:hAnsi="Titillium" w:cs="Calibri"/>
                <w:sz w:val="18"/>
                <w:szCs w:val="18"/>
                <w:lang w:eastAsia="it-IT"/>
              </w:rPr>
              <w:t xml:space="preserve"> </w:t>
            </w:r>
          </w:p>
        </w:tc>
        <w:tc>
          <w:tcPr>
            <w:tcW w:w="6378" w:type="dxa"/>
            <w:tcBorders>
              <w:top w:val="single" w:sz="4" w:space="0" w:color="auto"/>
              <w:left w:val="nil"/>
              <w:bottom w:val="single" w:sz="4" w:space="0" w:color="auto"/>
              <w:right w:val="single" w:sz="4" w:space="0" w:color="auto"/>
            </w:tcBorders>
            <w:shd w:val="clear" w:color="auto" w:fill="auto"/>
          </w:tcPr>
          <w:p w14:paraId="7BAC73D4" w14:textId="3E17FF5A" w:rsidR="00C93FA7" w:rsidRPr="00FA47B3" w:rsidRDefault="00C93FA7" w:rsidP="001F14A8">
            <w:pPr>
              <w:spacing w:after="0" w:line="240" w:lineRule="auto"/>
              <w:rPr>
                <w:rFonts w:ascii="Titillium" w:eastAsia="Times New Roman" w:hAnsi="Titillium" w:cs="Calibri"/>
                <w:sz w:val="18"/>
                <w:szCs w:val="18"/>
                <w:lang w:eastAsia="it-IT"/>
              </w:rPr>
            </w:pPr>
            <w:r w:rsidRPr="00FA47B3">
              <w:rPr>
                <w:rFonts w:ascii="Titillium" w:eastAsia="Times New Roman" w:hAnsi="Titillium" w:cs="Calibri"/>
                <w:sz w:val="18"/>
                <w:szCs w:val="18"/>
                <w:lang w:eastAsia="it-IT"/>
              </w:rPr>
              <w:t>Link al documento dei criteri di valutazione della Commissione di esame, pubblicato nel sito istituzionale</w:t>
            </w:r>
            <w:r w:rsidR="001F14A8">
              <w:rPr>
                <w:rFonts w:ascii="Titillium" w:eastAsia="Times New Roman" w:hAnsi="Titillium" w:cs="Calibri"/>
                <w:sz w:val="18"/>
                <w:szCs w:val="18"/>
                <w:lang w:eastAsia="it-IT"/>
              </w:rPr>
              <w:t xml:space="preserve"> dell’ente che ha indetto e/o gesti</w:t>
            </w:r>
            <w:r w:rsidR="006B2E53">
              <w:rPr>
                <w:rFonts w:ascii="Titillium" w:eastAsia="Times New Roman" w:hAnsi="Titillium" w:cs="Calibri"/>
                <w:sz w:val="18"/>
                <w:szCs w:val="18"/>
                <w:lang w:eastAsia="it-IT"/>
              </w:rPr>
              <w:t>sce il concorso/procedura selet</w:t>
            </w:r>
            <w:r w:rsidR="001F14A8">
              <w:rPr>
                <w:rFonts w:ascii="Titillium" w:eastAsia="Times New Roman" w:hAnsi="Titillium" w:cs="Calibri"/>
                <w:sz w:val="18"/>
                <w:szCs w:val="18"/>
                <w:lang w:eastAsia="it-IT"/>
              </w:rPr>
              <w:t>tiva</w:t>
            </w:r>
          </w:p>
        </w:tc>
        <w:tc>
          <w:tcPr>
            <w:tcW w:w="993" w:type="dxa"/>
            <w:tcBorders>
              <w:top w:val="single" w:sz="4" w:space="0" w:color="auto"/>
              <w:left w:val="nil"/>
              <w:bottom w:val="single" w:sz="4" w:space="0" w:color="auto"/>
              <w:right w:val="single" w:sz="4" w:space="0" w:color="auto"/>
            </w:tcBorders>
            <w:shd w:val="clear" w:color="auto" w:fill="auto"/>
            <w:noWrap/>
          </w:tcPr>
          <w:p w14:paraId="21E48327" w14:textId="37E43DDE" w:rsidR="00C93FA7" w:rsidRPr="00FA47B3" w:rsidRDefault="00C93FA7" w:rsidP="00C93FA7">
            <w:pPr>
              <w:spacing w:after="0" w:line="240" w:lineRule="auto"/>
              <w:jc w:val="center"/>
              <w:rPr>
                <w:rFonts w:ascii="Titillium" w:eastAsia="Times New Roman" w:hAnsi="Titillium" w:cs="Calibri"/>
                <w:sz w:val="18"/>
                <w:szCs w:val="18"/>
                <w:lang w:eastAsia="it-IT"/>
              </w:rPr>
            </w:pPr>
            <w:r w:rsidRPr="00FA47B3">
              <w:rPr>
                <w:rFonts w:ascii="Titillium" w:eastAsia="Times New Roman" w:hAnsi="Titillium" w:cs="Calibri"/>
                <w:sz w:val="18"/>
                <w:szCs w:val="18"/>
                <w:lang w:eastAsia="it-IT"/>
              </w:rPr>
              <w:t>URL</w:t>
            </w:r>
          </w:p>
        </w:tc>
      </w:tr>
      <w:tr w:rsidR="00C93FA7" w:rsidRPr="00FA47B3" w14:paraId="2ECAAFB2" w14:textId="77777777" w:rsidTr="00FC3642">
        <w:trPr>
          <w:trHeight w:val="382"/>
        </w:trPr>
        <w:tc>
          <w:tcPr>
            <w:tcW w:w="9776" w:type="dxa"/>
            <w:gridSpan w:val="4"/>
            <w:tcBorders>
              <w:top w:val="single" w:sz="4" w:space="0" w:color="auto"/>
              <w:left w:val="single" w:sz="4" w:space="0" w:color="auto"/>
              <w:right w:val="single" w:sz="4" w:space="0" w:color="auto"/>
            </w:tcBorders>
            <w:shd w:val="clear" w:color="auto" w:fill="8496B0" w:themeFill="text2" w:themeFillTint="99"/>
            <w:noWrap/>
          </w:tcPr>
          <w:p w14:paraId="17297685" w14:textId="77777777" w:rsidR="00C93FA7" w:rsidRPr="00FA47B3" w:rsidRDefault="00C93FA7" w:rsidP="00C93FA7">
            <w:pPr>
              <w:spacing w:after="0" w:line="240" w:lineRule="auto"/>
              <w:jc w:val="center"/>
              <w:rPr>
                <w:rFonts w:ascii="Titillium" w:eastAsia="Times New Roman" w:hAnsi="Titillium" w:cs="Calibri"/>
                <w:sz w:val="18"/>
                <w:szCs w:val="18"/>
                <w:lang w:eastAsia="it-IT"/>
              </w:rPr>
            </w:pPr>
            <w:r w:rsidRPr="00FA47B3">
              <w:rPr>
                <w:rFonts w:ascii="Titillium" w:eastAsia="Times New Roman" w:hAnsi="Titillium" w:cs="Calibri"/>
                <w:sz w:val="18"/>
                <w:szCs w:val="18"/>
                <w:lang w:eastAsia="it-IT"/>
              </w:rPr>
              <w:t>Tracce delle prove</w:t>
            </w:r>
          </w:p>
          <w:p w14:paraId="38B5BAC3" w14:textId="09105195" w:rsidR="00C93FA7" w:rsidRPr="00FA47B3" w:rsidRDefault="00C93FA7" w:rsidP="00C93FA7">
            <w:pPr>
              <w:spacing w:after="0" w:line="240" w:lineRule="auto"/>
              <w:jc w:val="center"/>
              <w:rPr>
                <w:rFonts w:ascii="Titillium" w:eastAsia="Times New Roman" w:hAnsi="Titillium" w:cs="Calibri"/>
                <w:sz w:val="18"/>
                <w:szCs w:val="18"/>
                <w:u w:val="single"/>
                <w:lang w:eastAsia="it-IT"/>
              </w:rPr>
            </w:pPr>
            <w:r w:rsidRPr="00FA47B3">
              <w:rPr>
                <w:rFonts w:ascii="Titillium" w:eastAsia="Times New Roman" w:hAnsi="Titillium" w:cs="Calibri"/>
                <w:sz w:val="18"/>
                <w:szCs w:val="18"/>
                <w:u w:val="single"/>
                <w:lang w:eastAsia="it-IT"/>
              </w:rPr>
              <w:t xml:space="preserve">da replicare per ogni traccia </w:t>
            </w:r>
            <w:r w:rsidR="00254C03">
              <w:rPr>
                <w:rFonts w:ascii="Titillium" w:eastAsia="Times New Roman" w:hAnsi="Titillium" w:cs="Calibri"/>
                <w:sz w:val="18"/>
                <w:szCs w:val="18"/>
                <w:u w:val="single"/>
                <w:lang w:eastAsia="it-IT"/>
              </w:rPr>
              <w:t xml:space="preserve">(ove sono </w:t>
            </w:r>
            <w:r w:rsidRPr="00FA47B3">
              <w:rPr>
                <w:rFonts w:ascii="Titillium" w:eastAsia="Times New Roman" w:hAnsi="Titillium" w:cs="Calibri"/>
                <w:sz w:val="18"/>
                <w:szCs w:val="18"/>
                <w:u w:val="single"/>
                <w:lang w:eastAsia="it-IT"/>
              </w:rPr>
              <w:t>previst</w:t>
            </w:r>
            <w:r w:rsidR="00254C03">
              <w:rPr>
                <w:rFonts w:ascii="Titillium" w:eastAsia="Times New Roman" w:hAnsi="Titillium" w:cs="Calibri"/>
                <w:sz w:val="18"/>
                <w:szCs w:val="18"/>
                <w:u w:val="single"/>
                <w:lang w:eastAsia="it-IT"/>
              </w:rPr>
              <w:t>e)</w:t>
            </w:r>
          </w:p>
        </w:tc>
      </w:tr>
      <w:tr w:rsidR="003D2BD7" w:rsidRPr="00FA47B3" w14:paraId="6102A7A7" w14:textId="77777777" w:rsidTr="00FC3642">
        <w:trPr>
          <w:trHeight w:val="382"/>
        </w:trPr>
        <w:tc>
          <w:tcPr>
            <w:tcW w:w="160" w:type="dxa"/>
            <w:vMerge w:val="restart"/>
            <w:tcBorders>
              <w:left w:val="single" w:sz="4" w:space="0" w:color="auto"/>
              <w:right w:val="single" w:sz="4" w:space="0" w:color="auto"/>
            </w:tcBorders>
            <w:shd w:val="clear" w:color="auto" w:fill="8496B0" w:themeFill="text2" w:themeFillTint="99"/>
            <w:noWrap/>
          </w:tcPr>
          <w:p w14:paraId="3E6C6806" w14:textId="53525C88" w:rsidR="003D2BD7" w:rsidRPr="00FA47B3" w:rsidRDefault="003D2BD7" w:rsidP="00C93FA7">
            <w:pPr>
              <w:spacing w:after="0" w:line="240" w:lineRule="auto"/>
              <w:rPr>
                <w:rFonts w:ascii="Titillium" w:eastAsia="Times New Roman" w:hAnsi="Titillium" w:cs="Calibri"/>
                <w:sz w:val="18"/>
                <w:szCs w:val="18"/>
                <w:lang w:eastAsia="it-IT"/>
              </w:rPr>
            </w:pPr>
          </w:p>
        </w:tc>
        <w:tc>
          <w:tcPr>
            <w:tcW w:w="2245" w:type="dxa"/>
            <w:tcBorders>
              <w:left w:val="single" w:sz="4" w:space="0" w:color="auto"/>
              <w:bottom w:val="single" w:sz="4" w:space="0" w:color="auto"/>
              <w:right w:val="single" w:sz="4" w:space="0" w:color="auto"/>
            </w:tcBorders>
            <w:shd w:val="clear" w:color="auto" w:fill="auto"/>
          </w:tcPr>
          <w:p w14:paraId="4462EC02" w14:textId="672B17A4" w:rsidR="003D2BD7" w:rsidRPr="00FA47B3" w:rsidRDefault="003D2BD7" w:rsidP="00C93FA7">
            <w:pPr>
              <w:spacing w:after="0" w:line="240" w:lineRule="auto"/>
              <w:rPr>
                <w:rFonts w:ascii="Titillium" w:eastAsia="Times New Roman" w:hAnsi="Titillium" w:cs="Calibri"/>
                <w:sz w:val="18"/>
                <w:szCs w:val="18"/>
                <w:lang w:eastAsia="it-IT"/>
              </w:rPr>
            </w:pPr>
            <w:r>
              <w:rPr>
                <w:rFonts w:ascii="Titillium" w:eastAsia="Times New Roman" w:hAnsi="Titillium" w:cs="Calibri"/>
                <w:sz w:val="18"/>
                <w:szCs w:val="18"/>
                <w:lang w:eastAsia="it-IT"/>
              </w:rPr>
              <w:t>Denominazione</w:t>
            </w:r>
          </w:p>
        </w:tc>
        <w:tc>
          <w:tcPr>
            <w:tcW w:w="6378" w:type="dxa"/>
            <w:tcBorders>
              <w:left w:val="nil"/>
              <w:bottom w:val="single" w:sz="4" w:space="0" w:color="auto"/>
              <w:right w:val="single" w:sz="4" w:space="0" w:color="auto"/>
            </w:tcBorders>
            <w:shd w:val="clear" w:color="auto" w:fill="auto"/>
          </w:tcPr>
          <w:p w14:paraId="2204D648" w14:textId="604F3C95" w:rsidR="003D2BD7" w:rsidRPr="00FA47B3" w:rsidRDefault="002644A1" w:rsidP="00C93FA7">
            <w:pPr>
              <w:spacing w:after="0" w:line="240" w:lineRule="auto"/>
              <w:rPr>
                <w:rFonts w:ascii="Titillium" w:eastAsia="Times New Roman" w:hAnsi="Titillium" w:cs="Calibri"/>
                <w:sz w:val="18"/>
                <w:szCs w:val="18"/>
                <w:lang w:eastAsia="it-IT"/>
              </w:rPr>
            </w:pPr>
            <w:r>
              <w:rPr>
                <w:rFonts w:ascii="Titillium" w:eastAsia="Times New Roman" w:hAnsi="Titillium" w:cs="Calibri"/>
                <w:sz w:val="18"/>
                <w:szCs w:val="18"/>
                <w:lang w:eastAsia="it-IT"/>
              </w:rPr>
              <w:t>I</w:t>
            </w:r>
            <w:r w:rsidR="003D2BD7">
              <w:rPr>
                <w:rFonts w:ascii="Titillium" w:eastAsia="Times New Roman" w:hAnsi="Titillium" w:cs="Calibri"/>
                <w:sz w:val="18"/>
                <w:szCs w:val="18"/>
                <w:lang w:eastAsia="it-IT"/>
              </w:rPr>
              <w:t xml:space="preserve">dentificativo </w:t>
            </w:r>
            <w:r>
              <w:rPr>
                <w:rFonts w:ascii="Titillium" w:eastAsia="Times New Roman" w:hAnsi="Titillium" w:cs="Calibri"/>
                <w:sz w:val="18"/>
                <w:szCs w:val="18"/>
                <w:lang w:eastAsia="it-IT"/>
              </w:rPr>
              <w:t>della traccia d’esame (</w:t>
            </w:r>
            <w:r w:rsidR="003D2BD7">
              <w:rPr>
                <w:rFonts w:ascii="Titillium" w:eastAsia="Times New Roman" w:hAnsi="Titillium" w:cs="Calibri"/>
                <w:sz w:val="18"/>
                <w:szCs w:val="18"/>
                <w:lang w:eastAsia="it-IT"/>
              </w:rPr>
              <w:t>es. Prima prova Busta 1..)</w:t>
            </w:r>
          </w:p>
        </w:tc>
        <w:tc>
          <w:tcPr>
            <w:tcW w:w="993" w:type="dxa"/>
            <w:tcBorders>
              <w:left w:val="nil"/>
              <w:bottom w:val="single" w:sz="4" w:space="0" w:color="auto"/>
              <w:right w:val="single" w:sz="4" w:space="0" w:color="auto"/>
            </w:tcBorders>
            <w:shd w:val="clear" w:color="auto" w:fill="auto"/>
            <w:noWrap/>
          </w:tcPr>
          <w:p w14:paraId="2E9D3B8F" w14:textId="038CE9C0" w:rsidR="003D2BD7" w:rsidRPr="00FA47B3" w:rsidRDefault="0033313B" w:rsidP="00C93FA7">
            <w:pPr>
              <w:spacing w:after="0" w:line="240" w:lineRule="auto"/>
              <w:jc w:val="center"/>
              <w:rPr>
                <w:rFonts w:ascii="Titillium" w:eastAsia="Times New Roman" w:hAnsi="Titillium" w:cs="Calibri"/>
                <w:sz w:val="18"/>
                <w:szCs w:val="18"/>
                <w:lang w:eastAsia="it-IT"/>
              </w:rPr>
            </w:pPr>
            <w:r>
              <w:rPr>
                <w:rFonts w:ascii="Titillium" w:eastAsia="Times New Roman" w:hAnsi="Titillium" w:cs="Calibri"/>
                <w:sz w:val="18"/>
                <w:szCs w:val="18"/>
                <w:lang w:eastAsia="it-IT"/>
              </w:rPr>
              <w:t>testo</w:t>
            </w:r>
          </w:p>
        </w:tc>
      </w:tr>
      <w:tr w:rsidR="003D2BD7" w:rsidRPr="00FA47B3" w14:paraId="2C7548BE" w14:textId="77777777" w:rsidTr="00FC3642">
        <w:trPr>
          <w:trHeight w:val="382"/>
        </w:trPr>
        <w:tc>
          <w:tcPr>
            <w:tcW w:w="160" w:type="dxa"/>
            <w:vMerge/>
            <w:tcBorders>
              <w:left w:val="single" w:sz="4" w:space="0" w:color="auto"/>
              <w:right w:val="single" w:sz="4" w:space="0" w:color="auto"/>
            </w:tcBorders>
            <w:shd w:val="clear" w:color="auto" w:fill="8496B0" w:themeFill="text2" w:themeFillTint="99"/>
            <w:noWrap/>
          </w:tcPr>
          <w:p w14:paraId="5A7B3BB3" w14:textId="77777777" w:rsidR="003D2BD7" w:rsidRPr="00FA47B3" w:rsidRDefault="003D2BD7" w:rsidP="00C93FA7">
            <w:pPr>
              <w:spacing w:after="0" w:line="240" w:lineRule="auto"/>
              <w:rPr>
                <w:rFonts w:ascii="Titillium" w:eastAsia="Times New Roman" w:hAnsi="Titillium" w:cs="Calibri"/>
                <w:sz w:val="18"/>
                <w:szCs w:val="18"/>
                <w:lang w:eastAsia="it-IT"/>
              </w:rPr>
            </w:pPr>
          </w:p>
        </w:tc>
        <w:tc>
          <w:tcPr>
            <w:tcW w:w="2245" w:type="dxa"/>
            <w:tcBorders>
              <w:left w:val="single" w:sz="4" w:space="0" w:color="auto"/>
              <w:bottom w:val="single" w:sz="4" w:space="0" w:color="auto"/>
              <w:right w:val="single" w:sz="4" w:space="0" w:color="auto"/>
            </w:tcBorders>
            <w:shd w:val="clear" w:color="auto" w:fill="auto"/>
          </w:tcPr>
          <w:p w14:paraId="44AE169F" w14:textId="3BCC641C" w:rsidR="003D2BD7" w:rsidRPr="00FA47B3" w:rsidRDefault="003D2BD7" w:rsidP="00C93FA7">
            <w:pPr>
              <w:spacing w:after="0" w:line="240" w:lineRule="auto"/>
              <w:rPr>
                <w:rFonts w:ascii="Titillium" w:eastAsia="Times New Roman" w:hAnsi="Titillium" w:cs="Calibri"/>
                <w:sz w:val="18"/>
                <w:szCs w:val="18"/>
                <w:lang w:eastAsia="it-IT"/>
              </w:rPr>
            </w:pPr>
            <w:r w:rsidRPr="00FA47B3">
              <w:rPr>
                <w:rFonts w:ascii="Titillium" w:eastAsia="Times New Roman" w:hAnsi="Titillium" w:cs="Calibri"/>
                <w:sz w:val="18"/>
                <w:szCs w:val="18"/>
                <w:lang w:eastAsia="it-IT"/>
              </w:rPr>
              <w:t>Tracc</w:t>
            </w:r>
            <w:r w:rsidR="00FC3642">
              <w:rPr>
                <w:rFonts w:ascii="Titillium" w:eastAsia="Times New Roman" w:hAnsi="Titillium" w:cs="Calibri"/>
                <w:sz w:val="18"/>
                <w:szCs w:val="18"/>
                <w:lang w:eastAsia="it-IT"/>
              </w:rPr>
              <w:t>ia</w:t>
            </w:r>
          </w:p>
        </w:tc>
        <w:tc>
          <w:tcPr>
            <w:tcW w:w="6378" w:type="dxa"/>
            <w:tcBorders>
              <w:top w:val="single" w:sz="4" w:space="0" w:color="auto"/>
              <w:left w:val="nil"/>
              <w:bottom w:val="single" w:sz="4" w:space="0" w:color="auto"/>
              <w:right w:val="single" w:sz="4" w:space="0" w:color="auto"/>
            </w:tcBorders>
            <w:shd w:val="clear" w:color="auto" w:fill="auto"/>
          </w:tcPr>
          <w:p w14:paraId="65A6AE5F" w14:textId="49A1BA1D" w:rsidR="003D2BD7" w:rsidRPr="00FA47B3" w:rsidRDefault="0033313B" w:rsidP="001F14A8">
            <w:pPr>
              <w:spacing w:after="0" w:line="240" w:lineRule="auto"/>
              <w:rPr>
                <w:rFonts w:ascii="Titillium" w:eastAsia="Times New Roman" w:hAnsi="Titillium" w:cs="Calibri"/>
                <w:sz w:val="18"/>
                <w:szCs w:val="18"/>
                <w:lang w:eastAsia="it-IT"/>
              </w:rPr>
            </w:pPr>
            <w:r w:rsidRPr="00FA47B3">
              <w:rPr>
                <w:rFonts w:ascii="Titillium" w:eastAsia="Times New Roman" w:hAnsi="Titillium" w:cs="Calibri"/>
                <w:sz w:val="18"/>
                <w:szCs w:val="18"/>
                <w:lang w:eastAsia="it-IT"/>
              </w:rPr>
              <w:t>Link al documento pubblicato nel sito istituzionale</w:t>
            </w:r>
            <w:r w:rsidR="001F14A8">
              <w:t xml:space="preserve"> </w:t>
            </w:r>
            <w:r w:rsidR="001F14A8" w:rsidRPr="001F14A8">
              <w:rPr>
                <w:rFonts w:ascii="Titillium" w:eastAsia="Times New Roman" w:hAnsi="Titillium" w:cs="Calibri"/>
                <w:sz w:val="18"/>
                <w:szCs w:val="18"/>
                <w:lang w:eastAsia="it-IT"/>
              </w:rPr>
              <w:t>dell’ente che ha indetto e/o gestisc</w:t>
            </w:r>
            <w:r w:rsidR="001F14A8">
              <w:rPr>
                <w:rFonts w:ascii="Titillium" w:eastAsia="Times New Roman" w:hAnsi="Titillium" w:cs="Calibri"/>
                <w:sz w:val="18"/>
                <w:szCs w:val="18"/>
                <w:lang w:eastAsia="it-IT"/>
              </w:rPr>
              <w:t>e il concorso/procedura seletti</w:t>
            </w:r>
            <w:r w:rsidR="001F14A8" w:rsidRPr="001F14A8">
              <w:rPr>
                <w:rFonts w:ascii="Titillium" w:eastAsia="Times New Roman" w:hAnsi="Titillium" w:cs="Calibri"/>
                <w:sz w:val="18"/>
                <w:szCs w:val="18"/>
                <w:lang w:eastAsia="it-IT"/>
              </w:rPr>
              <w:t>va</w:t>
            </w:r>
          </w:p>
        </w:tc>
        <w:tc>
          <w:tcPr>
            <w:tcW w:w="993" w:type="dxa"/>
            <w:tcBorders>
              <w:top w:val="single" w:sz="4" w:space="0" w:color="auto"/>
              <w:left w:val="nil"/>
              <w:bottom w:val="single" w:sz="4" w:space="0" w:color="auto"/>
              <w:right w:val="single" w:sz="4" w:space="0" w:color="auto"/>
            </w:tcBorders>
            <w:shd w:val="clear" w:color="auto" w:fill="auto"/>
            <w:noWrap/>
          </w:tcPr>
          <w:p w14:paraId="467C5FD5" w14:textId="399B1F43" w:rsidR="003D2BD7" w:rsidRPr="00FA47B3" w:rsidRDefault="0033313B" w:rsidP="00C93FA7">
            <w:pPr>
              <w:spacing w:after="0" w:line="240" w:lineRule="auto"/>
              <w:jc w:val="center"/>
              <w:rPr>
                <w:rFonts w:ascii="Titillium" w:eastAsia="Times New Roman" w:hAnsi="Titillium" w:cs="Calibri"/>
                <w:sz w:val="18"/>
                <w:szCs w:val="18"/>
                <w:lang w:eastAsia="it-IT"/>
              </w:rPr>
            </w:pPr>
            <w:r w:rsidRPr="00FA47B3">
              <w:rPr>
                <w:rFonts w:ascii="Titillium" w:eastAsia="Times New Roman" w:hAnsi="Titillium" w:cs="Calibri"/>
                <w:sz w:val="18"/>
                <w:szCs w:val="18"/>
                <w:lang w:eastAsia="it-IT"/>
              </w:rPr>
              <w:t>URL</w:t>
            </w:r>
          </w:p>
        </w:tc>
      </w:tr>
      <w:tr w:rsidR="00C93FA7" w:rsidRPr="00FA47B3" w14:paraId="056BF5DF" w14:textId="77777777" w:rsidTr="00FC3642">
        <w:trPr>
          <w:trHeight w:val="382"/>
        </w:trPr>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tcPr>
          <w:p w14:paraId="229F9C38" w14:textId="77777777" w:rsidR="00C93FA7" w:rsidRDefault="00C93FA7" w:rsidP="00C93FA7">
            <w:pPr>
              <w:spacing w:after="0" w:line="240" w:lineRule="auto"/>
              <w:rPr>
                <w:sz w:val="18"/>
                <w:szCs w:val="18"/>
              </w:rPr>
            </w:pPr>
            <w:r w:rsidRPr="00FA47B3">
              <w:rPr>
                <w:sz w:val="18"/>
                <w:szCs w:val="18"/>
              </w:rPr>
              <w:t>Graduatorie finali</w:t>
            </w:r>
          </w:p>
          <w:p w14:paraId="0F01C203" w14:textId="7CBF5BED" w:rsidR="00453046" w:rsidRPr="00FA47B3" w:rsidRDefault="00453046" w:rsidP="00453046">
            <w:pPr>
              <w:spacing w:after="0" w:line="240" w:lineRule="auto"/>
              <w:rPr>
                <w:rFonts w:ascii="Titillium" w:eastAsia="Times New Roman" w:hAnsi="Titillium" w:cs="Calibri"/>
                <w:sz w:val="18"/>
                <w:szCs w:val="18"/>
                <w:lang w:eastAsia="it-IT"/>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54FB08B7" w14:textId="22033574" w:rsidR="00C93FA7" w:rsidRDefault="00C93FA7" w:rsidP="00C93FA7">
            <w:pPr>
              <w:spacing w:after="0" w:line="240" w:lineRule="auto"/>
              <w:rPr>
                <w:sz w:val="18"/>
                <w:szCs w:val="18"/>
              </w:rPr>
            </w:pPr>
            <w:r w:rsidRPr="00FA47B3">
              <w:rPr>
                <w:sz w:val="18"/>
                <w:szCs w:val="18"/>
              </w:rPr>
              <w:t>Link alle graduatorie finali, aggiornate con l’eventuale scorrimento degli idonei non vincitori</w:t>
            </w:r>
            <w:r>
              <w:rPr>
                <w:sz w:val="18"/>
                <w:szCs w:val="18"/>
              </w:rPr>
              <w:t xml:space="preserve"> rese disponibili dal DFP (monitoraggio delle graduatorie concorsuali delle PA)</w:t>
            </w:r>
          </w:p>
          <w:p w14:paraId="517C983F" w14:textId="18FAD5D9" w:rsidR="00453046" w:rsidRPr="008E6619" w:rsidRDefault="004174DE" w:rsidP="008E6619">
            <w:pPr>
              <w:spacing w:after="0" w:line="240" w:lineRule="auto"/>
              <w:jc w:val="both"/>
              <w:rPr>
                <w:sz w:val="18"/>
                <w:szCs w:val="18"/>
              </w:rPr>
            </w:pPr>
            <w:r>
              <w:rPr>
                <w:sz w:val="18"/>
                <w:szCs w:val="18"/>
              </w:rPr>
              <w:lastRenderedPageBreak/>
              <w:t>Indicare con riferimento ai soggetti vincitori e idonei vincitori a seguito di scorrimento della graduatoria i seguenti dati: nome, cognome, eventualmente la data di nascita (ad esempio in caso di omonimia) e posizione in graduatoria</w:t>
            </w:r>
            <w:r w:rsidR="008E6619">
              <w:rPr>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188E65" w14:textId="75E8C357" w:rsidR="00453046" w:rsidRDefault="00C93FA7" w:rsidP="00C93FA7">
            <w:pPr>
              <w:spacing w:after="0" w:line="240" w:lineRule="auto"/>
              <w:rPr>
                <w:rFonts w:ascii="Titillium" w:eastAsia="Times New Roman" w:hAnsi="Titillium" w:cs="Calibri"/>
                <w:sz w:val="18"/>
                <w:szCs w:val="18"/>
                <w:lang w:eastAsia="it-IT"/>
              </w:rPr>
            </w:pPr>
            <w:r w:rsidRPr="00FA47B3">
              <w:rPr>
                <w:rFonts w:ascii="Titillium" w:eastAsia="Times New Roman" w:hAnsi="Titillium" w:cs="Calibri"/>
                <w:sz w:val="18"/>
                <w:szCs w:val="18"/>
                <w:lang w:eastAsia="it-IT"/>
              </w:rPr>
              <w:lastRenderedPageBreak/>
              <w:t xml:space="preserve">      </w:t>
            </w:r>
          </w:p>
          <w:p w14:paraId="756D83F3" w14:textId="2C7D4D5C" w:rsidR="00C93FA7" w:rsidRPr="00FA47B3" w:rsidRDefault="00C77F0D" w:rsidP="00C93FA7">
            <w:pPr>
              <w:spacing w:after="0" w:line="240" w:lineRule="auto"/>
              <w:rPr>
                <w:rFonts w:ascii="Titillium" w:eastAsia="Times New Roman" w:hAnsi="Titillium" w:cs="Calibri"/>
                <w:sz w:val="18"/>
                <w:szCs w:val="18"/>
                <w:lang w:eastAsia="it-IT"/>
              </w:rPr>
            </w:pPr>
            <w:r>
              <w:rPr>
                <w:rFonts w:ascii="Titillium" w:eastAsia="Times New Roman" w:hAnsi="Titillium" w:cs="Calibri"/>
                <w:sz w:val="18"/>
                <w:szCs w:val="18"/>
                <w:lang w:eastAsia="it-IT"/>
              </w:rPr>
              <w:t xml:space="preserve">      </w:t>
            </w:r>
            <w:r w:rsidR="00C93FA7" w:rsidRPr="00FA47B3">
              <w:rPr>
                <w:rFonts w:ascii="Titillium" w:eastAsia="Times New Roman" w:hAnsi="Titillium" w:cs="Calibri"/>
                <w:sz w:val="18"/>
                <w:szCs w:val="18"/>
                <w:lang w:eastAsia="it-IT"/>
              </w:rPr>
              <w:t>URL</w:t>
            </w:r>
          </w:p>
        </w:tc>
      </w:tr>
    </w:tbl>
    <w:p w14:paraId="51032ABC" w14:textId="77777777" w:rsidR="001C051C" w:rsidRPr="00FA47B3" w:rsidRDefault="001C051C" w:rsidP="00851488">
      <w:pPr>
        <w:pBdr>
          <w:bottom w:val="single" w:sz="6" w:space="1" w:color="auto"/>
        </w:pBdr>
        <w:rPr>
          <w:sz w:val="18"/>
          <w:szCs w:val="18"/>
        </w:rPr>
      </w:pPr>
    </w:p>
    <w:sectPr w:rsidR="001C051C" w:rsidRPr="00FA47B3">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A2539" w14:textId="77777777" w:rsidR="00681F2F" w:rsidRDefault="00681F2F" w:rsidP="00887339">
      <w:pPr>
        <w:spacing w:after="0" w:line="240" w:lineRule="auto"/>
      </w:pPr>
      <w:r>
        <w:separator/>
      </w:r>
    </w:p>
  </w:endnote>
  <w:endnote w:type="continuationSeparator" w:id="0">
    <w:p w14:paraId="3BC46A84" w14:textId="77777777" w:rsidR="00681F2F" w:rsidRDefault="00681F2F" w:rsidP="00887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w:altName w:val="Calibri"/>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1FFF8" w14:textId="77777777" w:rsidR="00681F2F" w:rsidRDefault="00681F2F" w:rsidP="00887339">
      <w:pPr>
        <w:spacing w:after="0" w:line="240" w:lineRule="auto"/>
      </w:pPr>
      <w:r>
        <w:separator/>
      </w:r>
    </w:p>
  </w:footnote>
  <w:footnote w:type="continuationSeparator" w:id="0">
    <w:p w14:paraId="044D6595" w14:textId="77777777" w:rsidR="00681F2F" w:rsidRDefault="00681F2F" w:rsidP="00887339">
      <w:pPr>
        <w:spacing w:after="0" w:line="240" w:lineRule="auto"/>
      </w:pPr>
      <w:r>
        <w:continuationSeparator/>
      </w:r>
    </w:p>
  </w:footnote>
  <w:footnote w:id="1">
    <w:p w14:paraId="7F2C466B" w14:textId="77777777" w:rsidR="00C93FA7" w:rsidRPr="00887339" w:rsidRDefault="00C93FA7" w:rsidP="007631D0">
      <w:pPr>
        <w:pStyle w:val="Testonotaapidipagina"/>
        <w:ind w:right="-427"/>
        <w:jc w:val="both"/>
        <w:rPr>
          <w:sz w:val="16"/>
          <w:szCs w:val="16"/>
        </w:rPr>
      </w:pPr>
      <w:r w:rsidRPr="00887339">
        <w:rPr>
          <w:rStyle w:val="Rimandonotaapidipagina"/>
          <w:sz w:val="16"/>
          <w:szCs w:val="16"/>
        </w:rPr>
        <w:footnoteRef/>
      </w:r>
      <w:r w:rsidRPr="00887339">
        <w:rPr>
          <w:sz w:val="16"/>
          <w:szCs w:val="16"/>
        </w:rPr>
        <w:t xml:space="preserve"> Nell'ambito dei concorsi/procedure selettiva vanno considerate anche:</w:t>
      </w:r>
    </w:p>
    <w:p w14:paraId="60966F21" w14:textId="77777777" w:rsidR="00C93FA7" w:rsidRPr="00887339" w:rsidRDefault="00C93FA7" w:rsidP="007631D0">
      <w:pPr>
        <w:pStyle w:val="Testonotaapidipagina"/>
        <w:ind w:right="-427"/>
        <w:jc w:val="both"/>
        <w:rPr>
          <w:sz w:val="16"/>
          <w:szCs w:val="16"/>
        </w:rPr>
      </w:pPr>
      <w:r w:rsidRPr="00887339">
        <w:rPr>
          <w:sz w:val="16"/>
          <w:szCs w:val="16"/>
        </w:rPr>
        <w:t>a)</w:t>
      </w:r>
      <w:r w:rsidRPr="00887339">
        <w:rPr>
          <w:sz w:val="16"/>
          <w:szCs w:val="16"/>
        </w:rPr>
        <w:tab/>
        <w:t>Le procedure selettive interne all'amministrazione che determinano il passaggio in un'area superiore (cd progressioni verticali). Sono escluse invece le procedure selettive interne all'amministrazione che determinano il passaggio di livello nell'ambito della stessa area o categoria (cd progressione orizzontale); DELIBERA 775 DEL 10 NOVEMBRE 2021.</w:t>
      </w:r>
    </w:p>
    <w:p w14:paraId="0632335D" w14:textId="77777777" w:rsidR="00C93FA7" w:rsidRPr="00887339" w:rsidRDefault="00C93FA7" w:rsidP="007631D0">
      <w:pPr>
        <w:pStyle w:val="Testonotaapidipagina"/>
        <w:ind w:right="-427"/>
        <w:jc w:val="both"/>
        <w:rPr>
          <w:sz w:val="16"/>
          <w:szCs w:val="16"/>
        </w:rPr>
      </w:pPr>
      <w:r w:rsidRPr="00887339">
        <w:rPr>
          <w:sz w:val="16"/>
          <w:szCs w:val="16"/>
        </w:rPr>
        <w:t>Ciò in ragione della ampia formulazione dell’art. 19 che, al co. 1, rinvia al “reclutamento, a qualsiasi titolo, di personale presso l'amministrazione” nonché degli orientamenti giurisprudenziali che per dette procedure configurano una vicenda assimilabile ad una vera e propria assunzione.</w:t>
      </w:r>
    </w:p>
    <w:p w14:paraId="4EE91940" w14:textId="77777777" w:rsidR="00C93FA7" w:rsidRPr="00887339" w:rsidRDefault="00C93FA7" w:rsidP="007631D0">
      <w:pPr>
        <w:pStyle w:val="Testonotaapidipagina"/>
        <w:ind w:right="-427"/>
        <w:jc w:val="both"/>
        <w:rPr>
          <w:sz w:val="16"/>
          <w:szCs w:val="16"/>
        </w:rPr>
      </w:pPr>
      <w:r w:rsidRPr="00887339">
        <w:rPr>
          <w:sz w:val="16"/>
          <w:szCs w:val="16"/>
        </w:rPr>
        <w:t xml:space="preserve">Le procedure selettive interne che determinano un passaggio di livello nell’ambito della stessa area o categoria, cd. progressioni orizzontali, sono escluse dall’ambito oggettivo di applicazione dell’art. 19 “Bandi di concorso” del d.lgs. 33/2013, in quanto procedure a carattere meritocratico connesse alla valutazione dell'apporto individuale del lavoratore e non soggette al principio del pubblico concorso. </w:t>
      </w:r>
    </w:p>
    <w:p w14:paraId="5F7A9B5E" w14:textId="77777777" w:rsidR="00C93FA7" w:rsidRPr="00887339" w:rsidRDefault="00C93FA7" w:rsidP="007631D0">
      <w:pPr>
        <w:pStyle w:val="Testonotaapidipagina"/>
        <w:ind w:right="-427"/>
        <w:jc w:val="both"/>
        <w:rPr>
          <w:sz w:val="16"/>
          <w:szCs w:val="16"/>
        </w:rPr>
      </w:pPr>
      <w:r w:rsidRPr="00887339">
        <w:rPr>
          <w:sz w:val="16"/>
          <w:szCs w:val="16"/>
        </w:rPr>
        <w:t>b)</w:t>
      </w:r>
      <w:r w:rsidRPr="00887339">
        <w:rPr>
          <w:sz w:val="16"/>
          <w:szCs w:val="16"/>
        </w:rPr>
        <w:tab/>
        <w:t>Le procedure di mobilità</w:t>
      </w:r>
    </w:p>
    <w:p w14:paraId="7DA74D4C" w14:textId="77777777" w:rsidR="00C93FA7" w:rsidRPr="00887339" w:rsidRDefault="00C93FA7" w:rsidP="007631D0">
      <w:pPr>
        <w:pStyle w:val="Testonotaapidipagina"/>
        <w:ind w:right="-427"/>
        <w:jc w:val="both"/>
        <w:rPr>
          <w:sz w:val="16"/>
          <w:szCs w:val="16"/>
        </w:rPr>
      </w:pPr>
      <w:r w:rsidRPr="00887339">
        <w:rPr>
          <w:sz w:val="16"/>
          <w:szCs w:val="16"/>
        </w:rPr>
        <w:t>c)</w:t>
      </w:r>
      <w:r w:rsidRPr="00887339">
        <w:rPr>
          <w:sz w:val="16"/>
          <w:szCs w:val="16"/>
        </w:rPr>
        <w:tab/>
        <w:t>Le procedure di assunzioni obbligatorie ex legge n. 68/99</w:t>
      </w:r>
    </w:p>
    <w:p w14:paraId="7E3C2FA6" w14:textId="33645BFE" w:rsidR="00C93FA7" w:rsidRPr="00887339" w:rsidRDefault="00C93FA7" w:rsidP="007631D0">
      <w:pPr>
        <w:pStyle w:val="Testonotaapidipagina"/>
        <w:ind w:right="-427"/>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CE643" w14:textId="21E2DF04" w:rsidR="004A45FA" w:rsidRDefault="004A45FA">
    <w:pPr>
      <w:pStyle w:val="Intestazion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29A7"/>
    <w:multiLevelType w:val="hybridMultilevel"/>
    <w:tmpl w:val="3F8E9FF8"/>
    <w:lvl w:ilvl="0" w:tplc="971CA0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952AE8"/>
    <w:multiLevelType w:val="hybridMultilevel"/>
    <w:tmpl w:val="1A5461B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0857337"/>
    <w:multiLevelType w:val="hybridMultilevel"/>
    <w:tmpl w:val="D0BAEE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19769A"/>
    <w:multiLevelType w:val="hybridMultilevel"/>
    <w:tmpl w:val="875C6DA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EDA4646"/>
    <w:multiLevelType w:val="hybridMultilevel"/>
    <w:tmpl w:val="965AA442"/>
    <w:lvl w:ilvl="0" w:tplc="5C0EEBB2">
      <w:start w:val="1"/>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F302B00"/>
    <w:multiLevelType w:val="hybridMultilevel"/>
    <w:tmpl w:val="F6F005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0377266"/>
    <w:multiLevelType w:val="hybridMultilevel"/>
    <w:tmpl w:val="02FA69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FC1E73"/>
    <w:multiLevelType w:val="hybridMultilevel"/>
    <w:tmpl w:val="CCAA0BE2"/>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45132A26"/>
    <w:multiLevelType w:val="hybridMultilevel"/>
    <w:tmpl w:val="D46A8E3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9" w15:restartNumberingAfterBreak="0">
    <w:nsid w:val="4B4900A4"/>
    <w:multiLevelType w:val="hybridMultilevel"/>
    <w:tmpl w:val="977E6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D4B7AAC"/>
    <w:multiLevelType w:val="multilevel"/>
    <w:tmpl w:val="23F4ABCE"/>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1" w15:restartNumberingAfterBreak="0">
    <w:nsid w:val="69E94D58"/>
    <w:multiLevelType w:val="hybridMultilevel"/>
    <w:tmpl w:val="E2F20FD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6E1C6563"/>
    <w:multiLevelType w:val="hybridMultilevel"/>
    <w:tmpl w:val="1A78B0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2225E15"/>
    <w:multiLevelType w:val="hybridMultilevel"/>
    <w:tmpl w:val="CAF6D35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73C815CD"/>
    <w:multiLevelType w:val="hybridMultilevel"/>
    <w:tmpl w:val="14B01F0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8"/>
  </w:num>
  <w:num w:numId="31">
    <w:abstractNumId w:val="11"/>
  </w:num>
  <w:num w:numId="32">
    <w:abstractNumId w:val="9"/>
  </w:num>
  <w:num w:numId="33">
    <w:abstractNumId w:val="0"/>
  </w:num>
  <w:num w:numId="34">
    <w:abstractNumId w:val="3"/>
  </w:num>
  <w:num w:numId="35">
    <w:abstractNumId w:val="14"/>
  </w:num>
  <w:num w:numId="36">
    <w:abstractNumId w:val="12"/>
  </w:num>
  <w:num w:numId="37">
    <w:abstractNumId w:val="13"/>
  </w:num>
  <w:num w:numId="38">
    <w:abstractNumId w:val="1"/>
  </w:num>
  <w:num w:numId="39">
    <w:abstractNumId w:val="7"/>
  </w:num>
  <w:num w:numId="40">
    <w:abstractNumId w:val="5"/>
  </w:num>
  <w:num w:numId="41">
    <w:abstractNumId w:val="6"/>
  </w:num>
  <w:num w:numId="42">
    <w:abstractNumId w:val="4"/>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D21"/>
    <w:rsid w:val="00003E1F"/>
    <w:rsid w:val="00006BCB"/>
    <w:rsid w:val="0001247F"/>
    <w:rsid w:val="00012A9C"/>
    <w:rsid w:val="00014EF9"/>
    <w:rsid w:val="0002566F"/>
    <w:rsid w:val="00033DD9"/>
    <w:rsid w:val="000370FC"/>
    <w:rsid w:val="000401BE"/>
    <w:rsid w:val="00041B99"/>
    <w:rsid w:val="0004219C"/>
    <w:rsid w:val="00051378"/>
    <w:rsid w:val="0005170F"/>
    <w:rsid w:val="00057FF5"/>
    <w:rsid w:val="00061CBF"/>
    <w:rsid w:val="00070240"/>
    <w:rsid w:val="0008099F"/>
    <w:rsid w:val="00083C44"/>
    <w:rsid w:val="0008466A"/>
    <w:rsid w:val="00093B97"/>
    <w:rsid w:val="000A00EF"/>
    <w:rsid w:val="000A6BDC"/>
    <w:rsid w:val="000B39B6"/>
    <w:rsid w:val="000C2A7C"/>
    <w:rsid w:val="000C44D5"/>
    <w:rsid w:val="000C4A83"/>
    <w:rsid w:val="000C741E"/>
    <w:rsid w:val="000C76CF"/>
    <w:rsid w:val="000D479E"/>
    <w:rsid w:val="000D4F9B"/>
    <w:rsid w:val="000F420E"/>
    <w:rsid w:val="000F5405"/>
    <w:rsid w:val="000F556F"/>
    <w:rsid w:val="0010524E"/>
    <w:rsid w:val="00110CAC"/>
    <w:rsid w:val="00112A17"/>
    <w:rsid w:val="0011529B"/>
    <w:rsid w:val="0013223C"/>
    <w:rsid w:val="001327D8"/>
    <w:rsid w:val="00150592"/>
    <w:rsid w:val="00152408"/>
    <w:rsid w:val="001533BD"/>
    <w:rsid w:val="00155A57"/>
    <w:rsid w:val="00157425"/>
    <w:rsid w:val="0016267F"/>
    <w:rsid w:val="00166E19"/>
    <w:rsid w:val="00166E4B"/>
    <w:rsid w:val="001714FD"/>
    <w:rsid w:val="00171B79"/>
    <w:rsid w:val="00176941"/>
    <w:rsid w:val="001804D0"/>
    <w:rsid w:val="00180C65"/>
    <w:rsid w:val="00182193"/>
    <w:rsid w:val="00185BAE"/>
    <w:rsid w:val="00191229"/>
    <w:rsid w:val="0019283B"/>
    <w:rsid w:val="00194E0A"/>
    <w:rsid w:val="00195CED"/>
    <w:rsid w:val="001B4D42"/>
    <w:rsid w:val="001C051C"/>
    <w:rsid w:val="001C0B01"/>
    <w:rsid w:val="001C5185"/>
    <w:rsid w:val="001D434E"/>
    <w:rsid w:val="001D4AB4"/>
    <w:rsid w:val="001E5BFA"/>
    <w:rsid w:val="001E6898"/>
    <w:rsid w:val="001F06EE"/>
    <w:rsid w:val="001F14A8"/>
    <w:rsid w:val="001F2E07"/>
    <w:rsid w:val="001F5052"/>
    <w:rsid w:val="00206C33"/>
    <w:rsid w:val="00206D1D"/>
    <w:rsid w:val="0020769C"/>
    <w:rsid w:val="002176CC"/>
    <w:rsid w:val="00221B2B"/>
    <w:rsid w:val="00223C4A"/>
    <w:rsid w:val="00227578"/>
    <w:rsid w:val="002301BF"/>
    <w:rsid w:val="00236C3B"/>
    <w:rsid w:val="00237DBB"/>
    <w:rsid w:val="00247679"/>
    <w:rsid w:val="00247F3C"/>
    <w:rsid w:val="00254C03"/>
    <w:rsid w:val="00256BC9"/>
    <w:rsid w:val="00261711"/>
    <w:rsid w:val="00261CB0"/>
    <w:rsid w:val="002644A1"/>
    <w:rsid w:val="00265840"/>
    <w:rsid w:val="00284A02"/>
    <w:rsid w:val="0029142D"/>
    <w:rsid w:val="00292C7E"/>
    <w:rsid w:val="00293C4A"/>
    <w:rsid w:val="002A75D0"/>
    <w:rsid w:val="002B25C7"/>
    <w:rsid w:val="002C3C73"/>
    <w:rsid w:val="002D150A"/>
    <w:rsid w:val="002D44ED"/>
    <w:rsid w:val="002D6BA3"/>
    <w:rsid w:val="002E1C85"/>
    <w:rsid w:val="002E1C87"/>
    <w:rsid w:val="002F5006"/>
    <w:rsid w:val="002F5B5D"/>
    <w:rsid w:val="002F6C1C"/>
    <w:rsid w:val="00303430"/>
    <w:rsid w:val="00315662"/>
    <w:rsid w:val="0032531D"/>
    <w:rsid w:val="0033313B"/>
    <w:rsid w:val="00352421"/>
    <w:rsid w:val="0036022C"/>
    <w:rsid w:val="003661E7"/>
    <w:rsid w:val="00374AD7"/>
    <w:rsid w:val="00375152"/>
    <w:rsid w:val="003774E0"/>
    <w:rsid w:val="00377F2D"/>
    <w:rsid w:val="00381E40"/>
    <w:rsid w:val="00384926"/>
    <w:rsid w:val="00391762"/>
    <w:rsid w:val="003922B2"/>
    <w:rsid w:val="00394CAF"/>
    <w:rsid w:val="003A0797"/>
    <w:rsid w:val="003A0FA3"/>
    <w:rsid w:val="003A1D82"/>
    <w:rsid w:val="003A5D55"/>
    <w:rsid w:val="003B113D"/>
    <w:rsid w:val="003C16B1"/>
    <w:rsid w:val="003C1C81"/>
    <w:rsid w:val="003C58DD"/>
    <w:rsid w:val="003C5B7D"/>
    <w:rsid w:val="003D245E"/>
    <w:rsid w:val="003D2BD7"/>
    <w:rsid w:val="003D48F8"/>
    <w:rsid w:val="003D64C6"/>
    <w:rsid w:val="003E0238"/>
    <w:rsid w:val="003E03EE"/>
    <w:rsid w:val="003E2537"/>
    <w:rsid w:val="003E381A"/>
    <w:rsid w:val="003E4E0C"/>
    <w:rsid w:val="003F7CD7"/>
    <w:rsid w:val="0040254A"/>
    <w:rsid w:val="00404829"/>
    <w:rsid w:val="004051EB"/>
    <w:rsid w:val="00412DE3"/>
    <w:rsid w:val="004174DE"/>
    <w:rsid w:val="00420632"/>
    <w:rsid w:val="00421192"/>
    <w:rsid w:val="00426762"/>
    <w:rsid w:val="004360A3"/>
    <w:rsid w:val="00436F35"/>
    <w:rsid w:val="004422B6"/>
    <w:rsid w:val="00453046"/>
    <w:rsid w:val="00453796"/>
    <w:rsid w:val="004556E5"/>
    <w:rsid w:val="00465114"/>
    <w:rsid w:val="0047097C"/>
    <w:rsid w:val="00492239"/>
    <w:rsid w:val="00497791"/>
    <w:rsid w:val="004A1004"/>
    <w:rsid w:val="004A175B"/>
    <w:rsid w:val="004A45FA"/>
    <w:rsid w:val="004A601D"/>
    <w:rsid w:val="004C1DB4"/>
    <w:rsid w:val="004C7660"/>
    <w:rsid w:val="004D149A"/>
    <w:rsid w:val="004D51F8"/>
    <w:rsid w:val="004D6D95"/>
    <w:rsid w:val="004E33E0"/>
    <w:rsid w:val="004F310D"/>
    <w:rsid w:val="004F7C1A"/>
    <w:rsid w:val="00510544"/>
    <w:rsid w:val="00526060"/>
    <w:rsid w:val="0054130D"/>
    <w:rsid w:val="00542A80"/>
    <w:rsid w:val="005468AB"/>
    <w:rsid w:val="0055312B"/>
    <w:rsid w:val="00553DF0"/>
    <w:rsid w:val="0055765B"/>
    <w:rsid w:val="005619D9"/>
    <w:rsid w:val="005639BF"/>
    <w:rsid w:val="005654C6"/>
    <w:rsid w:val="0056657B"/>
    <w:rsid w:val="0057044F"/>
    <w:rsid w:val="005705FE"/>
    <w:rsid w:val="00581D09"/>
    <w:rsid w:val="005A2196"/>
    <w:rsid w:val="005A5DEB"/>
    <w:rsid w:val="005B12F8"/>
    <w:rsid w:val="005B2F4C"/>
    <w:rsid w:val="005B340A"/>
    <w:rsid w:val="005B3D21"/>
    <w:rsid w:val="005C4D05"/>
    <w:rsid w:val="005C73E4"/>
    <w:rsid w:val="005D1DB4"/>
    <w:rsid w:val="005E0A21"/>
    <w:rsid w:val="005E1C5B"/>
    <w:rsid w:val="005E1E31"/>
    <w:rsid w:val="005E24EB"/>
    <w:rsid w:val="005F1B1A"/>
    <w:rsid w:val="005F42B3"/>
    <w:rsid w:val="00612167"/>
    <w:rsid w:val="00615387"/>
    <w:rsid w:val="00624713"/>
    <w:rsid w:val="00653155"/>
    <w:rsid w:val="00665680"/>
    <w:rsid w:val="006770A2"/>
    <w:rsid w:val="00680081"/>
    <w:rsid w:val="00681F2F"/>
    <w:rsid w:val="00686CB3"/>
    <w:rsid w:val="00696A79"/>
    <w:rsid w:val="006A6BDA"/>
    <w:rsid w:val="006A7073"/>
    <w:rsid w:val="006B06C5"/>
    <w:rsid w:val="006B1AB8"/>
    <w:rsid w:val="006B2E53"/>
    <w:rsid w:val="006B3941"/>
    <w:rsid w:val="006C0B7B"/>
    <w:rsid w:val="006C1DD6"/>
    <w:rsid w:val="006C7E15"/>
    <w:rsid w:val="006D1178"/>
    <w:rsid w:val="006D30F9"/>
    <w:rsid w:val="006D33C6"/>
    <w:rsid w:val="006D4C0C"/>
    <w:rsid w:val="006E1D51"/>
    <w:rsid w:val="006E3061"/>
    <w:rsid w:val="006E5EBD"/>
    <w:rsid w:val="006F4A7E"/>
    <w:rsid w:val="006F7358"/>
    <w:rsid w:val="00704F53"/>
    <w:rsid w:val="00712A9D"/>
    <w:rsid w:val="007164F5"/>
    <w:rsid w:val="00717483"/>
    <w:rsid w:val="00723989"/>
    <w:rsid w:val="00724ACA"/>
    <w:rsid w:val="00732743"/>
    <w:rsid w:val="00734F62"/>
    <w:rsid w:val="00735197"/>
    <w:rsid w:val="0074307C"/>
    <w:rsid w:val="007535E8"/>
    <w:rsid w:val="00754052"/>
    <w:rsid w:val="00760CDE"/>
    <w:rsid w:val="007631D0"/>
    <w:rsid w:val="00766133"/>
    <w:rsid w:val="0077364E"/>
    <w:rsid w:val="00775EC4"/>
    <w:rsid w:val="00792BC6"/>
    <w:rsid w:val="007930FB"/>
    <w:rsid w:val="007954ED"/>
    <w:rsid w:val="00796457"/>
    <w:rsid w:val="007A16FA"/>
    <w:rsid w:val="007A5058"/>
    <w:rsid w:val="007A728B"/>
    <w:rsid w:val="007B0AE9"/>
    <w:rsid w:val="007C1E62"/>
    <w:rsid w:val="007D6DC1"/>
    <w:rsid w:val="007F5C9E"/>
    <w:rsid w:val="00800465"/>
    <w:rsid w:val="00801087"/>
    <w:rsid w:val="00803A7B"/>
    <w:rsid w:val="008058B3"/>
    <w:rsid w:val="00810F8F"/>
    <w:rsid w:val="00813139"/>
    <w:rsid w:val="00820F83"/>
    <w:rsid w:val="008244A3"/>
    <w:rsid w:val="00825603"/>
    <w:rsid w:val="008301DC"/>
    <w:rsid w:val="00833FB2"/>
    <w:rsid w:val="00835800"/>
    <w:rsid w:val="00836641"/>
    <w:rsid w:val="0083669B"/>
    <w:rsid w:val="008373C5"/>
    <w:rsid w:val="00840D21"/>
    <w:rsid w:val="0084199F"/>
    <w:rsid w:val="00851488"/>
    <w:rsid w:val="008614C9"/>
    <w:rsid w:val="00863C25"/>
    <w:rsid w:val="008656D3"/>
    <w:rsid w:val="00870D24"/>
    <w:rsid w:val="00875448"/>
    <w:rsid w:val="00887339"/>
    <w:rsid w:val="00897BBF"/>
    <w:rsid w:val="008A489E"/>
    <w:rsid w:val="008B11FF"/>
    <w:rsid w:val="008B1767"/>
    <w:rsid w:val="008B2303"/>
    <w:rsid w:val="008B7F99"/>
    <w:rsid w:val="008C2AC3"/>
    <w:rsid w:val="008C6A61"/>
    <w:rsid w:val="008C6E97"/>
    <w:rsid w:val="008D1149"/>
    <w:rsid w:val="008E02FC"/>
    <w:rsid w:val="008E0344"/>
    <w:rsid w:val="008E4BD4"/>
    <w:rsid w:val="008E6619"/>
    <w:rsid w:val="008E76D5"/>
    <w:rsid w:val="008F0AA6"/>
    <w:rsid w:val="00911E91"/>
    <w:rsid w:val="00915D04"/>
    <w:rsid w:val="00916178"/>
    <w:rsid w:val="00932314"/>
    <w:rsid w:val="009327ED"/>
    <w:rsid w:val="00932A24"/>
    <w:rsid w:val="00934631"/>
    <w:rsid w:val="00934EE7"/>
    <w:rsid w:val="009447C4"/>
    <w:rsid w:val="00960324"/>
    <w:rsid w:val="00962ADB"/>
    <w:rsid w:val="00963267"/>
    <w:rsid w:val="00984FFF"/>
    <w:rsid w:val="0098552E"/>
    <w:rsid w:val="00991E5F"/>
    <w:rsid w:val="00992C10"/>
    <w:rsid w:val="00995109"/>
    <w:rsid w:val="009A0CC8"/>
    <w:rsid w:val="009A5173"/>
    <w:rsid w:val="009A7100"/>
    <w:rsid w:val="009B2D8C"/>
    <w:rsid w:val="009C0F75"/>
    <w:rsid w:val="009C1526"/>
    <w:rsid w:val="009C406B"/>
    <w:rsid w:val="009C5B9C"/>
    <w:rsid w:val="009D1E04"/>
    <w:rsid w:val="009D20C6"/>
    <w:rsid w:val="009D3E5D"/>
    <w:rsid w:val="009E285A"/>
    <w:rsid w:val="009E6E8F"/>
    <w:rsid w:val="009F2820"/>
    <w:rsid w:val="00A00C17"/>
    <w:rsid w:val="00A01D21"/>
    <w:rsid w:val="00A077A1"/>
    <w:rsid w:val="00A12468"/>
    <w:rsid w:val="00A13D38"/>
    <w:rsid w:val="00A340F3"/>
    <w:rsid w:val="00A3642E"/>
    <w:rsid w:val="00A427AE"/>
    <w:rsid w:val="00A42EA0"/>
    <w:rsid w:val="00A4441B"/>
    <w:rsid w:val="00A4549A"/>
    <w:rsid w:val="00A47820"/>
    <w:rsid w:val="00A62AE3"/>
    <w:rsid w:val="00A70260"/>
    <w:rsid w:val="00A72FFA"/>
    <w:rsid w:val="00A8027E"/>
    <w:rsid w:val="00A950CA"/>
    <w:rsid w:val="00A95D79"/>
    <w:rsid w:val="00A96EE5"/>
    <w:rsid w:val="00AB1618"/>
    <w:rsid w:val="00AB3654"/>
    <w:rsid w:val="00AB6259"/>
    <w:rsid w:val="00AB6E99"/>
    <w:rsid w:val="00AB752E"/>
    <w:rsid w:val="00AC11CF"/>
    <w:rsid w:val="00AC25EE"/>
    <w:rsid w:val="00AC60FA"/>
    <w:rsid w:val="00AE64BB"/>
    <w:rsid w:val="00AF5F9A"/>
    <w:rsid w:val="00B0062B"/>
    <w:rsid w:val="00B0487D"/>
    <w:rsid w:val="00B11198"/>
    <w:rsid w:val="00B14EB4"/>
    <w:rsid w:val="00B21998"/>
    <w:rsid w:val="00B247CD"/>
    <w:rsid w:val="00B31BC3"/>
    <w:rsid w:val="00B34C87"/>
    <w:rsid w:val="00B65C4E"/>
    <w:rsid w:val="00B65E8F"/>
    <w:rsid w:val="00B66C01"/>
    <w:rsid w:val="00B67448"/>
    <w:rsid w:val="00B702ED"/>
    <w:rsid w:val="00B74D42"/>
    <w:rsid w:val="00B76F20"/>
    <w:rsid w:val="00B87140"/>
    <w:rsid w:val="00B87A82"/>
    <w:rsid w:val="00BA3675"/>
    <w:rsid w:val="00BA790C"/>
    <w:rsid w:val="00BB229D"/>
    <w:rsid w:val="00BB30A0"/>
    <w:rsid w:val="00BB4492"/>
    <w:rsid w:val="00BB44D6"/>
    <w:rsid w:val="00BB57DB"/>
    <w:rsid w:val="00BB692E"/>
    <w:rsid w:val="00BC13A4"/>
    <w:rsid w:val="00BD0D19"/>
    <w:rsid w:val="00BD2F1D"/>
    <w:rsid w:val="00BD6C47"/>
    <w:rsid w:val="00BE6528"/>
    <w:rsid w:val="00BF5628"/>
    <w:rsid w:val="00C1060F"/>
    <w:rsid w:val="00C1210D"/>
    <w:rsid w:val="00C13CC6"/>
    <w:rsid w:val="00C17F38"/>
    <w:rsid w:val="00C246A0"/>
    <w:rsid w:val="00C3291F"/>
    <w:rsid w:val="00C366E8"/>
    <w:rsid w:val="00C42209"/>
    <w:rsid w:val="00C5151B"/>
    <w:rsid w:val="00C57DCF"/>
    <w:rsid w:val="00C63E37"/>
    <w:rsid w:val="00C74257"/>
    <w:rsid w:val="00C74FA8"/>
    <w:rsid w:val="00C75F5E"/>
    <w:rsid w:val="00C779A9"/>
    <w:rsid w:val="00C77F0D"/>
    <w:rsid w:val="00C80416"/>
    <w:rsid w:val="00C835B7"/>
    <w:rsid w:val="00C93854"/>
    <w:rsid w:val="00C93FA7"/>
    <w:rsid w:val="00CA2F5A"/>
    <w:rsid w:val="00CB1F27"/>
    <w:rsid w:val="00CB6900"/>
    <w:rsid w:val="00CC4733"/>
    <w:rsid w:val="00CC73CE"/>
    <w:rsid w:val="00CD01E9"/>
    <w:rsid w:val="00CD2E2E"/>
    <w:rsid w:val="00CF0040"/>
    <w:rsid w:val="00CF33A8"/>
    <w:rsid w:val="00CF3D24"/>
    <w:rsid w:val="00D03691"/>
    <w:rsid w:val="00D04844"/>
    <w:rsid w:val="00D31CB2"/>
    <w:rsid w:val="00D347FA"/>
    <w:rsid w:val="00D36B0B"/>
    <w:rsid w:val="00D41829"/>
    <w:rsid w:val="00D5494A"/>
    <w:rsid w:val="00D61553"/>
    <w:rsid w:val="00D6315C"/>
    <w:rsid w:val="00D63E28"/>
    <w:rsid w:val="00D64BFE"/>
    <w:rsid w:val="00D66B3D"/>
    <w:rsid w:val="00D6774A"/>
    <w:rsid w:val="00D71900"/>
    <w:rsid w:val="00D73D81"/>
    <w:rsid w:val="00D80D27"/>
    <w:rsid w:val="00D92993"/>
    <w:rsid w:val="00DA74BC"/>
    <w:rsid w:val="00DB2486"/>
    <w:rsid w:val="00DB6CB3"/>
    <w:rsid w:val="00DC7B34"/>
    <w:rsid w:val="00DD5B7D"/>
    <w:rsid w:val="00DD6F7E"/>
    <w:rsid w:val="00DE2322"/>
    <w:rsid w:val="00DE472E"/>
    <w:rsid w:val="00DE6128"/>
    <w:rsid w:val="00DF3095"/>
    <w:rsid w:val="00E00A5E"/>
    <w:rsid w:val="00E00DF2"/>
    <w:rsid w:val="00E13C5B"/>
    <w:rsid w:val="00E1790E"/>
    <w:rsid w:val="00E20A2B"/>
    <w:rsid w:val="00E24229"/>
    <w:rsid w:val="00E2426D"/>
    <w:rsid w:val="00E25022"/>
    <w:rsid w:val="00E3540A"/>
    <w:rsid w:val="00E37C66"/>
    <w:rsid w:val="00E41EEF"/>
    <w:rsid w:val="00E44B03"/>
    <w:rsid w:val="00E5494E"/>
    <w:rsid w:val="00E56656"/>
    <w:rsid w:val="00E574FE"/>
    <w:rsid w:val="00E64497"/>
    <w:rsid w:val="00E71F54"/>
    <w:rsid w:val="00E72CD5"/>
    <w:rsid w:val="00E7362E"/>
    <w:rsid w:val="00E82437"/>
    <w:rsid w:val="00E83FE4"/>
    <w:rsid w:val="00E91AD5"/>
    <w:rsid w:val="00E95744"/>
    <w:rsid w:val="00EA16FF"/>
    <w:rsid w:val="00EB58E9"/>
    <w:rsid w:val="00EB5B06"/>
    <w:rsid w:val="00EC1A17"/>
    <w:rsid w:val="00EC577C"/>
    <w:rsid w:val="00EC6C8A"/>
    <w:rsid w:val="00EC73B3"/>
    <w:rsid w:val="00ED2DE9"/>
    <w:rsid w:val="00EF3C2F"/>
    <w:rsid w:val="00EF4169"/>
    <w:rsid w:val="00EF51F7"/>
    <w:rsid w:val="00EF53D4"/>
    <w:rsid w:val="00EF6675"/>
    <w:rsid w:val="00F00B00"/>
    <w:rsid w:val="00F010FD"/>
    <w:rsid w:val="00F04249"/>
    <w:rsid w:val="00F16936"/>
    <w:rsid w:val="00F17E6B"/>
    <w:rsid w:val="00F210D5"/>
    <w:rsid w:val="00F214C5"/>
    <w:rsid w:val="00F2430B"/>
    <w:rsid w:val="00F24B63"/>
    <w:rsid w:val="00F3093E"/>
    <w:rsid w:val="00F54D7F"/>
    <w:rsid w:val="00F57201"/>
    <w:rsid w:val="00F63F31"/>
    <w:rsid w:val="00F71FE5"/>
    <w:rsid w:val="00F7217B"/>
    <w:rsid w:val="00F76A73"/>
    <w:rsid w:val="00F80B3F"/>
    <w:rsid w:val="00F84672"/>
    <w:rsid w:val="00FA05F2"/>
    <w:rsid w:val="00FA47B3"/>
    <w:rsid w:val="00FA59E1"/>
    <w:rsid w:val="00FB4C66"/>
    <w:rsid w:val="00FB76FF"/>
    <w:rsid w:val="00FC19C8"/>
    <w:rsid w:val="00FC2C90"/>
    <w:rsid w:val="00FC3642"/>
    <w:rsid w:val="00FC468A"/>
    <w:rsid w:val="00FD1790"/>
    <w:rsid w:val="00FD6485"/>
    <w:rsid w:val="00FE54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5972"/>
  <w15:chartTrackingRefBased/>
  <w15:docId w15:val="{CCB80C3C-F6D1-41A1-936F-1B35CE6B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lang w:val="it-IT" w:eastAsia="en-US" w:bidi="ar-SA"/>
        <w14:ligatures w14:val="standardContextual"/>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26762"/>
    <w:rPr>
      <w:kern w:val="0"/>
      <w14:ligatures w14:val="none"/>
    </w:rPr>
  </w:style>
  <w:style w:type="paragraph" w:styleId="Titolo1">
    <w:name w:val="heading 1"/>
    <w:basedOn w:val="Normale"/>
    <w:next w:val="Normale"/>
    <w:link w:val="Titolo1Carattere"/>
    <w:uiPriority w:val="9"/>
    <w:qFormat/>
    <w:rsid w:val="00F2430B"/>
    <w:pPr>
      <w:keepNext/>
      <w:keepLines/>
      <w:numPr>
        <w:numId w:val="2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F2430B"/>
    <w:pPr>
      <w:keepNext/>
      <w:keepLines/>
      <w:numPr>
        <w:ilvl w:val="1"/>
        <w:numId w:val="27"/>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F2430B"/>
    <w:pPr>
      <w:keepNext/>
      <w:keepLines/>
      <w:numPr>
        <w:ilvl w:val="2"/>
        <w:numId w:val="27"/>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F2430B"/>
    <w:pPr>
      <w:keepNext/>
      <w:keepLines/>
      <w:numPr>
        <w:ilvl w:val="3"/>
        <w:numId w:val="27"/>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unhideWhenUsed/>
    <w:qFormat/>
    <w:rsid w:val="00F2430B"/>
    <w:pPr>
      <w:keepNext/>
      <w:keepLines/>
      <w:numPr>
        <w:ilvl w:val="4"/>
        <w:numId w:val="27"/>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F2430B"/>
    <w:pPr>
      <w:keepNext/>
      <w:keepLines/>
      <w:numPr>
        <w:ilvl w:val="5"/>
        <w:numId w:val="27"/>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F2430B"/>
    <w:pPr>
      <w:keepNext/>
      <w:keepLines/>
      <w:numPr>
        <w:ilvl w:val="6"/>
        <w:numId w:val="27"/>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F2430B"/>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F2430B"/>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2430B"/>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F2430B"/>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F2430B"/>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rsid w:val="00F2430B"/>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rsid w:val="00F2430B"/>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F2430B"/>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F2430B"/>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F2430B"/>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F2430B"/>
    <w:rPr>
      <w:rFonts w:asciiTheme="majorHAnsi" w:eastAsiaTheme="majorEastAsia" w:hAnsiTheme="majorHAnsi" w:cstheme="majorBidi"/>
      <w:i/>
      <w:iCs/>
      <w:color w:val="272727" w:themeColor="text1" w:themeTint="D8"/>
      <w:sz w:val="21"/>
      <w:szCs w:val="21"/>
    </w:rPr>
  </w:style>
  <w:style w:type="paragraph" w:styleId="Titolo">
    <w:name w:val="Title"/>
    <w:basedOn w:val="Normale"/>
    <w:next w:val="Normale"/>
    <w:link w:val="TitoloCarattere"/>
    <w:uiPriority w:val="10"/>
    <w:qFormat/>
    <w:rsid w:val="00F2430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oloCarattere">
    <w:name w:val="Titolo Carattere"/>
    <w:basedOn w:val="Carpredefinitoparagrafo"/>
    <w:link w:val="Titolo"/>
    <w:uiPriority w:val="10"/>
    <w:rsid w:val="00F2430B"/>
    <w:rPr>
      <w:rFonts w:ascii="Cambria" w:eastAsia="Times New Roman" w:hAnsi="Cambria" w:cs="Times New Roman"/>
      <w:color w:val="17365D"/>
      <w:spacing w:val="5"/>
      <w:kern w:val="28"/>
      <w:sz w:val="52"/>
      <w:szCs w:val="52"/>
    </w:rPr>
  </w:style>
  <w:style w:type="paragraph" w:styleId="Sottotitolo">
    <w:name w:val="Subtitle"/>
    <w:basedOn w:val="Normale"/>
    <w:next w:val="Normale"/>
    <w:link w:val="SottotitoloCarattere"/>
    <w:uiPriority w:val="11"/>
    <w:qFormat/>
    <w:rsid w:val="00F2430B"/>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F2430B"/>
    <w:rPr>
      <w:rFonts w:eastAsiaTheme="minorEastAsia"/>
      <w:color w:val="5A5A5A" w:themeColor="text1" w:themeTint="A5"/>
      <w:spacing w:val="15"/>
    </w:rPr>
  </w:style>
  <w:style w:type="character" w:styleId="Enfasicorsivo">
    <w:name w:val="Emphasis"/>
    <w:basedOn w:val="Carpredefinitoparagrafo"/>
    <w:uiPriority w:val="20"/>
    <w:qFormat/>
    <w:rsid w:val="00F2430B"/>
    <w:rPr>
      <w:i/>
      <w:iCs/>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p1"/>
    <w:basedOn w:val="Normale"/>
    <w:link w:val="ParagrafoelencoCarattere"/>
    <w:uiPriority w:val="34"/>
    <w:qFormat/>
    <w:rsid w:val="00F2430B"/>
    <w:pPr>
      <w:ind w:left="720"/>
      <w:contextualSpacing/>
    </w:pPr>
  </w:style>
  <w:style w:type="character" w:styleId="Riferimentodelicato">
    <w:name w:val="Subtle Reference"/>
    <w:basedOn w:val="Carpredefinitoparagrafo"/>
    <w:uiPriority w:val="31"/>
    <w:qFormat/>
    <w:rsid w:val="00F2430B"/>
    <w:rPr>
      <w:smallCaps/>
      <w:color w:val="5A5A5A" w:themeColor="text1" w:themeTint="A5"/>
    </w:rPr>
  </w:style>
  <w:style w:type="character" w:styleId="Riferimentointenso">
    <w:name w:val="Intense Reference"/>
    <w:basedOn w:val="Carpredefinitoparagrafo"/>
    <w:uiPriority w:val="32"/>
    <w:qFormat/>
    <w:rsid w:val="00F2430B"/>
    <w:rPr>
      <w:b/>
      <w:bCs/>
      <w:smallCaps/>
      <w:color w:val="4472C4" w:themeColor="accent1"/>
      <w:spacing w:val="5"/>
    </w:rPr>
  </w:style>
  <w:style w:type="paragraph" w:styleId="Titolosommario">
    <w:name w:val="TOC Heading"/>
    <w:basedOn w:val="Titolo1"/>
    <w:next w:val="Normale"/>
    <w:uiPriority w:val="39"/>
    <w:unhideWhenUsed/>
    <w:qFormat/>
    <w:rsid w:val="00F2430B"/>
    <w:pPr>
      <w:numPr>
        <w:numId w:val="0"/>
      </w:numPr>
      <w:outlineLvl w:val="9"/>
    </w:pPr>
    <w:rPr>
      <w:lang w:eastAsia="it-IT"/>
    </w:rPr>
  </w:style>
  <w:style w:type="character" w:styleId="Collegamentoipertestuale">
    <w:name w:val="Hyperlink"/>
    <w:basedOn w:val="Carpredefinitoparagrafo"/>
    <w:uiPriority w:val="99"/>
    <w:unhideWhenUsed/>
    <w:rsid w:val="00426762"/>
    <w:rPr>
      <w:color w:val="0563C1" w:themeColor="hyperlink"/>
      <w:u w:val="single"/>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lp1 Carattere"/>
    <w:link w:val="Paragrafoelenco"/>
    <w:uiPriority w:val="34"/>
    <w:qFormat/>
    <w:locked/>
    <w:rsid w:val="00426762"/>
  </w:style>
  <w:style w:type="paragraph" w:styleId="NormaleWeb">
    <w:name w:val="Normal (Web)"/>
    <w:basedOn w:val="Normale"/>
    <w:uiPriority w:val="99"/>
    <w:unhideWhenUsed/>
    <w:rsid w:val="003E03EE"/>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3E0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intensa">
    <w:name w:val="Intense Quote"/>
    <w:basedOn w:val="Normale"/>
    <w:next w:val="Normale"/>
    <w:link w:val="CitazioneintensaCarattere"/>
    <w:uiPriority w:val="30"/>
    <w:qFormat/>
    <w:rsid w:val="0083580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30"/>
    <w:rsid w:val="00835800"/>
    <w:rPr>
      <w:i/>
      <w:iCs/>
      <w:color w:val="4472C4" w:themeColor="accent1"/>
      <w:kern w:val="0"/>
      <w14:ligatures w14:val="none"/>
    </w:rPr>
  </w:style>
  <w:style w:type="character" w:customStyle="1" w:styleId="Menzionenonrisolta1">
    <w:name w:val="Menzione non risolta1"/>
    <w:basedOn w:val="Carpredefinitoparagrafo"/>
    <w:uiPriority w:val="99"/>
    <w:semiHidden/>
    <w:unhideWhenUsed/>
    <w:rsid w:val="00991E5F"/>
    <w:rPr>
      <w:color w:val="605E5C"/>
      <w:shd w:val="clear" w:color="auto" w:fill="E1DFDD"/>
    </w:rPr>
  </w:style>
  <w:style w:type="character" w:styleId="Collegamentovisitato">
    <w:name w:val="FollowedHyperlink"/>
    <w:basedOn w:val="Carpredefinitoparagrafo"/>
    <w:uiPriority w:val="99"/>
    <w:semiHidden/>
    <w:unhideWhenUsed/>
    <w:rsid w:val="00991E5F"/>
    <w:rPr>
      <w:color w:val="954F72" w:themeColor="followedHyperlink"/>
      <w:u w:val="single"/>
    </w:rPr>
  </w:style>
  <w:style w:type="paragraph" w:styleId="Testonotaapidipagina">
    <w:name w:val="footnote text"/>
    <w:basedOn w:val="Normale"/>
    <w:link w:val="TestonotaapidipaginaCarattere"/>
    <w:uiPriority w:val="99"/>
    <w:semiHidden/>
    <w:unhideWhenUsed/>
    <w:rsid w:val="00887339"/>
    <w:pPr>
      <w:spacing w:after="0" w:line="240" w:lineRule="auto"/>
    </w:pPr>
  </w:style>
  <w:style w:type="character" w:customStyle="1" w:styleId="TestonotaapidipaginaCarattere">
    <w:name w:val="Testo nota a piè di pagina Carattere"/>
    <w:basedOn w:val="Carpredefinitoparagrafo"/>
    <w:link w:val="Testonotaapidipagina"/>
    <w:uiPriority w:val="99"/>
    <w:semiHidden/>
    <w:rsid w:val="00887339"/>
    <w:rPr>
      <w:kern w:val="0"/>
      <w14:ligatures w14:val="none"/>
    </w:rPr>
  </w:style>
  <w:style w:type="character" w:styleId="Rimandonotaapidipagina">
    <w:name w:val="footnote reference"/>
    <w:basedOn w:val="Carpredefinitoparagrafo"/>
    <w:uiPriority w:val="99"/>
    <w:semiHidden/>
    <w:unhideWhenUsed/>
    <w:rsid w:val="00887339"/>
    <w:rPr>
      <w:vertAlign w:val="superscript"/>
    </w:rPr>
  </w:style>
  <w:style w:type="paragraph" w:styleId="Testofumetto">
    <w:name w:val="Balloon Text"/>
    <w:basedOn w:val="Normale"/>
    <w:link w:val="TestofumettoCarattere"/>
    <w:uiPriority w:val="99"/>
    <w:semiHidden/>
    <w:unhideWhenUsed/>
    <w:rsid w:val="00254C0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4C03"/>
    <w:rPr>
      <w:rFonts w:ascii="Segoe UI" w:hAnsi="Segoe UI" w:cs="Segoe UI"/>
      <w:kern w:val="0"/>
      <w:sz w:val="18"/>
      <w:szCs w:val="18"/>
      <w14:ligatures w14:val="none"/>
    </w:rPr>
  </w:style>
  <w:style w:type="character" w:styleId="Rimandocommento">
    <w:name w:val="annotation reference"/>
    <w:basedOn w:val="Carpredefinitoparagrafo"/>
    <w:uiPriority w:val="99"/>
    <w:semiHidden/>
    <w:unhideWhenUsed/>
    <w:rsid w:val="00612167"/>
    <w:rPr>
      <w:sz w:val="16"/>
      <w:szCs w:val="16"/>
    </w:rPr>
  </w:style>
  <w:style w:type="paragraph" w:styleId="Testocommento">
    <w:name w:val="annotation text"/>
    <w:basedOn w:val="Normale"/>
    <w:link w:val="TestocommentoCarattere"/>
    <w:uiPriority w:val="99"/>
    <w:unhideWhenUsed/>
    <w:rsid w:val="00612167"/>
    <w:pPr>
      <w:spacing w:line="240" w:lineRule="auto"/>
    </w:pPr>
  </w:style>
  <w:style w:type="character" w:customStyle="1" w:styleId="TestocommentoCarattere">
    <w:name w:val="Testo commento Carattere"/>
    <w:basedOn w:val="Carpredefinitoparagrafo"/>
    <w:link w:val="Testocommento"/>
    <w:uiPriority w:val="99"/>
    <w:rsid w:val="00612167"/>
    <w:rPr>
      <w:kern w:val="0"/>
      <w14:ligatures w14:val="none"/>
    </w:rPr>
  </w:style>
  <w:style w:type="paragraph" w:styleId="Soggettocommento">
    <w:name w:val="annotation subject"/>
    <w:basedOn w:val="Testocommento"/>
    <w:next w:val="Testocommento"/>
    <w:link w:val="SoggettocommentoCarattere"/>
    <w:uiPriority w:val="99"/>
    <w:semiHidden/>
    <w:unhideWhenUsed/>
    <w:rsid w:val="00612167"/>
    <w:rPr>
      <w:b/>
      <w:bCs/>
    </w:rPr>
  </w:style>
  <w:style w:type="character" w:customStyle="1" w:styleId="SoggettocommentoCarattere">
    <w:name w:val="Soggetto commento Carattere"/>
    <w:basedOn w:val="TestocommentoCarattere"/>
    <w:link w:val="Soggettocommento"/>
    <w:uiPriority w:val="99"/>
    <w:semiHidden/>
    <w:rsid w:val="00612167"/>
    <w:rPr>
      <w:b/>
      <w:bCs/>
      <w:kern w:val="0"/>
      <w14:ligatures w14:val="none"/>
    </w:rPr>
  </w:style>
  <w:style w:type="paragraph" w:styleId="Intestazione">
    <w:name w:val="header"/>
    <w:basedOn w:val="Normale"/>
    <w:link w:val="IntestazioneCarattere"/>
    <w:uiPriority w:val="99"/>
    <w:unhideWhenUsed/>
    <w:rsid w:val="004A45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A45FA"/>
    <w:rPr>
      <w:kern w:val="0"/>
      <w14:ligatures w14:val="none"/>
    </w:rPr>
  </w:style>
  <w:style w:type="paragraph" w:styleId="Pidipagina">
    <w:name w:val="footer"/>
    <w:basedOn w:val="Normale"/>
    <w:link w:val="PidipaginaCarattere"/>
    <w:uiPriority w:val="99"/>
    <w:unhideWhenUsed/>
    <w:rsid w:val="004A45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A45FA"/>
    <w:rPr>
      <w:kern w:val="0"/>
      <w14:ligatures w14:val="none"/>
    </w:rPr>
  </w:style>
  <w:style w:type="paragraph" w:styleId="Revisione">
    <w:name w:val="Revision"/>
    <w:hidden/>
    <w:uiPriority w:val="99"/>
    <w:semiHidden/>
    <w:rsid w:val="00B2199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736826">
      <w:bodyDiv w:val="1"/>
      <w:marLeft w:val="0"/>
      <w:marRight w:val="0"/>
      <w:marTop w:val="0"/>
      <w:marBottom w:val="0"/>
      <w:divBdr>
        <w:top w:val="none" w:sz="0" w:space="0" w:color="auto"/>
        <w:left w:val="none" w:sz="0" w:space="0" w:color="auto"/>
        <w:bottom w:val="none" w:sz="0" w:space="0" w:color="auto"/>
        <w:right w:val="none" w:sz="0" w:space="0" w:color="auto"/>
      </w:divBdr>
    </w:div>
    <w:div w:id="295140730">
      <w:bodyDiv w:val="1"/>
      <w:marLeft w:val="0"/>
      <w:marRight w:val="0"/>
      <w:marTop w:val="0"/>
      <w:marBottom w:val="0"/>
      <w:divBdr>
        <w:top w:val="none" w:sz="0" w:space="0" w:color="auto"/>
        <w:left w:val="none" w:sz="0" w:space="0" w:color="auto"/>
        <w:bottom w:val="none" w:sz="0" w:space="0" w:color="auto"/>
        <w:right w:val="none" w:sz="0" w:space="0" w:color="auto"/>
      </w:divBdr>
    </w:div>
    <w:div w:id="298926791">
      <w:bodyDiv w:val="1"/>
      <w:marLeft w:val="0"/>
      <w:marRight w:val="0"/>
      <w:marTop w:val="0"/>
      <w:marBottom w:val="0"/>
      <w:divBdr>
        <w:top w:val="none" w:sz="0" w:space="0" w:color="auto"/>
        <w:left w:val="none" w:sz="0" w:space="0" w:color="auto"/>
        <w:bottom w:val="none" w:sz="0" w:space="0" w:color="auto"/>
        <w:right w:val="none" w:sz="0" w:space="0" w:color="auto"/>
      </w:divBdr>
    </w:div>
    <w:div w:id="298997205">
      <w:bodyDiv w:val="1"/>
      <w:marLeft w:val="0"/>
      <w:marRight w:val="0"/>
      <w:marTop w:val="0"/>
      <w:marBottom w:val="0"/>
      <w:divBdr>
        <w:top w:val="none" w:sz="0" w:space="0" w:color="auto"/>
        <w:left w:val="none" w:sz="0" w:space="0" w:color="auto"/>
        <w:bottom w:val="none" w:sz="0" w:space="0" w:color="auto"/>
        <w:right w:val="none" w:sz="0" w:space="0" w:color="auto"/>
      </w:divBdr>
    </w:div>
    <w:div w:id="323822271">
      <w:bodyDiv w:val="1"/>
      <w:marLeft w:val="0"/>
      <w:marRight w:val="0"/>
      <w:marTop w:val="0"/>
      <w:marBottom w:val="0"/>
      <w:divBdr>
        <w:top w:val="none" w:sz="0" w:space="0" w:color="auto"/>
        <w:left w:val="none" w:sz="0" w:space="0" w:color="auto"/>
        <w:bottom w:val="none" w:sz="0" w:space="0" w:color="auto"/>
        <w:right w:val="none" w:sz="0" w:space="0" w:color="auto"/>
      </w:divBdr>
      <w:divsChild>
        <w:div w:id="1253468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728959">
      <w:bodyDiv w:val="1"/>
      <w:marLeft w:val="0"/>
      <w:marRight w:val="0"/>
      <w:marTop w:val="0"/>
      <w:marBottom w:val="0"/>
      <w:divBdr>
        <w:top w:val="none" w:sz="0" w:space="0" w:color="auto"/>
        <w:left w:val="none" w:sz="0" w:space="0" w:color="auto"/>
        <w:bottom w:val="none" w:sz="0" w:space="0" w:color="auto"/>
        <w:right w:val="none" w:sz="0" w:space="0" w:color="auto"/>
      </w:divBdr>
    </w:div>
    <w:div w:id="750466578">
      <w:bodyDiv w:val="1"/>
      <w:marLeft w:val="0"/>
      <w:marRight w:val="0"/>
      <w:marTop w:val="0"/>
      <w:marBottom w:val="0"/>
      <w:divBdr>
        <w:top w:val="none" w:sz="0" w:space="0" w:color="auto"/>
        <w:left w:val="none" w:sz="0" w:space="0" w:color="auto"/>
        <w:bottom w:val="none" w:sz="0" w:space="0" w:color="auto"/>
        <w:right w:val="none" w:sz="0" w:space="0" w:color="auto"/>
      </w:divBdr>
    </w:div>
    <w:div w:id="942146398">
      <w:bodyDiv w:val="1"/>
      <w:marLeft w:val="0"/>
      <w:marRight w:val="0"/>
      <w:marTop w:val="0"/>
      <w:marBottom w:val="0"/>
      <w:divBdr>
        <w:top w:val="none" w:sz="0" w:space="0" w:color="auto"/>
        <w:left w:val="none" w:sz="0" w:space="0" w:color="auto"/>
        <w:bottom w:val="none" w:sz="0" w:space="0" w:color="auto"/>
        <w:right w:val="none" w:sz="0" w:space="0" w:color="auto"/>
      </w:divBdr>
    </w:div>
    <w:div w:id="981542137">
      <w:bodyDiv w:val="1"/>
      <w:marLeft w:val="0"/>
      <w:marRight w:val="0"/>
      <w:marTop w:val="0"/>
      <w:marBottom w:val="0"/>
      <w:divBdr>
        <w:top w:val="none" w:sz="0" w:space="0" w:color="auto"/>
        <w:left w:val="none" w:sz="0" w:space="0" w:color="auto"/>
        <w:bottom w:val="none" w:sz="0" w:space="0" w:color="auto"/>
        <w:right w:val="none" w:sz="0" w:space="0" w:color="auto"/>
      </w:divBdr>
    </w:div>
    <w:div w:id="995643285">
      <w:bodyDiv w:val="1"/>
      <w:marLeft w:val="0"/>
      <w:marRight w:val="0"/>
      <w:marTop w:val="0"/>
      <w:marBottom w:val="0"/>
      <w:divBdr>
        <w:top w:val="none" w:sz="0" w:space="0" w:color="auto"/>
        <w:left w:val="none" w:sz="0" w:space="0" w:color="auto"/>
        <w:bottom w:val="none" w:sz="0" w:space="0" w:color="auto"/>
        <w:right w:val="none" w:sz="0" w:space="0" w:color="auto"/>
      </w:divBdr>
      <w:divsChild>
        <w:div w:id="881937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22544">
      <w:bodyDiv w:val="1"/>
      <w:marLeft w:val="0"/>
      <w:marRight w:val="0"/>
      <w:marTop w:val="0"/>
      <w:marBottom w:val="0"/>
      <w:divBdr>
        <w:top w:val="none" w:sz="0" w:space="0" w:color="auto"/>
        <w:left w:val="none" w:sz="0" w:space="0" w:color="auto"/>
        <w:bottom w:val="none" w:sz="0" w:space="0" w:color="auto"/>
        <w:right w:val="none" w:sz="0" w:space="0" w:color="auto"/>
      </w:divBdr>
    </w:div>
    <w:div w:id="1130517106">
      <w:bodyDiv w:val="1"/>
      <w:marLeft w:val="0"/>
      <w:marRight w:val="0"/>
      <w:marTop w:val="0"/>
      <w:marBottom w:val="0"/>
      <w:divBdr>
        <w:top w:val="none" w:sz="0" w:space="0" w:color="auto"/>
        <w:left w:val="none" w:sz="0" w:space="0" w:color="auto"/>
        <w:bottom w:val="none" w:sz="0" w:space="0" w:color="auto"/>
        <w:right w:val="none" w:sz="0" w:space="0" w:color="auto"/>
      </w:divBdr>
    </w:div>
    <w:div w:id="1217545066">
      <w:bodyDiv w:val="1"/>
      <w:marLeft w:val="0"/>
      <w:marRight w:val="0"/>
      <w:marTop w:val="0"/>
      <w:marBottom w:val="0"/>
      <w:divBdr>
        <w:top w:val="none" w:sz="0" w:space="0" w:color="auto"/>
        <w:left w:val="none" w:sz="0" w:space="0" w:color="auto"/>
        <w:bottom w:val="none" w:sz="0" w:space="0" w:color="auto"/>
        <w:right w:val="none" w:sz="0" w:space="0" w:color="auto"/>
      </w:divBdr>
    </w:div>
    <w:div w:id="1334334951">
      <w:bodyDiv w:val="1"/>
      <w:marLeft w:val="0"/>
      <w:marRight w:val="0"/>
      <w:marTop w:val="0"/>
      <w:marBottom w:val="0"/>
      <w:divBdr>
        <w:top w:val="none" w:sz="0" w:space="0" w:color="auto"/>
        <w:left w:val="none" w:sz="0" w:space="0" w:color="auto"/>
        <w:bottom w:val="none" w:sz="0" w:space="0" w:color="auto"/>
        <w:right w:val="none" w:sz="0" w:space="0" w:color="auto"/>
      </w:divBdr>
    </w:div>
    <w:div w:id="1424229227">
      <w:bodyDiv w:val="1"/>
      <w:marLeft w:val="0"/>
      <w:marRight w:val="0"/>
      <w:marTop w:val="0"/>
      <w:marBottom w:val="0"/>
      <w:divBdr>
        <w:top w:val="none" w:sz="0" w:space="0" w:color="auto"/>
        <w:left w:val="none" w:sz="0" w:space="0" w:color="auto"/>
        <w:bottom w:val="none" w:sz="0" w:space="0" w:color="auto"/>
        <w:right w:val="none" w:sz="0" w:space="0" w:color="auto"/>
      </w:divBdr>
    </w:div>
    <w:div w:id="1558273900">
      <w:bodyDiv w:val="1"/>
      <w:marLeft w:val="0"/>
      <w:marRight w:val="0"/>
      <w:marTop w:val="0"/>
      <w:marBottom w:val="0"/>
      <w:divBdr>
        <w:top w:val="none" w:sz="0" w:space="0" w:color="auto"/>
        <w:left w:val="none" w:sz="0" w:space="0" w:color="auto"/>
        <w:bottom w:val="none" w:sz="0" w:space="0" w:color="auto"/>
        <w:right w:val="none" w:sz="0" w:space="0" w:color="auto"/>
      </w:divBdr>
    </w:div>
    <w:div w:id="1659461856">
      <w:bodyDiv w:val="1"/>
      <w:marLeft w:val="0"/>
      <w:marRight w:val="0"/>
      <w:marTop w:val="0"/>
      <w:marBottom w:val="0"/>
      <w:divBdr>
        <w:top w:val="none" w:sz="0" w:space="0" w:color="auto"/>
        <w:left w:val="none" w:sz="0" w:space="0" w:color="auto"/>
        <w:bottom w:val="none" w:sz="0" w:space="0" w:color="auto"/>
        <w:right w:val="none" w:sz="0" w:space="0" w:color="auto"/>
      </w:divBdr>
    </w:div>
    <w:div w:id="1677532521">
      <w:bodyDiv w:val="1"/>
      <w:marLeft w:val="0"/>
      <w:marRight w:val="0"/>
      <w:marTop w:val="0"/>
      <w:marBottom w:val="0"/>
      <w:divBdr>
        <w:top w:val="none" w:sz="0" w:space="0" w:color="auto"/>
        <w:left w:val="none" w:sz="0" w:space="0" w:color="auto"/>
        <w:bottom w:val="none" w:sz="0" w:space="0" w:color="auto"/>
        <w:right w:val="none" w:sz="0" w:space="0" w:color="auto"/>
      </w:divBdr>
      <w:divsChild>
        <w:div w:id="107629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249887">
      <w:bodyDiv w:val="1"/>
      <w:marLeft w:val="0"/>
      <w:marRight w:val="0"/>
      <w:marTop w:val="0"/>
      <w:marBottom w:val="0"/>
      <w:divBdr>
        <w:top w:val="none" w:sz="0" w:space="0" w:color="auto"/>
        <w:left w:val="none" w:sz="0" w:space="0" w:color="auto"/>
        <w:bottom w:val="none" w:sz="0" w:space="0" w:color="auto"/>
        <w:right w:val="none" w:sz="0" w:space="0" w:color="auto"/>
      </w:divBdr>
      <w:divsChild>
        <w:div w:id="1660964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496707">
      <w:bodyDiv w:val="1"/>
      <w:marLeft w:val="0"/>
      <w:marRight w:val="0"/>
      <w:marTop w:val="0"/>
      <w:marBottom w:val="0"/>
      <w:divBdr>
        <w:top w:val="none" w:sz="0" w:space="0" w:color="auto"/>
        <w:left w:val="none" w:sz="0" w:space="0" w:color="auto"/>
        <w:bottom w:val="none" w:sz="0" w:space="0" w:color="auto"/>
        <w:right w:val="none" w:sz="0" w:space="0" w:color="auto"/>
      </w:divBdr>
    </w:div>
    <w:div w:id="1903632453">
      <w:bodyDiv w:val="1"/>
      <w:marLeft w:val="0"/>
      <w:marRight w:val="0"/>
      <w:marTop w:val="0"/>
      <w:marBottom w:val="0"/>
      <w:divBdr>
        <w:top w:val="none" w:sz="0" w:space="0" w:color="auto"/>
        <w:left w:val="none" w:sz="0" w:space="0" w:color="auto"/>
        <w:bottom w:val="none" w:sz="0" w:space="0" w:color="auto"/>
        <w:right w:val="none" w:sz="0" w:space="0" w:color="auto"/>
      </w:divBdr>
    </w:div>
    <w:div w:id="198627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settiegatti.eu/info/norme/statali/2016_0097.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settiegatti.eu/info/norme/statali/2016_0097.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fault">
      <a:majorFont>
        <a:latin typeface="Titillium"/>
        <a:ea typeface=""/>
        <a:cs typeface=""/>
      </a:majorFont>
      <a:minorFont>
        <a:latin typeface="Titill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E79EE748F646E46829F6A48E9573011" ma:contentTypeVersion="4" ma:contentTypeDescription="Creare un nuovo documento." ma:contentTypeScope="" ma:versionID="f4716b66d1dc952a75f3084303ecfcd4">
  <xsd:schema xmlns:xsd="http://www.w3.org/2001/XMLSchema" xmlns:xs="http://www.w3.org/2001/XMLSchema" xmlns:p="http://schemas.microsoft.com/office/2006/metadata/properties" xmlns:ns2="993ad101-62d6-4fad-9ff5-ffd0120f2b0b" targetNamespace="http://schemas.microsoft.com/office/2006/metadata/properties" ma:root="true" ma:fieldsID="632b1cc51c0621e050d9b8d4fa392347" ns2:_="">
    <xsd:import namespace="993ad101-62d6-4fad-9ff5-ffd0120f2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ad101-62d6-4fad-9ff5-ffd0120f2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ADE2E-E1C3-48A3-A18A-E02649871F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B53D73-F479-41F1-B9C0-8400BA9FEBE6}">
  <ds:schemaRefs>
    <ds:schemaRef ds:uri="http://schemas.microsoft.com/sharepoint/v3/contenttype/forms"/>
  </ds:schemaRefs>
</ds:datastoreItem>
</file>

<file path=customXml/itemProps3.xml><?xml version="1.0" encoding="utf-8"?>
<ds:datastoreItem xmlns:ds="http://schemas.openxmlformats.org/officeDocument/2006/customXml" ds:itemID="{1AAB11C5-AA97-4CEF-8649-36793DB09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ad101-62d6-4fad-9ff5-ffd0120f2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D21D32-E2C5-4EB1-BA1A-DF0AEF5A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551</Words>
  <Characters>3142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Bocchetti Enrico</dc:creator>
  <cp:keywords/>
  <dc:description/>
  <cp:lastModifiedBy>URAC</cp:lastModifiedBy>
  <cp:revision>8</cp:revision>
  <cp:lastPrinted>2023-05-16T07:45:00Z</cp:lastPrinted>
  <dcterms:created xsi:type="dcterms:W3CDTF">2023-10-27T15:37:00Z</dcterms:created>
  <dcterms:modified xsi:type="dcterms:W3CDTF">2023-11-22T08:29:00Z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0x010100DE79EE748F646E46829F6A48E9573011</vt:lpwstr>
  </property>
</Properties>
</file>