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2570" w14:textId="2F36E5F6" w:rsidR="009F0E15" w:rsidRPr="00DE1F3C" w:rsidRDefault="009F0E15" w:rsidP="00AE1F44">
      <w:pPr>
        <w:jc w:val="center"/>
        <w:rPr>
          <w:rFonts w:ascii="Trebuchet MS" w:hAnsi="Trebuchet MS"/>
          <w:color w:val="365F91" w:themeColor="accent1" w:themeShade="BF"/>
          <w:sz w:val="28"/>
          <w:szCs w:val="28"/>
        </w:rPr>
      </w:pPr>
      <w:r w:rsidRPr="00DE1F3C">
        <w:rPr>
          <w:rFonts w:ascii="Trebuchet MS" w:hAnsi="Trebuchet MS"/>
          <w:color w:val="365F91" w:themeColor="accent1" w:themeShade="BF"/>
          <w:sz w:val="28"/>
          <w:szCs w:val="28"/>
        </w:rPr>
        <w:t>Indicazioni per la predispo</w:t>
      </w:r>
      <w:r w:rsidR="00051A3F" w:rsidRPr="00DE1F3C">
        <w:rPr>
          <w:rFonts w:ascii="Trebuchet MS" w:hAnsi="Trebuchet MS"/>
          <w:color w:val="365F91" w:themeColor="accent1" w:themeShade="BF"/>
          <w:sz w:val="28"/>
          <w:szCs w:val="28"/>
        </w:rPr>
        <w:t>si</w:t>
      </w:r>
      <w:r w:rsidRPr="00DE1F3C">
        <w:rPr>
          <w:rFonts w:ascii="Trebuchet MS" w:hAnsi="Trebuchet MS"/>
          <w:color w:val="365F91" w:themeColor="accent1" w:themeShade="BF"/>
          <w:sz w:val="28"/>
          <w:szCs w:val="28"/>
        </w:rPr>
        <w:t xml:space="preserve">zione e </w:t>
      </w:r>
      <w:r w:rsidR="002F3AFD" w:rsidRPr="00DE1F3C">
        <w:rPr>
          <w:rFonts w:ascii="Trebuchet MS" w:hAnsi="Trebuchet MS"/>
          <w:color w:val="365F91" w:themeColor="accent1" w:themeShade="BF"/>
          <w:sz w:val="28"/>
          <w:szCs w:val="28"/>
        </w:rPr>
        <w:t>l’</w:t>
      </w:r>
      <w:r w:rsidRPr="00DE1F3C">
        <w:rPr>
          <w:rFonts w:ascii="Trebuchet MS" w:hAnsi="Trebuchet MS"/>
          <w:color w:val="365F91" w:themeColor="accent1" w:themeShade="BF"/>
          <w:sz w:val="28"/>
          <w:szCs w:val="28"/>
        </w:rPr>
        <w:t>invio delle relazioni annuali ai sensi dell’art.</w:t>
      </w:r>
      <w:r w:rsidR="00214720">
        <w:rPr>
          <w:rFonts w:ascii="Trebuchet MS" w:hAnsi="Trebuchet MS"/>
          <w:color w:val="365F91" w:themeColor="accent1" w:themeShade="BF"/>
          <w:sz w:val="28"/>
          <w:szCs w:val="28"/>
        </w:rPr>
        <w:t xml:space="preserve"> </w:t>
      </w:r>
      <w:r w:rsidRPr="00DE1F3C">
        <w:rPr>
          <w:rFonts w:ascii="Trebuchet MS" w:hAnsi="Trebuchet MS"/>
          <w:color w:val="365F91" w:themeColor="accent1" w:themeShade="BF"/>
          <w:sz w:val="28"/>
          <w:szCs w:val="28"/>
        </w:rPr>
        <w:t>30</w:t>
      </w:r>
      <w:r w:rsidR="00AE1F44" w:rsidRPr="00DE1F3C">
        <w:rPr>
          <w:rFonts w:ascii="Trebuchet MS" w:hAnsi="Trebuchet MS"/>
          <w:color w:val="365F91" w:themeColor="accent1" w:themeShade="BF"/>
          <w:sz w:val="28"/>
          <w:szCs w:val="28"/>
        </w:rPr>
        <w:t>,</w:t>
      </w:r>
      <w:r w:rsidRPr="00DE1F3C">
        <w:rPr>
          <w:rFonts w:ascii="Trebuchet MS" w:hAnsi="Trebuchet MS"/>
          <w:color w:val="365F91" w:themeColor="accent1" w:themeShade="BF"/>
          <w:sz w:val="28"/>
          <w:szCs w:val="28"/>
        </w:rPr>
        <w:t xml:space="preserve"> comma 2, del d.lgs. n.</w:t>
      </w:r>
      <w:r w:rsidR="00214720">
        <w:rPr>
          <w:rFonts w:ascii="Trebuchet MS" w:hAnsi="Trebuchet MS"/>
          <w:color w:val="365F91" w:themeColor="accent1" w:themeShade="BF"/>
          <w:sz w:val="28"/>
          <w:szCs w:val="28"/>
        </w:rPr>
        <w:t xml:space="preserve"> </w:t>
      </w:r>
      <w:r w:rsidRPr="00DE1F3C">
        <w:rPr>
          <w:rFonts w:ascii="Trebuchet MS" w:hAnsi="Trebuchet MS"/>
          <w:color w:val="365F91" w:themeColor="accent1" w:themeShade="BF"/>
          <w:sz w:val="28"/>
          <w:szCs w:val="28"/>
        </w:rPr>
        <w:t xml:space="preserve">201/2022 </w:t>
      </w:r>
      <w:r w:rsidR="00AE1F44" w:rsidRPr="00DE1F3C">
        <w:rPr>
          <w:rFonts w:ascii="Trebuchet MS" w:hAnsi="Trebuchet MS"/>
          <w:color w:val="365F91" w:themeColor="accent1" w:themeShade="BF"/>
          <w:sz w:val="28"/>
          <w:szCs w:val="28"/>
        </w:rPr>
        <w:t>“Riordino della disciplina dei servizi pubblici locali di rilevanza economica”</w:t>
      </w:r>
    </w:p>
    <w:p w14:paraId="554D67EE" w14:textId="77777777" w:rsidR="009F0E15" w:rsidRPr="00DE1F3C" w:rsidRDefault="009F0E15">
      <w:pPr>
        <w:rPr>
          <w:rFonts w:ascii="Trebuchet MS" w:hAnsi="Trebuchet MS"/>
        </w:rPr>
      </w:pPr>
    </w:p>
    <w:p w14:paraId="548144F2" w14:textId="1D52815B" w:rsidR="009F0E15" w:rsidRPr="00DE1F3C" w:rsidRDefault="00051A3F" w:rsidP="00DE1F3C">
      <w:pPr>
        <w:jc w:val="both"/>
        <w:rPr>
          <w:rFonts w:ascii="Trebuchet MS" w:hAnsi="Trebuchet MS"/>
          <w:b/>
          <w:bCs/>
          <w:i/>
          <w:iCs/>
          <w:color w:val="365F91" w:themeColor="accent1" w:themeShade="BF"/>
        </w:rPr>
      </w:pPr>
      <w:r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>Enti che devono ottemperare alle disposizioni</w:t>
      </w:r>
    </w:p>
    <w:p w14:paraId="6CDBDA4A" w14:textId="599AC230" w:rsidR="009F0E15" w:rsidRDefault="009F0E15" w:rsidP="00DE1F3C">
      <w:pPr>
        <w:jc w:val="both"/>
        <w:rPr>
          <w:rFonts w:ascii="Trebuchet MS" w:hAnsi="Trebuchet MS"/>
          <w:sz w:val="20"/>
          <w:szCs w:val="20"/>
        </w:rPr>
      </w:pPr>
      <w:r w:rsidRPr="00DE1F3C">
        <w:rPr>
          <w:rFonts w:ascii="Trebuchet MS" w:hAnsi="Trebuchet MS"/>
          <w:sz w:val="20"/>
          <w:szCs w:val="20"/>
        </w:rPr>
        <w:t>I comuni o le loro eventuali forme associative, con popolazione</w:t>
      </w:r>
      <w:r w:rsidR="00051A3F" w:rsidRPr="00DE1F3C">
        <w:rPr>
          <w:rFonts w:ascii="Trebuchet MS" w:hAnsi="Trebuchet MS"/>
          <w:sz w:val="20"/>
          <w:szCs w:val="20"/>
        </w:rPr>
        <w:t xml:space="preserve"> </w:t>
      </w:r>
      <w:r w:rsidRPr="00DE1F3C">
        <w:rPr>
          <w:rFonts w:ascii="Trebuchet MS" w:hAnsi="Trebuchet MS"/>
          <w:sz w:val="20"/>
          <w:szCs w:val="20"/>
        </w:rPr>
        <w:t xml:space="preserve">superiore a 5.000 abitanti, </w:t>
      </w:r>
      <w:r w:rsidR="00051A3F" w:rsidRPr="00DE1F3C">
        <w:rPr>
          <w:rFonts w:ascii="Trebuchet MS" w:hAnsi="Trebuchet MS"/>
          <w:sz w:val="20"/>
          <w:szCs w:val="20"/>
        </w:rPr>
        <w:t>nonché</w:t>
      </w:r>
      <w:r w:rsidRPr="00DE1F3C">
        <w:rPr>
          <w:rFonts w:ascii="Trebuchet MS" w:hAnsi="Trebuchet MS"/>
          <w:sz w:val="20"/>
          <w:szCs w:val="20"/>
        </w:rPr>
        <w:t xml:space="preserve"> le </w:t>
      </w:r>
      <w:r w:rsidR="00051A3F" w:rsidRPr="00DE1F3C">
        <w:rPr>
          <w:rFonts w:ascii="Trebuchet MS" w:hAnsi="Trebuchet MS"/>
          <w:sz w:val="20"/>
          <w:szCs w:val="20"/>
        </w:rPr>
        <w:t>città</w:t>
      </w:r>
      <w:r w:rsidRPr="00DE1F3C">
        <w:rPr>
          <w:rFonts w:ascii="Trebuchet MS" w:hAnsi="Trebuchet MS"/>
          <w:sz w:val="20"/>
          <w:szCs w:val="20"/>
        </w:rPr>
        <w:t xml:space="preserve"> metropolitane, le</w:t>
      </w:r>
      <w:r w:rsidR="00051A3F" w:rsidRPr="00DE1F3C">
        <w:rPr>
          <w:rFonts w:ascii="Trebuchet MS" w:hAnsi="Trebuchet MS"/>
          <w:sz w:val="20"/>
          <w:szCs w:val="20"/>
        </w:rPr>
        <w:t xml:space="preserve"> </w:t>
      </w:r>
      <w:r w:rsidRPr="00DE1F3C">
        <w:rPr>
          <w:rFonts w:ascii="Trebuchet MS" w:hAnsi="Trebuchet MS"/>
          <w:sz w:val="20"/>
          <w:szCs w:val="20"/>
        </w:rPr>
        <w:t>province e gli altri enti competenti, in relazione al proprio ambito</w:t>
      </w:r>
      <w:r w:rsidR="00051A3F" w:rsidRPr="00DE1F3C">
        <w:rPr>
          <w:rFonts w:ascii="Trebuchet MS" w:hAnsi="Trebuchet MS"/>
          <w:sz w:val="20"/>
          <w:szCs w:val="20"/>
        </w:rPr>
        <w:t xml:space="preserve"> </w:t>
      </w:r>
      <w:r w:rsidRPr="00DE1F3C">
        <w:rPr>
          <w:rFonts w:ascii="Trebuchet MS" w:hAnsi="Trebuchet MS"/>
          <w:sz w:val="20"/>
          <w:szCs w:val="20"/>
        </w:rPr>
        <w:t>o bacino del servizio</w:t>
      </w:r>
      <w:r w:rsidR="006E02CD" w:rsidRPr="00DE1F3C">
        <w:rPr>
          <w:rFonts w:ascii="Trebuchet MS" w:hAnsi="Trebuchet MS"/>
          <w:sz w:val="20"/>
          <w:szCs w:val="20"/>
        </w:rPr>
        <w:t>.</w:t>
      </w:r>
    </w:p>
    <w:p w14:paraId="49730E52" w14:textId="77777777" w:rsidR="003D731A" w:rsidRPr="00DE1F3C" w:rsidRDefault="003D731A" w:rsidP="00DE1F3C">
      <w:pPr>
        <w:jc w:val="both"/>
        <w:rPr>
          <w:rFonts w:ascii="Trebuchet MS" w:hAnsi="Trebuchet MS"/>
          <w:sz w:val="20"/>
          <w:szCs w:val="20"/>
        </w:rPr>
      </w:pPr>
    </w:p>
    <w:p w14:paraId="7B5EF597" w14:textId="3C8CEA1B" w:rsidR="00051A3F" w:rsidRPr="00DE1F3C" w:rsidRDefault="00051A3F" w:rsidP="00DE1F3C">
      <w:pPr>
        <w:jc w:val="both"/>
        <w:rPr>
          <w:rFonts w:ascii="Trebuchet MS" w:hAnsi="Trebuchet MS"/>
          <w:b/>
          <w:bCs/>
          <w:i/>
          <w:iCs/>
          <w:color w:val="365F91" w:themeColor="accent1" w:themeShade="BF"/>
        </w:rPr>
      </w:pPr>
      <w:r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>Compilazione della relazione annuale</w:t>
      </w:r>
    </w:p>
    <w:p w14:paraId="510C6B08" w14:textId="3807A8BA" w:rsidR="006E02CD" w:rsidRPr="00DE1F3C" w:rsidRDefault="006E02CD" w:rsidP="00DE1F3C">
      <w:pPr>
        <w:jc w:val="both"/>
        <w:rPr>
          <w:rFonts w:ascii="Trebuchet MS" w:hAnsi="Trebuchet MS"/>
          <w:sz w:val="20"/>
          <w:szCs w:val="20"/>
        </w:rPr>
      </w:pPr>
      <w:r w:rsidRPr="00DE1F3C">
        <w:rPr>
          <w:rFonts w:ascii="Trebuchet MS" w:hAnsi="Trebuchet MS"/>
          <w:sz w:val="20"/>
          <w:szCs w:val="20"/>
        </w:rPr>
        <w:t xml:space="preserve">Per la compilazione della </w:t>
      </w:r>
      <w:r w:rsidRPr="00DE1F3C">
        <w:rPr>
          <w:rFonts w:ascii="Trebuchet MS" w:hAnsi="Trebuchet MS"/>
          <w:b/>
          <w:bCs/>
          <w:sz w:val="20"/>
          <w:szCs w:val="20"/>
        </w:rPr>
        <w:t>relazione annuale</w:t>
      </w:r>
      <w:r w:rsidRPr="00DE1F3C">
        <w:rPr>
          <w:rFonts w:ascii="Trebuchet MS" w:hAnsi="Trebuchet MS"/>
          <w:sz w:val="20"/>
          <w:szCs w:val="20"/>
        </w:rPr>
        <w:t xml:space="preserve"> è possibile utilizzare lo </w:t>
      </w:r>
      <w:r w:rsidR="00051A3F" w:rsidRPr="00DE1F3C">
        <w:rPr>
          <w:rFonts w:ascii="Trebuchet MS" w:hAnsi="Trebuchet MS"/>
          <w:sz w:val="20"/>
          <w:szCs w:val="20"/>
        </w:rPr>
        <w:t>schema predisposto da ANCI</w:t>
      </w:r>
      <w:r w:rsidR="0048037E" w:rsidRPr="00DE1F3C">
        <w:rPr>
          <w:rFonts w:ascii="Trebuchet MS" w:hAnsi="Trebuchet MS"/>
          <w:sz w:val="20"/>
          <w:szCs w:val="20"/>
        </w:rPr>
        <w:t xml:space="preserve"> (Associazione Nazionale Comuni Italiani). </w:t>
      </w:r>
      <w:r w:rsidR="007E5BFE">
        <w:rPr>
          <w:rFonts w:ascii="Trebuchet MS" w:hAnsi="Trebuchet MS"/>
          <w:sz w:val="20"/>
          <w:szCs w:val="20"/>
        </w:rPr>
        <w:t>Lo</w:t>
      </w:r>
      <w:r w:rsidR="007E5BFE" w:rsidRPr="00DE1F3C">
        <w:rPr>
          <w:rFonts w:ascii="Trebuchet MS" w:hAnsi="Trebuchet MS"/>
          <w:sz w:val="20"/>
          <w:szCs w:val="20"/>
        </w:rPr>
        <w:t xml:space="preserve"> </w:t>
      </w:r>
      <w:r w:rsidR="0048037E" w:rsidRPr="00DE1F3C">
        <w:rPr>
          <w:rFonts w:ascii="Trebuchet MS" w:hAnsi="Trebuchet MS"/>
          <w:sz w:val="20"/>
          <w:szCs w:val="20"/>
        </w:rPr>
        <w:t>schema, oggetto del Quaderno n.46 di ANCI</w:t>
      </w:r>
      <w:r w:rsidR="002E165E" w:rsidRPr="00DE1F3C">
        <w:rPr>
          <w:rFonts w:ascii="Trebuchet MS" w:hAnsi="Trebuchet MS"/>
          <w:sz w:val="20"/>
          <w:szCs w:val="20"/>
        </w:rPr>
        <w:t>,</w:t>
      </w:r>
      <w:r w:rsidR="0048037E" w:rsidRPr="00DE1F3C">
        <w:rPr>
          <w:rFonts w:ascii="Trebuchet MS" w:hAnsi="Trebuchet MS"/>
          <w:sz w:val="20"/>
          <w:szCs w:val="20"/>
        </w:rPr>
        <w:t xml:space="preserve"> </w:t>
      </w:r>
      <w:r w:rsidR="002E165E" w:rsidRPr="00DE1F3C">
        <w:rPr>
          <w:rFonts w:ascii="Trebuchet MS" w:hAnsi="Trebuchet MS"/>
          <w:sz w:val="20"/>
          <w:szCs w:val="20"/>
        </w:rPr>
        <w:t>è</w:t>
      </w:r>
      <w:r w:rsidR="0048037E" w:rsidRPr="00DE1F3C">
        <w:rPr>
          <w:rFonts w:ascii="Trebuchet MS" w:hAnsi="Trebuchet MS"/>
          <w:sz w:val="20"/>
          <w:szCs w:val="20"/>
        </w:rPr>
        <w:t xml:space="preserve"> disponibile al link </w:t>
      </w:r>
      <w:hyperlink r:id="rId6" w:history="1">
        <w:r w:rsidR="0048037E" w:rsidRPr="00DE1F3C">
          <w:rPr>
            <w:rStyle w:val="Collegamentoipertestuale"/>
            <w:rFonts w:ascii="Trebuchet MS" w:hAnsi="Trebuchet MS"/>
            <w:sz w:val="20"/>
            <w:szCs w:val="20"/>
          </w:rPr>
          <w:t>https://www.anci.it/wp-content/uploads/Quaderno-n-46-ricognizione-spl-art.-30-dlgs-201-22.pdf</w:t>
        </w:r>
      </w:hyperlink>
      <w:r w:rsidRPr="00DE1F3C">
        <w:rPr>
          <w:rFonts w:ascii="Trebuchet MS" w:hAnsi="Trebuchet MS"/>
          <w:sz w:val="20"/>
          <w:szCs w:val="20"/>
        </w:rPr>
        <w:t>.</w:t>
      </w:r>
    </w:p>
    <w:p w14:paraId="22BEA5B4" w14:textId="5876C51A" w:rsidR="00CF4F25" w:rsidRPr="00DE1F3C" w:rsidRDefault="006E02CD" w:rsidP="00CF4F25">
      <w:pPr>
        <w:jc w:val="both"/>
        <w:rPr>
          <w:rFonts w:ascii="Trebuchet MS" w:hAnsi="Trebuchet MS"/>
          <w:sz w:val="20"/>
          <w:szCs w:val="20"/>
        </w:rPr>
      </w:pPr>
      <w:r w:rsidRPr="00DE1F3C">
        <w:rPr>
          <w:rFonts w:ascii="Trebuchet MS" w:hAnsi="Trebuchet MS"/>
          <w:sz w:val="20"/>
          <w:szCs w:val="20"/>
        </w:rPr>
        <w:t>Tale schema</w:t>
      </w:r>
      <w:r w:rsidR="00DE1F3C" w:rsidRPr="00DE1F3C">
        <w:rPr>
          <w:rFonts w:ascii="Trebuchet MS" w:hAnsi="Trebuchet MS"/>
          <w:sz w:val="20"/>
          <w:szCs w:val="20"/>
        </w:rPr>
        <w:t xml:space="preserve"> </w:t>
      </w:r>
      <w:r w:rsidR="0048037E" w:rsidRPr="00DE1F3C">
        <w:rPr>
          <w:rFonts w:ascii="Trebuchet MS" w:hAnsi="Trebuchet MS"/>
          <w:sz w:val="20"/>
          <w:szCs w:val="20"/>
        </w:rPr>
        <w:t xml:space="preserve">può essere </w:t>
      </w:r>
      <w:r w:rsidRPr="00DE1F3C">
        <w:rPr>
          <w:rFonts w:ascii="Trebuchet MS" w:hAnsi="Trebuchet MS"/>
          <w:sz w:val="20"/>
          <w:szCs w:val="20"/>
        </w:rPr>
        <w:t xml:space="preserve">altresì </w:t>
      </w:r>
      <w:r w:rsidR="002B6296" w:rsidRPr="00DE1F3C">
        <w:rPr>
          <w:rFonts w:ascii="Trebuchet MS" w:hAnsi="Trebuchet MS"/>
          <w:sz w:val="20"/>
          <w:szCs w:val="20"/>
        </w:rPr>
        <w:t>utilizza</w:t>
      </w:r>
      <w:r w:rsidR="0048037E" w:rsidRPr="00DE1F3C">
        <w:rPr>
          <w:rFonts w:ascii="Trebuchet MS" w:hAnsi="Trebuchet MS"/>
          <w:sz w:val="20"/>
          <w:szCs w:val="20"/>
        </w:rPr>
        <w:t>to</w:t>
      </w:r>
      <w:r w:rsidRPr="00DE1F3C">
        <w:rPr>
          <w:rFonts w:ascii="Trebuchet MS" w:hAnsi="Trebuchet MS"/>
          <w:sz w:val="20"/>
          <w:szCs w:val="20"/>
        </w:rPr>
        <w:t>, nelle parti compatibili e applicabili,</w:t>
      </w:r>
      <w:r w:rsidR="002B6296" w:rsidRPr="00DE1F3C">
        <w:rPr>
          <w:rFonts w:ascii="Trebuchet MS" w:hAnsi="Trebuchet MS"/>
          <w:sz w:val="20"/>
          <w:szCs w:val="20"/>
        </w:rPr>
        <w:t xml:space="preserve"> </w:t>
      </w:r>
      <w:r w:rsidR="0048037E" w:rsidRPr="00DE1F3C">
        <w:rPr>
          <w:rFonts w:ascii="Trebuchet MS" w:hAnsi="Trebuchet MS"/>
          <w:sz w:val="20"/>
          <w:szCs w:val="20"/>
        </w:rPr>
        <w:t xml:space="preserve">anche </w:t>
      </w:r>
      <w:r w:rsidR="002B6296" w:rsidRPr="00DE1F3C">
        <w:rPr>
          <w:rFonts w:ascii="Trebuchet MS" w:hAnsi="Trebuchet MS"/>
          <w:sz w:val="20"/>
          <w:szCs w:val="20"/>
        </w:rPr>
        <w:t>da</w:t>
      </w:r>
      <w:r w:rsidR="0048037E" w:rsidRPr="00DE1F3C">
        <w:rPr>
          <w:rFonts w:ascii="Trebuchet MS" w:hAnsi="Trebuchet MS"/>
          <w:sz w:val="20"/>
          <w:szCs w:val="20"/>
        </w:rPr>
        <w:t>lle altre tipologie di enti</w:t>
      </w:r>
      <w:r w:rsidR="00DE1F3C" w:rsidRPr="00DE1F3C">
        <w:rPr>
          <w:rFonts w:ascii="Trebuchet MS" w:hAnsi="Trebuchet MS"/>
          <w:sz w:val="20"/>
          <w:szCs w:val="20"/>
        </w:rPr>
        <w:t xml:space="preserve"> </w:t>
      </w:r>
      <w:r w:rsidRPr="00DE1F3C">
        <w:rPr>
          <w:rFonts w:ascii="Trebuchet MS" w:hAnsi="Trebuchet MS"/>
          <w:sz w:val="20"/>
          <w:szCs w:val="20"/>
        </w:rPr>
        <w:t>indicati nell’art. 30, comma 1.</w:t>
      </w:r>
      <w:r w:rsidR="00CF4F25">
        <w:rPr>
          <w:rFonts w:ascii="Trebuchet MS" w:hAnsi="Trebuchet MS"/>
          <w:sz w:val="20"/>
          <w:szCs w:val="20"/>
        </w:rPr>
        <w:t xml:space="preserve">  </w:t>
      </w:r>
    </w:p>
    <w:p w14:paraId="1B37F33F" w14:textId="1C4A51F5" w:rsidR="00CF4F25" w:rsidRDefault="00CF4F25" w:rsidP="00CF4F2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Si ricorda che</w:t>
      </w:r>
      <w:r w:rsidR="006C7753">
        <w:rPr>
          <w:rFonts w:ascii="Trebuchet MS" w:hAnsi="Trebuchet MS"/>
          <w:sz w:val="20"/>
          <w:szCs w:val="20"/>
        </w:rPr>
        <w:t xml:space="preserve">, per i servizi affidati a società </w:t>
      </w:r>
      <w:r w:rsidRPr="00137192">
        <w:rPr>
          <w:rFonts w:ascii="Trebuchet MS" w:hAnsi="Trebuchet MS"/>
          <w:i/>
          <w:sz w:val="20"/>
          <w:szCs w:val="20"/>
        </w:rPr>
        <w:t>in house</w:t>
      </w:r>
      <w:r>
        <w:rPr>
          <w:rFonts w:ascii="Trebuchet MS" w:hAnsi="Trebuchet MS"/>
          <w:sz w:val="20"/>
          <w:szCs w:val="20"/>
        </w:rPr>
        <w:t>,</w:t>
      </w:r>
      <w:r w:rsidR="006C7753">
        <w:rPr>
          <w:rFonts w:ascii="Trebuchet MS" w:hAnsi="Trebuchet MS"/>
          <w:sz w:val="20"/>
          <w:szCs w:val="20"/>
        </w:rPr>
        <w:t xml:space="preserve"> la relazione</w:t>
      </w:r>
      <w:r w:rsidR="002F17CC">
        <w:rPr>
          <w:rFonts w:ascii="Trebuchet MS" w:hAnsi="Trebuchet MS"/>
          <w:sz w:val="20"/>
          <w:szCs w:val="20"/>
        </w:rPr>
        <w:t xml:space="preserve"> annuale</w:t>
      </w:r>
      <w:r w:rsidR="006C7753">
        <w:rPr>
          <w:rFonts w:ascii="Trebuchet MS" w:hAnsi="Trebuchet MS"/>
          <w:sz w:val="20"/>
          <w:szCs w:val="20"/>
        </w:rPr>
        <w:t xml:space="preserve"> </w:t>
      </w:r>
      <w:r w:rsidR="00D86A31">
        <w:rPr>
          <w:rFonts w:ascii="Trebuchet MS" w:hAnsi="Trebuchet MS"/>
          <w:sz w:val="20"/>
          <w:szCs w:val="20"/>
        </w:rPr>
        <w:t xml:space="preserve">in oggetto </w:t>
      </w:r>
      <w:r>
        <w:rPr>
          <w:rFonts w:ascii="Trebuchet MS" w:hAnsi="Trebuchet MS"/>
          <w:sz w:val="20"/>
          <w:szCs w:val="20"/>
        </w:rPr>
        <w:t>costituisce appendice della relazione di cui all’art. 20 del d.lgs. n. 175/2016.</w:t>
      </w:r>
      <w:r w:rsidR="002F17CC">
        <w:rPr>
          <w:rFonts w:ascii="Trebuchet MS" w:hAnsi="Trebuchet MS"/>
          <w:sz w:val="20"/>
          <w:szCs w:val="20"/>
        </w:rPr>
        <w:t xml:space="preserve"> </w:t>
      </w:r>
      <w:r w:rsidR="007D3164">
        <w:rPr>
          <w:rFonts w:ascii="Trebuchet MS" w:hAnsi="Trebuchet MS"/>
          <w:sz w:val="20"/>
          <w:szCs w:val="20"/>
        </w:rPr>
        <w:t>A</w:t>
      </w:r>
      <w:r w:rsidR="00D86A31">
        <w:rPr>
          <w:rFonts w:ascii="Trebuchet MS" w:hAnsi="Trebuchet MS"/>
          <w:sz w:val="20"/>
          <w:szCs w:val="20"/>
        </w:rPr>
        <w:t xml:space="preserve"> riguardo, si precisa che solo </w:t>
      </w:r>
      <w:r w:rsidR="007D3164">
        <w:rPr>
          <w:rFonts w:ascii="Trebuchet MS" w:hAnsi="Trebuchet MS"/>
          <w:sz w:val="20"/>
          <w:szCs w:val="20"/>
        </w:rPr>
        <w:t>t</w:t>
      </w:r>
      <w:r w:rsidR="002F17CC">
        <w:rPr>
          <w:rFonts w:ascii="Trebuchet MS" w:hAnsi="Trebuchet MS"/>
          <w:sz w:val="20"/>
          <w:szCs w:val="20"/>
        </w:rPr>
        <w:t xml:space="preserve">ale appendice deve essere oggetto di invio </w:t>
      </w:r>
      <w:r w:rsidR="00D86A31">
        <w:rPr>
          <w:rFonts w:ascii="Trebuchet MS" w:hAnsi="Trebuchet MS"/>
          <w:sz w:val="20"/>
          <w:szCs w:val="20"/>
        </w:rPr>
        <w:t xml:space="preserve">ad ANAC </w:t>
      </w:r>
      <w:r w:rsidR="007D3164">
        <w:rPr>
          <w:rFonts w:ascii="Trebuchet MS" w:hAnsi="Trebuchet MS"/>
          <w:sz w:val="20"/>
          <w:szCs w:val="20"/>
        </w:rPr>
        <w:t xml:space="preserve">secondo le modalità qui indicate. </w:t>
      </w:r>
    </w:p>
    <w:p w14:paraId="2FDE92BA" w14:textId="57B8CA76" w:rsidR="00C005F0" w:rsidRDefault="00C005F0" w:rsidP="00DE1F3C">
      <w:pPr>
        <w:jc w:val="both"/>
        <w:rPr>
          <w:rFonts w:ascii="Trebuchet MS" w:hAnsi="Trebuchet MS"/>
          <w:sz w:val="20"/>
          <w:szCs w:val="20"/>
        </w:rPr>
      </w:pPr>
      <w:r w:rsidRPr="00DE1F3C">
        <w:rPr>
          <w:rFonts w:ascii="Trebuchet MS" w:hAnsi="Trebuchet MS"/>
          <w:sz w:val="20"/>
          <w:szCs w:val="20"/>
        </w:rPr>
        <w:t>La relazione deve essere necessariamente contenuta in un singolo file in formato pdf.</w:t>
      </w:r>
    </w:p>
    <w:p w14:paraId="383B1F8E" w14:textId="60D5D646" w:rsidR="00051A3F" w:rsidRDefault="00051A3F" w:rsidP="00DE1F3C">
      <w:pPr>
        <w:jc w:val="both"/>
        <w:rPr>
          <w:rFonts w:ascii="Trebuchet MS" w:hAnsi="Trebuchet MS"/>
          <w:color w:val="FF0000"/>
          <w:sz w:val="20"/>
          <w:szCs w:val="20"/>
        </w:rPr>
      </w:pPr>
      <w:r w:rsidRPr="00DE1F3C">
        <w:rPr>
          <w:rFonts w:ascii="Trebuchet MS" w:hAnsi="Trebuchet MS"/>
          <w:sz w:val="20"/>
          <w:szCs w:val="20"/>
        </w:rPr>
        <w:t xml:space="preserve">Si richiede contestualmente la compilazione </w:t>
      </w:r>
      <w:r w:rsidR="00AE1F44" w:rsidRPr="00DE1F3C">
        <w:rPr>
          <w:rFonts w:ascii="Trebuchet MS" w:hAnsi="Trebuchet MS"/>
          <w:sz w:val="20"/>
          <w:szCs w:val="20"/>
        </w:rPr>
        <w:t>di una</w:t>
      </w:r>
      <w:r w:rsidRPr="00DE1F3C">
        <w:rPr>
          <w:rFonts w:ascii="Trebuchet MS" w:hAnsi="Trebuchet MS"/>
          <w:sz w:val="20"/>
          <w:szCs w:val="20"/>
        </w:rPr>
        <w:t xml:space="preserve"> </w:t>
      </w:r>
      <w:r w:rsidRPr="00DE1F3C">
        <w:rPr>
          <w:rFonts w:ascii="Trebuchet MS" w:hAnsi="Trebuchet MS"/>
          <w:b/>
          <w:bCs/>
          <w:sz w:val="20"/>
          <w:szCs w:val="20"/>
        </w:rPr>
        <w:t>tabella</w:t>
      </w:r>
      <w:r w:rsidR="00AE1F44" w:rsidRPr="00DE1F3C">
        <w:rPr>
          <w:rFonts w:ascii="Trebuchet MS" w:hAnsi="Trebuchet MS"/>
          <w:sz w:val="20"/>
          <w:szCs w:val="20"/>
        </w:rPr>
        <w:t xml:space="preserve"> in formato pdf,</w:t>
      </w:r>
      <w:r w:rsidRPr="00DE1F3C">
        <w:rPr>
          <w:rFonts w:ascii="Trebuchet MS" w:hAnsi="Trebuchet MS"/>
          <w:sz w:val="20"/>
          <w:szCs w:val="20"/>
        </w:rPr>
        <w:t xml:space="preserve"> </w:t>
      </w:r>
      <w:r w:rsidR="00AE1F44" w:rsidRPr="00DE1F3C">
        <w:rPr>
          <w:rFonts w:ascii="Trebuchet MS" w:hAnsi="Trebuchet MS"/>
          <w:sz w:val="20"/>
          <w:szCs w:val="20"/>
        </w:rPr>
        <w:t xml:space="preserve">contenente </w:t>
      </w:r>
      <w:r w:rsidR="00214720">
        <w:rPr>
          <w:rFonts w:ascii="Trebuchet MS" w:hAnsi="Trebuchet MS"/>
          <w:sz w:val="20"/>
          <w:szCs w:val="20"/>
        </w:rPr>
        <w:t>alcuni</w:t>
      </w:r>
      <w:r w:rsidR="00AE1F44" w:rsidRPr="00DE1F3C">
        <w:rPr>
          <w:rFonts w:ascii="Trebuchet MS" w:hAnsi="Trebuchet MS"/>
          <w:sz w:val="20"/>
          <w:szCs w:val="20"/>
        </w:rPr>
        <w:t xml:space="preserve"> dati </w:t>
      </w:r>
      <w:r w:rsidRPr="00DE1F3C">
        <w:rPr>
          <w:rFonts w:ascii="Trebuchet MS" w:hAnsi="Trebuchet MS"/>
          <w:sz w:val="20"/>
          <w:szCs w:val="20"/>
        </w:rPr>
        <w:t>di sintesi</w:t>
      </w:r>
      <w:r w:rsidR="00C005F0" w:rsidRPr="00DE1F3C">
        <w:rPr>
          <w:rFonts w:ascii="Trebuchet MS" w:hAnsi="Trebuchet MS"/>
          <w:sz w:val="20"/>
          <w:szCs w:val="20"/>
        </w:rPr>
        <w:t xml:space="preserve"> sull’ente e sugli affidamenti da esso disposti</w:t>
      </w:r>
      <w:r w:rsidR="00AE1F44" w:rsidRPr="00DE1F3C">
        <w:rPr>
          <w:rFonts w:ascii="Trebuchet MS" w:hAnsi="Trebuchet MS"/>
          <w:sz w:val="20"/>
          <w:szCs w:val="20"/>
        </w:rPr>
        <w:t xml:space="preserve">, disponibile </w:t>
      </w:r>
      <w:r w:rsidRPr="00DE1F3C">
        <w:rPr>
          <w:rFonts w:ascii="Trebuchet MS" w:hAnsi="Trebuchet MS"/>
          <w:sz w:val="20"/>
          <w:szCs w:val="20"/>
        </w:rPr>
        <w:t xml:space="preserve">al seguente </w:t>
      </w:r>
      <w:r w:rsidR="002B6296" w:rsidRPr="00DE1F3C">
        <w:rPr>
          <w:rFonts w:ascii="Trebuchet MS" w:hAnsi="Trebuchet MS"/>
          <w:sz w:val="20"/>
          <w:szCs w:val="20"/>
        </w:rPr>
        <w:t xml:space="preserve">link: </w:t>
      </w:r>
      <w:proofErr w:type="gramStart"/>
      <w:r w:rsidRPr="00E612A0">
        <w:rPr>
          <w:rFonts w:ascii="Trebuchet MS" w:hAnsi="Trebuchet MS"/>
          <w:sz w:val="20"/>
          <w:szCs w:val="20"/>
          <w:highlight w:val="yellow"/>
        </w:rPr>
        <w:t>https:\</w:t>
      </w:r>
      <w:proofErr w:type="gramEnd"/>
      <w:r w:rsidRPr="00E612A0">
        <w:rPr>
          <w:rFonts w:ascii="Trebuchet MS" w:hAnsi="Trebuchet MS"/>
          <w:sz w:val="20"/>
          <w:szCs w:val="20"/>
          <w:highlight w:val="yellow"/>
        </w:rPr>
        <w:t>\</w:t>
      </w:r>
      <w:r w:rsidR="002B6296" w:rsidRPr="00E612A0">
        <w:rPr>
          <w:rFonts w:ascii="Trebuchet MS" w:hAnsi="Trebuchet MS"/>
          <w:sz w:val="20"/>
          <w:szCs w:val="20"/>
          <w:highlight w:val="yellow"/>
        </w:rPr>
        <w:t>................</w:t>
      </w:r>
      <w:r w:rsidR="00AE1F44" w:rsidRPr="00E612A0">
        <w:rPr>
          <w:rFonts w:ascii="Trebuchet MS" w:hAnsi="Trebuchet MS"/>
          <w:sz w:val="20"/>
          <w:szCs w:val="20"/>
        </w:rPr>
        <w:t xml:space="preserve"> </w:t>
      </w:r>
    </w:p>
    <w:p w14:paraId="3D2D46C6" w14:textId="77777777" w:rsidR="003D731A" w:rsidRPr="00DE1F3C" w:rsidRDefault="003D731A" w:rsidP="00DE1F3C">
      <w:pPr>
        <w:jc w:val="both"/>
        <w:rPr>
          <w:rFonts w:ascii="Trebuchet MS" w:hAnsi="Trebuchet MS"/>
          <w:sz w:val="20"/>
          <w:szCs w:val="20"/>
        </w:rPr>
      </w:pPr>
    </w:p>
    <w:p w14:paraId="6E8871BB" w14:textId="683600F6" w:rsidR="00733A76" w:rsidRPr="00DE1F3C" w:rsidRDefault="00733A76" w:rsidP="00DE1F3C">
      <w:pPr>
        <w:jc w:val="both"/>
        <w:rPr>
          <w:rFonts w:ascii="Trebuchet MS" w:hAnsi="Trebuchet MS"/>
          <w:b/>
          <w:bCs/>
          <w:i/>
          <w:iCs/>
          <w:color w:val="365F91" w:themeColor="accent1" w:themeShade="BF"/>
        </w:rPr>
      </w:pPr>
      <w:r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>Modalità</w:t>
      </w:r>
      <w:r w:rsidR="00160005"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 xml:space="preserve"> e tempi</w:t>
      </w:r>
      <w:r w:rsidR="00AE1F44"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>stica</w:t>
      </w:r>
      <w:r w:rsidR="00160005"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 xml:space="preserve"> per</w:t>
      </w:r>
      <w:r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 xml:space="preserve"> </w:t>
      </w:r>
      <w:r w:rsidR="00C005F0"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>l’</w:t>
      </w:r>
      <w:r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>invio dei documenti</w:t>
      </w:r>
    </w:p>
    <w:p w14:paraId="118745C2" w14:textId="3FA18C49" w:rsidR="009F0E15" w:rsidRPr="00DE1F3C" w:rsidRDefault="0048037E" w:rsidP="00DE1F3C">
      <w:pPr>
        <w:jc w:val="both"/>
        <w:rPr>
          <w:rFonts w:ascii="Trebuchet MS" w:hAnsi="Trebuchet MS"/>
          <w:sz w:val="20"/>
          <w:szCs w:val="20"/>
        </w:rPr>
      </w:pPr>
      <w:r w:rsidRPr="00DE1F3C">
        <w:rPr>
          <w:rFonts w:ascii="Trebuchet MS" w:hAnsi="Trebuchet MS"/>
          <w:sz w:val="20"/>
          <w:szCs w:val="20"/>
        </w:rPr>
        <w:t xml:space="preserve">In sede di prima applicazione, i </w:t>
      </w:r>
      <w:r w:rsidR="002B6296" w:rsidRPr="00DE1F3C">
        <w:rPr>
          <w:rFonts w:ascii="Trebuchet MS" w:hAnsi="Trebuchet MS"/>
          <w:sz w:val="20"/>
          <w:szCs w:val="20"/>
        </w:rPr>
        <w:t xml:space="preserve">due </w:t>
      </w:r>
      <w:r w:rsidR="00733A76" w:rsidRPr="00DE1F3C">
        <w:rPr>
          <w:rFonts w:ascii="Trebuchet MS" w:hAnsi="Trebuchet MS"/>
          <w:sz w:val="20"/>
          <w:szCs w:val="20"/>
        </w:rPr>
        <w:t>documenti</w:t>
      </w:r>
      <w:r w:rsidR="002F3AFD" w:rsidRPr="00DE1F3C">
        <w:rPr>
          <w:rFonts w:ascii="Trebuchet MS" w:hAnsi="Trebuchet MS"/>
          <w:sz w:val="20"/>
          <w:szCs w:val="20"/>
        </w:rPr>
        <w:t xml:space="preserve"> -</w:t>
      </w:r>
      <w:r w:rsidR="00733A76" w:rsidRPr="00DE1F3C">
        <w:rPr>
          <w:rFonts w:ascii="Trebuchet MS" w:hAnsi="Trebuchet MS"/>
          <w:sz w:val="20"/>
          <w:szCs w:val="20"/>
        </w:rPr>
        <w:t xml:space="preserve"> </w:t>
      </w:r>
      <w:r w:rsidR="00733A76" w:rsidRPr="00DE1F3C">
        <w:rPr>
          <w:rFonts w:ascii="Trebuchet MS" w:hAnsi="Trebuchet MS"/>
          <w:b/>
          <w:bCs/>
          <w:sz w:val="20"/>
          <w:szCs w:val="20"/>
        </w:rPr>
        <w:t xml:space="preserve">relazione e </w:t>
      </w:r>
      <w:r w:rsidR="00733A76" w:rsidRPr="00DE737C">
        <w:rPr>
          <w:rFonts w:ascii="Trebuchet MS" w:hAnsi="Trebuchet MS"/>
          <w:b/>
          <w:bCs/>
          <w:sz w:val="20"/>
          <w:szCs w:val="20"/>
        </w:rPr>
        <w:t>tabella di sintesi</w:t>
      </w:r>
      <w:r w:rsidR="00733A76" w:rsidRPr="00DE1F3C">
        <w:rPr>
          <w:rFonts w:ascii="Trebuchet MS" w:hAnsi="Trebuchet MS"/>
          <w:sz w:val="20"/>
          <w:szCs w:val="20"/>
        </w:rPr>
        <w:t xml:space="preserve"> in formato pdf</w:t>
      </w:r>
      <w:r w:rsidR="002F3AFD" w:rsidRPr="00DE1F3C">
        <w:rPr>
          <w:rFonts w:ascii="Trebuchet MS" w:hAnsi="Trebuchet MS"/>
          <w:sz w:val="20"/>
          <w:szCs w:val="20"/>
        </w:rPr>
        <w:t xml:space="preserve"> -</w:t>
      </w:r>
      <w:r w:rsidR="00733A76" w:rsidRPr="00DE1F3C">
        <w:rPr>
          <w:rFonts w:ascii="Trebuchet MS" w:hAnsi="Trebuchet MS"/>
          <w:sz w:val="20"/>
          <w:szCs w:val="20"/>
        </w:rPr>
        <w:t xml:space="preserve"> </w:t>
      </w:r>
      <w:r w:rsidRPr="00DE1F3C">
        <w:rPr>
          <w:rFonts w:ascii="Trebuchet MS" w:hAnsi="Trebuchet MS"/>
          <w:sz w:val="20"/>
          <w:szCs w:val="20"/>
        </w:rPr>
        <w:t xml:space="preserve">devono essere trasmessi via </w:t>
      </w:r>
      <w:r w:rsidR="009F0E15" w:rsidRPr="00DE1F3C">
        <w:rPr>
          <w:rFonts w:ascii="Trebuchet MS" w:hAnsi="Trebuchet MS"/>
          <w:sz w:val="20"/>
          <w:szCs w:val="20"/>
        </w:rPr>
        <w:t>PEC a</w:t>
      </w:r>
      <w:r w:rsidR="00160005" w:rsidRPr="00DE1F3C">
        <w:rPr>
          <w:rFonts w:ascii="Trebuchet MS" w:hAnsi="Trebuchet MS"/>
          <w:sz w:val="20"/>
          <w:szCs w:val="20"/>
        </w:rPr>
        <w:t xml:space="preserve"> </w:t>
      </w:r>
      <w:hyperlink r:id="rId7" w:history="1">
        <w:r w:rsidR="001050AD" w:rsidRPr="00DE1F3C">
          <w:rPr>
            <w:rStyle w:val="Collegamentoipertestuale"/>
            <w:rFonts w:ascii="Trebuchet MS" w:hAnsi="Trebuchet MS"/>
            <w:b/>
            <w:bCs/>
            <w:sz w:val="20"/>
            <w:szCs w:val="20"/>
          </w:rPr>
          <w:t>protocollo@pec.anticorruzione.it</w:t>
        </w:r>
      </w:hyperlink>
      <w:r w:rsidR="00160005" w:rsidRPr="00DE1F3C">
        <w:rPr>
          <w:rFonts w:ascii="Trebuchet MS" w:hAnsi="Trebuchet MS"/>
          <w:sz w:val="20"/>
          <w:szCs w:val="20"/>
        </w:rPr>
        <w:t xml:space="preserve"> entro la data del 31/12/2023.</w:t>
      </w:r>
    </w:p>
    <w:p w14:paraId="454E642A" w14:textId="561E8BD2" w:rsidR="00160005" w:rsidRDefault="00160005" w:rsidP="00DE1F3C">
      <w:pPr>
        <w:jc w:val="both"/>
        <w:rPr>
          <w:rFonts w:ascii="Trebuchet MS" w:hAnsi="Trebuchet MS"/>
          <w:sz w:val="20"/>
          <w:szCs w:val="20"/>
        </w:rPr>
      </w:pPr>
      <w:r w:rsidRPr="00DE1F3C">
        <w:rPr>
          <w:rFonts w:ascii="Trebuchet MS" w:hAnsi="Trebuchet MS"/>
          <w:sz w:val="20"/>
          <w:szCs w:val="20"/>
        </w:rPr>
        <w:t>Si richiede</w:t>
      </w:r>
      <w:r w:rsidR="00AE1F44" w:rsidRPr="00DE1F3C">
        <w:rPr>
          <w:rFonts w:ascii="Trebuchet MS" w:hAnsi="Trebuchet MS"/>
          <w:sz w:val="20"/>
          <w:szCs w:val="20"/>
        </w:rPr>
        <w:t xml:space="preserve">, </w:t>
      </w:r>
      <w:r w:rsidRPr="00DE1F3C">
        <w:rPr>
          <w:rFonts w:ascii="Trebuchet MS" w:hAnsi="Trebuchet MS"/>
          <w:sz w:val="20"/>
          <w:szCs w:val="20"/>
        </w:rPr>
        <w:t>nell’oggetto della PEC</w:t>
      </w:r>
      <w:r w:rsidR="00AE1F44" w:rsidRPr="00DE1F3C">
        <w:rPr>
          <w:rFonts w:ascii="Trebuchet MS" w:hAnsi="Trebuchet MS"/>
          <w:sz w:val="20"/>
          <w:szCs w:val="20"/>
        </w:rPr>
        <w:t>,</w:t>
      </w:r>
      <w:r w:rsidRPr="00DE1F3C">
        <w:rPr>
          <w:rFonts w:ascii="Trebuchet MS" w:hAnsi="Trebuchet MS"/>
          <w:sz w:val="20"/>
          <w:szCs w:val="20"/>
        </w:rPr>
        <w:t xml:space="preserve"> di specificare “Relazione annuale </w:t>
      </w:r>
      <w:r w:rsidR="002F3AFD" w:rsidRPr="00DE1F3C">
        <w:rPr>
          <w:rFonts w:ascii="Trebuchet MS" w:hAnsi="Trebuchet MS"/>
          <w:sz w:val="20"/>
          <w:szCs w:val="20"/>
        </w:rPr>
        <w:t>SPL</w:t>
      </w:r>
      <w:r w:rsidRPr="00DE1F3C">
        <w:rPr>
          <w:rFonts w:ascii="Trebuchet MS" w:hAnsi="Trebuchet MS"/>
          <w:sz w:val="20"/>
          <w:szCs w:val="20"/>
        </w:rPr>
        <w:t xml:space="preserve">” seguito </w:t>
      </w:r>
      <w:r w:rsidR="002F3AFD" w:rsidRPr="00DE1F3C">
        <w:rPr>
          <w:rFonts w:ascii="Trebuchet MS" w:hAnsi="Trebuchet MS"/>
          <w:sz w:val="20"/>
          <w:szCs w:val="20"/>
        </w:rPr>
        <w:t xml:space="preserve">dalla denominazione e dal codice fiscale </w:t>
      </w:r>
      <w:r w:rsidRPr="00DE1F3C">
        <w:rPr>
          <w:rFonts w:ascii="Trebuchet MS" w:hAnsi="Trebuchet MS"/>
          <w:sz w:val="20"/>
          <w:szCs w:val="20"/>
        </w:rPr>
        <w:t>dell’ente</w:t>
      </w:r>
      <w:r w:rsidR="002F3AFD" w:rsidRPr="00DE1F3C">
        <w:rPr>
          <w:rFonts w:ascii="Trebuchet MS" w:hAnsi="Trebuchet MS"/>
          <w:sz w:val="20"/>
          <w:szCs w:val="20"/>
        </w:rPr>
        <w:t xml:space="preserve"> (ad es. “Relazione annuale SPL, Comune di Milano, 01199250158</w:t>
      </w:r>
      <w:r w:rsidR="00DE1F3C">
        <w:rPr>
          <w:rFonts w:ascii="Trebuchet MS" w:hAnsi="Trebuchet MS"/>
          <w:sz w:val="20"/>
          <w:szCs w:val="20"/>
        </w:rPr>
        <w:t>”</w:t>
      </w:r>
      <w:r w:rsidR="002F3AFD" w:rsidRPr="00DE1F3C">
        <w:rPr>
          <w:rFonts w:ascii="Trebuchet MS" w:hAnsi="Trebuchet MS"/>
          <w:sz w:val="20"/>
          <w:szCs w:val="20"/>
        </w:rPr>
        <w:t>)</w:t>
      </w:r>
      <w:r w:rsidR="00C005F0" w:rsidRPr="00DE1F3C">
        <w:rPr>
          <w:rFonts w:ascii="Trebuchet MS" w:hAnsi="Trebuchet MS"/>
          <w:sz w:val="20"/>
          <w:szCs w:val="20"/>
        </w:rPr>
        <w:t>.</w:t>
      </w:r>
    </w:p>
    <w:p w14:paraId="7CEA7C5C" w14:textId="77777777" w:rsidR="00CF4F25" w:rsidRDefault="00CF4F25" w:rsidP="00DE1F3C">
      <w:pPr>
        <w:jc w:val="both"/>
        <w:rPr>
          <w:rFonts w:ascii="Trebuchet MS" w:hAnsi="Trebuchet MS"/>
          <w:b/>
          <w:bCs/>
          <w:i/>
          <w:iCs/>
          <w:color w:val="365F91" w:themeColor="accent1" w:themeShade="BF"/>
        </w:rPr>
      </w:pPr>
    </w:p>
    <w:p w14:paraId="1616546B" w14:textId="7A1FC16F" w:rsidR="00051A3F" w:rsidRPr="00DE1F3C" w:rsidRDefault="00AE1F44" w:rsidP="00DE1F3C">
      <w:pPr>
        <w:jc w:val="both"/>
        <w:rPr>
          <w:rFonts w:ascii="Trebuchet MS" w:hAnsi="Trebuchet MS"/>
          <w:b/>
          <w:bCs/>
          <w:i/>
          <w:iCs/>
          <w:color w:val="365F91" w:themeColor="accent1" w:themeShade="BF"/>
        </w:rPr>
      </w:pPr>
      <w:r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>C</w:t>
      </w:r>
      <w:r w:rsidR="00051A3F"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>onsultazione dell</w:t>
      </w:r>
      <w:r w:rsidRPr="00DE1F3C">
        <w:rPr>
          <w:rFonts w:ascii="Trebuchet MS" w:hAnsi="Trebuchet MS"/>
          <w:b/>
          <w:bCs/>
          <w:i/>
          <w:iCs/>
          <w:color w:val="365F91" w:themeColor="accent1" w:themeShade="BF"/>
        </w:rPr>
        <w:t>e relazioni annuali</w:t>
      </w:r>
    </w:p>
    <w:p w14:paraId="5E49D3EE" w14:textId="373CF9D9" w:rsidR="00733A76" w:rsidRPr="00DE1F3C" w:rsidRDefault="00733A76" w:rsidP="007D3164">
      <w:pPr>
        <w:jc w:val="both"/>
        <w:rPr>
          <w:rFonts w:ascii="Trebuchet MS" w:hAnsi="Trebuchet MS"/>
        </w:rPr>
      </w:pPr>
      <w:r w:rsidRPr="00DE1F3C">
        <w:rPr>
          <w:rFonts w:ascii="Trebuchet MS" w:hAnsi="Trebuchet MS"/>
          <w:sz w:val="20"/>
          <w:szCs w:val="20"/>
        </w:rPr>
        <w:t>L</w:t>
      </w:r>
      <w:r w:rsidR="00AE1F44" w:rsidRPr="00DE1F3C">
        <w:rPr>
          <w:rFonts w:ascii="Trebuchet MS" w:hAnsi="Trebuchet MS"/>
          <w:sz w:val="20"/>
          <w:szCs w:val="20"/>
        </w:rPr>
        <w:t>e relazioni annuali saranno pubblicate sul sito ANAC, all’interno della sezione “Trasparenza dei servizi pubblici locali</w:t>
      </w:r>
      <w:r w:rsidR="00C005F0" w:rsidRPr="00DE1F3C">
        <w:rPr>
          <w:rFonts w:ascii="Trebuchet MS" w:hAnsi="Trebuchet MS"/>
          <w:sz w:val="20"/>
          <w:szCs w:val="20"/>
        </w:rPr>
        <w:t xml:space="preserve"> di rilevanza economica</w:t>
      </w:r>
      <w:r w:rsidR="00AE1F44" w:rsidRPr="00DE1F3C">
        <w:rPr>
          <w:rFonts w:ascii="Trebuchet MS" w:hAnsi="Trebuchet MS"/>
          <w:sz w:val="20"/>
          <w:szCs w:val="20"/>
        </w:rPr>
        <w:t xml:space="preserve">” </w:t>
      </w:r>
      <w:r w:rsidR="008933FB">
        <w:rPr>
          <w:rFonts w:ascii="Trebuchet MS" w:hAnsi="Trebuchet MS"/>
          <w:sz w:val="20"/>
          <w:szCs w:val="20"/>
        </w:rPr>
        <w:t xml:space="preserve">in una pagina dedicata raggiungibile </w:t>
      </w:r>
      <w:r w:rsidRPr="00DE1F3C">
        <w:rPr>
          <w:rFonts w:ascii="Trebuchet MS" w:hAnsi="Trebuchet MS"/>
          <w:sz w:val="20"/>
          <w:szCs w:val="20"/>
        </w:rPr>
        <w:t>al link:</w:t>
      </w:r>
      <w:r w:rsidR="00DE1F3C" w:rsidRPr="00DE1F3C">
        <w:rPr>
          <w:rFonts w:ascii="Trebuchet MS" w:hAnsi="Trebuchet MS"/>
          <w:sz w:val="20"/>
          <w:szCs w:val="20"/>
        </w:rPr>
        <w:t xml:space="preserve"> </w:t>
      </w:r>
      <w:hyperlink r:id="rId8" w:history="1">
        <w:r w:rsidR="00D949A9">
          <w:rPr>
            <w:rStyle w:val="Collegamentoipertestuale"/>
            <w:rFonts w:ascii="Trebuchet MS" w:hAnsi="Trebuchet MS"/>
            <w:sz w:val="20"/>
            <w:szCs w:val="20"/>
          </w:rPr>
          <w:t>https://www.anticorruzione.it/-/trasparenza-spl-relazioni</w:t>
        </w:r>
      </w:hyperlink>
    </w:p>
    <w:sectPr w:rsidR="00733A76" w:rsidRPr="00DE1F3C" w:rsidSect="00AE1F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A297" w14:textId="77777777" w:rsidR="0031729C" w:rsidRDefault="0031729C" w:rsidP="00AE1F44">
      <w:pPr>
        <w:spacing w:after="0" w:line="240" w:lineRule="auto"/>
      </w:pPr>
      <w:r>
        <w:separator/>
      </w:r>
    </w:p>
  </w:endnote>
  <w:endnote w:type="continuationSeparator" w:id="0">
    <w:p w14:paraId="6195BEDC" w14:textId="77777777" w:rsidR="0031729C" w:rsidRDefault="0031729C" w:rsidP="00AE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DDE2" w14:textId="77777777" w:rsidR="00E57B61" w:rsidRDefault="00E57B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5212" w14:textId="3FED48FC" w:rsidR="00E57B61" w:rsidRPr="00E57B61" w:rsidRDefault="00E57B61">
    <w:pPr>
      <w:pStyle w:val="Pidipagina"/>
      <w:rPr>
        <w:rFonts w:ascii="Trebuchet MS" w:hAnsi="Trebuchet MS"/>
        <w:color w:val="365F91" w:themeColor="accent1" w:themeShade="BF"/>
        <w:sz w:val="18"/>
        <w:szCs w:val="18"/>
      </w:rPr>
    </w:pPr>
    <w:r w:rsidRPr="00E57B61">
      <w:rPr>
        <w:rFonts w:ascii="Trebuchet MS" w:hAnsi="Trebuchet MS"/>
        <w:color w:val="365F91" w:themeColor="accent1" w:themeShade="BF"/>
        <w:sz w:val="18"/>
        <w:szCs w:val="18"/>
      </w:rPr>
      <w:t>Ver. 1.0</w:t>
    </w:r>
    <w:r w:rsidRPr="00E57B61">
      <w:rPr>
        <w:rFonts w:ascii="Trebuchet MS" w:hAnsi="Trebuchet MS"/>
        <w:color w:val="365F91" w:themeColor="accent1" w:themeShade="BF"/>
        <w:sz w:val="18"/>
        <w:szCs w:val="18"/>
      </w:rPr>
      <w:tab/>
    </w:r>
    <w:r w:rsidRPr="00E57B61">
      <w:rPr>
        <w:rFonts w:ascii="Trebuchet MS" w:hAnsi="Trebuchet MS"/>
        <w:color w:val="365F91" w:themeColor="accent1" w:themeShade="BF"/>
        <w:sz w:val="18"/>
        <w:szCs w:val="18"/>
      </w:rPr>
      <w:tab/>
      <w:t xml:space="preserve">Pag. </w:t>
    </w:r>
    <w:r w:rsidRPr="00E57B61">
      <w:rPr>
        <w:rFonts w:ascii="Trebuchet MS" w:hAnsi="Trebuchet MS"/>
        <w:color w:val="365F91" w:themeColor="accent1" w:themeShade="BF"/>
        <w:sz w:val="18"/>
        <w:szCs w:val="18"/>
      </w:rPr>
      <w:fldChar w:fldCharType="begin"/>
    </w:r>
    <w:r w:rsidRPr="00E57B61">
      <w:rPr>
        <w:rFonts w:ascii="Trebuchet MS" w:hAnsi="Trebuchet MS"/>
        <w:color w:val="365F91" w:themeColor="accent1" w:themeShade="BF"/>
        <w:sz w:val="18"/>
        <w:szCs w:val="18"/>
      </w:rPr>
      <w:instrText>PAGE   \* MERGEFORMAT</w:instrText>
    </w:r>
    <w:r w:rsidRPr="00E57B61">
      <w:rPr>
        <w:rFonts w:ascii="Trebuchet MS" w:hAnsi="Trebuchet MS"/>
        <w:color w:val="365F91" w:themeColor="accent1" w:themeShade="BF"/>
        <w:sz w:val="18"/>
        <w:szCs w:val="18"/>
      </w:rPr>
      <w:fldChar w:fldCharType="separate"/>
    </w:r>
    <w:r w:rsidRPr="00E57B61">
      <w:rPr>
        <w:rFonts w:ascii="Trebuchet MS" w:hAnsi="Trebuchet MS"/>
        <w:color w:val="365F91" w:themeColor="accent1" w:themeShade="BF"/>
        <w:sz w:val="18"/>
        <w:szCs w:val="18"/>
      </w:rPr>
      <w:t>1</w:t>
    </w:r>
    <w:r w:rsidRPr="00E57B61">
      <w:rPr>
        <w:rFonts w:ascii="Trebuchet MS" w:hAnsi="Trebuchet MS"/>
        <w:color w:val="365F91" w:themeColor="accent1" w:themeShade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687E" w14:textId="77777777" w:rsidR="00E57B61" w:rsidRDefault="00E57B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DD44" w14:textId="77777777" w:rsidR="0031729C" w:rsidRDefault="0031729C" w:rsidP="00AE1F44">
      <w:pPr>
        <w:spacing w:after="0" w:line="240" w:lineRule="auto"/>
      </w:pPr>
      <w:r>
        <w:separator/>
      </w:r>
    </w:p>
  </w:footnote>
  <w:footnote w:type="continuationSeparator" w:id="0">
    <w:p w14:paraId="5FA001EE" w14:textId="77777777" w:rsidR="0031729C" w:rsidRDefault="0031729C" w:rsidP="00AE1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A4F8" w14:textId="77777777" w:rsidR="00E57B61" w:rsidRDefault="00E57B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F38D" w14:textId="49D43C1C" w:rsidR="00AE1F44" w:rsidRDefault="00AE1F44">
    <w:pPr>
      <w:pStyle w:val="Intestazione"/>
    </w:pPr>
    <w:r w:rsidRPr="009C0039">
      <w:rPr>
        <w:rFonts w:ascii="Times New Roman"/>
        <w:noProof/>
        <w:lang w:eastAsia="it-IT"/>
      </w:rPr>
      <w:drawing>
        <wp:inline distT="0" distB="0" distL="0" distR="0" wp14:anchorId="6E12CA26" wp14:editId="61E1F4AF">
          <wp:extent cx="2879294" cy="341375"/>
          <wp:effectExtent l="0" t="0" r="0" b="0"/>
          <wp:docPr id="1247937461" name="Immagine 1247937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9294" cy="3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DA88" w14:textId="77777777" w:rsidR="00E57B61" w:rsidRDefault="00E57B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4B"/>
    <w:rsid w:val="00051A3F"/>
    <w:rsid w:val="00066F4B"/>
    <w:rsid w:val="001050AD"/>
    <w:rsid w:val="00137192"/>
    <w:rsid w:val="00160005"/>
    <w:rsid w:val="00214720"/>
    <w:rsid w:val="002746FB"/>
    <w:rsid w:val="002B6296"/>
    <w:rsid w:val="002E165E"/>
    <w:rsid w:val="002F17CC"/>
    <w:rsid w:val="002F3AFD"/>
    <w:rsid w:val="0031729C"/>
    <w:rsid w:val="003D731A"/>
    <w:rsid w:val="0048037E"/>
    <w:rsid w:val="004C02A7"/>
    <w:rsid w:val="005740D1"/>
    <w:rsid w:val="00605F75"/>
    <w:rsid w:val="00681B43"/>
    <w:rsid w:val="006C7753"/>
    <w:rsid w:val="006E02CD"/>
    <w:rsid w:val="00733A76"/>
    <w:rsid w:val="00742C1F"/>
    <w:rsid w:val="007617EC"/>
    <w:rsid w:val="00770C2B"/>
    <w:rsid w:val="0078679B"/>
    <w:rsid w:val="007D3164"/>
    <w:rsid w:val="007E5BFE"/>
    <w:rsid w:val="008767B0"/>
    <w:rsid w:val="008933FB"/>
    <w:rsid w:val="008E06D6"/>
    <w:rsid w:val="00927A2A"/>
    <w:rsid w:val="009D15CA"/>
    <w:rsid w:val="009F0E15"/>
    <w:rsid w:val="00AD1A25"/>
    <w:rsid w:val="00AE1F44"/>
    <w:rsid w:val="00B51B1B"/>
    <w:rsid w:val="00C005F0"/>
    <w:rsid w:val="00C02007"/>
    <w:rsid w:val="00C92A38"/>
    <w:rsid w:val="00CA3650"/>
    <w:rsid w:val="00CB24BB"/>
    <w:rsid w:val="00CF4F25"/>
    <w:rsid w:val="00CF54BA"/>
    <w:rsid w:val="00D55A69"/>
    <w:rsid w:val="00D86A31"/>
    <w:rsid w:val="00D949A9"/>
    <w:rsid w:val="00DE1F3C"/>
    <w:rsid w:val="00DE737C"/>
    <w:rsid w:val="00E54F65"/>
    <w:rsid w:val="00E57B61"/>
    <w:rsid w:val="00E60FD5"/>
    <w:rsid w:val="00E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3A7B"/>
  <w15:chartTrackingRefBased/>
  <w15:docId w15:val="{BEC36A8D-3CCD-4E3B-AA74-E5B45780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7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1A3F"/>
    <w:rPr>
      <w:b/>
      <w:bCs/>
    </w:rPr>
  </w:style>
  <w:style w:type="character" w:customStyle="1" w:styleId="hgkelc">
    <w:name w:val="hgkelc"/>
    <w:basedOn w:val="Carpredefinitoparagrafo"/>
    <w:rsid w:val="00733A76"/>
  </w:style>
  <w:style w:type="character" w:styleId="Collegamentoipertestuale">
    <w:name w:val="Hyperlink"/>
    <w:basedOn w:val="Carpredefinitoparagrafo"/>
    <w:uiPriority w:val="99"/>
    <w:unhideWhenUsed/>
    <w:rsid w:val="00733A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A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037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1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F44"/>
  </w:style>
  <w:style w:type="paragraph" w:styleId="Pidipagina">
    <w:name w:val="footer"/>
    <w:basedOn w:val="Normale"/>
    <w:link w:val="PidipaginaCarattere"/>
    <w:uiPriority w:val="99"/>
    <w:unhideWhenUsed/>
    <w:rsid w:val="00AE1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F44"/>
  </w:style>
  <w:style w:type="paragraph" w:styleId="Revisione">
    <w:name w:val="Revision"/>
    <w:hidden/>
    <w:uiPriority w:val="99"/>
    <w:semiHidden/>
    <w:rsid w:val="006E02C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933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933F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933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33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33F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zione.it/-/trasparenza-spl-relazion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anticorruzion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nci.it/wp-content/uploads/Quaderno-n-46-ricognizione-spl-art.-30-dlgs-201-22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Ronci</dc:creator>
  <cp:keywords/>
  <dc:description/>
  <cp:lastModifiedBy>Riccio Rosario</cp:lastModifiedBy>
  <cp:revision>5</cp:revision>
  <cp:lastPrinted>2023-12-14T09:20:00Z</cp:lastPrinted>
  <dcterms:created xsi:type="dcterms:W3CDTF">2023-12-15T10:23:00Z</dcterms:created>
  <dcterms:modified xsi:type="dcterms:W3CDTF">2023-12-15T16:32:00Z</dcterms:modified>
</cp:coreProperties>
</file>