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92" w:rsidRPr="009B60E5" w:rsidRDefault="008401A7" w:rsidP="00264F92">
      <w:pPr>
        <w:spacing w:after="0"/>
        <w:rPr>
          <w:rFonts w:ascii="Gotham Light" w:hAnsi="Gotham Light"/>
          <w:b/>
          <w:color w:val="4F81BD" w:themeColor="accent1"/>
          <w:sz w:val="24"/>
          <w:szCs w:val="24"/>
          <w:u w:val="single"/>
        </w:rPr>
      </w:pPr>
      <w:r w:rsidRPr="009B60E5">
        <w:rPr>
          <w:rFonts w:ascii="Gotham Light" w:hAnsi="Gotham Light"/>
          <w:b/>
          <w:color w:val="4F81BD" w:themeColor="accent1"/>
          <w:sz w:val="24"/>
          <w:szCs w:val="24"/>
          <w:u w:val="single"/>
        </w:rPr>
        <w:t>Modello I</w:t>
      </w:r>
    </w:p>
    <w:p w:rsidR="00975F8F" w:rsidRPr="009B60E5" w:rsidRDefault="00975F8F" w:rsidP="008847A0">
      <w:pPr>
        <w:spacing w:after="0"/>
        <w:jc w:val="center"/>
        <w:rPr>
          <w:rFonts w:ascii="Gotham Light" w:hAnsi="Gotham Light"/>
          <w:b/>
          <w:color w:val="4F81BD" w:themeColor="accent1"/>
          <w:sz w:val="24"/>
          <w:szCs w:val="24"/>
          <w:u w:val="single"/>
        </w:rPr>
      </w:pPr>
    </w:p>
    <w:p w:rsidR="0028137B" w:rsidRPr="009B60E5" w:rsidRDefault="0028137B" w:rsidP="008847A0">
      <w:pPr>
        <w:spacing w:after="0"/>
        <w:jc w:val="center"/>
        <w:rPr>
          <w:rFonts w:ascii="Gotham Light" w:hAnsi="Gotham Light"/>
          <w:b/>
          <w:color w:val="4F81BD" w:themeColor="accent1"/>
          <w:sz w:val="24"/>
          <w:szCs w:val="24"/>
          <w:u w:val="single"/>
        </w:rPr>
      </w:pPr>
      <w:r w:rsidRPr="009B60E5">
        <w:rPr>
          <w:rFonts w:ascii="Gotham Light" w:hAnsi="Gotham Light"/>
          <w:b/>
          <w:color w:val="4F81BD" w:themeColor="accent1"/>
          <w:sz w:val="24"/>
          <w:szCs w:val="24"/>
          <w:u w:val="single"/>
        </w:rPr>
        <w:t xml:space="preserve">Procedimento </w:t>
      </w:r>
      <w:r w:rsidR="007F05EB" w:rsidRPr="009B60E5">
        <w:rPr>
          <w:rFonts w:ascii="Gotham Light" w:hAnsi="Gotham Light"/>
          <w:b/>
          <w:color w:val="4F81BD" w:themeColor="accent1"/>
          <w:sz w:val="24"/>
          <w:szCs w:val="24"/>
          <w:u w:val="single"/>
        </w:rPr>
        <w:t>di segnalazione dell’inadempimento all’obbligo di emissione del cel telematico -</w:t>
      </w:r>
      <w:r w:rsidR="00890363" w:rsidRPr="009B60E5">
        <w:rPr>
          <w:rFonts w:ascii="Gotham Light" w:hAnsi="Gotham Light"/>
          <w:b/>
          <w:color w:val="4F81BD" w:themeColor="accent1"/>
          <w:sz w:val="24"/>
          <w:szCs w:val="24"/>
          <w:u w:val="single"/>
        </w:rPr>
        <w:t xml:space="preserve">articolo </w:t>
      </w:r>
      <w:r w:rsidR="00264F92" w:rsidRPr="009B60E5">
        <w:rPr>
          <w:rFonts w:ascii="Gotham Light" w:hAnsi="Gotham Light"/>
          <w:b/>
          <w:i/>
          <w:color w:val="4F81BD" w:themeColor="accent1"/>
          <w:sz w:val="24"/>
          <w:szCs w:val="24"/>
          <w:u w:val="single"/>
        </w:rPr>
        <w:t>85, c 4, d.p.r. 207/2010</w:t>
      </w:r>
    </w:p>
    <w:p w:rsidR="0028137B" w:rsidRPr="009B60E5" w:rsidRDefault="0028137B" w:rsidP="008847A0">
      <w:pPr>
        <w:jc w:val="center"/>
        <w:rPr>
          <w:rFonts w:ascii="Titillium" w:hAnsi="Titillium"/>
          <w:b/>
          <w:sz w:val="24"/>
          <w:szCs w:val="24"/>
        </w:rPr>
      </w:pPr>
      <w:r w:rsidRPr="009B60E5">
        <w:rPr>
          <w:rFonts w:ascii="Titillium" w:hAnsi="Titillium"/>
          <w:b/>
          <w:sz w:val="24"/>
          <w:szCs w:val="24"/>
        </w:rPr>
        <w:t>(M</w:t>
      </w:r>
      <w:r w:rsidR="00890363" w:rsidRPr="009B60E5">
        <w:rPr>
          <w:rFonts w:ascii="Titillium" w:hAnsi="Titillium"/>
          <w:b/>
          <w:sz w:val="24"/>
          <w:szCs w:val="24"/>
        </w:rPr>
        <w:t xml:space="preserve">ancata </w:t>
      </w:r>
      <w:r w:rsidR="00942841" w:rsidRPr="009B60E5">
        <w:rPr>
          <w:rFonts w:ascii="Titillium" w:hAnsi="Titillium"/>
          <w:b/>
          <w:sz w:val="24"/>
          <w:szCs w:val="24"/>
        </w:rPr>
        <w:t>e</w:t>
      </w:r>
      <w:r w:rsidR="00890363" w:rsidRPr="009B60E5">
        <w:rPr>
          <w:rFonts w:ascii="Titillium" w:hAnsi="Titillium"/>
          <w:b/>
          <w:sz w:val="24"/>
          <w:szCs w:val="24"/>
        </w:rPr>
        <w:t>missione dei CEL telematici</w:t>
      </w:r>
      <w:r w:rsidRPr="009B60E5">
        <w:rPr>
          <w:rFonts w:ascii="Titillium" w:hAnsi="Titillium"/>
          <w:b/>
          <w:sz w:val="24"/>
          <w:szCs w:val="24"/>
        </w:rPr>
        <w:t>)</w:t>
      </w:r>
    </w:p>
    <w:p w:rsidR="009B60E5" w:rsidRDefault="009B60E5" w:rsidP="00CC4DCB">
      <w:pPr>
        <w:spacing w:after="0"/>
        <w:ind w:left="5529"/>
        <w:jc w:val="both"/>
        <w:rPr>
          <w:rFonts w:ascii="Titillium" w:hAnsi="Titillium"/>
          <w:sz w:val="24"/>
          <w:szCs w:val="24"/>
        </w:rPr>
      </w:pPr>
    </w:p>
    <w:p w:rsidR="00CC4DCB" w:rsidRPr="009B60E5" w:rsidRDefault="00CC4DCB" w:rsidP="00CC4DCB">
      <w:pPr>
        <w:spacing w:after="0"/>
        <w:ind w:left="5529"/>
        <w:jc w:val="both"/>
        <w:rPr>
          <w:rFonts w:ascii="Titillium" w:hAnsi="Titillium"/>
          <w:sz w:val="24"/>
          <w:szCs w:val="24"/>
        </w:rPr>
      </w:pPr>
      <w:r w:rsidRPr="009B60E5">
        <w:rPr>
          <w:rFonts w:ascii="Titillium" w:hAnsi="Titillium"/>
          <w:sz w:val="24"/>
          <w:szCs w:val="24"/>
        </w:rPr>
        <w:t>All’Autorità Nazionale Anticorruzione</w:t>
      </w:r>
    </w:p>
    <w:p w:rsidR="00CC4DCB" w:rsidRPr="009B60E5" w:rsidRDefault="002360DC" w:rsidP="00CC4DCB">
      <w:pPr>
        <w:spacing w:after="0"/>
        <w:ind w:left="5529"/>
        <w:jc w:val="both"/>
        <w:rPr>
          <w:rFonts w:ascii="Titillium" w:hAnsi="Titillium"/>
          <w:sz w:val="24"/>
          <w:szCs w:val="24"/>
        </w:rPr>
      </w:pPr>
      <w:r w:rsidRPr="009B60E5">
        <w:rPr>
          <w:rFonts w:ascii="Titillium" w:hAnsi="Titillium"/>
          <w:sz w:val="24"/>
          <w:szCs w:val="24"/>
        </w:rPr>
        <w:t>Ufficio Vigilanza e Qualificazione Operatori Economici (UVOE)</w:t>
      </w:r>
    </w:p>
    <w:p w:rsidR="00CC4DCB" w:rsidRPr="009B60E5" w:rsidRDefault="00CC4DCB" w:rsidP="00CC4DCB">
      <w:pPr>
        <w:spacing w:after="0"/>
        <w:ind w:left="5529"/>
        <w:jc w:val="both"/>
        <w:rPr>
          <w:rFonts w:ascii="Titillium" w:hAnsi="Titillium"/>
          <w:sz w:val="24"/>
          <w:szCs w:val="24"/>
        </w:rPr>
      </w:pPr>
      <w:r w:rsidRPr="009B60E5">
        <w:rPr>
          <w:rFonts w:ascii="Titillium" w:hAnsi="Titillium"/>
          <w:sz w:val="24"/>
          <w:szCs w:val="24"/>
        </w:rPr>
        <w:t>via Minghetti ,10</w:t>
      </w:r>
    </w:p>
    <w:p w:rsidR="00CC4DCB" w:rsidRPr="009B60E5" w:rsidRDefault="00CC4DCB" w:rsidP="00CC4DCB">
      <w:pPr>
        <w:spacing w:after="0"/>
        <w:ind w:left="5529"/>
        <w:jc w:val="both"/>
        <w:rPr>
          <w:rFonts w:ascii="Titillium" w:hAnsi="Titillium"/>
          <w:sz w:val="24"/>
          <w:szCs w:val="24"/>
        </w:rPr>
      </w:pPr>
      <w:r w:rsidRPr="009B60E5">
        <w:rPr>
          <w:rFonts w:ascii="Titillium" w:hAnsi="Titillium"/>
          <w:sz w:val="24"/>
          <w:szCs w:val="24"/>
        </w:rPr>
        <w:t>00187 – Roma</w:t>
      </w:r>
    </w:p>
    <w:p w:rsidR="00CC4DCB" w:rsidRPr="009B60E5" w:rsidRDefault="00CC4DCB" w:rsidP="00CC4DCB">
      <w:pPr>
        <w:ind w:left="4248"/>
        <w:jc w:val="center"/>
        <w:rPr>
          <w:rFonts w:ascii="Titillium" w:hAnsi="Titillium"/>
          <w:b/>
          <w:sz w:val="24"/>
          <w:szCs w:val="24"/>
        </w:rPr>
      </w:pPr>
      <w:r w:rsidRPr="009B60E5">
        <w:rPr>
          <w:rFonts w:ascii="Titillium" w:hAnsi="Titillium"/>
          <w:sz w:val="24"/>
          <w:szCs w:val="24"/>
        </w:rPr>
        <w:t xml:space="preserve">      pec: </w:t>
      </w:r>
      <w:hyperlink r:id="rId8" w:history="1">
        <w:r w:rsidR="00CE23F9" w:rsidRPr="009B60E5">
          <w:rPr>
            <w:rStyle w:val="Collegamentoipertestuale"/>
            <w:rFonts w:ascii="Titillium" w:hAnsi="Titillium"/>
            <w:sz w:val="24"/>
            <w:szCs w:val="24"/>
          </w:rPr>
          <w:t>protocollo@pec.anticorruzione.it</w:t>
        </w:r>
      </w:hyperlink>
    </w:p>
    <w:tbl>
      <w:tblPr>
        <w:tblW w:w="9738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8"/>
      </w:tblGrid>
      <w:tr w:rsidR="008847A0" w:rsidRPr="009B60E5" w:rsidTr="008847A0">
        <w:trPr>
          <w:trHeight w:val="5565"/>
        </w:trPr>
        <w:tc>
          <w:tcPr>
            <w:tcW w:w="9738" w:type="dxa"/>
          </w:tcPr>
          <w:p w:rsidR="008847A0" w:rsidRPr="009B60E5" w:rsidRDefault="008847A0" w:rsidP="008847A0">
            <w:pPr>
              <w:ind w:left="99"/>
              <w:jc w:val="both"/>
              <w:rPr>
                <w:rFonts w:ascii="Titillium" w:hAnsi="Titillium"/>
                <w:sz w:val="24"/>
                <w:szCs w:val="24"/>
              </w:rPr>
            </w:pPr>
            <w:r w:rsidRPr="009B60E5">
              <w:rPr>
                <w:rFonts w:ascii="Titillium" w:hAnsi="Titillium"/>
                <w:b/>
                <w:sz w:val="24"/>
                <w:szCs w:val="24"/>
              </w:rPr>
              <w:t>SOA segnalante</w:t>
            </w:r>
            <w:r w:rsidRPr="009B60E5">
              <w:rPr>
                <w:rFonts w:ascii="Titillium" w:hAnsi="Titillium"/>
                <w:sz w:val="24"/>
                <w:szCs w:val="24"/>
              </w:rPr>
              <w:t>;</w:t>
            </w:r>
          </w:p>
          <w:p w:rsidR="008847A0" w:rsidRPr="009B60E5" w:rsidRDefault="008847A0" w:rsidP="008847A0">
            <w:pPr>
              <w:ind w:left="99"/>
              <w:jc w:val="both"/>
              <w:rPr>
                <w:rFonts w:ascii="Titillium" w:hAnsi="Titillium"/>
                <w:sz w:val="24"/>
                <w:szCs w:val="24"/>
              </w:rPr>
            </w:pPr>
            <w:r w:rsidRPr="009B60E5">
              <w:rPr>
                <w:rFonts w:ascii="Titillium" w:hAnsi="Titillium"/>
                <w:b/>
                <w:sz w:val="24"/>
                <w:szCs w:val="24"/>
              </w:rPr>
              <w:t>Stazione appaltante segnalata</w:t>
            </w:r>
            <w:r w:rsidRPr="009B60E5">
              <w:rPr>
                <w:rFonts w:ascii="Titillium" w:hAnsi="Titillium"/>
                <w:sz w:val="24"/>
                <w:szCs w:val="24"/>
              </w:rPr>
              <w:t>;</w:t>
            </w:r>
          </w:p>
          <w:p w:rsidR="008847A0" w:rsidRPr="009B60E5" w:rsidRDefault="008847A0" w:rsidP="008847A0">
            <w:pPr>
              <w:ind w:left="99"/>
              <w:jc w:val="both"/>
              <w:rPr>
                <w:rFonts w:ascii="Titillium" w:hAnsi="Titillium"/>
                <w:sz w:val="24"/>
                <w:szCs w:val="24"/>
              </w:rPr>
            </w:pPr>
            <w:r w:rsidRPr="009B60E5">
              <w:rPr>
                <w:rFonts w:ascii="Titillium" w:hAnsi="Titillium"/>
                <w:b/>
                <w:sz w:val="24"/>
                <w:szCs w:val="24"/>
              </w:rPr>
              <w:t>Responsabile del procedimento inadempiente</w:t>
            </w:r>
            <w:r w:rsidRPr="009B60E5">
              <w:rPr>
                <w:rFonts w:ascii="Titillium" w:hAnsi="Titillium"/>
                <w:sz w:val="24"/>
                <w:szCs w:val="24"/>
              </w:rPr>
              <w:t>;</w:t>
            </w:r>
          </w:p>
          <w:p w:rsidR="008847A0" w:rsidRPr="009B60E5" w:rsidRDefault="008847A0" w:rsidP="008847A0">
            <w:pPr>
              <w:ind w:left="99"/>
              <w:jc w:val="both"/>
              <w:rPr>
                <w:rFonts w:ascii="Titillium" w:hAnsi="Titillium"/>
                <w:sz w:val="24"/>
                <w:szCs w:val="24"/>
              </w:rPr>
            </w:pPr>
            <w:r w:rsidRPr="009B60E5">
              <w:rPr>
                <w:rFonts w:ascii="Titillium" w:hAnsi="Titillium"/>
                <w:b/>
                <w:sz w:val="24"/>
                <w:szCs w:val="24"/>
              </w:rPr>
              <w:t>rif. normativo violato</w:t>
            </w:r>
            <w:r w:rsidRPr="009B60E5">
              <w:rPr>
                <w:rFonts w:ascii="Titillium" w:hAnsi="Titillium"/>
                <w:sz w:val="24"/>
                <w:szCs w:val="24"/>
              </w:rPr>
              <w:t>: (</w:t>
            </w:r>
            <w:r w:rsidRPr="009B60E5">
              <w:rPr>
                <w:rFonts w:ascii="Titillium" w:hAnsi="Titillium"/>
                <w:i/>
                <w:sz w:val="24"/>
                <w:szCs w:val="24"/>
              </w:rPr>
              <w:t>8, comma 7, d.p.r. 207/2010</w:t>
            </w:r>
            <w:r w:rsidRPr="009B60E5">
              <w:rPr>
                <w:rFonts w:ascii="Titillium" w:hAnsi="Titillium"/>
                <w:sz w:val="24"/>
                <w:szCs w:val="24"/>
              </w:rPr>
              <w:t xml:space="preserve"> e 213, comma 13, d.lgs. 50/2016);</w:t>
            </w:r>
          </w:p>
          <w:p w:rsidR="008847A0" w:rsidRPr="009B60E5" w:rsidRDefault="008847A0" w:rsidP="008847A0">
            <w:pPr>
              <w:ind w:left="99"/>
              <w:jc w:val="both"/>
              <w:rPr>
                <w:rFonts w:ascii="Titillium" w:hAnsi="Titillium"/>
                <w:sz w:val="24"/>
                <w:szCs w:val="24"/>
              </w:rPr>
            </w:pPr>
            <w:r w:rsidRPr="009B60E5">
              <w:rPr>
                <w:rFonts w:ascii="Titillium" w:hAnsi="Titillium"/>
                <w:b/>
                <w:sz w:val="24"/>
                <w:szCs w:val="24"/>
              </w:rPr>
              <w:t>descrizione della fattispecie rilevata</w:t>
            </w:r>
            <w:r w:rsidRPr="009B60E5">
              <w:rPr>
                <w:rFonts w:ascii="Titillium" w:hAnsi="Titillium"/>
                <w:sz w:val="24"/>
                <w:szCs w:val="24"/>
              </w:rPr>
              <w:t>: (testo libero);</w:t>
            </w:r>
          </w:p>
          <w:p w:rsidR="008847A0" w:rsidRPr="009B60E5" w:rsidRDefault="008847A0" w:rsidP="00131235">
            <w:pPr>
              <w:ind w:left="99"/>
              <w:jc w:val="both"/>
              <w:rPr>
                <w:rFonts w:ascii="Titillium" w:hAnsi="Titillium"/>
                <w:b/>
                <w:sz w:val="24"/>
                <w:szCs w:val="24"/>
              </w:rPr>
            </w:pPr>
            <w:r w:rsidRPr="009B60E5">
              <w:rPr>
                <w:rFonts w:ascii="Titillium" w:hAnsi="Titillium"/>
                <w:b/>
                <w:sz w:val="24"/>
                <w:szCs w:val="24"/>
              </w:rPr>
              <w:t>allegazione degli elementi necessari</w:t>
            </w:r>
            <w:r w:rsidRPr="009B60E5">
              <w:rPr>
                <w:rFonts w:ascii="Titillium" w:hAnsi="Titillium"/>
                <w:sz w:val="24"/>
                <w:szCs w:val="24"/>
              </w:rPr>
              <w:t>: richiesta alla Stazione appaltante avanzata dall’Operatore economico con prove di avvenuta consegna</w:t>
            </w:r>
            <w:r w:rsidR="00131235" w:rsidRPr="009B60E5">
              <w:rPr>
                <w:rFonts w:ascii="Titillium" w:hAnsi="Titillium"/>
                <w:sz w:val="24"/>
                <w:szCs w:val="24"/>
              </w:rPr>
              <w:t xml:space="preserve">, con  </w:t>
            </w:r>
            <w:r w:rsidRPr="009B60E5">
              <w:rPr>
                <w:rFonts w:ascii="Titillium" w:hAnsi="Titillium"/>
                <w:sz w:val="24"/>
                <w:szCs w:val="24"/>
              </w:rPr>
              <w:t>eventuale CEL cartaceo in possesso dell’Operatore economico.</w:t>
            </w:r>
          </w:p>
        </w:tc>
      </w:tr>
    </w:tbl>
    <w:p w:rsidR="00152876" w:rsidRPr="009B60E5" w:rsidRDefault="00152876" w:rsidP="008847A0">
      <w:pPr>
        <w:rPr>
          <w:rFonts w:ascii="Titillium" w:hAnsi="Titillium"/>
          <w:sz w:val="24"/>
          <w:szCs w:val="24"/>
        </w:rPr>
      </w:pPr>
    </w:p>
    <w:sectPr w:rsidR="00152876" w:rsidRPr="009B60E5" w:rsidSect="009B60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16" w:right="1134" w:bottom="709" w:left="1134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76" w:rsidRDefault="00BA3A76" w:rsidP="004846A3">
      <w:pPr>
        <w:spacing w:after="0" w:line="240" w:lineRule="auto"/>
      </w:pPr>
      <w:r>
        <w:separator/>
      </w:r>
    </w:p>
  </w:endnote>
  <w:endnote w:type="continuationSeparator" w:id="0">
    <w:p w:rsidR="00BA3A76" w:rsidRDefault="00BA3A76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0E5" w:rsidRDefault="009B60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0E5" w:rsidRPr="00C9222D" w:rsidRDefault="009B60E5" w:rsidP="009B60E5">
    <w:pPr>
      <w:pStyle w:val="Pidipagina"/>
      <w:jc w:val="right"/>
      <w:rPr>
        <w:color w:val="2770B7"/>
        <w:sz w:val="18"/>
        <w:szCs w:val="18"/>
      </w:rPr>
    </w:pPr>
    <w:bookmarkStart w:id="0" w:name="_GoBack"/>
    <w:bookmarkEnd w:id="0"/>
    <w:r w:rsidRPr="00C9222D">
      <w:rPr>
        <w:rFonts w:ascii="Gotham Light" w:hAnsi="Gotham Light"/>
        <w:color w:val="2770B7"/>
        <w:sz w:val="18"/>
        <w:szCs w:val="18"/>
      </w:rPr>
      <w:t>AUTORITÀ NAZIONALE ANTICORRUZIONE</w:t>
    </w:r>
    <w:r w:rsidRPr="00C9222D">
      <w:rPr>
        <w:color w:val="2770B7"/>
        <w:sz w:val="18"/>
        <w:szCs w:val="18"/>
      </w:rPr>
      <w:t xml:space="preserve"> </w:t>
    </w:r>
    <w:r w:rsidRPr="00C9222D">
      <w:rPr>
        <w:rFonts w:ascii="Gotham Light" w:hAnsi="Gotham Light"/>
        <w:color w:val="2770B7"/>
        <w:sz w:val="18"/>
        <w:szCs w:val="18"/>
      </w:rPr>
      <w:t xml:space="preserve"> |  </w:t>
    </w:r>
    <w:r w:rsidRPr="00C9222D">
      <w:rPr>
        <w:rFonts w:ascii="Gotham Medium" w:hAnsi="Gotham Medium"/>
        <w:color w:val="2770B7"/>
        <w:sz w:val="18"/>
        <w:szCs w:val="18"/>
      </w:rPr>
      <w:fldChar w:fldCharType="begin"/>
    </w:r>
    <w:r w:rsidRPr="00C9222D">
      <w:rPr>
        <w:rFonts w:ascii="Gotham Medium" w:hAnsi="Gotham Medium"/>
        <w:color w:val="2770B7"/>
        <w:sz w:val="18"/>
        <w:szCs w:val="18"/>
      </w:rPr>
      <w:instrText>PAGE  \* Arabic</w:instrText>
    </w:r>
    <w:r w:rsidRPr="00C9222D">
      <w:rPr>
        <w:rFonts w:ascii="Gotham Medium" w:hAnsi="Gotham Medium"/>
        <w:color w:val="2770B7"/>
        <w:sz w:val="18"/>
        <w:szCs w:val="18"/>
      </w:rPr>
      <w:fldChar w:fldCharType="separate"/>
    </w:r>
    <w:r>
      <w:rPr>
        <w:rFonts w:ascii="Gotham Medium" w:hAnsi="Gotham Medium"/>
        <w:noProof/>
        <w:color w:val="2770B7"/>
        <w:sz w:val="18"/>
        <w:szCs w:val="18"/>
      </w:rPr>
      <w:t>1</w:t>
    </w:r>
    <w:r w:rsidRPr="00C9222D">
      <w:rPr>
        <w:rFonts w:ascii="Gotham Medium" w:hAnsi="Gotham Medium"/>
        <w:color w:val="2770B7"/>
        <w:sz w:val="18"/>
        <w:szCs w:val="18"/>
      </w:rPr>
      <w:fldChar w:fldCharType="end"/>
    </w:r>
    <w:r w:rsidRPr="00C9222D">
      <w:rPr>
        <w:rFonts w:ascii="Gotham Medium" w:hAnsi="Gotham Medium"/>
        <w:color w:val="2770B7"/>
        <w:sz w:val="18"/>
        <w:szCs w:val="18"/>
      </w:rPr>
      <w:t xml:space="preserve">  </w:t>
    </w:r>
  </w:p>
  <w:p w:rsidR="008401A7" w:rsidRDefault="008401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0E5" w:rsidRDefault="009B6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76" w:rsidRDefault="00BA3A76" w:rsidP="004846A3">
      <w:pPr>
        <w:spacing w:after="0" w:line="240" w:lineRule="auto"/>
      </w:pPr>
      <w:r>
        <w:separator/>
      </w:r>
    </w:p>
  </w:footnote>
  <w:footnote w:type="continuationSeparator" w:id="0">
    <w:p w:rsidR="00BA3A76" w:rsidRDefault="00BA3A76" w:rsidP="0048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0E5" w:rsidRDefault="009B6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DB" w:rsidRDefault="009B60E5">
    <w:pPr>
      <w:pStyle w:val="Intestazione"/>
    </w:pPr>
    <w:r>
      <w:rPr>
        <w:noProof/>
        <w:lang w:eastAsia="it-IT"/>
      </w:rPr>
      <w:drawing>
        <wp:inline distT="0" distB="0" distL="0" distR="0" wp14:anchorId="081F1643" wp14:editId="2BA5ABB5">
          <wp:extent cx="2879725" cy="341630"/>
          <wp:effectExtent l="0" t="0" r="0" b="1270"/>
          <wp:docPr id="7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0E5" w:rsidRDefault="009B60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 w15:restartNumberingAfterBreak="0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36D1E"/>
    <w:rsid w:val="00061DCC"/>
    <w:rsid w:val="000A257B"/>
    <w:rsid w:val="000A6EA1"/>
    <w:rsid w:val="000D6D3D"/>
    <w:rsid w:val="000E0637"/>
    <w:rsid w:val="00130E36"/>
    <w:rsid w:val="00131235"/>
    <w:rsid w:val="00152876"/>
    <w:rsid w:val="00163DA0"/>
    <w:rsid w:val="0016430B"/>
    <w:rsid w:val="00172953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5B14"/>
    <w:rsid w:val="003244B3"/>
    <w:rsid w:val="00377217"/>
    <w:rsid w:val="003926BF"/>
    <w:rsid w:val="003C1967"/>
    <w:rsid w:val="003C5697"/>
    <w:rsid w:val="004846A3"/>
    <w:rsid w:val="004979F7"/>
    <w:rsid w:val="005728BA"/>
    <w:rsid w:val="005C1C90"/>
    <w:rsid w:val="005C4553"/>
    <w:rsid w:val="005D517A"/>
    <w:rsid w:val="006B5A3C"/>
    <w:rsid w:val="006F0FD2"/>
    <w:rsid w:val="007127A4"/>
    <w:rsid w:val="007372C8"/>
    <w:rsid w:val="007754DD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B60E5"/>
    <w:rsid w:val="009C2044"/>
    <w:rsid w:val="009E209B"/>
    <w:rsid w:val="00A35D87"/>
    <w:rsid w:val="00A66334"/>
    <w:rsid w:val="00A771A0"/>
    <w:rsid w:val="00B1398C"/>
    <w:rsid w:val="00B52704"/>
    <w:rsid w:val="00B61605"/>
    <w:rsid w:val="00B67720"/>
    <w:rsid w:val="00BA3A76"/>
    <w:rsid w:val="00BB1D27"/>
    <w:rsid w:val="00BC5D55"/>
    <w:rsid w:val="00C561B8"/>
    <w:rsid w:val="00C64F30"/>
    <w:rsid w:val="00C65023"/>
    <w:rsid w:val="00CA23D5"/>
    <w:rsid w:val="00CC4DCB"/>
    <w:rsid w:val="00CE23F9"/>
    <w:rsid w:val="00CF414E"/>
    <w:rsid w:val="00D37A76"/>
    <w:rsid w:val="00D42019"/>
    <w:rsid w:val="00E37B99"/>
    <w:rsid w:val="00E65EB9"/>
    <w:rsid w:val="00E944CA"/>
    <w:rsid w:val="00F040DB"/>
    <w:rsid w:val="00F3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9512B"/>
  <w15:docId w15:val="{DC72697F-E340-4F95-99B4-E7963D3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nticor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4DE1-FFEA-40BE-84E3-DBAC0146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Tenaglia Paola</cp:lastModifiedBy>
  <cp:revision>3</cp:revision>
  <cp:lastPrinted>2016-12-06T15:46:00Z</cp:lastPrinted>
  <dcterms:created xsi:type="dcterms:W3CDTF">2017-01-30T12:06:00Z</dcterms:created>
  <dcterms:modified xsi:type="dcterms:W3CDTF">2020-06-15T12:38:00Z</dcterms:modified>
</cp:coreProperties>
</file>