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7E" w:rsidRDefault="00A67FDB" w:rsidP="00796A7E">
      <w:pPr>
        <w:pStyle w:val="Intestazione"/>
      </w:pPr>
      <w:r>
        <w:rPr>
          <w:noProof/>
          <w:lang w:eastAsia="it-IT"/>
        </w:rPr>
        <w:drawing>
          <wp:anchor distT="0" distB="0" distL="114300" distR="114300" simplePos="0" relativeHeight="251661312" behindDoc="0" locked="0" layoutInCell="1" allowOverlap="1">
            <wp:simplePos x="0" y="0"/>
            <wp:positionH relativeFrom="margin">
              <wp:posOffset>14631</wp:posOffset>
            </wp:positionH>
            <wp:positionV relativeFrom="margin">
              <wp:posOffset>-112725</wp:posOffset>
            </wp:positionV>
            <wp:extent cx="2879725" cy="334010"/>
            <wp:effectExtent l="0" t="0" r="0" b="889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9725"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A7E" w:rsidRDefault="00796A7E" w:rsidP="00796A7E">
      <w:pPr>
        <w:pStyle w:val="Intestazione"/>
      </w:pPr>
    </w:p>
    <w:tbl>
      <w:tblPr>
        <w:tblpPr w:leftFromText="141" w:rightFromText="141"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4126"/>
      </w:tblGrid>
      <w:tr w:rsidR="00432BC5" w:rsidRPr="00D95127" w:rsidTr="00432BC5">
        <w:trPr>
          <w:trHeight w:val="110"/>
        </w:trPr>
        <w:tc>
          <w:tcPr>
            <w:tcW w:w="4126" w:type="dxa"/>
          </w:tcPr>
          <w:p w:rsidR="00432BC5" w:rsidRPr="00576BB6" w:rsidRDefault="00576BB6" w:rsidP="00D95127">
            <w:pPr>
              <w:pStyle w:val="ANAC-TitoloParagrafo"/>
              <w:spacing w:before="0" w:line="276" w:lineRule="auto"/>
              <w:rPr>
                <w:b/>
                <w:sz w:val="22"/>
                <w:szCs w:val="22"/>
              </w:rPr>
            </w:pPr>
            <w:r>
              <w:rPr>
                <w:b/>
                <w:sz w:val="22"/>
                <w:szCs w:val="22"/>
              </w:rPr>
              <w:t>Il</w:t>
            </w:r>
            <w:r w:rsidR="00D95127" w:rsidRPr="00576BB6">
              <w:rPr>
                <w:b/>
                <w:sz w:val="22"/>
                <w:szCs w:val="22"/>
              </w:rPr>
              <w:t xml:space="preserve"> Presidente</w:t>
            </w:r>
          </w:p>
        </w:tc>
      </w:tr>
    </w:tbl>
    <w:p w:rsidR="0093293B" w:rsidRPr="00D95127" w:rsidRDefault="0093293B" w:rsidP="00D95127">
      <w:pPr>
        <w:pStyle w:val="ANAC-TitoloParagrafo"/>
        <w:spacing w:before="0" w:line="276" w:lineRule="auto"/>
        <w:rPr>
          <w:b/>
          <w:sz w:val="24"/>
        </w:rPr>
      </w:pPr>
    </w:p>
    <w:p w:rsidR="00FD69CF" w:rsidRDefault="00FD69CF" w:rsidP="0093293B">
      <w:pPr>
        <w:pStyle w:val="Default"/>
        <w:ind w:left="-108" w:right="-88"/>
        <w:jc w:val="right"/>
        <w:rPr>
          <w:rFonts w:ascii="Titillium" w:hAnsi="Titillium" w:cs="Titillium Web"/>
          <w:color w:val="auto"/>
          <w:sz w:val="20"/>
          <w:szCs w:val="20"/>
        </w:rPr>
      </w:pPr>
    </w:p>
    <w:p w:rsidR="001B1DC3" w:rsidRDefault="004E661B" w:rsidP="00DB03E5">
      <w:pPr>
        <w:pStyle w:val="Default"/>
        <w:ind w:left="-108" w:right="84"/>
        <w:jc w:val="right"/>
        <w:rPr>
          <w:rFonts w:ascii="Titillium" w:hAnsi="Titillium" w:cs="Titillium Web"/>
          <w:color w:val="auto"/>
          <w:sz w:val="20"/>
          <w:szCs w:val="20"/>
        </w:rPr>
      </w:pPr>
      <w:r>
        <w:rPr>
          <w:rFonts w:ascii="Titillium" w:hAnsi="Titillium" w:cs="Titillium Web"/>
          <w:color w:val="auto"/>
          <w:sz w:val="20"/>
          <w:szCs w:val="20"/>
        </w:rPr>
        <w:t>Comando Generale dell’Arma dei Carabinieri</w:t>
      </w:r>
    </w:p>
    <w:p w:rsidR="004E661B" w:rsidRDefault="004E661B" w:rsidP="00DB03E5">
      <w:pPr>
        <w:pStyle w:val="Default"/>
        <w:ind w:left="-108" w:right="84"/>
        <w:jc w:val="right"/>
        <w:rPr>
          <w:rFonts w:ascii="Titillium" w:hAnsi="Titillium" w:cs="Titillium Web"/>
          <w:color w:val="auto"/>
          <w:sz w:val="20"/>
          <w:szCs w:val="20"/>
        </w:rPr>
      </w:pPr>
      <w:r>
        <w:rPr>
          <w:rFonts w:ascii="Titillium" w:hAnsi="Titillium" w:cs="Titillium Web"/>
          <w:color w:val="auto"/>
          <w:sz w:val="20"/>
          <w:szCs w:val="20"/>
        </w:rPr>
        <w:t>IV Reparto</w:t>
      </w:r>
    </w:p>
    <w:tbl>
      <w:tblPr>
        <w:tblW w:w="15091" w:type="dxa"/>
        <w:tblInd w:w="-108" w:type="dxa"/>
        <w:tblBorders>
          <w:top w:val="nil"/>
          <w:left w:val="nil"/>
          <w:bottom w:val="nil"/>
          <w:right w:val="nil"/>
        </w:tblBorders>
        <w:tblLayout w:type="fixed"/>
        <w:tblLook w:val="0000" w:firstRow="0" w:lastRow="0" w:firstColumn="0" w:lastColumn="0" w:noHBand="0" w:noVBand="0"/>
      </w:tblPr>
      <w:tblGrid>
        <w:gridCol w:w="5769"/>
        <w:gridCol w:w="3553"/>
        <w:gridCol w:w="5769"/>
      </w:tblGrid>
      <w:tr w:rsidR="00690D6C" w:rsidRPr="0093293B" w:rsidTr="00DB03E5">
        <w:trPr>
          <w:trHeight w:val="63"/>
        </w:trPr>
        <w:tc>
          <w:tcPr>
            <w:tcW w:w="5769" w:type="dxa"/>
            <w:tcBorders>
              <w:top w:val="nil"/>
              <w:left w:val="nil"/>
              <w:right w:val="nil"/>
            </w:tcBorders>
          </w:tcPr>
          <w:p w:rsidR="00690D6C" w:rsidRPr="0093293B" w:rsidRDefault="00690D6C" w:rsidP="00DB03E5">
            <w:pPr>
              <w:pStyle w:val="Default"/>
              <w:ind w:left="-108" w:right="84"/>
              <w:jc w:val="right"/>
              <w:rPr>
                <w:rFonts w:ascii="Titillium" w:hAnsi="Titillium" w:cs="Titillium Web"/>
                <w:color w:val="auto"/>
                <w:sz w:val="20"/>
                <w:szCs w:val="20"/>
              </w:rPr>
            </w:pPr>
          </w:p>
        </w:tc>
        <w:tc>
          <w:tcPr>
            <w:tcW w:w="3553" w:type="dxa"/>
            <w:tcBorders>
              <w:top w:val="nil"/>
              <w:left w:val="nil"/>
              <w:right w:val="nil"/>
            </w:tcBorders>
          </w:tcPr>
          <w:p w:rsidR="00690D6C" w:rsidRPr="00F92A43" w:rsidRDefault="004E661B" w:rsidP="00DB03E5">
            <w:pPr>
              <w:pStyle w:val="Default"/>
              <w:tabs>
                <w:tab w:val="left" w:pos="3160"/>
              </w:tabs>
              <w:ind w:left="-108" w:right="-113"/>
              <w:jc w:val="right"/>
              <w:rPr>
                <w:rFonts w:ascii="Titillium" w:hAnsi="Titillium" w:cs="Titillium Web"/>
                <w:color w:val="auto"/>
                <w:sz w:val="20"/>
                <w:szCs w:val="20"/>
              </w:rPr>
            </w:pPr>
            <w:proofErr w:type="gramStart"/>
            <w:r w:rsidRPr="00F92A43">
              <w:rPr>
                <w:rFonts w:ascii="Titillium" w:hAnsi="Titillium" w:cs="Titillium Web"/>
                <w:color w:val="auto"/>
                <w:sz w:val="20"/>
                <w:szCs w:val="20"/>
              </w:rPr>
              <w:t>Gen.</w:t>
            </w:r>
            <w:proofErr w:type="gramEnd"/>
            <w:r w:rsidRPr="00F92A43">
              <w:rPr>
                <w:rFonts w:ascii="Titillium" w:hAnsi="Titillium" w:cs="Titillium Web"/>
                <w:color w:val="auto"/>
                <w:sz w:val="20"/>
                <w:szCs w:val="20"/>
              </w:rPr>
              <w:t xml:space="preserve"> D. Nicola Massimo Masciulli</w:t>
            </w:r>
          </w:p>
          <w:p w:rsidR="004E661B" w:rsidRPr="00F92A43" w:rsidRDefault="004E661B" w:rsidP="00DB03E5">
            <w:pPr>
              <w:pStyle w:val="Default"/>
              <w:tabs>
                <w:tab w:val="left" w:pos="3160"/>
              </w:tabs>
              <w:ind w:left="-108" w:right="-113"/>
              <w:jc w:val="right"/>
              <w:rPr>
                <w:rFonts w:ascii="Titillium" w:hAnsi="Titillium" w:cs="Titillium Web"/>
                <w:color w:val="auto"/>
                <w:sz w:val="20"/>
                <w:szCs w:val="20"/>
              </w:rPr>
            </w:pPr>
            <w:r w:rsidRPr="00F92A43">
              <w:rPr>
                <w:rFonts w:ascii="Titillium" w:hAnsi="Titillium" w:cs="Titillium Web"/>
                <w:color w:val="auto"/>
                <w:sz w:val="20"/>
                <w:szCs w:val="20"/>
              </w:rPr>
              <w:t>Viale Romania, 45</w:t>
            </w:r>
          </w:p>
          <w:p w:rsidR="004E661B" w:rsidRPr="00F92A43" w:rsidRDefault="004E661B" w:rsidP="00DB03E5">
            <w:pPr>
              <w:pStyle w:val="Default"/>
              <w:tabs>
                <w:tab w:val="left" w:pos="3160"/>
              </w:tabs>
              <w:ind w:left="-108" w:right="-113"/>
              <w:jc w:val="right"/>
              <w:rPr>
                <w:rFonts w:ascii="Titillium" w:hAnsi="Titillium" w:cs="Titillium Web"/>
                <w:color w:val="auto"/>
                <w:sz w:val="20"/>
                <w:szCs w:val="20"/>
              </w:rPr>
            </w:pPr>
            <w:r w:rsidRPr="00F92A43">
              <w:rPr>
                <w:rFonts w:ascii="Titillium" w:hAnsi="Titillium" w:cs="Titillium Web"/>
                <w:color w:val="auto"/>
                <w:sz w:val="20"/>
                <w:szCs w:val="20"/>
              </w:rPr>
              <w:t>00197 – Roma</w:t>
            </w:r>
          </w:p>
          <w:p w:rsidR="004E661B" w:rsidRPr="00F92A43" w:rsidRDefault="004E661B" w:rsidP="00DB03E5">
            <w:pPr>
              <w:pStyle w:val="Default"/>
              <w:tabs>
                <w:tab w:val="left" w:pos="3160"/>
              </w:tabs>
              <w:ind w:left="-108" w:right="-113"/>
              <w:jc w:val="right"/>
              <w:rPr>
                <w:rFonts w:ascii="Titillium" w:hAnsi="Titillium" w:cs="Titillium Web"/>
                <w:color w:val="auto"/>
                <w:sz w:val="20"/>
                <w:szCs w:val="20"/>
              </w:rPr>
            </w:pPr>
            <w:proofErr w:type="spellStart"/>
            <w:r w:rsidRPr="00F92A43">
              <w:rPr>
                <w:rFonts w:ascii="Titillium" w:hAnsi="Titillium" w:cs="Titillium Web"/>
                <w:color w:val="auto"/>
                <w:sz w:val="20"/>
                <w:szCs w:val="20"/>
              </w:rPr>
              <w:t>Pec</w:t>
            </w:r>
            <w:proofErr w:type="spellEnd"/>
            <w:r w:rsidRPr="00F92A43">
              <w:rPr>
                <w:rFonts w:ascii="Titillium" w:hAnsi="Titillium" w:cs="Titillium Web"/>
                <w:color w:val="auto"/>
                <w:sz w:val="20"/>
                <w:szCs w:val="20"/>
              </w:rPr>
              <w:t xml:space="preserve">: </w:t>
            </w:r>
            <w:hyperlink r:id="rId13" w:history="1">
              <w:r w:rsidR="00F92A43" w:rsidRPr="00F92A43">
                <w:rPr>
                  <w:rFonts w:ascii="Titillium" w:hAnsi="Titillium"/>
                  <w:color w:val="auto"/>
                  <w:sz w:val="20"/>
                  <w:szCs w:val="20"/>
                </w:rPr>
                <w:t>crm38896@pec.carabinieri.it</w:t>
              </w:r>
            </w:hyperlink>
          </w:p>
          <w:p w:rsidR="00F92A43" w:rsidRPr="00F92A43" w:rsidRDefault="00F92A43" w:rsidP="00DB03E5">
            <w:pPr>
              <w:pStyle w:val="Default"/>
              <w:ind w:left="-108" w:right="84"/>
              <w:jc w:val="right"/>
              <w:rPr>
                <w:rFonts w:ascii="Titillium" w:hAnsi="Titillium" w:cs="Titillium Web"/>
                <w:color w:val="auto"/>
                <w:sz w:val="20"/>
                <w:szCs w:val="20"/>
              </w:rPr>
            </w:pPr>
          </w:p>
        </w:tc>
        <w:tc>
          <w:tcPr>
            <w:tcW w:w="5769" w:type="dxa"/>
            <w:tcBorders>
              <w:top w:val="nil"/>
              <w:left w:val="nil"/>
              <w:right w:val="nil"/>
            </w:tcBorders>
          </w:tcPr>
          <w:p w:rsidR="00690D6C" w:rsidRPr="0093293B" w:rsidRDefault="00690D6C" w:rsidP="00DB03E5">
            <w:pPr>
              <w:pStyle w:val="Default"/>
              <w:ind w:left="-108" w:right="84"/>
              <w:jc w:val="right"/>
              <w:rPr>
                <w:rFonts w:ascii="Titillium" w:hAnsi="Titillium" w:cs="Titillium Web"/>
                <w:color w:val="auto"/>
                <w:sz w:val="20"/>
                <w:szCs w:val="20"/>
              </w:rPr>
            </w:pPr>
          </w:p>
        </w:tc>
      </w:tr>
      <w:tr w:rsidR="00690D6C" w:rsidRPr="0093293B" w:rsidTr="00DB03E5">
        <w:trPr>
          <w:trHeight w:val="100"/>
        </w:trPr>
        <w:tc>
          <w:tcPr>
            <w:tcW w:w="5769" w:type="dxa"/>
          </w:tcPr>
          <w:p w:rsidR="00690D6C" w:rsidRPr="0093293B" w:rsidRDefault="00690D6C" w:rsidP="0093293B">
            <w:pPr>
              <w:pStyle w:val="Default"/>
              <w:ind w:left="-108" w:right="-88"/>
              <w:jc w:val="right"/>
              <w:rPr>
                <w:rFonts w:ascii="Titillium" w:hAnsi="Titillium" w:cs="Titillium Web"/>
                <w:color w:val="auto"/>
                <w:sz w:val="20"/>
                <w:szCs w:val="20"/>
              </w:rPr>
            </w:pPr>
          </w:p>
        </w:tc>
        <w:tc>
          <w:tcPr>
            <w:tcW w:w="3553" w:type="dxa"/>
          </w:tcPr>
          <w:p w:rsidR="00690D6C" w:rsidRPr="0093293B" w:rsidRDefault="00690D6C" w:rsidP="0093293B">
            <w:pPr>
              <w:pStyle w:val="Default"/>
              <w:ind w:left="-108" w:right="-88"/>
              <w:jc w:val="right"/>
              <w:rPr>
                <w:rFonts w:ascii="Titillium" w:hAnsi="Titillium" w:cs="Titillium Web"/>
                <w:color w:val="auto"/>
                <w:sz w:val="20"/>
                <w:szCs w:val="20"/>
              </w:rPr>
            </w:pPr>
          </w:p>
        </w:tc>
        <w:tc>
          <w:tcPr>
            <w:tcW w:w="5769" w:type="dxa"/>
          </w:tcPr>
          <w:p w:rsidR="00690D6C" w:rsidRPr="0093293B" w:rsidRDefault="00690D6C" w:rsidP="0093293B">
            <w:pPr>
              <w:pStyle w:val="Default"/>
              <w:ind w:left="-108" w:right="-88"/>
              <w:jc w:val="right"/>
              <w:rPr>
                <w:rFonts w:ascii="Titillium" w:hAnsi="Titillium" w:cs="Titillium Web"/>
                <w:color w:val="auto"/>
                <w:sz w:val="20"/>
                <w:szCs w:val="20"/>
              </w:rPr>
            </w:pPr>
          </w:p>
        </w:tc>
      </w:tr>
    </w:tbl>
    <w:p w:rsidR="00681235" w:rsidRPr="0093293B" w:rsidRDefault="00C64675" w:rsidP="001170E3">
      <w:pPr>
        <w:pStyle w:val="ANAC-TitoloParagrafo"/>
        <w:tabs>
          <w:tab w:val="clear" w:pos="851"/>
        </w:tabs>
        <w:spacing w:before="0" w:line="276" w:lineRule="auto"/>
        <w:ind w:left="993" w:right="-1"/>
        <w:rPr>
          <w:rFonts w:ascii="Titillium" w:eastAsiaTheme="minorHAnsi" w:hAnsi="Titillium" w:cs="Titillium Web"/>
          <w:b/>
          <w:color w:val="auto"/>
          <w:sz w:val="24"/>
        </w:rPr>
      </w:pPr>
      <w:r>
        <w:rPr>
          <w:b/>
          <w:sz w:val="24"/>
        </w:rPr>
        <w:t xml:space="preserve">  </w:t>
      </w:r>
      <w:r w:rsidR="00681235" w:rsidRPr="0093293B">
        <w:rPr>
          <w:b/>
          <w:sz w:val="24"/>
        </w:rPr>
        <w:t>Oggetto</w:t>
      </w:r>
      <w:r w:rsidR="00681235" w:rsidRPr="0093293B">
        <w:rPr>
          <w:rFonts w:ascii="Titillium" w:eastAsiaTheme="minorHAnsi" w:hAnsi="Titillium" w:cs="Titillium Web"/>
          <w:b/>
          <w:color w:val="auto"/>
          <w:sz w:val="24"/>
        </w:rPr>
        <w:t xml:space="preserve"> </w:t>
      </w:r>
    </w:p>
    <w:tbl>
      <w:tblPr>
        <w:tblW w:w="9214" w:type="dxa"/>
        <w:tblInd w:w="567" w:type="dxa"/>
        <w:tblBorders>
          <w:top w:val="nil"/>
          <w:left w:val="nil"/>
          <w:bottom w:val="nil"/>
          <w:right w:val="nil"/>
        </w:tblBorders>
        <w:tblLayout w:type="fixed"/>
        <w:tblLook w:val="0000" w:firstRow="0" w:lastRow="0" w:firstColumn="0" w:lastColumn="0" w:noHBand="0" w:noVBand="0"/>
      </w:tblPr>
      <w:tblGrid>
        <w:gridCol w:w="9214"/>
      </w:tblGrid>
      <w:tr w:rsidR="00BE61DF" w:rsidRPr="0093293B" w:rsidTr="00F906BB">
        <w:trPr>
          <w:trHeight w:val="264"/>
        </w:trPr>
        <w:tc>
          <w:tcPr>
            <w:tcW w:w="9214" w:type="dxa"/>
          </w:tcPr>
          <w:p w:rsidR="00BE61DF" w:rsidRDefault="004E661B" w:rsidP="001170E3">
            <w:pPr>
              <w:pStyle w:val="Default"/>
              <w:tabs>
                <w:tab w:val="left" w:pos="454"/>
                <w:tab w:val="left" w:pos="1134"/>
              </w:tabs>
              <w:spacing w:line="276" w:lineRule="auto"/>
              <w:ind w:left="454" w:right="-2"/>
              <w:jc w:val="both"/>
              <w:rPr>
                <w:rFonts w:ascii="Titillium" w:hAnsi="Titillium" w:cs="Titillium Web"/>
                <w:color w:val="auto"/>
                <w:sz w:val="20"/>
                <w:szCs w:val="20"/>
              </w:rPr>
            </w:pPr>
            <w:r>
              <w:rPr>
                <w:rFonts w:ascii="Titillium" w:hAnsi="Titillium" w:cs="Titillium Web"/>
                <w:color w:val="auto"/>
                <w:sz w:val="20"/>
                <w:szCs w:val="20"/>
              </w:rPr>
              <w:t xml:space="preserve">Fornitura di risma di carta formato A4 per l’Arma dei Carabinieri </w:t>
            </w:r>
            <w:r w:rsidR="00E4038E">
              <w:rPr>
                <w:rFonts w:ascii="Titillium" w:hAnsi="Titillium" w:cs="Titillium Web"/>
                <w:color w:val="auto"/>
                <w:sz w:val="20"/>
                <w:szCs w:val="20"/>
              </w:rPr>
              <w:t>-</w:t>
            </w:r>
            <w:r w:rsidR="00077F15">
              <w:rPr>
                <w:rFonts w:ascii="Titillium" w:hAnsi="Titillium" w:cs="Titillium Web"/>
                <w:color w:val="auto"/>
                <w:sz w:val="20"/>
                <w:szCs w:val="20"/>
              </w:rPr>
              <w:t xml:space="preserve"> </w:t>
            </w:r>
            <w:r w:rsidR="001B1DC3">
              <w:rPr>
                <w:rFonts w:ascii="Titillium" w:hAnsi="Titillium" w:cs="Titillium Web"/>
                <w:color w:val="auto"/>
                <w:sz w:val="20"/>
                <w:szCs w:val="20"/>
              </w:rPr>
              <w:t xml:space="preserve"> </w:t>
            </w:r>
            <w:r w:rsidR="001B1DC3" w:rsidRPr="001B1DC3">
              <w:rPr>
                <w:rFonts w:ascii="Titillium" w:hAnsi="Titillium" w:cs="Titillium Web"/>
                <w:color w:val="auto"/>
                <w:sz w:val="20"/>
                <w:szCs w:val="20"/>
              </w:rPr>
              <w:t>Richiesta parere</w:t>
            </w:r>
            <w:r w:rsidR="00CC7E51">
              <w:rPr>
                <w:rFonts w:ascii="Titillium" w:hAnsi="Titillium" w:cs="Titillium Web"/>
                <w:color w:val="auto"/>
                <w:sz w:val="20"/>
                <w:szCs w:val="20"/>
              </w:rPr>
              <w:t>.</w:t>
            </w:r>
          </w:p>
          <w:p w:rsidR="007C50C7" w:rsidRPr="007C50C7" w:rsidRDefault="004E661B" w:rsidP="001170E3">
            <w:pPr>
              <w:pStyle w:val="Default"/>
              <w:tabs>
                <w:tab w:val="left" w:pos="454"/>
                <w:tab w:val="left" w:pos="1134"/>
              </w:tabs>
              <w:spacing w:line="276" w:lineRule="auto"/>
              <w:ind w:left="454" w:right="-2"/>
              <w:jc w:val="both"/>
              <w:rPr>
                <w:rFonts w:ascii="Titillium" w:hAnsi="Titillium" w:cs="Titillium Web"/>
                <w:b/>
                <w:color w:val="auto"/>
                <w:sz w:val="20"/>
                <w:szCs w:val="20"/>
              </w:rPr>
            </w:pPr>
            <w:r>
              <w:rPr>
                <w:rFonts w:ascii="Titillium" w:hAnsi="Titillium" w:cs="Titillium Web"/>
                <w:b/>
                <w:color w:val="auto"/>
                <w:sz w:val="20"/>
                <w:szCs w:val="20"/>
              </w:rPr>
              <w:t>FUNZ CONS 20</w:t>
            </w:r>
            <w:r w:rsidR="007C50C7" w:rsidRPr="007C50C7">
              <w:rPr>
                <w:rFonts w:ascii="Titillium" w:hAnsi="Titillium" w:cs="Titillium Web"/>
                <w:b/>
                <w:color w:val="auto"/>
                <w:sz w:val="20"/>
                <w:szCs w:val="20"/>
              </w:rPr>
              <w:t>/2022</w:t>
            </w:r>
          </w:p>
        </w:tc>
      </w:tr>
      <w:tr w:rsidR="001B1DC3" w:rsidRPr="0093293B" w:rsidTr="00F906BB">
        <w:trPr>
          <w:trHeight w:val="264"/>
        </w:trPr>
        <w:tc>
          <w:tcPr>
            <w:tcW w:w="9214" w:type="dxa"/>
          </w:tcPr>
          <w:p w:rsidR="001934FA" w:rsidRDefault="001934FA" w:rsidP="001170E3">
            <w:pPr>
              <w:pStyle w:val="Default"/>
              <w:tabs>
                <w:tab w:val="left" w:pos="1134"/>
              </w:tabs>
              <w:ind w:left="883"/>
              <w:rPr>
                <w:rFonts w:ascii="Titillium" w:hAnsi="Titillium" w:cs="Titillium Web"/>
                <w:color w:val="auto"/>
                <w:sz w:val="20"/>
                <w:szCs w:val="20"/>
              </w:rPr>
            </w:pPr>
          </w:p>
        </w:tc>
      </w:tr>
    </w:tbl>
    <w:p w:rsidR="000C5E03" w:rsidRPr="00F906BB" w:rsidRDefault="00826AD5" w:rsidP="00DB03E5">
      <w:pPr>
        <w:pStyle w:val="Default"/>
        <w:tabs>
          <w:tab w:val="left" w:pos="1134"/>
        </w:tabs>
        <w:spacing w:line="276" w:lineRule="auto"/>
        <w:ind w:left="1134" w:right="-2" w:firstLine="567"/>
        <w:jc w:val="both"/>
        <w:rPr>
          <w:rFonts w:ascii="Titillium" w:hAnsi="Titillium" w:cs="Titillium Web"/>
          <w:color w:val="auto"/>
          <w:sz w:val="20"/>
          <w:szCs w:val="20"/>
        </w:rPr>
      </w:pPr>
      <w:r w:rsidRPr="00F906BB">
        <w:rPr>
          <w:rFonts w:ascii="Titillium" w:hAnsi="Titillium" w:cs="Titillium Web"/>
          <w:color w:val="auto"/>
          <w:sz w:val="20"/>
          <w:szCs w:val="20"/>
        </w:rPr>
        <w:t>In esito a quanto</w:t>
      </w:r>
      <w:r w:rsidR="00055132" w:rsidRPr="00F906BB">
        <w:rPr>
          <w:rFonts w:ascii="Titillium" w:hAnsi="Titillium" w:cs="Titillium Web"/>
          <w:color w:val="auto"/>
          <w:sz w:val="20"/>
          <w:szCs w:val="20"/>
        </w:rPr>
        <w:t xml:space="preserve"> </w:t>
      </w:r>
      <w:r w:rsidRPr="00F906BB">
        <w:rPr>
          <w:rFonts w:ascii="Titillium" w:hAnsi="Titillium" w:cs="Titillium Web"/>
          <w:color w:val="auto"/>
          <w:sz w:val="20"/>
          <w:szCs w:val="20"/>
        </w:rPr>
        <w:t xml:space="preserve">richiesto </w:t>
      </w:r>
      <w:r w:rsidR="009C4214" w:rsidRPr="00F906BB">
        <w:rPr>
          <w:rFonts w:ascii="Titillium" w:hAnsi="Titillium" w:cs="Titillium Web"/>
          <w:color w:val="auto"/>
          <w:sz w:val="20"/>
          <w:szCs w:val="20"/>
        </w:rPr>
        <w:t xml:space="preserve">con nota pervenuta in data </w:t>
      </w:r>
      <w:r w:rsidR="00DB4D6E">
        <w:rPr>
          <w:rFonts w:ascii="Titillium" w:hAnsi="Titillium" w:cs="Titillium Web"/>
          <w:color w:val="auto"/>
          <w:sz w:val="20"/>
          <w:szCs w:val="20"/>
        </w:rPr>
        <w:t>4 aprile 2022</w:t>
      </w:r>
      <w:r w:rsidR="009C4214" w:rsidRPr="00F906BB">
        <w:rPr>
          <w:rFonts w:ascii="Titillium" w:hAnsi="Titillium" w:cs="Titillium Web"/>
          <w:color w:val="auto"/>
          <w:sz w:val="20"/>
          <w:szCs w:val="20"/>
        </w:rPr>
        <w:t xml:space="preserve">, acquisita al </w:t>
      </w:r>
      <w:proofErr w:type="spellStart"/>
      <w:r w:rsidR="009C4214" w:rsidRPr="00F906BB">
        <w:rPr>
          <w:rFonts w:ascii="Titillium" w:hAnsi="Titillium" w:cs="Titillium Web"/>
          <w:color w:val="auto"/>
          <w:sz w:val="20"/>
          <w:szCs w:val="20"/>
        </w:rPr>
        <w:t>prot</w:t>
      </w:r>
      <w:proofErr w:type="spellEnd"/>
      <w:r w:rsidR="009C4214" w:rsidRPr="00F906BB">
        <w:rPr>
          <w:rFonts w:ascii="Titillium" w:hAnsi="Titillium" w:cs="Titillium Web"/>
          <w:color w:val="auto"/>
          <w:sz w:val="20"/>
          <w:szCs w:val="20"/>
        </w:rPr>
        <w:t>. Aut. n.</w:t>
      </w:r>
      <w:r w:rsidR="005D02A3" w:rsidRPr="00F906BB">
        <w:rPr>
          <w:rFonts w:ascii="Titillium" w:hAnsi="Titillium" w:cs="Titillium Web"/>
          <w:color w:val="auto"/>
          <w:sz w:val="20"/>
          <w:szCs w:val="20"/>
        </w:rPr>
        <w:t xml:space="preserve"> </w:t>
      </w:r>
      <w:r w:rsidR="00DB4D6E">
        <w:rPr>
          <w:rFonts w:ascii="Titillium" w:hAnsi="Titillium" w:cs="Titillium Web"/>
          <w:color w:val="auto"/>
          <w:sz w:val="20"/>
          <w:szCs w:val="20"/>
        </w:rPr>
        <w:t xml:space="preserve">24494 </w:t>
      </w:r>
      <w:r w:rsidR="00055132" w:rsidRPr="00F906BB">
        <w:rPr>
          <w:rFonts w:ascii="Titillium" w:hAnsi="Titillium" w:cs="Titillium Web"/>
          <w:color w:val="auto"/>
          <w:sz w:val="20"/>
          <w:szCs w:val="20"/>
        </w:rPr>
        <w:t xml:space="preserve">ai sensi </w:t>
      </w:r>
      <w:r w:rsidR="009C4214" w:rsidRPr="00F906BB">
        <w:rPr>
          <w:rFonts w:ascii="Titillium" w:hAnsi="Titillium" w:cs="Titillium Web"/>
          <w:color w:val="auto"/>
          <w:sz w:val="20"/>
          <w:szCs w:val="20"/>
        </w:rPr>
        <w:t xml:space="preserve">del Regolamento </w:t>
      </w:r>
      <w:r w:rsidR="00055132" w:rsidRPr="00F906BB">
        <w:rPr>
          <w:rFonts w:ascii="Titillium" w:hAnsi="Titillium" w:cs="Titillium Web"/>
          <w:color w:val="auto"/>
          <w:sz w:val="20"/>
          <w:szCs w:val="20"/>
        </w:rPr>
        <w:t xml:space="preserve">sulla funzione consultiva </w:t>
      </w:r>
      <w:r w:rsidR="009C4214" w:rsidRPr="00F906BB">
        <w:rPr>
          <w:rFonts w:ascii="Titillium" w:hAnsi="Titillium" w:cs="Titillium Web"/>
          <w:color w:val="auto"/>
          <w:sz w:val="20"/>
          <w:szCs w:val="20"/>
        </w:rPr>
        <w:t>del 7 dicembre 2018</w:t>
      </w:r>
      <w:r w:rsidR="00055132" w:rsidRPr="00F906BB">
        <w:rPr>
          <w:rFonts w:ascii="Titillium" w:hAnsi="Titillium" w:cs="Titillium Web"/>
          <w:color w:val="auto"/>
          <w:sz w:val="20"/>
          <w:szCs w:val="20"/>
        </w:rPr>
        <w:t xml:space="preserve">, </w:t>
      </w:r>
      <w:r w:rsidR="00CC7E51" w:rsidRPr="00F906BB">
        <w:rPr>
          <w:rFonts w:ascii="Titillium" w:hAnsi="Titillium" w:cs="Titillium Web"/>
          <w:color w:val="auto"/>
          <w:sz w:val="20"/>
          <w:szCs w:val="20"/>
        </w:rPr>
        <w:t xml:space="preserve">come modificato con delibera n. 654 del 22 settembre 2021 </w:t>
      </w:r>
      <w:r w:rsidR="00055132" w:rsidRPr="00F906BB">
        <w:rPr>
          <w:rFonts w:ascii="Titillium" w:hAnsi="Titillium" w:cs="Titillium Web"/>
          <w:color w:val="auto"/>
          <w:sz w:val="20"/>
          <w:szCs w:val="20"/>
        </w:rPr>
        <w:t xml:space="preserve">si </w:t>
      </w:r>
      <w:r w:rsidR="000C5E03" w:rsidRPr="00F906BB">
        <w:rPr>
          <w:rFonts w:ascii="Titillium" w:hAnsi="Titillium" w:cs="Titillium Web"/>
          <w:color w:val="auto"/>
          <w:sz w:val="20"/>
          <w:szCs w:val="20"/>
        </w:rPr>
        <w:t>comunica</w:t>
      </w:r>
      <w:r w:rsidR="00055132" w:rsidRPr="00F906BB">
        <w:rPr>
          <w:rFonts w:ascii="Titillium" w:hAnsi="Titillium" w:cs="Titillium Web"/>
          <w:color w:val="auto"/>
          <w:sz w:val="20"/>
          <w:szCs w:val="20"/>
        </w:rPr>
        <w:t xml:space="preserve"> </w:t>
      </w:r>
      <w:r w:rsidR="000C5E03" w:rsidRPr="00F906BB">
        <w:rPr>
          <w:rFonts w:ascii="Titillium" w:hAnsi="Titillium" w:cs="Titillium Web"/>
          <w:color w:val="auto"/>
          <w:sz w:val="20"/>
          <w:szCs w:val="20"/>
        </w:rPr>
        <w:t>che i</w:t>
      </w:r>
      <w:r w:rsidR="00055132" w:rsidRPr="00F906BB">
        <w:rPr>
          <w:rFonts w:ascii="Titillium" w:hAnsi="Titillium" w:cs="Titillium Web"/>
          <w:color w:val="auto"/>
          <w:sz w:val="20"/>
          <w:szCs w:val="20"/>
        </w:rPr>
        <w:t>l Consiglio dell’Autorità</w:t>
      </w:r>
      <w:r w:rsidR="000C5E03" w:rsidRPr="00F906BB">
        <w:rPr>
          <w:rFonts w:ascii="Titillium" w:hAnsi="Titillium" w:cs="Titillium Web"/>
          <w:color w:val="auto"/>
          <w:sz w:val="20"/>
          <w:szCs w:val="20"/>
        </w:rPr>
        <w:t xml:space="preserve">, </w:t>
      </w:r>
      <w:r w:rsidR="00055132" w:rsidRPr="00F906BB">
        <w:rPr>
          <w:rFonts w:ascii="Titillium" w:hAnsi="Titillium" w:cs="Titillium Web"/>
          <w:color w:val="auto"/>
          <w:sz w:val="20"/>
          <w:szCs w:val="20"/>
        </w:rPr>
        <w:t xml:space="preserve">nell’adunanza del </w:t>
      </w:r>
      <w:r w:rsidR="0003074A" w:rsidRPr="00F906BB">
        <w:rPr>
          <w:rFonts w:ascii="Titillium" w:hAnsi="Titillium" w:cs="Titillium Web"/>
          <w:color w:val="auto"/>
          <w:sz w:val="20"/>
          <w:szCs w:val="20"/>
        </w:rPr>
        <w:t>_______________________</w:t>
      </w:r>
      <w:r w:rsidR="00055132" w:rsidRPr="00F906BB">
        <w:rPr>
          <w:rFonts w:ascii="Titillium" w:hAnsi="Titillium" w:cs="Titillium Web"/>
          <w:color w:val="auto"/>
          <w:sz w:val="20"/>
          <w:szCs w:val="20"/>
        </w:rPr>
        <w:t xml:space="preserve">, </w:t>
      </w:r>
      <w:r w:rsidR="000C5E03" w:rsidRPr="00F906BB">
        <w:rPr>
          <w:rFonts w:ascii="Titillium" w:hAnsi="Titillium" w:cs="Titillium Web"/>
          <w:color w:val="auto"/>
          <w:sz w:val="20"/>
          <w:szCs w:val="20"/>
        </w:rPr>
        <w:t>ha approvato le seguenti considerazioni.</w:t>
      </w:r>
    </w:p>
    <w:p w:rsidR="005F78F7" w:rsidRPr="00F906BB" w:rsidRDefault="005F78F7" w:rsidP="00DB03E5">
      <w:pPr>
        <w:tabs>
          <w:tab w:val="clear" w:pos="851"/>
        </w:tabs>
        <w:spacing w:after="0" w:line="276" w:lineRule="auto"/>
        <w:ind w:left="1134" w:right="-2" w:firstLine="567"/>
        <w:jc w:val="both"/>
        <w:rPr>
          <w:sz w:val="20"/>
          <w:szCs w:val="20"/>
        </w:rPr>
      </w:pPr>
      <w:r w:rsidRPr="00F906BB">
        <w:rPr>
          <w:sz w:val="20"/>
          <w:szCs w:val="20"/>
        </w:rPr>
        <w:t>Preliminarmente si rappresenta che esula dalla sfera di competenza di questa Autorità il rilascio di pareri preventivi in ordine ad atti e provvedimenti delle stazioni appaltanti, nonché alla stipula di contratti d’appalto o di concessione, fatto salvo l’esercizio dell’attività di vigilanza collaborativa in materia di contratti pubblici ai sensi del Regolamento del 28 giugno 2017.</w:t>
      </w:r>
    </w:p>
    <w:p w:rsidR="00D4329B" w:rsidRDefault="005F78F7" w:rsidP="00DB03E5">
      <w:pPr>
        <w:tabs>
          <w:tab w:val="clear" w:pos="851"/>
        </w:tabs>
        <w:spacing w:after="0" w:line="276" w:lineRule="auto"/>
        <w:ind w:left="1134" w:right="-2" w:firstLine="567"/>
        <w:jc w:val="both"/>
        <w:rPr>
          <w:sz w:val="20"/>
          <w:szCs w:val="20"/>
        </w:rPr>
      </w:pPr>
      <w:r w:rsidRPr="00F906BB">
        <w:rPr>
          <w:sz w:val="20"/>
          <w:szCs w:val="20"/>
        </w:rPr>
        <w:t>Quale indirizzo di carattere generale sulla questione sollevata nella richiesta di parere</w:t>
      </w:r>
      <w:r w:rsidR="00523E26" w:rsidRPr="00F906BB">
        <w:rPr>
          <w:sz w:val="20"/>
          <w:szCs w:val="20"/>
        </w:rPr>
        <w:t>,</w:t>
      </w:r>
      <w:r w:rsidRPr="00F906BB">
        <w:rPr>
          <w:sz w:val="20"/>
          <w:szCs w:val="20"/>
        </w:rPr>
        <w:t xml:space="preserve"> </w:t>
      </w:r>
      <w:r w:rsidR="00052E5B" w:rsidRPr="00F906BB">
        <w:rPr>
          <w:sz w:val="20"/>
          <w:szCs w:val="20"/>
        </w:rPr>
        <w:t xml:space="preserve">relativa </w:t>
      </w:r>
      <w:r w:rsidR="004A6A58">
        <w:rPr>
          <w:sz w:val="20"/>
          <w:szCs w:val="20"/>
        </w:rPr>
        <w:t>all</w:t>
      </w:r>
      <w:r w:rsidR="00DB4D6E">
        <w:rPr>
          <w:sz w:val="20"/>
          <w:szCs w:val="20"/>
        </w:rPr>
        <w:t>a possibilità di procedere a modifiche</w:t>
      </w:r>
      <w:r w:rsidR="005C048E">
        <w:rPr>
          <w:sz w:val="20"/>
          <w:szCs w:val="20"/>
        </w:rPr>
        <w:t xml:space="preserve">, anche relative ai prezzi, </w:t>
      </w:r>
      <w:r w:rsidR="006F2AC3">
        <w:rPr>
          <w:sz w:val="20"/>
          <w:szCs w:val="20"/>
        </w:rPr>
        <w:t>dei contratti di appalto in corso di esecuzione</w:t>
      </w:r>
      <w:r w:rsidR="005C048E">
        <w:rPr>
          <w:sz w:val="20"/>
          <w:szCs w:val="20"/>
        </w:rPr>
        <w:t xml:space="preserve">, </w:t>
      </w:r>
      <w:r w:rsidR="006F2AC3">
        <w:rPr>
          <w:sz w:val="20"/>
          <w:szCs w:val="20"/>
        </w:rPr>
        <w:t>a causa</w:t>
      </w:r>
      <w:r w:rsidR="00DB4D6E">
        <w:rPr>
          <w:sz w:val="20"/>
          <w:szCs w:val="20"/>
        </w:rPr>
        <w:t xml:space="preserve"> dell’attuale situazione internazionale e della persisten</w:t>
      </w:r>
      <w:r w:rsidR="006F2AC3">
        <w:rPr>
          <w:sz w:val="20"/>
          <w:szCs w:val="20"/>
        </w:rPr>
        <w:t xml:space="preserve">te </w:t>
      </w:r>
      <w:r w:rsidR="00DB4D6E">
        <w:rPr>
          <w:sz w:val="20"/>
          <w:szCs w:val="20"/>
        </w:rPr>
        <w:t>emergenza sanitaria da Covid-19</w:t>
      </w:r>
      <w:r w:rsidR="002E0435">
        <w:rPr>
          <w:sz w:val="20"/>
          <w:szCs w:val="20"/>
        </w:rPr>
        <w:t xml:space="preserve">, </w:t>
      </w:r>
      <w:r w:rsidR="00407070">
        <w:rPr>
          <w:sz w:val="20"/>
          <w:szCs w:val="20"/>
        </w:rPr>
        <w:t xml:space="preserve">sembra utile </w:t>
      </w:r>
      <w:r w:rsidR="006F2AC3">
        <w:rPr>
          <w:sz w:val="20"/>
          <w:szCs w:val="20"/>
        </w:rPr>
        <w:t>richiamare</w:t>
      </w:r>
      <w:r w:rsidR="002E0435">
        <w:rPr>
          <w:sz w:val="20"/>
          <w:szCs w:val="20"/>
        </w:rPr>
        <w:t xml:space="preserve"> in primo luogo</w:t>
      </w:r>
      <w:r w:rsidR="00407070">
        <w:rPr>
          <w:sz w:val="20"/>
          <w:szCs w:val="20"/>
        </w:rPr>
        <w:t xml:space="preserve"> il principio </w:t>
      </w:r>
      <w:r w:rsidR="002135DE">
        <w:rPr>
          <w:sz w:val="20"/>
          <w:szCs w:val="20"/>
        </w:rPr>
        <w:t xml:space="preserve">generale </w:t>
      </w:r>
      <w:r w:rsidR="00407070">
        <w:rPr>
          <w:sz w:val="20"/>
          <w:szCs w:val="20"/>
        </w:rPr>
        <w:t xml:space="preserve">per cui </w:t>
      </w:r>
      <w:r w:rsidR="00D4329B">
        <w:rPr>
          <w:sz w:val="20"/>
          <w:szCs w:val="20"/>
        </w:rPr>
        <w:t>«</w:t>
      </w:r>
      <w:r w:rsidR="00D4329B" w:rsidRPr="00BD25E3">
        <w:rPr>
          <w:sz w:val="20"/>
          <w:szCs w:val="20"/>
        </w:rPr>
        <w:t xml:space="preserve">il bando, il disciplinare di gara e il capitolato speciale d’appalto, ciascuno con una propria autonomia e peculiare funzione nell’economia della procedura (il primo fissando le regole della gara, il secondo disciplinando il procedimento di gara ed il terzo integrando eventualmente le disposizioni del bando, di norma in relazione agli aspetti tecnici, anche in funzione dell’assumendo vincolo contrattuale), </w:t>
      </w:r>
      <w:r w:rsidR="00D4329B">
        <w:rPr>
          <w:sz w:val="20"/>
          <w:szCs w:val="20"/>
        </w:rPr>
        <w:t>…</w:t>
      </w:r>
      <w:r w:rsidR="00D4329B" w:rsidRPr="00BD25E3">
        <w:rPr>
          <w:sz w:val="20"/>
          <w:szCs w:val="20"/>
        </w:rPr>
        <w:t xml:space="preserve"> costituiscono nel complesso la </w:t>
      </w:r>
      <w:proofErr w:type="spellStart"/>
      <w:r w:rsidR="00D4329B" w:rsidRPr="00D4329B">
        <w:rPr>
          <w:i/>
          <w:sz w:val="20"/>
          <w:szCs w:val="20"/>
        </w:rPr>
        <w:t>lex</w:t>
      </w:r>
      <w:proofErr w:type="spellEnd"/>
      <w:r w:rsidR="00D4329B" w:rsidRPr="00D4329B">
        <w:rPr>
          <w:i/>
          <w:sz w:val="20"/>
          <w:szCs w:val="20"/>
        </w:rPr>
        <w:t xml:space="preserve"> </w:t>
      </w:r>
      <w:proofErr w:type="spellStart"/>
      <w:r w:rsidR="00D4329B" w:rsidRPr="00D4329B">
        <w:rPr>
          <w:i/>
          <w:sz w:val="20"/>
          <w:szCs w:val="20"/>
        </w:rPr>
        <w:t>specialis</w:t>
      </w:r>
      <w:proofErr w:type="spellEnd"/>
      <w:r w:rsidR="00D4329B" w:rsidRPr="00BD25E3">
        <w:rPr>
          <w:sz w:val="20"/>
          <w:szCs w:val="20"/>
        </w:rPr>
        <w:t xml:space="preserve"> di gara ed hanno natura vincolante per concorrenti e stazione appaltante</w:t>
      </w:r>
      <w:r w:rsidR="00D4329B">
        <w:rPr>
          <w:sz w:val="20"/>
          <w:szCs w:val="20"/>
        </w:rPr>
        <w:t xml:space="preserve"> (…</w:t>
      </w:r>
      <w:r w:rsidR="00D4329B" w:rsidRPr="00BD25E3">
        <w:rPr>
          <w:sz w:val="20"/>
          <w:szCs w:val="20"/>
        </w:rPr>
        <w:t xml:space="preserve">)» </w:t>
      </w:r>
      <w:r w:rsidR="00D4329B">
        <w:rPr>
          <w:sz w:val="20"/>
          <w:szCs w:val="20"/>
        </w:rPr>
        <w:t>(</w:t>
      </w:r>
      <w:r w:rsidR="00D4329B" w:rsidRPr="00B52503">
        <w:rPr>
          <w:i/>
          <w:sz w:val="20"/>
          <w:szCs w:val="20"/>
        </w:rPr>
        <w:t xml:space="preserve">ex </w:t>
      </w:r>
      <w:proofErr w:type="spellStart"/>
      <w:r w:rsidR="00D4329B" w:rsidRPr="00B52503">
        <w:rPr>
          <w:i/>
          <w:sz w:val="20"/>
          <w:szCs w:val="20"/>
        </w:rPr>
        <w:t>multis</w:t>
      </w:r>
      <w:proofErr w:type="spellEnd"/>
      <w:r w:rsidR="00D4329B">
        <w:rPr>
          <w:sz w:val="20"/>
          <w:szCs w:val="20"/>
        </w:rPr>
        <w:t xml:space="preserve"> </w:t>
      </w:r>
      <w:r w:rsidR="00D4329B" w:rsidRPr="000D10D8">
        <w:rPr>
          <w:sz w:val="20"/>
          <w:szCs w:val="20"/>
        </w:rPr>
        <w:t xml:space="preserve">Delibera </w:t>
      </w:r>
      <w:proofErr w:type="spellStart"/>
      <w:r w:rsidR="00D4329B" w:rsidRPr="000D10D8">
        <w:rPr>
          <w:sz w:val="20"/>
          <w:szCs w:val="20"/>
        </w:rPr>
        <w:t>Anac</w:t>
      </w:r>
      <w:proofErr w:type="spellEnd"/>
      <w:r w:rsidR="00D4329B" w:rsidRPr="000D10D8">
        <w:rPr>
          <w:sz w:val="20"/>
          <w:szCs w:val="20"/>
        </w:rPr>
        <w:t xml:space="preserve"> n. 159/2021 </w:t>
      </w:r>
      <w:r w:rsidR="00D4329B">
        <w:rPr>
          <w:sz w:val="20"/>
          <w:szCs w:val="20"/>
        </w:rPr>
        <w:t xml:space="preserve">- </w:t>
      </w:r>
      <w:proofErr w:type="spellStart"/>
      <w:r w:rsidR="00D4329B" w:rsidRPr="000D10D8">
        <w:rPr>
          <w:sz w:val="20"/>
          <w:szCs w:val="20"/>
        </w:rPr>
        <w:t>prec</w:t>
      </w:r>
      <w:proofErr w:type="spellEnd"/>
      <w:r w:rsidR="00D4329B" w:rsidRPr="000D10D8">
        <w:rPr>
          <w:sz w:val="20"/>
          <w:szCs w:val="20"/>
        </w:rPr>
        <w:t xml:space="preserve"> 23/2021/S</w:t>
      </w:r>
      <w:r w:rsidR="00D4329B">
        <w:rPr>
          <w:sz w:val="20"/>
          <w:szCs w:val="20"/>
        </w:rPr>
        <w:t xml:space="preserve"> e precedenti ivi richiamati</w:t>
      </w:r>
      <w:r w:rsidR="00D4329B" w:rsidRPr="000D10D8">
        <w:rPr>
          <w:sz w:val="20"/>
          <w:szCs w:val="20"/>
        </w:rPr>
        <w:t>)</w:t>
      </w:r>
      <w:r w:rsidR="00D4329B">
        <w:rPr>
          <w:sz w:val="20"/>
          <w:szCs w:val="20"/>
        </w:rPr>
        <w:t>.</w:t>
      </w:r>
    </w:p>
    <w:p w:rsidR="00CE47D3" w:rsidRDefault="00407070" w:rsidP="00DB03E5">
      <w:pPr>
        <w:tabs>
          <w:tab w:val="clear" w:pos="851"/>
        </w:tabs>
        <w:spacing w:after="0" w:line="276" w:lineRule="auto"/>
        <w:ind w:left="1134" w:right="-2" w:firstLine="567"/>
        <w:jc w:val="both"/>
        <w:rPr>
          <w:sz w:val="20"/>
          <w:szCs w:val="20"/>
        </w:rPr>
      </w:pPr>
      <w:r w:rsidRPr="00407070">
        <w:rPr>
          <w:rFonts w:ascii="Calibri" w:hAnsi="Calibri" w:cs="Calibri"/>
          <w:sz w:val="20"/>
          <w:szCs w:val="20"/>
        </w:rPr>
        <w:t> </w:t>
      </w:r>
      <w:r w:rsidR="002E0435">
        <w:rPr>
          <w:sz w:val="20"/>
          <w:szCs w:val="20"/>
        </w:rPr>
        <w:t>Per quanto sopra</w:t>
      </w:r>
      <w:r w:rsidR="00F11306">
        <w:rPr>
          <w:sz w:val="20"/>
          <w:szCs w:val="20"/>
        </w:rPr>
        <w:t xml:space="preserve">, le previsioni della </w:t>
      </w:r>
      <w:proofErr w:type="spellStart"/>
      <w:r w:rsidR="00F11306" w:rsidRPr="00B52503">
        <w:rPr>
          <w:i/>
          <w:sz w:val="20"/>
          <w:szCs w:val="20"/>
        </w:rPr>
        <w:t>lex</w:t>
      </w:r>
      <w:proofErr w:type="spellEnd"/>
      <w:r w:rsidR="00F11306" w:rsidRPr="00B52503">
        <w:rPr>
          <w:i/>
          <w:sz w:val="20"/>
          <w:szCs w:val="20"/>
        </w:rPr>
        <w:t xml:space="preserve"> </w:t>
      </w:r>
      <w:proofErr w:type="spellStart"/>
      <w:r w:rsidR="00F11306" w:rsidRPr="00B52503">
        <w:rPr>
          <w:i/>
          <w:sz w:val="20"/>
          <w:szCs w:val="20"/>
        </w:rPr>
        <w:t>specialis</w:t>
      </w:r>
      <w:proofErr w:type="spellEnd"/>
      <w:r w:rsidR="00F11306">
        <w:rPr>
          <w:sz w:val="20"/>
          <w:szCs w:val="20"/>
        </w:rPr>
        <w:t xml:space="preserve"> non possono essere disattese né dagli operatori economici né </w:t>
      </w:r>
      <w:r w:rsidR="00752ACB">
        <w:rPr>
          <w:sz w:val="20"/>
          <w:szCs w:val="20"/>
        </w:rPr>
        <w:t>dalla stazione appaltante,</w:t>
      </w:r>
      <w:r w:rsidR="007D15F2" w:rsidRPr="002135DE">
        <w:rPr>
          <w:sz w:val="20"/>
          <w:szCs w:val="20"/>
        </w:rPr>
        <w:t xml:space="preserve"> imponendo la corrispondenza fra l’appalto messo in gara e quello eseguito</w:t>
      </w:r>
      <w:r w:rsidR="00F35A79">
        <w:rPr>
          <w:sz w:val="20"/>
          <w:szCs w:val="20"/>
        </w:rPr>
        <w:t>, in ossequio ai principi richiamati nell’art. 30 del d.lgs. 50/2016</w:t>
      </w:r>
      <w:r w:rsidR="00B52503">
        <w:rPr>
          <w:sz w:val="20"/>
          <w:szCs w:val="20"/>
        </w:rPr>
        <w:t xml:space="preserve">. </w:t>
      </w:r>
    </w:p>
    <w:p w:rsidR="00E14E4C" w:rsidRPr="006F2AC3" w:rsidRDefault="002135DE" w:rsidP="00DB03E5">
      <w:pPr>
        <w:tabs>
          <w:tab w:val="clear" w:pos="851"/>
        </w:tabs>
        <w:spacing w:after="0" w:line="276" w:lineRule="auto"/>
        <w:ind w:left="1134" w:right="-2" w:firstLine="567"/>
        <w:jc w:val="both"/>
        <w:rPr>
          <w:sz w:val="20"/>
          <w:szCs w:val="20"/>
        </w:rPr>
      </w:pPr>
      <w:r>
        <w:rPr>
          <w:sz w:val="20"/>
          <w:szCs w:val="20"/>
        </w:rPr>
        <w:t>Il Codice contempla tuttavia una deroga ai principi sopra enucleati, in casi specifici e tassativi, fissati dall’art. 106</w:t>
      </w:r>
      <w:r w:rsidR="00054B36">
        <w:rPr>
          <w:sz w:val="20"/>
          <w:szCs w:val="20"/>
        </w:rPr>
        <w:t xml:space="preserve"> riferito alla “</w:t>
      </w:r>
      <w:r w:rsidR="00054B36" w:rsidRPr="00054B36">
        <w:rPr>
          <w:i/>
          <w:sz w:val="20"/>
          <w:szCs w:val="20"/>
        </w:rPr>
        <w:t>Modifica di contratti durante il periodo di efficacia</w:t>
      </w:r>
      <w:r w:rsidR="00054B36" w:rsidRPr="00054B36">
        <w:rPr>
          <w:sz w:val="20"/>
          <w:szCs w:val="20"/>
        </w:rPr>
        <w:t xml:space="preserve">”, </w:t>
      </w:r>
      <w:r w:rsidR="00054B36" w:rsidRPr="006F2AC3">
        <w:rPr>
          <w:sz w:val="20"/>
          <w:szCs w:val="20"/>
        </w:rPr>
        <w:t>dunque applicabile alla fase di esecuzione del contratto di appalto.</w:t>
      </w:r>
      <w:r w:rsidRPr="006F2AC3">
        <w:rPr>
          <w:sz w:val="20"/>
          <w:szCs w:val="20"/>
        </w:rPr>
        <w:t xml:space="preserve"> </w:t>
      </w:r>
    </w:p>
    <w:p w:rsidR="00663006" w:rsidRDefault="002135DE" w:rsidP="00663006">
      <w:pPr>
        <w:tabs>
          <w:tab w:val="clear" w:pos="851"/>
        </w:tabs>
        <w:spacing w:after="0" w:line="276" w:lineRule="auto"/>
        <w:ind w:left="1134" w:right="-2" w:firstLine="567"/>
        <w:jc w:val="both"/>
        <w:rPr>
          <w:sz w:val="20"/>
          <w:szCs w:val="20"/>
        </w:rPr>
      </w:pPr>
      <w:r>
        <w:rPr>
          <w:sz w:val="20"/>
          <w:szCs w:val="20"/>
        </w:rPr>
        <w:t xml:space="preserve">Tale disposizione </w:t>
      </w:r>
      <w:r w:rsidR="004A6A58">
        <w:rPr>
          <w:sz w:val="20"/>
          <w:szCs w:val="20"/>
        </w:rPr>
        <w:t>statu</w:t>
      </w:r>
      <w:r w:rsidR="00E14E4C">
        <w:rPr>
          <w:sz w:val="20"/>
          <w:szCs w:val="20"/>
        </w:rPr>
        <w:t>isce infatti</w:t>
      </w:r>
      <w:r w:rsidR="004A6A58">
        <w:rPr>
          <w:sz w:val="20"/>
          <w:szCs w:val="20"/>
        </w:rPr>
        <w:t xml:space="preserve"> che «l</w:t>
      </w:r>
      <w:r w:rsidR="004A6A58" w:rsidRPr="00116047">
        <w:rPr>
          <w:sz w:val="20"/>
          <w:szCs w:val="20"/>
        </w:rPr>
        <w:t xml:space="preserve">e modifiche, nonché le varianti, </w:t>
      </w:r>
      <w:r w:rsidR="004A6A58" w:rsidRPr="00054B36">
        <w:rPr>
          <w:sz w:val="20"/>
          <w:szCs w:val="20"/>
        </w:rPr>
        <w:t>dei contratti di appalto in corso di validità</w:t>
      </w:r>
      <w:r w:rsidR="004A6A58" w:rsidRPr="00116047">
        <w:rPr>
          <w:sz w:val="20"/>
          <w:szCs w:val="20"/>
        </w:rPr>
        <w:t xml:space="preserve"> devono essere autorizzate dal RUP con le modalità previste dall'ordinamento della stazione appaltante cui il RUP dipende» (comma 1), aggiungendo che i </w:t>
      </w:r>
      <w:r w:rsidR="004A6A58" w:rsidRPr="005C048E">
        <w:rPr>
          <w:sz w:val="20"/>
          <w:szCs w:val="20"/>
        </w:rPr>
        <w:t>contratti di appalto possono essere modificati,</w:t>
      </w:r>
      <w:r w:rsidR="004A6A58" w:rsidRPr="00116047">
        <w:rPr>
          <w:sz w:val="20"/>
          <w:szCs w:val="20"/>
        </w:rPr>
        <w:t xml:space="preserve"> senza una nuova procedura di affidamento, nei casi indicati </w:t>
      </w:r>
      <w:r w:rsidR="00116047" w:rsidRPr="00116047">
        <w:rPr>
          <w:sz w:val="20"/>
          <w:szCs w:val="20"/>
        </w:rPr>
        <w:t>nei commi 1 e 2 della disposizione medesima</w:t>
      </w:r>
      <w:r w:rsidR="005F24B2">
        <w:rPr>
          <w:sz w:val="20"/>
          <w:szCs w:val="20"/>
        </w:rPr>
        <w:t>,</w:t>
      </w:r>
      <w:r w:rsidR="005F24B2" w:rsidRPr="005F24B2">
        <w:rPr>
          <w:sz w:val="20"/>
          <w:szCs w:val="20"/>
        </w:rPr>
        <w:t xml:space="preserve"> </w:t>
      </w:r>
      <w:r w:rsidR="005F24B2" w:rsidRPr="00116047">
        <w:rPr>
          <w:sz w:val="20"/>
          <w:szCs w:val="20"/>
        </w:rPr>
        <w:t xml:space="preserve">da </w:t>
      </w:r>
      <w:r w:rsidR="00B30BBC">
        <w:rPr>
          <w:sz w:val="20"/>
          <w:szCs w:val="20"/>
        </w:rPr>
        <w:t xml:space="preserve">ritenersi </w:t>
      </w:r>
      <w:r w:rsidR="005F24B2" w:rsidRPr="00116047">
        <w:rPr>
          <w:sz w:val="20"/>
          <w:szCs w:val="20"/>
        </w:rPr>
        <w:t>di stretta interpretazione secondo l’orientamento dell’Autorità</w:t>
      </w:r>
      <w:r w:rsidR="005F24B2">
        <w:rPr>
          <w:sz w:val="20"/>
          <w:szCs w:val="20"/>
        </w:rPr>
        <w:t>.</w:t>
      </w:r>
      <w:r w:rsidR="00663006" w:rsidRPr="00663006">
        <w:rPr>
          <w:sz w:val="20"/>
          <w:szCs w:val="20"/>
        </w:rPr>
        <w:t xml:space="preserve"> </w:t>
      </w:r>
      <w:r w:rsidR="00663006">
        <w:rPr>
          <w:sz w:val="20"/>
          <w:szCs w:val="20"/>
        </w:rPr>
        <w:t xml:space="preserve">Lo stesso articolo 106 dispone inoltre che la modifica al </w:t>
      </w:r>
      <w:r w:rsidR="00663006">
        <w:rPr>
          <w:sz w:val="20"/>
          <w:szCs w:val="20"/>
        </w:rPr>
        <w:lastRenderedPageBreak/>
        <w:t>contratto in corso di esecuzione, nelle ipotesi ivi indicate, non deve essere “sostanziale” ai sensi del comma 4.</w:t>
      </w:r>
    </w:p>
    <w:p w:rsidR="00663006" w:rsidRDefault="005F24B2" w:rsidP="00DB03E5">
      <w:pPr>
        <w:tabs>
          <w:tab w:val="clear" w:pos="851"/>
        </w:tabs>
        <w:spacing w:after="0" w:line="276" w:lineRule="auto"/>
        <w:ind w:left="1134" w:right="-2" w:firstLine="567"/>
        <w:jc w:val="both"/>
        <w:rPr>
          <w:sz w:val="20"/>
          <w:szCs w:val="20"/>
        </w:rPr>
      </w:pPr>
      <w:r w:rsidRPr="005F24B2">
        <w:rPr>
          <w:sz w:val="20"/>
          <w:szCs w:val="20"/>
        </w:rPr>
        <w:t xml:space="preserve">Con Comunicato del </w:t>
      </w:r>
      <w:r w:rsidR="00B30BBC">
        <w:rPr>
          <w:sz w:val="20"/>
          <w:szCs w:val="20"/>
        </w:rPr>
        <w:t xml:space="preserve">Presidente del </w:t>
      </w:r>
      <w:r w:rsidR="002135DE">
        <w:rPr>
          <w:sz w:val="20"/>
          <w:szCs w:val="20"/>
        </w:rPr>
        <w:t>21 marzo 2021</w:t>
      </w:r>
      <w:r w:rsidRPr="005F24B2">
        <w:rPr>
          <w:sz w:val="20"/>
          <w:szCs w:val="20"/>
        </w:rPr>
        <w:t xml:space="preserve"> è stato sottolineato</w:t>
      </w:r>
      <w:r w:rsidR="007A48A4">
        <w:rPr>
          <w:sz w:val="20"/>
          <w:szCs w:val="20"/>
        </w:rPr>
        <w:t xml:space="preserve"> </w:t>
      </w:r>
      <w:r w:rsidRPr="005F24B2">
        <w:rPr>
          <w:sz w:val="20"/>
          <w:szCs w:val="20"/>
        </w:rPr>
        <w:t xml:space="preserve">(tra l’altro) che «l’articolo 106 del Codice introduce una deroga al principio generale dell’evidenza pubblica, con conseguente </w:t>
      </w:r>
      <w:r w:rsidRPr="005C048E">
        <w:rPr>
          <w:sz w:val="20"/>
          <w:szCs w:val="20"/>
        </w:rPr>
        <w:t>divieto</w:t>
      </w:r>
      <w:r w:rsidRPr="005F24B2">
        <w:rPr>
          <w:sz w:val="20"/>
          <w:szCs w:val="20"/>
        </w:rPr>
        <w:t xml:space="preserve"> di applicazione della norma medesima al di fuori delle ipotesi specificamente e tassativamente indicate</w:t>
      </w:r>
      <w:r w:rsidR="00B30BBC">
        <w:rPr>
          <w:sz w:val="20"/>
          <w:szCs w:val="20"/>
        </w:rPr>
        <w:t>»</w:t>
      </w:r>
      <w:r w:rsidRPr="005F24B2">
        <w:rPr>
          <w:sz w:val="20"/>
          <w:szCs w:val="20"/>
        </w:rPr>
        <w:t>.</w:t>
      </w:r>
    </w:p>
    <w:p w:rsidR="00663006" w:rsidRDefault="00663006" w:rsidP="00663006">
      <w:pPr>
        <w:tabs>
          <w:tab w:val="clear" w:pos="851"/>
        </w:tabs>
        <w:spacing w:after="0" w:line="276" w:lineRule="auto"/>
        <w:ind w:left="1134" w:right="-2" w:firstLine="567"/>
        <w:jc w:val="both"/>
        <w:rPr>
          <w:sz w:val="20"/>
          <w:szCs w:val="20"/>
        </w:rPr>
      </w:pPr>
      <w:r w:rsidRPr="00DC3D51">
        <w:rPr>
          <w:sz w:val="20"/>
          <w:szCs w:val="20"/>
        </w:rPr>
        <w:t>In linea generale, quindi, le stazioni appaltanti possono procedere a modifiche dei rapporti contrattuali in corso</w:t>
      </w:r>
      <w:r>
        <w:rPr>
          <w:sz w:val="20"/>
          <w:szCs w:val="20"/>
        </w:rPr>
        <w:t>,</w:t>
      </w:r>
      <w:r w:rsidRPr="00DC3D51">
        <w:rPr>
          <w:sz w:val="20"/>
          <w:szCs w:val="20"/>
        </w:rPr>
        <w:t xml:space="preserve"> nei limiti indicati</w:t>
      </w:r>
      <w:r>
        <w:rPr>
          <w:sz w:val="20"/>
          <w:szCs w:val="20"/>
        </w:rPr>
        <w:t xml:space="preserve"> dall’art. 106 citato, il quale contempla, al comma 1, </w:t>
      </w:r>
      <w:proofErr w:type="spellStart"/>
      <w:r>
        <w:rPr>
          <w:sz w:val="20"/>
          <w:szCs w:val="20"/>
        </w:rPr>
        <w:t>lett</w:t>
      </w:r>
      <w:proofErr w:type="spellEnd"/>
      <w:r>
        <w:rPr>
          <w:sz w:val="20"/>
          <w:szCs w:val="20"/>
        </w:rPr>
        <w:t xml:space="preserve">. a), la possibilità di procedere alla revisione dei prezzi, purché la stessa sia stata prevista </w:t>
      </w:r>
      <w:r w:rsidRPr="006F6B95">
        <w:rPr>
          <w:sz w:val="20"/>
          <w:szCs w:val="20"/>
        </w:rPr>
        <w:t>nei documenti di gara</w:t>
      </w:r>
      <w:r w:rsidRPr="00A32BE2">
        <w:rPr>
          <w:sz w:val="20"/>
          <w:szCs w:val="20"/>
        </w:rPr>
        <w:t xml:space="preserve"> “in clausole chiare, precise e inequivocabili”.</w:t>
      </w:r>
    </w:p>
    <w:p w:rsidR="00663006" w:rsidRDefault="00663006" w:rsidP="00663006">
      <w:pPr>
        <w:tabs>
          <w:tab w:val="clear" w:pos="851"/>
        </w:tabs>
        <w:spacing w:after="0" w:line="276" w:lineRule="auto"/>
        <w:ind w:left="1134" w:right="-2" w:firstLine="567"/>
        <w:jc w:val="both"/>
        <w:rPr>
          <w:sz w:val="20"/>
          <w:szCs w:val="20"/>
        </w:rPr>
      </w:pPr>
      <w:r>
        <w:rPr>
          <w:sz w:val="20"/>
          <w:szCs w:val="20"/>
        </w:rPr>
        <w:t xml:space="preserve">Anche i più recenti interventi normativi in materia, confermano tale possibilità. Il riferimento è all’art. 29 del </w:t>
      </w:r>
      <w:proofErr w:type="spellStart"/>
      <w:r>
        <w:rPr>
          <w:sz w:val="20"/>
          <w:szCs w:val="20"/>
        </w:rPr>
        <w:t>d.l.</w:t>
      </w:r>
      <w:proofErr w:type="spellEnd"/>
      <w:r>
        <w:rPr>
          <w:sz w:val="20"/>
          <w:szCs w:val="20"/>
        </w:rPr>
        <w:t xml:space="preserve"> 4/2022</w:t>
      </w:r>
      <w:r w:rsidRPr="00E5707F">
        <w:rPr>
          <w:sz w:val="20"/>
          <w:szCs w:val="20"/>
        </w:rPr>
        <w:t xml:space="preserve"> </w:t>
      </w:r>
      <w:proofErr w:type="spellStart"/>
      <w:r>
        <w:rPr>
          <w:sz w:val="20"/>
          <w:szCs w:val="20"/>
        </w:rPr>
        <w:t>conv</w:t>
      </w:r>
      <w:proofErr w:type="spellEnd"/>
      <w:r>
        <w:rPr>
          <w:sz w:val="20"/>
          <w:szCs w:val="20"/>
        </w:rPr>
        <w:t xml:space="preserve">. in </w:t>
      </w:r>
      <w:proofErr w:type="spellStart"/>
      <w:r>
        <w:rPr>
          <w:sz w:val="20"/>
          <w:szCs w:val="20"/>
        </w:rPr>
        <w:t>l.n</w:t>
      </w:r>
      <w:proofErr w:type="spellEnd"/>
      <w:r>
        <w:rPr>
          <w:sz w:val="20"/>
          <w:szCs w:val="20"/>
        </w:rPr>
        <w:t>. 25/2022, che con riguardo</w:t>
      </w:r>
      <w:r w:rsidRPr="00166C91">
        <w:rPr>
          <w:sz w:val="20"/>
          <w:szCs w:val="20"/>
        </w:rPr>
        <w:t xml:space="preserve"> alle procedure di affidamento indette successivamente alla sua entrata in vigore,</w:t>
      </w:r>
      <w:r w:rsidRPr="0077191A">
        <w:rPr>
          <w:b/>
          <w:sz w:val="20"/>
          <w:szCs w:val="20"/>
        </w:rPr>
        <w:t xml:space="preserve"> </w:t>
      </w:r>
      <w:r>
        <w:rPr>
          <w:sz w:val="20"/>
          <w:szCs w:val="20"/>
        </w:rPr>
        <w:t>stabilisce “</w:t>
      </w:r>
      <w:r w:rsidRPr="00E229A8">
        <w:rPr>
          <w:i/>
          <w:sz w:val="20"/>
          <w:szCs w:val="20"/>
        </w:rPr>
        <w:t>Fino al 31 dicembre 2023, al fine di incentivare gli investimenti pubblici, nonché al fine di far fronte alle ricadute economiche negative a seguito delle misure di contenimento e dell'emergenza sanitaria globale derivante dalla diffusione del virus COVID-</w:t>
      </w:r>
      <w:r w:rsidRPr="00850DC3">
        <w:rPr>
          <w:sz w:val="20"/>
          <w:szCs w:val="20"/>
        </w:rPr>
        <w:t>19…</w:t>
      </w:r>
      <w:r>
        <w:rPr>
          <w:sz w:val="20"/>
          <w:szCs w:val="20"/>
        </w:rPr>
        <w:t>” (tra l’altro) l’</w:t>
      </w:r>
      <w:r w:rsidRPr="0077191A">
        <w:rPr>
          <w:sz w:val="20"/>
          <w:szCs w:val="20"/>
        </w:rPr>
        <w:t>obblig</w:t>
      </w:r>
      <w:r>
        <w:rPr>
          <w:sz w:val="20"/>
          <w:szCs w:val="20"/>
        </w:rPr>
        <w:t>o di inserire</w:t>
      </w:r>
      <w:r w:rsidRPr="0077191A">
        <w:rPr>
          <w:sz w:val="20"/>
          <w:szCs w:val="20"/>
        </w:rPr>
        <w:t>, nei documenti di gara iniziali, delle clausole di revisione dei prezzi previste dall'articolo 106, comma 1, lettera a), del</w:t>
      </w:r>
      <w:r>
        <w:rPr>
          <w:sz w:val="20"/>
          <w:szCs w:val="20"/>
        </w:rPr>
        <w:t xml:space="preserve"> Codice. </w:t>
      </w:r>
    </w:p>
    <w:p w:rsidR="00663006" w:rsidRDefault="00663006" w:rsidP="00663006">
      <w:pPr>
        <w:tabs>
          <w:tab w:val="clear" w:pos="851"/>
        </w:tabs>
        <w:spacing w:after="0" w:line="276" w:lineRule="auto"/>
        <w:ind w:left="1134" w:right="-2" w:firstLine="567"/>
        <w:jc w:val="both"/>
        <w:rPr>
          <w:sz w:val="20"/>
          <w:szCs w:val="20"/>
        </w:rPr>
      </w:pPr>
      <w:r>
        <w:rPr>
          <w:sz w:val="20"/>
          <w:szCs w:val="20"/>
        </w:rPr>
        <w:t xml:space="preserve">Con specifico riferimento ai contratti in corso, e per i soli appalti di lavori, </w:t>
      </w:r>
      <w:r w:rsidRPr="000F68AB">
        <w:rPr>
          <w:sz w:val="20"/>
          <w:szCs w:val="20"/>
        </w:rPr>
        <w:t>al fine di mitigare gli effetti del</w:t>
      </w:r>
      <w:hyperlink r:id="rId14" w:history="1">
        <w:r w:rsidRPr="000F68AB">
          <w:rPr>
            <w:sz w:val="20"/>
            <w:szCs w:val="20"/>
          </w:rPr>
          <w:t>l’eccezionale aumento dei prezzi</w:t>
        </w:r>
      </w:hyperlink>
      <w:r w:rsidRPr="000F68AB">
        <w:rPr>
          <w:rFonts w:ascii="Calibri" w:hAnsi="Calibri" w:cs="Calibri"/>
          <w:sz w:val="20"/>
          <w:szCs w:val="20"/>
        </w:rPr>
        <w:t> </w:t>
      </w:r>
      <w:r w:rsidRPr="000F68AB">
        <w:rPr>
          <w:sz w:val="20"/>
          <w:szCs w:val="20"/>
        </w:rPr>
        <w:t>di alcuni materiali da costruzione, verificatosi nel corso del 2021</w:t>
      </w:r>
      <w:r>
        <w:rPr>
          <w:sz w:val="20"/>
          <w:szCs w:val="20"/>
        </w:rPr>
        <w:t xml:space="preserve">, il </w:t>
      </w:r>
      <w:proofErr w:type="spellStart"/>
      <w:r>
        <w:rPr>
          <w:sz w:val="20"/>
          <w:szCs w:val="20"/>
        </w:rPr>
        <w:t>d.l.</w:t>
      </w:r>
      <w:proofErr w:type="spellEnd"/>
      <w:r>
        <w:rPr>
          <w:sz w:val="20"/>
          <w:szCs w:val="20"/>
        </w:rPr>
        <w:t xml:space="preserve"> 73/2021, </w:t>
      </w:r>
      <w:proofErr w:type="spellStart"/>
      <w:r>
        <w:rPr>
          <w:sz w:val="20"/>
          <w:szCs w:val="20"/>
        </w:rPr>
        <w:t>conv</w:t>
      </w:r>
      <w:proofErr w:type="spellEnd"/>
      <w:r>
        <w:rPr>
          <w:sz w:val="20"/>
          <w:szCs w:val="20"/>
        </w:rPr>
        <w:t xml:space="preserve">. in </w:t>
      </w:r>
      <w:proofErr w:type="spellStart"/>
      <w:r>
        <w:rPr>
          <w:sz w:val="20"/>
          <w:szCs w:val="20"/>
        </w:rPr>
        <w:t>l.n</w:t>
      </w:r>
      <w:proofErr w:type="spellEnd"/>
      <w:r>
        <w:rPr>
          <w:sz w:val="20"/>
          <w:szCs w:val="20"/>
        </w:rPr>
        <w:t>. 106/2021 ha</w:t>
      </w:r>
      <w:r w:rsidRPr="000F68AB">
        <w:rPr>
          <w:sz w:val="20"/>
          <w:szCs w:val="20"/>
        </w:rPr>
        <w:t xml:space="preserve"> introdotto, all’art. 1-</w:t>
      </w:r>
      <w:r w:rsidRPr="00BB5563">
        <w:rPr>
          <w:i/>
          <w:sz w:val="20"/>
          <w:szCs w:val="20"/>
        </w:rPr>
        <w:t>septies</w:t>
      </w:r>
      <w:r w:rsidRPr="000F68AB">
        <w:rPr>
          <w:sz w:val="20"/>
          <w:szCs w:val="20"/>
        </w:rPr>
        <w:t xml:space="preserve">, un meccanismo di compensazione a favore delle imprese appaltatrici di opere pubbliche, </w:t>
      </w:r>
      <w:r>
        <w:rPr>
          <w:sz w:val="20"/>
          <w:szCs w:val="20"/>
        </w:rPr>
        <w:t>prevedendo a tal fine</w:t>
      </w:r>
      <w:r w:rsidRPr="000F68AB">
        <w:rPr>
          <w:sz w:val="20"/>
          <w:szCs w:val="20"/>
        </w:rPr>
        <w:t xml:space="preserve"> l’emanazione di apposito decreto del MIMS che rilevi le variazioni percentuali, in aumento o in diminuzione, superiori all’otto per cento, relative </w:t>
      </w:r>
      <w:r>
        <w:rPr>
          <w:sz w:val="20"/>
          <w:szCs w:val="20"/>
        </w:rPr>
        <w:t xml:space="preserve">al periodo indicato dalla norma, </w:t>
      </w:r>
      <w:r w:rsidRPr="000F68AB">
        <w:rPr>
          <w:sz w:val="20"/>
          <w:szCs w:val="20"/>
        </w:rPr>
        <w:t>dei singoli prezzi dei materiali da costruzione più significativi</w:t>
      </w:r>
      <w:r>
        <w:rPr>
          <w:sz w:val="20"/>
          <w:szCs w:val="20"/>
        </w:rPr>
        <w:t xml:space="preserve"> (in relazione all’applicazione della norma si rinvia alla delibera n. 63/2022-AG1/2022)</w:t>
      </w:r>
      <w:r w:rsidRPr="000F68AB">
        <w:rPr>
          <w:sz w:val="20"/>
          <w:szCs w:val="20"/>
        </w:rPr>
        <w:t>.</w:t>
      </w:r>
    </w:p>
    <w:p w:rsidR="00663006" w:rsidRDefault="00663006" w:rsidP="00663006">
      <w:pPr>
        <w:tabs>
          <w:tab w:val="clear" w:pos="851"/>
        </w:tabs>
        <w:spacing w:after="0" w:line="276" w:lineRule="auto"/>
        <w:ind w:left="1134" w:right="-2" w:firstLine="567"/>
        <w:jc w:val="both"/>
        <w:rPr>
          <w:sz w:val="20"/>
          <w:szCs w:val="20"/>
        </w:rPr>
      </w:pPr>
      <w:r w:rsidRPr="00A26C06">
        <w:rPr>
          <w:sz w:val="20"/>
          <w:szCs w:val="20"/>
        </w:rPr>
        <w:t>In attuazione d</w:t>
      </w:r>
      <w:r>
        <w:rPr>
          <w:sz w:val="20"/>
          <w:szCs w:val="20"/>
        </w:rPr>
        <w:t>elle previsioni dell’art.</w:t>
      </w:r>
      <w:r w:rsidRPr="00A26C06">
        <w:rPr>
          <w:sz w:val="20"/>
          <w:szCs w:val="20"/>
        </w:rPr>
        <w:t xml:space="preserve"> 1-</w:t>
      </w:r>
      <w:r w:rsidRPr="00A26C06">
        <w:rPr>
          <w:i/>
          <w:sz w:val="20"/>
          <w:szCs w:val="20"/>
        </w:rPr>
        <w:t>septies</w:t>
      </w:r>
      <w:r w:rsidRPr="00A26C06">
        <w:rPr>
          <w:sz w:val="20"/>
          <w:szCs w:val="20"/>
        </w:rPr>
        <w:t>, il MIMS ha adottato appositi decreti per la rilevazione delle variazioni percentuali dei singoli prezzi dei materiali da costruzione più significativi, ai sensi delle disposizioni richiamate (in data 11.11.2021 e 4.42022)</w:t>
      </w:r>
      <w:r>
        <w:rPr>
          <w:sz w:val="20"/>
          <w:szCs w:val="20"/>
        </w:rPr>
        <w:t xml:space="preserve">, nonché </w:t>
      </w:r>
      <w:r w:rsidRPr="00A26C06">
        <w:rPr>
          <w:sz w:val="20"/>
          <w:szCs w:val="20"/>
        </w:rPr>
        <w:t xml:space="preserve">per le modalità di utilizzo del Fondo previsto al comma 8 </w:t>
      </w:r>
      <w:r>
        <w:rPr>
          <w:sz w:val="20"/>
          <w:szCs w:val="20"/>
        </w:rPr>
        <w:t xml:space="preserve">della disposizione </w:t>
      </w:r>
      <w:r w:rsidRPr="00A26C06">
        <w:rPr>
          <w:sz w:val="20"/>
          <w:szCs w:val="20"/>
        </w:rPr>
        <w:t>(in data 30.9.2021 e 5.4.2022)</w:t>
      </w:r>
      <w:r>
        <w:rPr>
          <w:sz w:val="20"/>
          <w:szCs w:val="20"/>
        </w:rPr>
        <w:t>; l</w:t>
      </w:r>
      <w:r w:rsidRPr="00A26C06">
        <w:rPr>
          <w:sz w:val="20"/>
          <w:szCs w:val="20"/>
        </w:rPr>
        <w:t>o stesso Ministero h</w:t>
      </w:r>
      <w:r>
        <w:rPr>
          <w:sz w:val="20"/>
          <w:szCs w:val="20"/>
        </w:rPr>
        <w:t>a adottato, altresì, apposite Ci</w:t>
      </w:r>
      <w:r w:rsidRPr="00A26C06">
        <w:rPr>
          <w:sz w:val="20"/>
          <w:szCs w:val="20"/>
        </w:rPr>
        <w:t>rcolari al fine di assicurare uniformità ed omogeneità di comportamenti da parte degli operatori del settore (Circolare del 25.11.2021 e del 5.4.2022).</w:t>
      </w:r>
      <w:r>
        <w:rPr>
          <w:sz w:val="20"/>
          <w:szCs w:val="20"/>
        </w:rPr>
        <w:t xml:space="preserve"> </w:t>
      </w:r>
    </w:p>
    <w:p w:rsidR="00663006" w:rsidRDefault="00663006" w:rsidP="00663006">
      <w:pPr>
        <w:tabs>
          <w:tab w:val="clear" w:pos="851"/>
        </w:tabs>
        <w:spacing w:after="0" w:line="276" w:lineRule="auto"/>
        <w:ind w:left="1134" w:right="-2" w:firstLine="567"/>
        <w:jc w:val="both"/>
        <w:rPr>
          <w:sz w:val="20"/>
          <w:szCs w:val="20"/>
        </w:rPr>
      </w:pPr>
      <w:r>
        <w:rPr>
          <w:sz w:val="20"/>
          <w:szCs w:val="20"/>
        </w:rPr>
        <w:t xml:space="preserve">Lo stesso legislatore, sempre con riguardo agli appalti di lavori, è recentemente intervenuto </w:t>
      </w:r>
      <w:r w:rsidRPr="008F2D58">
        <w:rPr>
          <w:sz w:val="20"/>
          <w:szCs w:val="20"/>
        </w:rPr>
        <w:t xml:space="preserve">con il </w:t>
      </w:r>
      <w:proofErr w:type="spellStart"/>
      <w:r w:rsidRPr="008F2D58">
        <w:rPr>
          <w:sz w:val="20"/>
          <w:szCs w:val="20"/>
        </w:rPr>
        <w:t>d.l.</w:t>
      </w:r>
      <w:proofErr w:type="spellEnd"/>
      <w:r w:rsidRPr="008F2D58">
        <w:rPr>
          <w:sz w:val="20"/>
          <w:szCs w:val="20"/>
        </w:rPr>
        <w:t xml:space="preserve"> 36/2022 (Ulteriori misure urgenti per l'attuazione del Piano nazionale di</w:t>
      </w:r>
      <w:r w:rsidRPr="008F2D58">
        <w:rPr>
          <w:i/>
          <w:sz w:val="20"/>
          <w:szCs w:val="20"/>
        </w:rPr>
        <w:t xml:space="preserve"> </w:t>
      </w:r>
      <w:r w:rsidRPr="008F2D58">
        <w:rPr>
          <w:sz w:val="20"/>
          <w:szCs w:val="20"/>
        </w:rPr>
        <w:t xml:space="preserve">ripresa e resilienza (PNRR)) </w:t>
      </w:r>
      <w:proofErr w:type="spellStart"/>
      <w:r w:rsidRPr="008F2D58">
        <w:rPr>
          <w:sz w:val="20"/>
          <w:szCs w:val="20"/>
        </w:rPr>
        <w:t>conv</w:t>
      </w:r>
      <w:proofErr w:type="spellEnd"/>
      <w:r w:rsidRPr="008F2D58">
        <w:rPr>
          <w:sz w:val="20"/>
          <w:szCs w:val="20"/>
        </w:rPr>
        <w:t xml:space="preserve">. in </w:t>
      </w:r>
      <w:proofErr w:type="spellStart"/>
      <w:r w:rsidRPr="008F2D58">
        <w:rPr>
          <w:sz w:val="20"/>
          <w:szCs w:val="20"/>
        </w:rPr>
        <w:t>l.n</w:t>
      </w:r>
      <w:proofErr w:type="spellEnd"/>
      <w:r w:rsidRPr="008F2D58">
        <w:rPr>
          <w:sz w:val="20"/>
          <w:szCs w:val="20"/>
        </w:rPr>
        <w:t>. 79/2022 che all’art. 7 (</w:t>
      </w:r>
      <w:hyperlink r:id="rId15" w:history="1">
        <w:r w:rsidRPr="008F2D58">
          <w:rPr>
            <w:i/>
            <w:sz w:val="20"/>
            <w:szCs w:val="20"/>
          </w:rPr>
          <w:t>Ulteriori misure urgenti abilitanti per l'attuazione del Piano nazionale di ripresa e resilienza</w:t>
        </w:r>
      </w:hyperlink>
      <w:r w:rsidRPr="008F2D58">
        <w:rPr>
          <w:sz w:val="20"/>
          <w:szCs w:val="20"/>
        </w:rPr>
        <w:t xml:space="preserve">), </w:t>
      </w:r>
      <w:r w:rsidR="00883997">
        <w:rPr>
          <w:sz w:val="20"/>
          <w:szCs w:val="20"/>
        </w:rPr>
        <w:t>stabilendo che</w:t>
      </w:r>
      <w:r w:rsidRPr="008F2D58">
        <w:rPr>
          <w:sz w:val="20"/>
          <w:szCs w:val="20"/>
        </w:rPr>
        <w:t xml:space="preserve"> «comma 2-ter.</w:t>
      </w:r>
      <w:r w:rsidRPr="008F2D58">
        <w:rPr>
          <w:rFonts w:ascii="Calibri" w:hAnsi="Calibri" w:cs="Calibri"/>
          <w:sz w:val="20"/>
          <w:szCs w:val="20"/>
        </w:rPr>
        <w:t> </w:t>
      </w:r>
      <w:r w:rsidRPr="008F2D58">
        <w:rPr>
          <w:sz w:val="20"/>
          <w:szCs w:val="20"/>
        </w:rPr>
        <w:t xml:space="preserve"> </w:t>
      </w:r>
      <w:r w:rsidRPr="008F2D58">
        <w:rPr>
          <w:i/>
          <w:sz w:val="20"/>
          <w:szCs w:val="20"/>
        </w:rPr>
        <w:t>L'</w:t>
      </w:r>
      <w:hyperlink r:id="rId16" w:history="1">
        <w:r w:rsidRPr="008F2D58">
          <w:rPr>
            <w:i/>
            <w:sz w:val="20"/>
            <w:szCs w:val="20"/>
          </w:rPr>
          <w:t>articolo 106, comma 1, lettera c), numero 1), del codice dei contratti pubblici</w:t>
        </w:r>
      </w:hyperlink>
      <w:r w:rsidRPr="008F2D58">
        <w:rPr>
          <w:i/>
          <w:sz w:val="20"/>
          <w:szCs w:val="20"/>
        </w:rPr>
        <w:t>, di cui al</w:t>
      </w:r>
      <w:r w:rsidRPr="008F2D58">
        <w:rPr>
          <w:rFonts w:ascii="Calibri" w:hAnsi="Calibri" w:cs="Calibri"/>
          <w:i/>
          <w:sz w:val="20"/>
          <w:szCs w:val="20"/>
        </w:rPr>
        <w:t> </w:t>
      </w:r>
      <w:hyperlink r:id="rId17" w:history="1">
        <w:r w:rsidRPr="008F2D58">
          <w:rPr>
            <w:i/>
            <w:sz w:val="20"/>
            <w:szCs w:val="20"/>
          </w:rPr>
          <w:t>decreto legislativo 18 aprile 2016, n. 50</w:t>
        </w:r>
      </w:hyperlink>
      <w:r w:rsidRPr="008F2D58">
        <w:rPr>
          <w:i/>
          <w:sz w:val="20"/>
          <w:szCs w:val="20"/>
        </w:rPr>
        <w:t>, si interpreta nel senso che tra le circostanze indicate al primo periodo sono incluse anche quelle impreviste ed imprevedibili che alterano in maniera significativa il costo dei materiali necessari alla realizzazione dell'opera.</w:t>
      </w:r>
      <w:r w:rsidRPr="008F2D58">
        <w:rPr>
          <w:rFonts w:ascii="Calibri" w:hAnsi="Calibri" w:cs="Calibri"/>
          <w:i/>
          <w:sz w:val="20"/>
          <w:szCs w:val="20"/>
        </w:rPr>
        <w:t> </w:t>
      </w:r>
      <w:r w:rsidRPr="008F2D58">
        <w:rPr>
          <w:i/>
          <w:sz w:val="20"/>
          <w:szCs w:val="20"/>
        </w:rPr>
        <w:t>2-quater.</w:t>
      </w:r>
      <w:r w:rsidRPr="008F2D58">
        <w:rPr>
          <w:rFonts w:ascii="Calibri" w:hAnsi="Calibri" w:cs="Calibri"/>
          <w:i/>
          <w:sz w:val="20"/>
          <w:szCs w:val="20"/>
        </w:rPr>
        <w:t> </w:t>
      </w:r>
      <w:r w:rsidRPr="008F2D58">
        <w:rPr>
          <w:i/>
          <w:sz w:val="20"/>
          <w:szCs w:val="20"/>
        </w:rPr>
        <w:t>Nei casi indicati al comma 2-ter, senza nuovi o maggiori oneri per la finanza pubblica, la stazione appaltante o l'aggiudicatario possono proporre, senza che sia alterata la natura generale del contratto e ferma restando la piena funzionalità dell'opera, una variante in corso d'opera che assicuri risparmi, rispetto alle previsioni iniziali, da utilizzare esclusivamente in compensazione per far fronte alle variazioni in aumento dei costi dei materiali</w:t>
      </w:r>
      <w:r w:rsidRPr="008F2D58">
        <w:rPr>
          <w:sz w:val="20"/>
          <w:szCs w:val="20"/>
        </w:rPr>
        <w:t>».</w:t>
      </w:r>
    </w:p>
    <w:p w:rsidR="00A32D9F" w:rsidRDefault="00883997" w:rsidP="00663006">
      <w:pPr>
        <w:tabs>
          <w:tab w:val="clear" w:pos="851"/>
        </w:tabs>
        <w:spacing w:after="0" w:line="276" w:lineRule="auto"/>
        <w:ind w:left="1134" w:right="-2" w:firstLine="567"/>
        <w:jc w:val="both"/>
        <w:rPr>
          <w:sz w:val="20"/>
          <w:szCs w:val="20"/>
        </w:rPr>
      </w:pPr>
      <w:r>
        <w:rPr>
          <w:sz w:val="20"/>
          <w:szCs w:val="20"/>
        </w:rPr>
        <w:t>Come si evince dagli interventi normativi sopra richiamati,</w:t>
      </w:r>
      <w:r w:rsidR="00676F10">
        <w:rPr>
          <w:sz w:val="20"/>
          <w:szCs w:val="20"/>
        </w:rPr>
        <w:t xml:space="preserve"> ad eccezione dell’art. 29 del </w:t>
      </w:r>
      <w:proofErr w:type="spellStart"/>
      <w:r w:rsidR="00676F10">
        <w:rPr>
          <w:sz w:val="20"/>
          <w:szCs w:val="20"/>
        </w:rPr>
        <w:t>d.l.</w:t>
      </w:r>
      <w:proofErr w:type="spellEnd"/>
      <w:r w:rsidR="00676F10">
        <w:rPr>
          <w:sz w:val="20"/>
          <w:szCs w:val="20"/>
        </w:rPr>
        <w:t xml:space="preserve"> 4/2022</w:t>
      </w:r>
      <w:r w:rsidR="00676F10" w:rsidRPr="00E5707F">
        <w:rPr>
          <w:sz w:val="20"/>
          <w:szCs w:val="20"/>
        </w:rPr>
        <w:t xml:space="preserve"> </w:t>
      </w:r>
      <w:proofErr w:type="spellStart"/>
      <w:r w:rsidR="00676F10">
        <w:rPr>
          <w:sz w:val="20"/>
          <w:szCs w:val="20"/>
        </w:rPr>
        <w:t>conv</w:t>
      </w:r>
      <w:proofErr w:type="spellEnd"/>
      <w:r w:rsidR="00676F10">
        <w:rPr>
          <w:sz w:val="20"/>
          <w:szCs w:val="20"/>
        </w:rPr>
        <w:t xml:space="preserve">. in </w:t>
      </w:r>
      <w:proofErr w:type="spellStart"/>
      <w:r w:rsidR="00676F10">
        <w:rPr>
          <w:sz w:val="20"/>
          <w:szCs w:val="20"/>
        </w:rPr>
        <w:t>l.n</w:t>
      </w:r>
      <w:proofErr w:type="spellEnd"/>
      <w:r w:rsidR="00676F10">
        <w:rPr>
          <w:sz w:val="20"/>
          <w:szCs w:val="20"/>
        </w:rPr>
        <w:t xml:space="preserve">. 25/2022 riferito in generale ai contatti pubblici, il legislatore è intervenuto in </w:t>
      </w:r>
      <w:r w:rsidR="00676F10">
        <w:rPr>
          <w:sz w:val="20"/>
          <w:szCs w:val="20"/>
        </w:rPr>
        <w:lastRenderedPageBreak/>
        <w:t xml:space="preserve">via esclusiva per gli appalti di lavori, introducendo l’istituto della compensazione si cui all’art. 1-septies della l. 106/2021 e la previsione sopra richiamata di cui all’art. 7 della l. 79/2022. </w:t>
      </w:r>
    </w:p>
    <w:p w:rsidR="00883997" w:rsidRDefault="00676F10" w:rsidP="00663006">
      <w:pPr>
        <w:tabs>
          <w:tab w:val="clear" w:pos="851"/>
        </w:tabs>
        <w:spacing w:after="0" w:line="276" w:lineRule="auto"/>
        <w:ind w:left="1134" w:right="-2" w:firstLine="567"/>
        <w:jc w:val="both"/>
        <w:rPr>
          <w:sz w:val="20"/>
          <w:szCs w:val="20"/>
        </w:rPr>
      </w:pPr>
      <w:r>
        <w:rPr>
          <w:sz w:val="20"/>
          <w:szCs w:val="20"/>
        </w:rPr>
        <w:t>Lo stesso legislatore non ha invece adottato specifiche misure per gli appalti di servizi e forniture.</w:t>
      </w:r>
    </w:p>
    <w:p w:rsidR="00676F10" w:rsidRPr="00A06DDE" w:rsidRDefault="00676F10" w:rsidP="00676F10">
      <w:pPr>
        <w:tabs>
          <w:tab w:val="clear" w:pos="851"/>
        </w:tabs>
        <w:spacing w:after="0" w:line="276" w:lineRule="auto"/>
        <w:ind w:left="1134" w:right="-2" w:firstLine="567"/>
        <w:jc w:val="both"/>
        <w:rPr>
          <w:sz w:val="20"/>
          <w:szCs w:val="20"/>
        </w:rPr>
      </w:pPr>
      <w:r>
        <w:rPr>
          <w:sz w:val="20"/>
          <w:szCs w:val="20"/>
        </w:rPr>
        <w:t>L’assenza di un meccanismo di compensazione/revisione dei prezzi</w:t>
      </w:r>
      <w:r w:rsidRPr="001D7124">
        <w:rPr>
          <w:sz w:val="20"/>
          <w:szCs w:val="20"/>
        </w:rPr>
        <w:t xml:space="preserve"> </w:t>
      </w:r>
      <w:r>
        <w:rPr>
          <w:sz w:val="20"/>
          <w:szCs w:val="20"/>
        </w:rPr>
        <w:t xml:space="preserve">anche per gli appalti di servizi e forniture, analogo a quello disciplinato per i lavori, è stata evidenziata anche dall’Autorità, la quale ha </w:t>
      </w:r>
      <w:r w:rsidRPr="00E90DC7">
        <w:rPr>
          <w:sz w:val="20"/>
          <w:szCs w:val="20"/>
        </w:rPr>
        <w:t xml:space="preserve">chiesto al Governo e al Parlamento un urgente intervento normativo </w:t>
      </w:r>
      <w:r w:rsidRPr="00850DC3">
        <w:rPr>
          <w:sz w:val="20"/>
          <w:szCs w:val="20"/>
        </w:rPr>
        <w:t xml:space="preserve">volto a consentire “la </w:t>
      </w:r>
      <w:r w:rsidRPr="008A2263">
        <w:rPr>
          <w:i/>
          <w:sz w:val="20"/>
          <w:szCs w:val="20"/>
        </w:rPr>
        <w:t>revisione dei prezzi negli appalti per far fronte agli esorbitanti incrementi delle materie prime nei contratti in corso di esecuzione riguardanti servizi e forniture</w:t>
      </w:r>
      <w:r w:rsidRPr="00850DC3">
        <w:rPr>
          <w:sz w:val="20"/>
          <w:szCs w:val="20"/>
        </w:rPr>
        <w:t>”</w:t>
      </w:r>
      <w:r>
        <w:rPr>
          <w:sz w:val="20"/>
          <w:szCs w:val="20"/>
        </w:rPr>
        <w:t xml:space="preserve"> </w:t>
      </w:r>
      <w:r w:rsidRPr="00A06DDE">
        <w:rPr>
          <w:sz w:val="20"/>
          <w:szCs w:val="20"/>
        </w:rPr>
        <w:t>(</w:t>
      </w:r>
      <w:hyperlink r:id="rId18" w:history="1">
        <w:r w:rsidRPr="00A06DDE">
          <w:rPr>
            <w:sz w:val="20"/>
            <w:szCs w:val="20"/>
          </w:rPr>
          <w:t>https://www.anticorruzione.it/-/anac-chiede-a-governo-e-parlamento-un-intervento-normativo-sulla-revisione-dei-prezzi-negli-appalti</w:t>
        </w:r>
      </w:hyperlink>
      <w:r w:rsidRPr="00A06DDE">
        <w:rPr>
          <w:sz w:val="20"/>
          <w:szCs w:val="20"/>
        </w:rPr>
        <w:t>).</w:t>
      </w:r>
    </w:p>
    <w:p w:rsidR="00037F72" w:rsidRDefault="00064917" w:rsidP="00DB03E5">
      <w:pPr>
        <w:tabs>
          <w:tab w:val="clear" w:pos="851"/>
        </w:tabs>
        <w:spacing w:after="0" w:line="276" w:lineRule="auto"/>
        <w:ind w:left="1134" w:right="-2" w:firstLine="567"/>
        <w:jc w:val="both"/>
        <w:rPr>
          <w:sz w:val="20"/>
          <w:szCs w:val="20"/>
        </w:rPr>
      </w:pPr>
      <w:r>
        <w:rPr>
          <w:sz w:val="20"/>
          <w:szCs w:val="20"/>
        </w:rPr>
        <w:t xml:space="preserve">Pertanto, allo stato, con riguardo ai contratti di servizi e forniture, le stazioni appaltanti, </w:t>
      </w:r>
      <w:r w:rsidRPr="00DC3D51">
        <w:rPr>
          <w:sz w:val="20"/>
          <w:szCs w:val="20"/>
        </w:rPr>
        <w:t>a seguito dell’emergenza sanitaria in corso</w:t>
      </w:r>
      <w:r>
        <w:rPr>
          <w:sz w:val="20"/>
          <w:szCs w:val="20"/>
        </w:rPr>
        <w:t xml:space="preserve">, </w:t>
      </w:r>
      <w:r w:rsidR="00DC3D51" w:rsidRPr="00DC3D51">
        <w:rPr>
          <w:sz w:val="20"/>
          <w:szCs w:val="20"/>
        </w:rPr>
        <w:t>possono procedere a modifiche dei rapporti contrattuali in corso</w:t>
      </w:r>
      <w:r w:rsidR="006F6B95">
        <w:rPr>
          <w:sz w:val="20"/>
          <w:szCs w:val="20"/>
        </w:rPr>
        <w:t>,</w:t>
      </w:r>
      <w:r w:rsidR="00DC3D51" w:rsidRPr="00DC3D51">
        <w:rPr>
          <w:sz w:val="20"/>
          <w:szCs w:val="20"/>
        </w:rPr>
        <w:t xml:space="preserve"> nei limiti indicati</w:t>
      </w:r>
      <w:r w:rsidR="006F6B95">
        <w:rPr>
          <w:sz w:val="20"/>
          <w:szCs w:val="20"/>
        </w:rPr>
        <w:t xml:space="preserve"> dall</w:t>
      </w:r>
      <w:r w:rsidR="00232073">
        <w:rPr>
          <w:sz w:val="20"/>
          <w:szCs w:val="20"/>
        </w:rPr>
        <w:t>’art. 106 citato</w:t>
      </w:r>
      <w:r w:rsidR="006F6B95">
        <w:rPr>
          <w:sz w:val="20"/>
          <w:szCs w:val="20"/>
        </w:rPr>
        <w:t>.</w:t>
      </w:r>
    </w:p>
    <w:p w:rsidR="00037F72" w:rsidRDefault="001C7710" w:rsidP="00DB03E5">
      <w:pPr>
        <w:tabs>
          <w:tab w:val="clear" w:pos="851"/>
        </w:tabs>
        <w:spacing w:after="0" w:line="276" w:lineRule="auto"/>
        <w:ind w:left="1134" w:right="-2" w:firstLine="567"/>
        <w:jc w:val="both"/>
        <w:rPr>
          <w:sz w:val="20"/>
          <w:szCs w:val="20"/>
        </w:rPr>
      </w:pPr>
      <w:r>
        <w:rPr>
          <w:sz w:val="20"/>
          <w:szCs w:val="20"/>
        </w:rPr>
        <w:t>Conseguentemente</w:t>
      </w:r>
      <w:r w:rsidR="005C048E">
        <w:rPr>
          <w:sz w:val="20"/>
          <w:szCs w:val="20"/>
        </w:rPr>
        <w:t>,</w:t>
      </w:r>
      <w:r w:rsidR="006F6B95">
        <w:rPr>
          <w:sz w:val="20"/>
          <w:szCs w:val="20"/>
        </w:rPr>
        <w:t xml:space="preserve"> l</w:t>
      </w:r>
      <w:r w:rsidR="005C048E">
        <w:rPr>
          <w:sz w:val="20"/>
          <w:szCs w:val="20"/>
        </w:rPr>
        <w:t>’eventuale</w:t>
      </w:r>
      <w:r>
        <w:rPr>
          <w:sz w:val="20"/>
          <w:szCs w:val="20"/>
        </w:rPr>
        <w:t xml:space="preserve"> revisione dei prezzi per tali contratti</w:t>
      </w:r>
      <w:r w:rsidR="006F6B95">
        <w:rPr>
          <w:sz w:val="20"/>
          <w:szCs w:val="20"/>
        </w:rPr>
        <w:t xml:space="preserve"> </w:t>
      </w:r>
      <w:r w:rsidR="0059795D">
        <w:rPr>
          <w:sz w:val="20"/>
          <w:szCs w:val="20"/>
        </w:rPr>
        <w:t>(</w:t>
      </w:r>
      <w:r w:rsidR="00DB5253">
        <w:rPr>
          <w:sz w:val="20"/>
          <w:szCs w:val="20"/>
        </w:rPr>
        <w:t xml:space="preserve">anche alla luce del </w:t>
      </w:r>
      <w:r w:rsidR="0059795D">
        <w:rPr>
          <w:sz w:val="20"/>
          <w:szCs w:val="20"/>
        </w:rPr>
        <w:t xml:space="preserve">citato art. 29 della l. 25/2022) </w:t>
      </w:r>
      <w:r w:rsidR="006F6B95">
        <w:rPr>
          <w:sz w:val="20"/>
          <w:szCs w:val="20"/>
        </w:rPr>
        <w:t xml:space="preserve">deve essere ricondotta nelle medesime previsioni dell’art. 106 del Codice, il quale </w:t>
      </w:r>
      <w:r w:rsidR="00014BC2">
        <w:rPr>
          <w:sz w:val="20"/>
          <w:szCs w:val="20"/>
        </w:rPr>
        <w:t>contempla</w:t>
      </w:r>
      <w:r w:rsidR="00456F88">
        <w:rPr>
          <w:sz w:val="20"/>
          <w:szCs w:val="20"/>
        </w:rPr>
        <w:t>,</w:t>
      </w:r>
      <w:r w:rsidR="006F6B95">
        <w:rPr>
          <w:sz w:val="20"/>
          <w:szCs w:val="20"/>
        </w:rPr>
        <w:t xml:space="preserve"> al comma 1, </w:t>
      </w:r>
      <w:proofErr w:type="spellStart"/>
      <w:r w:rsidR="006F6B95">
        <w:rPr>
          <w:sz w:val="20"/>
          <w:szCs w:val="20"/>
        </w:rPr>
        <w:t>lett</w:t>
      </w:r>
      <w:proofErr w:type="spellEnd"/>
      <w:r w:rsidR="006F6B95">
        <w:rPr>
          <w:sz w:val="20"/>
          <w:szCs w:val="20"/>
        </w:rPr>
        <w:t xml:space="preserve">. a), la possibilità di procedere </w:t>
      </w:r>
      <w:r w:rsidR="00166C91">
        <w:rPr>
          <w:sz w:val="20"/>
          <w:szCs w:val="20"/>
        </w:rPr>
        <w:t>alla revisione dei prezzi</w:t>
      </w:r>
      <w:r w:rsidR="006F6B95">
        <w:rPr>
          <w:sz w:val="20"/>
          <w:szCs w:val="20"/>
        </w:rPr>
        <w:t xml:space="preserve">, purché </w:t>
      </w:r>
      <w:r w:rsidR="00E5707F">
        <w:rPr>
          <w:sz w:val="20"/>
          <w:szCs w:val="20"/>
        </w:rPr>
        <w:t>la stessa</w:t>
      </w:r>
      <w:r w:rsidR="006F6B95">
        <w:rPr>
          <w:sz w:val="20"/>
          <w:szCs w:val="20"/>
        </w:rPr>
        <w:t xml:space="preserve"> sia stata prevista </w:t>
      </w:r>
      <w:r w:rsidR="006F6B95" w:rsidRPr="006F6B95">
        <w:rPr>
          <w:sz w:val="20"/>
          <w:szCs w:val="20"/>
        </w:rPr>
        <w:t>nei documenti di gara</w:t>
      </w:r>
      <w:r w:rsidR="00A32BE2" w:rsidRPr="00A32BE2">
        <w:rPr>
          <w:sz w:val="20"/>
          <w:szCs w:val="20"/>
        </w:rPr>
        <w:t xml:space="preserve"> “in clausole chiare, precise e inequivocabili”.</w:t>
      </w:r>
    </w:p>
    <w:p w:rsidR="0030677D" w:rsidRPr="00F50FFA" w:rsidRDefault="00E229A8" w:rsidP="00DB5253">
      <w:pPr>
        <w:tabs>
          <w:tab w:val="clear" w:pos="851"/>
        </w:tabs>
        <w:spacing w:after="0" w:line="276" w:lineRule="auto"/>
        <w:ind w:left="1134" w:right="-2" w:firstLine="567"/>
        <w:jc w:val="both"/>
        <w:rPr>
          <w:sz w:val="20"/>
          <w:szCs w:val="20"/>
        </w:rPr>
      </w:pPr>
      <w:r>
        <w:rPr>
          <w:sz w:val="20"/>
          <w:szCs w:val="20"/>
        </w:rPr>
        <w:t>La possibilità</w:t>
      </w:r>
      <w:r w:rsidR="005C048E">
        <w:rPr>
          <w:sz w:val="20"/>
          <w:szCs w:val="20"/>
        </w:rPr>
        <w:t xml:space="preserve">, invocata nell’istanza di parere, </w:t>
      </w:r>
      <w:r>
        <w:rPr>
          <w:sz w:val="20"/>
          <w:szCs w:val="20"/>
        </w:rPr>
        <w:t>di applicare l’art. 1664 c.c. ai fini della revisione dei prezzi negli appalti di servizi e forniture</w:t>
      </w:r>
      <w:r w:rsidR="00DB5253" w:rsidRPr="00F50FFA">
        <w:rPr>
          <w:sz w:val="20"/>
          <w:szCs w:val="20"/>
        </w:rPr>
        <w:t xml:space="preserve">, </w:t>
      </w:r>
      <w:r w:rsidR="0030677D" w:rsidRPr="00F50FFA">
        <w:rPr>
          <w:sz w:val="20"/>
          <w:szCs w:val="20"/>
        </w:rPr>
        <w:t xml:space="preserve">sembra </w:t>
      </w:r>
      <w:r w:rsidR="00DB5253" w:rsidRPr="00F50FFA">
        <w:rPr>
          <w:sz w:val="20"/>
          <w:szCs w:val="20"/>
        </w:rPr>
        <w:t>non trovare riscontro nelle previsioni dell’art. 106 del Codice</w:t>
      </w:r>
      <w:r w:rsidR="0030677D" w:rsidRPr="00F50FFA">
        <w:rPr>
          <w:sz w:val="20"/>
          <w:szCs w:val="20"/>
        </w:rPr>
        <w:t xml:space="preserve">, </w:t>
      </w:r>
      <w:r w:rsidR="00680787" w:rsidRPr="00F50FFA">
        <w:rPr>
          <w:sz w:val="20"/>
          <w:szCs w:val="20"/>
        </w:rPr>
        <w:t>il quale oltre a non contemplare tale ipotesi</w:t>
      </w:r>
      <w:r w:rsidR="0030677D" w:rsidRPr="00F50FFA">
        <w:rPr>
          <w:sz w:val="20"/>
          <w:szCs w:val="20"/>
        </w:rPr>
        <w:t xml:space="preserve">, sembra costituire </w:t>
      </w:r>
      <w:r w:rsidR="00680787" w:rsidRPr="00F50FFA">
        <w:rPr>
          <w:sz w:val="20"/>
          <w:szCs w:val="20"/>
        </w:rPr>
        <w:t xml:space="preserve">altresì una </w:t>
      </w:r>
      <w:r w:rsidR="00DB5253" w:rsidRPr="00F50FFA">
        <w:rPr>
          <w:sz w:val="20"/>
          <w:szCs w:val="20"/>
        </w:rPr>
        <w:t>norma speciale</w:t>
      </w:r>
      <w:r w:rsidR="0030677D" w:rsidRPr="00F50FFA">
        <w:rPr>
          <w:sz w:val="20"/>
          <w:szCs w:val="20"/>
        </w:rPr>
        <w:t xml:space="preserve"> in tale materia, </w:t>
      </w:r>
      <w:r w:rsidR="00680787" w:rsidRPr="00F50FFA">
        <w:rPr>
          <w:sz w:val="20"/>
          <w:szCs w:val="20"/>
        </w:rPr>
        <w:t>dettando</w:t>
      </w:r>
      <w:r w:rsidR="0030677D" w:rsidRPr="00F50FFA">
        <w:rPr>
          <w:sz w:val="20"/>
          <w:szCs w:val="20"/>
        </w:rPr>
        <w:t xml:space="preserve"> una specifica disciplina in tema di vari</w:t>
      </w:r>
      <w:r w:rsidR="00DB5253" w:rsidRPr="00F50FFA">
        <w:rPr>
          <w:sz w:val="20"/>
          <w:szCs w:val="20"/>
        </w:rPr>
        <w:t xml:space="preserve">azioni dei contratti in corso di esecuzione (tanto che gli interventi normativi più recenti in tema di revisione dei prezzi, tra i quali l’art. 1-septies del </w:t>
      </w:r>
      <w:proofErr w:type="spellStart"/>
      <w:r w:rsidR="00DB5253" w:rsidRPr="00F50FFA">
        <w:rPr>
          <w:sz w:val="20"/>
          <w:szCs w:val="20"/>
        </w:rPr>
        <w:t>d.l.</w:t>
      </w:r>
      <w:proofErr w:type="spellEnd"/>
      <w:r w:rsidR="00DB5253" w:rsidRPr="00F50FFA">
        <w:rPr>
          <w:sz w:val="20"/>
          <w:szCs w:val="20"/>
        </w:rPr>
        <w:t xml:space="preserve"> 73/2021 e l’art. 29 </w:t>
      </w:r>
      <w:proofErr w:type="spellStart"/>
      <w:r w:rsidR="00DB5253" w:rsidRPr="00F50FFA">
        <w:rPr>
          <w:sz w:val="20"/>
          <w:szCs w:val="20"/>
        </w:rPr>
        <w:t>d.l.</w:t>
      </w:r>
      <w:proofErr w:type="spellEnd"/>
      <w:r w:rsidR="00DB5253" w:rsidRPr="00F50FFA">
        <w:rPr>
          <w:sz w:val="20"/>
          <w:szCs w:val="20"/>
        </w:rPr>
        <w:t xml:space="preserve"> 4/2022, introducono previsioni in deroga all’art. 106 del Codice)</w:t>
      </w:r>
      <w:r w:rsidR="0030677D" w:rsidRPr="00F50FFA">
        <w:rPr>
          <w:sz w:val="20"/>
          <w:szCs w:val="20"/>
        </w:rPr>
        <w:t>.</w:t>
      </w:r>
    </w:p>
    <w:p w:rsidR="00DB5253" w:rsidRPr="00F50FFA" w:rsidRDefault="0030677D" w:rsidP="00DB5253">
      <w:pPr>
        <w:tabs>
          <w:tab w:val="clear" w:pos="851"/>
        </w:tabs>
        <w:spacing w:after="0" w:line="276" w:lineRule="auto"/>
        <w:ind w:left="1134" w:right="-2" w:firstLine="567"/>
        <w:jc w:val="both"/>
        <w:rPr>
          <w:sz w:val="20"/>
          <w:szCs w:val="20"/>
        </w:rPr>
      </w:pPr>
      <w:r w:rsidRPr="00F50FFA">
        <w:rPr>
          <w:sz w:val="20"/>
          <w:szCs w:val="20"/>
        </w:rPr>
        <w:t xml:space="preserve">Peraltro, l’inapplicabilità della norma de qua agli appalti pubblici </w:t>
      </w:r>
      <w:r w:rsidR="00680787" w:rsidRPr="00F50FFA">
        <w:rPr>
          <w:sz w:val="20"/>
          <w:szCs w:val="20"/>
        </w:rPr>
        <w:t>è stata affermata</w:t>
      </w:r>
      <w:r w:rsidRPr="00F50FFA">
        <w:rPr>
          <w:sz w:val="20"/>
          <w:szCs w:val="20"/>
        </w:rPr>
        <w:t xml:space="preserve"> dalla giurisprudenza</w:t>
      </w:r>
      <w:r w:rsidR="00345BB7" w:rsidRPr="00F50FFA">
        <w:rPr>
          <w:sz w:val="20"/>
          <w:szCs w:val="20"/>
        </w:rPr>
        <w:t xml:space="preserve"> amministrativa</w:t>
      </w:r>
      <w:r w:rsidRPr="00F50FFA">
        <w:rPr>
          <w:sz w:val="20"/>
          <w:szCs w:val="20"/>
        </w:rPr>
        <w:t xml:space="preserve"> alla luce del </w:t>
      </w:r>
      <w:r w:rsidR="00DB5253" w:rsidRPr="00F50FFA">
        <w:rPr>
          <w:sz w:val="20"/>
          <w:szCs w:val="20"/>
        </w:rPr>
        <w:t>principio di specialità della disciplina dettata in materia dal Codice dei contratti pubblici (</w:t>
      </w:r>
      <w:proofErr w:type="spellStart"/>
      <w:r w:rsidR="00DB5253" w:rsidRPr="00F50FFA">
        <w:rPr>
          <w:sz w:val="20"/>
          <w:szCs w:val="20"/>
        </w:rPr>
        <w:t>Cons</w:t>
      </w:r>
      <w:proofErr w:type="spellEnd"/>
      <w:r w:rsidR="00DB5253" w:rsidRPr="00F50FFA">
        <w:rPr>
          <w:sz w:val="20"/>
          <w:szCs w:val="20"/>
        </w:rPr>
        <w:t>. Stato n.  3768/2018 e n.1980/2019</w:t>
      </w:r>
      <w:r w:rsidR="007E0B98" w:rsidRPr="00F50FFA">
        <w:rPr>
          <w:sz w:val="20"/>
          <w:szCs w:val="20"/>
        </w:rPr>
        <w:t>). A</w:t>
      </w:r>
      <w:r w:rsidR="00DB5253" w:rsidRPr="00F50FFA">
        <w:rPr>
          <w:sz w:val="20"/>
          <w:szCs w:val="20"/>
        </w:rPr>
        <w:t xml:space="preserve">ncorché </w:t>
      </w:r>
      <w:r w:rsidR="007E0B98" w:rsidRPr="00F50FFA">
        <w:rPr>
          <w:sz w:val="20"/>
          <w:szCs w:val="20"/>
        </w:rPr>
        <w:t xml:space="preserve">tale orientamento si riferisca </w:t>
      </w:r>
      <w:r w:rsidR="00DB5253" w:rsidRPr="00F50FFA">
        <w:rPr>
          <w:sz w:val="20"/>
          <w:szCs w:val="20"/>
        </w:rPr>
        <w:t>al d.lgs. 163/2006</w:t>
      </w:r>
      <w:r w:rsidR="00B12C5C" w:rsidRPr="00F50FFA">
        <w:rPr>
          <w:sz w:val="20"/>
          <w:szCs w:val="20"/>
        </w:rPr>
        <w:t>,</w:t>
      </w:r>
      <w:r w:rsidR="007E0B98" w:rsidRPr="00F50FFA">
        <w:rPr>
          <w:sz w:val="20"/>
          <w:szCs w:val="20"/>
        </w:rPr>
        <w:t xml:space="preserve"> il</w:t>
      </w:r>
      <w:r w:rsidR="00DB5253" w:rsidRPr="00F50FFA">
        <w:rPr>
          <w:sz w:val="20"/>
          <w:szCs w:val="20"/>
        </w:rPr>
        <w:t xml:space="preserve"> p</w:t>
      </w:r>
      <w:r w:rsidR="00B12C5C" w:rsidRPr="00F50FFA">
        <w:rPr>
          <w:sz w:val="20"/>
          <w:szCs w:val="20"/>
        </w:rPr>
        <w:t>redetto principio di specialità sembr</w:t>
      </w:r>
      <w:r w:rsidR="00345BB7" w:rsidRPr="00F50FFA">
        <w:rPr>
          <w:sz w:val="20"/>
          <w:szCs w:val="20"/>
        </w:rPr>
        <w:t>erebbe</w:t>
      </w:r>
      <w:r w:rsidR="00B12C5C" w:rsidRPr="00F50FFA">
        <w:rPr>
          <w:sz w:val="20"/>
          <w:szCs w:val="20"/>
        </w:rPr>
        <w:t xml:space="preserve"> </w:t>
      </w:r>
      <w:r w:rsidR="00DB5253" w:rsidRPr="00F50FFA">
        <w:rPr>
          <w:sz w:val="20"/>
          <w:szCs w:val="20"/>
        </w:rPr>
        <w:t xml:space="preserve">confermato </w:t>
      </w:r>
      <w:r w:rsidR="005A02E7" w:rsidRPr="00F50FFA">
        <w:rPr>
          <w:sz w:val="20"/>
          <w:szCs w:val="20"/>
        </w:rPr>
        <w:t>dalla</w:t>
      </w:r>
      <w:r w:rsidR="00DB5253" w:rsidRPr="00F50FFA">
        <w:rPr>
          <w:sz w:val="20"/>
          <w:szCs w:val="20"/>
        </w:rPr>
        <w:t xml:space="preserve"> disposizione dell’art. 106, comma 1, </w:t>
      </w:r>
      <w:proofErr w:type="spellStart"/>
      <w:r w:rsidR="00DB5253" w:rsidRPr="00F50FFA">
        <w:rPr>
          <w:sz w:val="20"/>
          <w:szCs w:val="20"/>
        </w:rPr>
        <w:t>lett</w:t>
      </w:r>
      <w:proofErr w:type="spellEnd"/>
      <w:r w:rsidR="00DB5253" w:rsidRPr="00F50FFA">
        <w:rPr>
          <w:sz w:val="20"/>
          <w:szCs w:val="20"/>
        </w:rPr>
        <w:t xml:space="preserve">. a) del d.lgs. 50/2016, </w:t>
      </w:r>
      <w:r w:rsidR="00680787" w:rsidRPr="00F50FFA">
        <w:rPr>
          <w:sz w:val="20"/>
          <w:szCs w:val="20"/>
        </w:rPr>
        <w:t>anche alla luce</w:t>
      </w:r>
      <w:r w:rsidR="005A02E7" w:rsidRPr="00F50FFA">
        <w:rPr>
          <w:sz w:val="20"/>
          <w:szCs w:val="20"/>
        </w:rPr>
        <w:t xml:space="preserve"> </w:t>
      </w:r>
      <w:r w:rsidR="007E0B98" w:rsidRPr="00F50FFA">
        <w:rPr>
          <w:sz w:val="20"/>
          <w:szCs w:val="20"/>
        </w:rPr>
        <w:t>dell’obbligo oggi imposto dall’art. 29 della l. 25/2022, di inserire nei bandi di gara specifiche previsioni in materia</w:t>
      </w:r>
      <w:r w:rsidR="00680787" w:rsidRPr="00F50FFA">
        <w:rPr>
          <w:sz w:val="20"/>
          <w:szCs w:val="20"/>
        </w:rPr>
        <w:t xml:space="preserve"> di revisione dei prezzi</w:t>
      </w:r>
      <w:r w:rsidR="00DB5253" w:rsidRPr="00F50FFA">
        <w:rPr>
          <w:sz w:val="20"/>
          <w:szCs w:val="20"/>
        </w:rPr>
        <w:t xml:space="preserve">. </w:t>
      </w:r>
    </w:p>
    <w:p w:rsidR="00405727" w:rsidRPr="00F50FFA" w:rsidRDefault="00345BB7" w:rsidP="00DB03E5">
      <w:pPr>
        <w:tabs>
          <w:tab w:val="clear" w:pos="851"/>
        </w:tabs>
        <w:spacing w:after="0" w:line="276" w:lineRule="auto"/>
        <w:ind w:left="1134" w:right="-2" w:firstLine="567"/>
        <w:jc w:val="both"/>
        <w:rPr>
          <w:sz w:val="20"/>
          <w:szCs w:val="20"/>
        </w:rPr>
      </w:pPr>
      <w:r w:rsidRPr="00F50FFA">
        <w:rPr>
          <w:sz w:val="20"/>
          <w:szCs w:val="20"/>
        </w:rPr>
        <w:t>La</w:t>
      </w:r>
      <w:r w:rsidR="005A02E7" w:rsidRPr="00F50FFA">
        <w:rPr>
          <w:sz w:val="20"/>
          <w:szCs w:val="20"/>
        </w:rPr>
        <w:t xml:space="preserve"> stessa</w:t>
      </w:r>
      <w:r w:rsidR="00456F88" w:rsidRPr="00F50FFA">
        <w:rPr>
          <w:sz w:val="20"/>
          <w:szCs w:val="20"/>
        </w:rPr>
        <w:t xml:space="preserve"> giurisprudenz</w:t>
      </w:r>
      <w:r w:rsidR="005A02E7" w:rsidRPr="00F50FFA">
        <w:rPr>
          <w:sz w:val="20"/>
          <w:szCs w:val="20"/>
        </w:rPr>
        <w:t>a amministrativa</w:t>
      </w:r>
      <w:r w:rsidRPr="00F50FFA">
        <w:rPr>
          <w:sz w:val="20"/>
          <w:szCs w:val="20"/>
        </w:rPr>
        <w:t xml:space="preserve">, inoltre, </w:t>
      </w:r>
      <w:r w:rsidR="005A02E7" w:rsidRPr="00F50FFA">
        <w:rPr>
          <w:sz w:val="20"/>
          <w:szCs w:val="20"/>
        </w:rPr>
        <w:t xml:space="preserve">sembra ricondurre </w:t>
      </w:r>
      <w:r w:rsidR="00456F88" w:rsidRPr="00F50FFA">
        <w:rPr>
          <w:sz w:val="20"/>
          <w:szCs w:val="20"/>
        </w:rPr>
        <w:t>le eventuali istanze di revisione dei prezzi</w:t>
      </w:r>
      <w:r w:rsidR="005A02E7" w:rsidRPr="00F50FFA">
        <w:rPr>
          <w:sz w:val="20"/>
          <w:szCs w:val="20"/>
        </w:rPr>
        <w:t>,</w:t>
      </w:r>
      <w:r w:rsidR="00456F88" w:rsidRPr="00F50FFA">
        <w:rPr>
          <w:sz w:val="20"/>
          <w:szCs w:val="20"/>
        </w:rPr>
        <w:t xml:space="preserve"> </w:t>
      </w:r>
      <w:r w:rsidR="005A02E7" w:rsidRPr="00F50FFA">
        <w:rPr>
          <w:sz w:val="20"/>
          <w:szCs w:val="20"/>
        </w:rPr>
        <w:t xml:space="preserve">avanzate dall’appaltatore </w:t>
      </w:r>
      <w:r w:rsidR="00456F88" w:rsidRPr="00F50FFA">
        <w:rPr>
          <w:sz w:val="20"/>
          <w:szCs w:val="20"/>
        </w:rPr>
        <w:t>a seguito di asseriti aumenti dei costi del servizio, nella previsione della lettera a) dell’art. 106, comma 1, del Codice</w:t>
      </w:r>
      <w:r w:rsidR="00042A4B" w:rsidRPr="00F50FFA">
        <w:rPr>
          <w:sz w:val="20"/>
          <w:szCs w:val="20"/>
        </w:rPr>
        <w:t xml:space="preserve"> </w:t>
      </w:r>
      <w:r w:rsidR="00405727" w:rsidRPr="00F50FFA">
        <w:rPr>
          <w:sz w:val="20"/>
          <w:szCs w:val="20"/>
        </w:rPr>
        <w:t xml:space="preserve">(in tal </w:t>
      </w:r>
      <w:r w:rsidR="00DB5253" w:rsidRPr="00F50FFA">
        <w:rPr>
          <w:sz w:val="20"/>
          <w:szCs w:val="20"/>
        </w:rPr>
        <w:t>senso TAR Lombardia n. 238/2022</w:t>
      </w:r>
      <w:r w:rsidR="00042A4B" w:rsidRPr="00F50FFA">
        <w:rPr>
          <w:sz w:val="20"/>
          <w:szCs w:val="20"/>
        </w:rPr>
        <w:t>)</w:t>
      </w:r>
      <w:r w:rsidR="008E0310" w:rsidRPr="00F50FFA">
        <w:rPr>
          <w:sz w:val="20"/>
          <w:szCs w:val="20"/>
        </w:rPr>
        <w:t>.</w:t>
      </w:r>
    </w:p>
    <w:p w:rsidR="00395672" w:rsidRPr="00F50FFA" w:rsidRDefault="008531F9" w:rsidP="00DB03E5">
      <w:pPr>
        <w:tabs>
          <w:tab w:val="clear" w:pos="851"/>
        </w:tabs>
        <w:spacing w:after="0" w:line="276" w:lineRule="auto"/>
        <w:ind w:left="1134" w:right="-2" w:firstLine="567"/>
        <w:jc w:val="both"/>
        <w:rPr>
          <w:sz w:val="20"/>
          <w:szCs w:val="20"/>
        </w:rPr>
      </w:pPr>
      <w:r w:rsidRPr="00F50FFA">
        <w:rPr>
          <w:sz w:val="20"/>
          <w:szCs w:val="20"/>
        </w:rPr>
        <w:t>Occorre aggiungere a quanto sopra che</w:t>
      </w:r>
      <w:r w:rsidR="00976D94" w:rsidRPr="00F50FFA">
        <w:rPr>
          <w:sz w:val="20"/>
          <w:szCs w:val="20"/>
        </w:rPr>
        <w:t xml:space="preserve"> </w:t>
      </w:r>
      <w:r w:rsidR="00EB1F4F" w:rsidRPr="00F50FFA">
        <w:rPr>
          <w:sz w:val="20"/>
          <w:szCs w:val="20"/>
        </w:rPr>
        <w:t>l</w:t>
      </w:r>
      <w:r w:rsidR="00D47092" w:rsidRPr="00F50FFA">
        <w:rPr>
          <w:sz w:val="20"/>
          <w:szCs w:val="20"/>
        </w:rPr>
        <w:t xml:space="preserve">a clausola di revisione dei prezzi </w:t>
      </w:r>
      <w:r w:rsidR="00976D94" w:rsidRPr="00F50FFA">
        <w:rPr>
          <w:sz w:val="20"/>
          <w:szCs w:val="20"/>
        </w:rPr>
        <w:t xml:space="preserve">ai sensi </w:t>
      </w:r>
      <w:r w:rsidR="00AA33F1" w:rsidRPr="00F50FFA">
        <w:rPr>
          <w:sz w:val="20"/>
          <w:szCs w:val="20"/>
        </w:rPr>
        <w:t>del citato art.</w:t>
      </w:r>
      <w:r w:rsidR="00976D94" w:rsidRPr="00F50FFA">
        <w:rPr>
          <w:sz w:val="20"/>
          <w:szCs w:val="20"/>
        </w:rPr>
        <w:t xml:space="preserve"> 106, comma 1, </w:t>
      </w:r>
      <w:proofErr w:type="spellStart"/>
      <w:r w:rsidR="00976D94" w:rsidRPr="00F50FFA">
        <w:rPr>
          <w:sz w:val="20"/>
          <w:szCs w:val="20"/>
        </w:rPr>
        <w:t>lett</w:t>
      </w:r>
      <w:proofErr w:type="spellEnd"/>
      <w:r w:rsidR="00976D94" w:rsidRPr="00F50FFA">
        <w:rPr>
          <w:sz w:val="20"/>
          <w:szCs w:val="20"/>
        </w:rPr>
        <w:t xml:space="preserve">. a) </w:t>
      </w:r>
      <w:r w:rsidR="00D47092" w:rsidRPr="00F50FFA">
        <w:rPr>
          <w:sz w:val="20"/>
          <w:szCs w:val="20"/>
        </w:rPr>
        <w:t xml:space="preserve">non assume la funzione di eliminare completamente l'alea tipica di un contratto </w:t>
      </w:r>
      <w:r w:rsidRPr="00F50FFA">
        <w:rPr>
          <w:sz w:val="20"/>
          <w:szCs w:val="20"/>
        </w:rPr>
        <w:t>d’appalto</w:t>
      </w:r>
      <w:r w:rsidR="00D47092" w:rsidRPr="00F50FFA">
        <w:rPr>
          <w:sz w:val="20"/>
          <w:szCs w:val="20"/>
        </w:rPr>
        <w:t xml:space="preserve">. </w:t>
      </w:r>
      <w:r w:rsidRPr="00F50FFA">
        <w:rPr>
          <w:sz w:val="20"/>
          <w:szCs w:val="20"/>
        </w:rPr>
        <w:t>«</w:t>
      </w:r>
      <w:r w:rsidR="00D47092" w:rsidRPr="00F50FFA">
        <w:rPr>
          <w:sz w:val="20"/>
          <w:szCs w:val="20"/>
        </w:rPr>
        <w:t xml:space="preserve">Se indubbiamente il meccanismo deve prevedere la correzione dell'importo previsto </w:t>
      </w:r>
      <w:r w:rsidR="00D47092" w:rsidRPr="00F50FFA">
        <w:rPr>
          <w:i/>
          <w:sz w:val="20"/>
          <w:szCs w:val="20"/>
        </w:rPr>
        <w:t>ab origine</w:t>
      </w:r>
      <w:r w:rsidR="00D47092" w:rsidRPr="00F50FFA">
        <w:rPr>
          <w:sz w:val="20"/>
          <w:szCs w:val="20"/>
        </w:rPr>
        <w:t xml:space="preserve"> in esito al confronto comparativo — per prevenire il pericolo di un'indebita compromissione del sinallagma contrattale — il riequilibrio non si risolve in un automatismo perfettamente ancorato ad ogni variazione dei valori delle materie prime (o dei quantitativi), che ne snaturerebbe la </w:t>
      </w:r>
      <w:r w:rsidR="00D47092" w:rsidRPr="00F50FFA">
        <w:rPr>
          <w:i/>
          <w:sz w:val="20"/>
          <w:szCs w:val="20"/>
        </w:rPr>
        <w:t>ratio</w:t>
      </w:r>
      <w:r w:rsidR="00D47092" w:rsidRPr="00F50FFA">
        <w:rPr>
          <w:sz w:val="20"/>
          <w:szCs w:val="20"/>
        </w:rPr>
        <w:t xml:space="preserve"> trasformandolo in una clausola di indicizzazione” (T.A.R. Brescia, sez. I, </w:t>
      </w:r>
      <w:r w:rsidR="00D47092" w:rsidRPr="00F50FFA">
        <w:rPr>
          <w:sz w:val="20"/>
          <w:szCs w:val="20"/>
        </w:rPr>
        <w:lastRenderedPageBreak/>
        <w:t>03/07/2020, n. 504; TAR Trieste, sez. I, 7 luglio 2021 n. 211)» (TAR Lombardia n. 238/2022</w:t>
      </w:r>
      <w:r w:rsidR="00976D94" w:rsidRPr="00F50FFA">
        <w:rPr>
          <w:sz w:val="20"/>
          <w:szCs w:val="20"/>
        </w:rPr>
        <w:t xml:space="preserve"> cit.</w:t>
      </w:r>
      <w:r w:rsidR="001B7E6C" w:rsidRPr="00F50FFA">
        <w:rPr>
          <w:sz w:val="20"/>
          <w:szCs w:val="20"/>
        </w:rPr>
        <w:t xml:space="preserve">, in tal senso anche </w:t>
      </w:r>
      <w:r w:rsidR="00395672" w:rsidRPr="00F50FFA">
        <w:rPr>
          <w:sz w:val="20"/>
          <w:szCs w:val="20"/>
        </w:rPr>
        <w:t>TAR Lombardia n. 181/2022</w:t>
      </w:r>
      <w:r w:rsidR="005142BF" w:rsidRPr="00F50FFA">
        <w:rPr>
          <w:sz w:val="20"/>
          <w:szCs w:val="20"/>
        </w:rPr>
        <w:t xml:space="preserve"> cit.</w:t>
      </w:r>
      <w:r w:rsidR="00395672" w:rsidRPr="00F50FFA">
        <w:rPr>
          <w:sz w:val="20"/>
          <w:szCs w:val="20"/>
        </w:rPr>
        <w:t>).</w:t>
      </w:r>
    </w:p>
    <w:p w:rsidR="00490897" w:rsidRDefault="00AD1FAD" w:rsidP="00DB03E5">
      <w:pPr>
        <w:tabs>
          <w:tab w:val="clear" w:pos="851"/>
        </w:tabs>
        <w:spacing w:after="0" w:line="276" w:lineRule="auto"/>
        <w:ind w:left="1134" w:right="-2" w:firstLine="567"/>
        <w:jc w:val="both"/>
        <w:rPr>
          <w:sz w:val="20"/>
          <w:szCs w:val="20"/>
        </w:rPr>
      </w:pPr>
      <w:r w:rsidRPr="00F50FFA">
        <w:rPr>
          <w:sz w:val="20"/>
          <w:szCs w:val="20"/>
        </w:rPr>
        <w:t xml:space="preserve">Anche sulla base dei chiarimenti offerti dalla giurisprudenza, è possibile concludere che la revisione dei prezzi negli appalti di servizi e forniture, in assenza di specifiche previsioni derogatorie al d.lgs. 50/2016 </w:t>
      </w:r>
      <w:r w:rsidR="00F11A2D" w:rsidRPr="00F50FFA">
        <w:rPr>
          <w:sz w:val="20"/>
          <w:szCs w:val="20"/>
        </w:rPr>
        <w:t>(</w:t>
      </w:r>
      <w:r w:rsidRPr="00F50FFA">
        <w:rPr>
          <w:sz w:val="20"/>
          <w:szCs w:val="20"/>
        </w:rPr>
        <w:t>come per gli appalti di lavori</w:t>
      </w:r>
      <w:r w:rsidR="00F11A2D" w:rsidRPr="00F50FFA">
        <w:rPr>
          <w:sz w:val="20"/>
          <w:szCs w:val="20"/>
        </w:rPr>
        <w:t>)</w:t>
      </w:r>
      <w:r w:rsidRPr="00F50FFA">
        <w:rPr>
          <w:sz w:val="20"/>
          <w:szCs w:val="20"/>
        </w:rPr>
        <w:t xml:space="preserve">, </w:t>
      </w:r>
      <w:r w:rsidR="008039A9" w:rsidRPr="00F50FFA">
        <w:rPr>
          <w:sz w:val="20"/>
          <w:szCs w:val="20"/>
        </w:rPr>
        <w:t>appare</w:t>
      </w:r>
      <w:r w:rsidRPr="00F50FFA">
        <w:rPr>
          <w:sz w:val="20"/>
          <w:szCs w:val="20"/>
        </w:rPr>
        <w:t xml:space="preserve"> consentita</w:t>
      </w:r>
      <w:bookmarkStart w:id="0" w:name="_GoBack"/>
      <w:bookmarkEnd w:id="0"/>
      <w:r>
        <w:rPr>
          <w:sz w:val="20"/>
          <w:szCs w:val="20"/>
        </w:rPr>
        <w:t xml:space="preserve"> entro i </w:t>
      </w:r>
      <w:r w:rsidR="00DB5253">
        <w:rPr>
          <w:sz w:val="20"/>
          <w:szCs w:val="20"/>
        </w:rPr>
        <w:t>limiti stabiliti dall’art. 106</w:t>
      </w:r>
      <w:r w:rsidR="00506205">
        <w:rPr>
          <w:sz w:val="20"/>
          <w:szCs w:val="20"/>
        </w:rPr>
        <w:t xml:space="preserve">, comma 1, </w:t>
      </w:r>
      <w:proofErr w:type="spellStart"/>
      <w:r w:rsidR="00506205">
        <w:rPr>
          <w:sz w:val="20"/>
          <w:szCs w:val="20"/>
        </w:rPr>
        <w:t>lett</w:t>
      </w:r>
      <w:proofErr w:type="spellEnd"/>
      <w:r w:rsidR="00506205">
        <w:rPr>
          <w:sz w:val="20"/>
          <w:szCs w:val="20"/>
        </w:rPr>
        <w:t xml:space="preserve">. a) </w:t>
      </w:r>
      <w:r w:rsidR="00DB5253">
        <w:rPr>
          <w:sz w:val="20"/>
          <w:szCs w:val="20"/>
        </w:rPr>
        <w:t xml:space="preserve"> </w:t>
      </w:r>
      <w:r w:rsidR="001D7124">
        <w:rPr>
          <w:sz w:val="20"/>
          <w:szCs w:val="20"/>
        </w:rPr>
        <w:t>del Codice</w:t>
      </w:r>
      <w:r w:rsidR="00DB5253">
        <w:rPr>
          <w:sz w:val="20"/>
          <w:szCs w:val="20"/>
        </w:rPr>
        <w:t>, dunque disposta</w:t>
      </w:r>
      <w:r w:rsidR="00314117">
        <w:rPr>
          <w:sz w:val="20"/>
          <w:szCs w:val="20"/>
        </w:rPr>
        <w:t xml:space="preserve"> nei casi previsti da</w:t>
      </w:r>
      <w:r w:rsidR="00F1746F">
        <w:rPr>
          <w:sz w:val="20"/>
          <w:szCs w:val="20"/>
        </w:rPr>
        <w:t>lla norma</w:t>
      </w:r>
      <w:r w:rsidR="00AE1110">
        <w:rPr>
          <w:sz w:val="20"/>
          <w:szCs w:val="20"/>
        </w:rPr>
        <w:t xml:space="preserve"> (nonché </w:t>
      </w:r>
      <w:r w:rsidR="00F068C5">
        <w:rPr>
          <w:sz w:val="20"/>
          <w:szCs w:val="20"/>
        </w:rPr>
        <w:t>nelle eventuali previsioni relative all</w:t>
      </w:r>
      <w:r w:rsidR="00062865">
        <w:rPr>
          <w:sz w:val="20"/>
          <w:szCs w:val="20"/>
        </w:rPr>
        <w:t>o</w:t>
      </w:r>
      <w:r w:rsidR="00F068C5">
        <w:rPr>
          <w:sz w:val="20"/>
          <w:szCs w:val="20"/>
        </w:rPr>
        <w:t xml:space="preserve"> </w:t>
      </w:r>
      <w:proofErr w:type="spellStart"/>
      <w:r w:rsidR="00F068C5" w:rsidRPr="00F068C5">
        <w:rPr>
          <w:i/>
          <w:sz w:val="20"/>
          <w:szCs w:val="20"/>
        </w:rPr>
        <w:t>jus</w:t>
      </w:r>
      <w:proofErr w:type="spellEnd"/>
      <w:r w:rsidR="00F068C5" w:rsidRPr="00F068C5">
        <w:rPr>
          <w:i/>
          <w:sz w:val="20"/>
          <w:szCs w:val="20"/>
        </w:rPr>
        <w:t xml:space="preserve"> </w:t>
      </w:r>
      <w:proofErr w:type="spellStart"/>
      <w:r w:rsidR="00F068C5" w:rsidRPr="00F068C5">
        <w:rPr>
          <w:i/>
          <w:sz w:val="20"/>
          <w:szCs w:val="20"/>
        </w:rPr>
        <w:t>variandi</w:t>
      </w:r>
      <w:proofErr w:type="spellEnd"/>
      <w:r w:rsidR="00F068C5">
        <w:rPr>
          <w:sz w:val="20"/>
          <w:szCs w:val="20"/>
        </w:rPr>
        <w:t xml:space="preserve"> contenute ne</w:t>
      </w:r>
      <w:r w:rsidR="00892AEC">
        <w:rPr>
          <w:sz w:val="20"/>
          <w:szCs w:val="20"/>
        </w:rPr>
        <w:t xml:space="preserve">lla </w:t>
      </w:r>
      <w:proofErr w:type="spellStart"/>
      <w:r w:rsidR="00892AEC" w:rsidRPr="00892AEC">
        <w:rPr>
          <w:i/>
          <w:sz w:val="20"/>
          <w:szCs w:val="20"/>
        </w:rPr>
        <w:t>lex</w:t>
      </w:r>
      <w:proofErr w:type="spellEnd"/>
      <w:r w:rsidR="00892AEC" w:rsidRPr="00892AEC">
        <w:rPr>
          <w:i/>
          <w:sz w:val="20"/>
          <w:szCs w:val="20"/>
        </w:rPr>
        <w:t xml:space="preserve"> </w:t>
      </w:r>
      <w:proofErr w:type="spellStart"/>
      <w:r w:rsidR="00892AEC" w:rsidRPr="00892AEC">
        <w:rPr>
          <w:i/>
          <w:sz w:val="20"/>
          <w:szCs w:val="20"/>
        </w:rPr>
        <w:t>specialis</w:t>
      </w:r>
      <w:proofErr w:type="spellEnd"/>
      <w:r w:rsidR="00892AEC">
        <w:rPr>
          <w:sz w:val="20"/>
          <w:szCs w:val="20"/>
        </w:rPr>
        <w:t xml:space="preserve"> </w:t>
      </w:r>
      <w:r w:rsidR="00F068C5">
        <w:rPr>
          <w:sz w:val="20"/>
          <w:szCs w:val="20"/>
        </w:rPr>
        <w:t>in coerenza con l’art. 106)</w:t>
      </w:r>
      <w:r w:rsidR="00F1746F">
        <w:rPr>
          <w:sz w:val="20"/>
          <w:szCs w:val="20"/>
        </w:rPr>
        <w:t>, da ritenere tassativi in quanto derogatori all’evidenza pubblica.</w:t>
      </w:r>
    </w:p>
    <w:p w:rsidR="000E5B19" w:rsidRDefault="000E5B19" w:rsidP="000E5B19">
      <w:pPr>
        <w:tabs>
          <w:tab w:val="clear" w:pos="851"/>
        </w:tabs>
        <w:spacing w:after="0" w:line="276" w:lineRule="auto"/>
        <w:ind w:left="1134" w:right="-2" w:firstLine="567"/>
        <w:jc w:val="both"/>
        <w:rPr>
          <w:sz w:val="20"/>
          <w:szCs w:val="20"/>
        </w:rPr>
      </w:pPr>
      <w:r>
        <w:rPr>
          <w:sz w:val="20"/>
          <w:szCs w:val="20"/>
        </w:rPr>
        <w:t>In ottica collaborativa si rappresenta ulteriormente che con riferimento a</w:t>
      </w:r>
      <w:r w:rsidRPr="00DC3D51">
        <w:rPr>
          <w:sz w:val="20"/>
          <w:szCs w:val="20"/>
        </w:rPr>
        <w:t xml:space="preserve">ll’emergenza epidemiologica </w:t>
      </w:r>
      <w:r>
        <w:rPr>
          <w:sz w:val="20"/>
          <w:szCs w:val="20"/>
        </w:rPr>
        <w:t>da Covid-19 l’Autorità ha adottato diversi atti</w:t>
      </w:r>
      <w:r w:rsidRPr="00DC3D51">
        <w:rPr>
          <w:sz w:val="20"/>
          <w:szCs w:val="20"/>
        </w:rPr>
        <w:t>, pubblicati sul sito istituzionale nella sezione “Emergenza Covid-19”. Tra questi, il “Vademecum per velocizzare e semplificare gli appalti pubblici” evidenzia la possibilità, per la stazione, per far fronte all’emergenza sanitaria, di procedere alle eventuali e conseguenti variazioni dei contratti in corso di esecuzione, nei limiti previsti dall’art. 106</w:t>
      </w:r>
      <w:r>
        <w:rPr>
          <w:sz w:val="20"/>
          <w:szCs w:val="20"/>
        </w:rPr>
        <w:t>,</w:t>
      </w:r>
      <w:r w:rsidR="00307A6A">
        <w:rPr>
          <w:sz w:val="20"/>
          <w:szCs w:val="20"/>
        </w:rPr>
        <w:t xml:space="preserve"> comma 1, </w:t>
      </w:r>
      <w:proofErr w:type="spellStart"/>
      <w:r w:rsidR="00307A6A">
        <w:rPr>
          <w:sz w:val="20"/>
          <w:szCs w:val="20"/>
        </w:rPr>
        <w:t>lett</w:t>
      </w:r>
      <w:proofErr w:type="spellEnd"/>
      <w:r w:rsidR="00307A6A">
        <w:rPr>
          <w:sz w:val="20"/>
          <w:szCs w:val="20"/>
        </w:rPr>
        <w:t>. c) del Codice (e dal comma 4 della stessa disposizione).</w:t>
      </w:r>
    </w:p>
    <w:p w:rsidR="00810F1A" w:rsidRDefault="00563F64" w:rsidP="00DB03E5">
      <w:pPr>
        <w:tabs>
          <w:tab w:val="clear" w:pos="708"/>
          <w:tab w:val="clear" w:pos="851"/>
          <w:tab w:val="left" w:pos="709"/>
        </w:tabs>
        <w:spacing w:after="0" w:line="276" w:lineRule="auto"/>
        <w:ind w:left="1134" w:right="-2" w:firstLine="567"/>
        <w:jc w:val="both"/>
        <w:rPr>
          <w:bCs/>
          <w:iCs/>
          <w:sz w:val="20"/>
          <w:szCs w:val="20"/>
        </w:rPr>
      </w:pPr>
      <w:r w:rsidRPr="00F906BB">
        <w:rPr>
          <w:bCs/>
          <w:iCs/>
          <w:sz w:val="20"/>
          <w:szCs w:val="20"/>
        </w:rPr>
        <w:t>Sulla base delle considerazioni che precedono, si rimette, pertanto, a codesta stazione appaltante ogni valutazione in ordine agli atti ed ai provvedimenti da adottare nella fattispecie oggetto della richiesta di parere, sulla base dell’indirizzo generale sopra illustrato.</w:t>
      </w:r>
    </w:p>
    <w:p w:rsidR="00E31E17" w:rsidRDefault="00D95127" w:rsidP="00810F1A">
      <w:pPr>
        <w:tabs>
          <w:tab w:val="clear" w:pos="708"/>
          <w:tab w:val="left" w:pos="709"/>
        </w:tabs>
        <w:spacing w:after="0" w:line="276" w:lineRule="auto"/>
        <w:ind w:left="1134" w:right="-2" w:firstLine="567"/>
        <w:jc w:val="both"/>
        <w:rPr>
          <w:sz w:val="20"/>
          <w:szCs w:val="20"/>
        </w:rPr>
      </w:pPr>
      <w:r w:rsidRPr="00F906BB">
        <w:rPr>
          <w:sz w:val="20"/>
          <w:szCs w:val="20"/>
        </w:rPr>
        <w:tab/>
      </w:r>
      <w:r w:rsidRPr="00F906BB">
        <w:rPr>
          <w:sz w:val="20"/>
          <w:szCs w:val="20"/>
        </w:rPr>
        <w:tab/>
      </w:r>
      <w:r w:rsidRPr="00F906BB">
        <w:rPr>
          <w:sz w:val="20"/>
          <w:szCs w:val="20"/>
        </w:rPr>
        <w:tab/>
      </w:r>
      <w:r w:rsidRPr="00F906BB">
        <w:rPr>
          <w:sz w:val="20"/>
          <w:szCs w:val="20"/>
        </w:rPr>
        <w:tab/>
      </w:r>
      <w:r w:rsidRPr="00F906BB">
        <w:rPr>
          <w:sz w:val="20"/>
          <w:szCs w:val="20"/>
        </w:rPr>
        <w:tab/>
      </w:r>
      <w:r w:rsidRPr="00F906BB">
        <w:rPr>
          <w:sz w:val="20"/>
          <w:szCs w:val="20"/>
        </w:rPr>
        <w:tab/>
      </w:r>
      <w:r w:rsidRPr="00F906BB">
        <w:rPr>
          <w:sz w:val="20"/>
          <w:szCs w:val="20"/>
        </w:rPr>
        <w:tab/>
      </w:r>
    </w:p>
    <w:p w:rsidR="00AE4525" w:rsidRDefault="00E31E17" w:rsidP="00810F1A">
      <w:pPr>
        <w:tabs>
          <w:tab w:val="clear" w:pos="708"/>
          <w:tab w:val="left" w:pos="709"/>
        </w:tabs>
        <w:spacing w:after="0" w:line="276" w:lineRule="auto"/>
        <w:ind w:left="1134" w:right="-2" w:firstLine="567"/>
        <w:jc w:val="both"/>
        <w:rPr>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95127" w:rsidRPr="00F906BB">
        <w:rPr>
          <w:i/>
          <w:sz w:val="20"/>
          <w:szCs w:val="20"/>
        </w:rPr>
        <w:t xml:space="preserve">Avv. Giuseppe </w:t>
      </w:r>
      <w:proofErr w:type="spellStart"/>
      <w:r w:rsidR="00D95127" w:rsidRPr="00F906BB">
        <w:rPr>
          <w:i/>
          <w:sz w:val="20"/>
          <w:szCs w:val="20"/>
        </w:rPr>
        <w:t>Busia</w:t>
      </w:r>
      <w:proofErr w:type="spellEnd"/>
    </w:p>
    <w:p w:rsidR="006F2AC3" w:rsidRDefault="006F2AC3" w:rsidP="00F906BB">
      <w:pPr>
        <w:tabs>
          <w:tab w:val="clear" w:pos="284"/>
          <w:tab w:val="clear" w:pos="567"/>
          <w:tab w:val="clear" w:pos="708"/>
          <w:tab w:val="left" w:pos="709"/>
        </w:tabs>
        <w:spacing w:after="0" w:line="276" w:lineRule="auto"/>
        <w:ind w:left="1134" w:right="-2" w:firstLine="567"/>
        <w:jc w:val="both"/>
        <w:rPr>
          <w:i/>
          <w:sz w:val="20"/>
          <w:szCs w:val="20"/>
        </w:rPr>
      </w:pPr>
    </w:p>
    <w:p w:rsidR="006F2AC3" w:rsidRDefault="006F2AC3" w:rsidP="00F906BB">
      <w:pPr>
        <w:tabs>
          <w:tab w:val="clear" w:pos="284"/>
          <w:tab w:val="clear" w:pos="567"/>
          <w:tab w:val="clear" w:pos="708"/>
          <w:tab w:val="left" w:pos="709"/>
        </w:tabs>
        <w:spacing w:after="0" w:line="276" w:lineRule="auto"/>
        <w:ind w:left="1134" w:right="-2" w:firstLine="567"/>
        <w:jc w:val="both"/>
        <w:rPr>
          <w:i/>
          <w:sz w:val="20"/>
          <w:szCs w:val="20"/>
        </w:rPr>
      </w:pPr>
    </w:p>
    <w:p w:rsidR="006F2AC3" w:rsidRDefault="006F2AC3" w:rsidP="00F906BB">
      <w:pPr>
        <w:tabs>
          <w:tab w:val="clear" w:pos="284"/>
          <w:tab w:val="clear" w:pos="567"/>
          <w:tab w:val="clear" w:pos="708"/>
          <w:tab w:val="left" w:pos="709"/>
        </w:tabs>
        <w:spacing w:after="0" w:line="276" w:lineRule="auto"/>
        <w:ind w:left="1134" w:right="-2" w:firstLine="567"/>
        <w:jc w:val="both"/>
        <w:rPr>
          <w:i/>
          <w:sz w:val="20"/>
          <w:szCs w:val="20"/>
        </w:rPr>
      </w:pPr>
    </w:p>
    <w:p w:rsidR="006F2AC3" w:rsidRPr="00D95127" w:rsidRDefault="006F2AC3" w:rsidP="00F906BB">
      <w:pPr>
        <w:tabs>
          <w:tab w:val="clear" w:pos="284"/>
          <w:tab w:val="clear" w:pos="567"/>
          <w:tab w:val="clear" w:pos="708"/>
          <w:tab w:val="left" w:pos="709"/>
        </w:tabs>
        <w:spacing w:after="0" w:line="276" w:lineRule="auto"/>
        <w:ind w:left="1134" w:right="-2" w:firstLine="567"/>
        <w:jc w:val="both"/>
        <w:rPr>
          <w:i/>
          <w:sz w:val="20"/>
          <w:szCs w:val="20"/>
        </w:rPr>
      </w:pPr>
    </w:p>
    <w:sectPr w:rsidR="006F2AC3" w:rsidRPr="00D95127" w:rsidSect="0034464B">
      <w:footerReference w:type="default" r:id="rId19"/>
      <w:type w:val="continuous"/>
      <w:pgSz w:w="11906" w:h="16838"/>
      <w:pgMar w:top="1304" w:right="1304" w:bottom="1304" w:left="130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DE" w:rsidRDefault="009910DE" w:rsidP="0019477D">
      <w:r>
        <w:separator/>
      </w:r>
    </w:p>
  </w:endnote>
  <w:endnote w:type="continuationSeparator" w:id="0">
    <w:p w:rsidR="009910DE" w:rsidRDefault="009910DE" w:rsidP="0019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itillium Web">
    <w:altName w:val="Times New Roman"/>
    <w:charset w:val="4D"/>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630641"/>
      <w:docPartObj>
        <w:docPartGallery w:val="Page Numbers (Bottom of Page)"/>
        <w:docPartUnique/>
      </w:docPartObj>
    </w:sdtPr>
    <w:sdtEndPr/>
    <w:sdtContent>
      <w:p w:rsidR="00381C60" w:rsidRDefault="00381C60">
        <w:pPr>
          <w:pStyle w:val="Pidipagina"/>
          <w:jc w:val="right"/>
        </w:pPr>
        <w:r>
          <w:fldChar w:fldCharType="begin"/>
        </w:r>
        <w:r>
          <w:instrText>PAGE   \* MERGEFORMAT</w:instrText>
        </w:r>
        <w:r>
          <w:fldChar w:fldCharType="separate"/>
        </w:r>
        <w:r w:rsidR="00F50FFA">
          <w:rPr>
            <w:noProof/>
          </w:rPr>
          <w:t>4</w:t>
        </w:r>
        <w:r>
          <w:fldChar w:fldCharType="end"/>
        </w:r>
      </w:p>
    </w:sdtContent>
  </w:sdt>
  <w:p w:rsidR="00381C60" w:rsidRDefault="00381C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DE" w:rsidRDefault="009910DE" w:rsidP="0019477D">
      <w:r>
        <w:separator/>
      </w:r>
    </w:p>
  </w:footnote>
  <w:footnote w:type="continuationSeparator" w:id="0">
    <w:p w:rsidR="009910DE" w:rsidRDefault="009910DE" w:rsidP="00194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40B"/>
    <w:multiLevelType w:val="hybridMultilevel"/>
    <w:tmpl w:val="45E28200"/>
    <w:lvl w:ilvl="0" w:tplc="DB4C79BA">
      <w:numFmt w:val="bullet"/>
      <w:lvlText w:val="-"/>
      <w:lvlJc w:val="left"/>
      <w:pPr>
        <w:ind w:left="2487" w:hanging="360"/>
      </w:pPr>
      <w:rPr>
        <w:rFonts w:ascii="Titillium" w:eastAsiaTheme="minorHAnsi" w:hAnsi="Titillium" w:cs="Titillium Web"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 w15:restartNumberingAfterBreak="0">
    <w:nsid w:val="12335922"/>
    <w:multiLevelType w:val="hybridMultilevel"/>
    <w:tmpl w:val="2CC4C974"/>
    <w:lvl w:ilvl="0" w:tplc="09C062E0">
      <w:start w:val="1"/>
      <w:numFmt w:val="decimal"/>
      <w:pStyle w:val="TitoloParagrafo"/>
      <w:lvlText w:val="%1."/>
      <w:lvlJc w:val="left"/>
      <w:pPr>
        <w:ind w:left="1920" w:hanging="360"/>
      </w:pPr>
      <w:rPr>
        <w:rFonts w:ascii="Gotham Light" w:hAnsi="Gotham Light" w:hint="default"/>
        <w:b/>
        <w:i w:val="0"/>
        <w:color w:val="4472C4" w:themeColor="accent1"/>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2" w15:restartNumberingAfterBreak="0">
    <w:nsid w:val="1AB95BA6"/>
    <w:multiLevelType w:val="multilevel"/>
    <w:tmpl w:val="58F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32A11"/>
    <w:multiLevelType w:val="multilevel"/>
    <w:tmpl w:val="228E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C539D"/>
    <w:multiLevelType w:val="hybridMultilevel"/>
    <w:tmpl w:val="6A8ACC0E"/>
    <w:lvl w:ilvl="0" w:tplc="7938D90E">
      <w:start w:val="2"/>
      <w:numFmt w:val="bullet"/>
      <w:lvlText w:val="-"/>
      <w:lvlJc w:val="left"/>
      <w:pPr>
        <w:ind w:left="2628" w:hanging="360"/>
      </w:pPr>
      <w:rPr>
        <w:rFonts w:ascii="Titillium" w:eastAsiaTheme="minorHAnsi" w:hAnsi="Titillium" w:cs="Titillium Web" w:hint="default"/>
      </w:rPr>
    </w:lvl>
    <w:lvl w:ilvl="1" w:tplc="04100003" w:tentative="1">
      <w:start w:val="1"/>
      <w:numFmt w:val="bullet"/>
      <w:lvlText w:val="o"/>
      <w:lvlJc w:val="left"/>
      <w:pPr>
        <w:ind w:left="3348" w:hanging="360"/>
      </w:pPr>
      <w:rPr>
        <w:rFonts w:ascii="Courier New" w:hAnsi="Courier New" w:cs="Courier New" w:hint="default"/>
      </w:rPr>
    </w:lvl>
    <w:lvl w:ilvl="2" w:tplc="04100005" w:tentative="1">
      <w:start w:val="1"/>
      <w:numFmt w:val="bullet"/>
      <w:lvlText w:val=""/>
      <w:lvlJc w:val="left"/>
      <w:pPr>
        <w:ind w:left="4068" w:hanging="360"/>
      </w:pPr>
      <w:rPr>
        <w:rFonts w:ascii="Wingdings" w:hAnsi="Wingdings" w:hint="default"/>
      </w:rPr>
    </w:lvl>
    <w:lvl w:ilvl="3" w:tplc="04100001" w:tentative="1">
      <w:start w:val="1"/>
      <w:numFmt w:val="bullet"/>
      <w:lvlText w:val=""/>
      <w:lvlJc w:val="left"/>
      <w:pPr>
        <w:ind w:left="4788" w:hanging="360"/>
      </w:pPr>
      <w:rPr>
        <w:rFonts w:ascii="Symbol" w:hAnsi="Symbol" w:hint="default"/>
      </w:rPr>
    </w:lvl>
    <w:lvl w:ilvl="4" w:tplc="04100003" w:tentative="1">
      <w:start w:val="1"/>
      <w:numFmt w:val="bullet"/>
      <w:lvlText w:val="o"/>
      <w:lvlJc w:val="left"/>
      <w:pPr>
        <w:ind w:left="5508" w:hanging="360"/>
      </w:pPr>
      <w:rPr>
        <w:rFonts w:ascii="Courier New" w:hAnsi="Courier New" w:cs="Courier New" w:hint="default"/>
      </w:rPr>
    </w:lvl>
    <w:lvl w:ilvl="5" w:tplc="04100005" w:tentative="1">
      <w:start w:val="1"/>
      <w:numFmt w:val="bullet"/>
      <w:lvlText w:val=""/>
      <w:lvlJc w:val="left"/>
      <w:pPr>
        <w:ind w:left="6228" w:hanging="360"/>
      </w:pPr>
      <w:rPr>
        <w:rFonts w:ascii="Wingdings" w:hAnsi="Wingdings" w:hint="default"/>
      </w:rPr>
    </w:lvl>
    <w:lvl w:ilvl="6" w:tplc="04100001" w:tentative="1">
      <w:start w:val="1"/>
      <w:numFmt w:val="bullet"/>
      <w:lvlText w:val=""/>
      <w:lvlJc w:val="left"/>
      <w:pPr>
        <w:ind w:left="6948" w:hanging="360"/>
      </w:pPr>
      <w:rPr>
        <w:rFonts w:ascii="Symbol" w:hAnsi="Symbol" w:hint="default"/>
      </w:rPr>
    </w:lvl>
    <w:lvl w:ilvl="7" w:tplc="04100003" w:tentative="1">
      <w:start w:val="1"/>
      <w:numFmt w:val="bullet"/>
      <w:lvlText w:val="o"/>
      <w:lvlJc w:val="left"/>
      <w:pPr>
        <w:ind w:left="7668" w:hanging="360"/>
      </w:pPr>
      <w:rPr>
        <w:rFonts w:ascii="Courier New" w:hAnsi="Courier New" w:cs="Courier New" w:hint="default"/>
      </w:rPr>
    </w:lvl>
    <w:lvl w:ilvl="8" w:tplc="04100005" w:tentative="1">
      <w:start w:val="1"/>
      <w:numFmt w:val="bullet"/>
      <w:lvlText w:val=""/>
      <w:lvlJc w:val="left"/>
      <w:pPr>
        <w:ind w:left="8388" w:hanging="360"/>
      </w:pPr>
      <w:rPr>
        <w:rFonts w:ascii="Wingdings" w:hAnsi="Wingdings" w:hint="default"/>
      </w:rPr>
    </w:lvl>
  </w:abstractNum>
  <w:abstractNum w:abstractNumId="5" w15:restartNumberingAfterBreak="0">
    <w:nsid w:val="2A872518"/>
    <w:multiLevelType w:val="multilevel"/>
    <w:tmpl w:val="931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2494F"/>
    <w:multiLevelType w:val="multilevel"/>
    <w:tmpl w:val="557C0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D6468"/>
    <w:multiLevelType w:val="hybridMultilevel"/>
    <w:tmpl w:val="E78EAE1A"/>
    <w:lvl w:ilvl="0" w:tplc="D158C45E">
      <w:start w:val="4"/>
      <w:numFmt w:val="bullet"/>
      <w:lvlText w:val="-"/>
      <w:lvlJc w:val="left"/>
      <w:pPr>
        <w:ind w:left="2345" w:hanging="360"/>
      </w:pPr>
      <w:rPr>
        <w:rFonts w:ascii="Titillium" w:eastAsiaTheme="minorHAnsi" w:hAnsi="Titillium" w:cs="Titillium Web" w:hint="default"/>
        <w:color w:val="auto"/>
        <w:sz w:val="20"/>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8" w15:restartNumberingAfterBreak="0">
    <w:nsid w:val="433C1AD3"/>
    <w:multiLevelType w:val="singleLevel"/>
    <w:tmpl w:val="73C6CC12"/>
    <w:lvl w:ilvl="0">
      <w:start w:val="1"/>
      <w:numFmt w:val="lowerLetter"/>
      <w:lvlText w:val="%1)"/>
      <w:lvlJc w:val="left"/>
      <w:pPr>
        <w:tabs>
          <w:tab w:val="num" w:pos="1069"/>
        </w:tabs>
        <w:ind w:left="1069" w:hanging="360"/>
      </w:pPr>
      <w:rPr>
        <w:rFonts w:hint="default"/>
      </w:rPr>
    </w:lvl>
  </w:abstractNum>
  <w:abstractNum w:abstractNumId="9" w15:restartNumberingAfterBreak="0">
    <w:nsid w:val="4E8A4A30"/>
    <w:multiLevelType w:val="multilevel"/>
    <w:tmpl w:val="8B5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E461B"/>
    <w:multiLevelType w:val="hybridMultilevel"/>
    <w:tmpl w:val="35101718"/>
    <w:lvl w:ilvl="0" w:tplc="91EA4DA6">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1" w15:restartNumberingAfterBreak="0">
    <w:nsid w:val="6AEB138E"/>
    <w:multiLevelType w:val="hybridMultilevel"/>
    <w:tmpl w:val="59B28870"/>
    <w:lvl w:ilvl="0" w:tplc="474CAB26">
      <w:start w:val="1"/>
      <w:numFmt w:val="decimal"/>
      <w:lvlText w:val="%1."/>
      <w:lvlJc w:val="left"/>
      <w:pPr>
        <w:ind w:left="2628" w:hanging="360"/>
      </w:pPr>
      <w:rPr>
        <w:rFonts w:hint="default"/>
      </w:rPr>
    </w:lvl>
    <w:lvl w:ilvl="1" w:tplc="04100019" w:tentative="1">
      <w:start w:val="1"/>
      <w:numFmt w:val="lowerLetter"/>
      <w:lvlText w:val="%2."/>
      <w:lvlJc w:val="left"/>
      <w:pPr>
        <w:ind w:left="3348" w:hanging="360"/>
      </w:pPr>
    </w:lvl>
    <w:lvl w:ilvl="2" w:tplc="0410001B" w:tentative="1">
      <w:start w:val="1"/>
      <w:numFmt w:val="lowerRoman"/>
      <w:lvlText w:val="%3."/>
      <w:lvlJc w:val="right"/>
      <w:pPr>
        <w:ind w:left="4068" w:hanging="180"/>
      </w:pPr>
    </w:lvl>
    <w:lvl w:ilvl="3" w:tplc="0410000F" w:tentative="1">
      <w:start w:val="1"/>
      <w:numFmt w:val="decimal"/>
      <w:lvlText w:val="%4."/>
      <w:lvlJc w:val="left"/>
      <w:pPr>
        <w:ind w:left="4788" w:hanging="360"/>
      </w:pPr>
    </w:lvl>
    <w:lvl w:ilvl="4" w:tplc="04100019" w:tentative="1">
      <w:start w:val="1"/>
      <w:numFmt w:val="lowerLetter"/>
      <w:lvlText w:val="%5."/>
      <w:lvlJc w:val="left"/>
      <w:pPr>
        <w:ind w:left="5508" w:hanging="360"/>
      </w:pPr>
    </w:lvl>
    <w:lvl w:ilvl="5" w:tplc="0410001B" w:tentative="1">
      <w:start w:val="1"/>
      <w:numFmt w:val="lowerRoman"/>
      <w:lvlText w:val="%6."/>
      <w:lvlJc w:val="right"/>
      <w:pPr>
        <w:ind w:left="6228" w:hanging="180"/>
      </w:pPr>
    </w:lvl>
    <w:lvl w:ilvl="6" w:tplc="0410000F" w:tentative="1">
      <w:start w:val="1"/>
      <w:numFmt w:val="decimal"/>
      <w:lvlText w:val="%7."/>
      <w:lvlJc w:val="left"/>
      <w:pPr>
        <w:ind w:left="6948" w:hanging="360"/>
      </w:pPr>
    </w:lvl>
    <w:lvl w:ilvl="7" w:tplc="04100019" w:tentative="1">
      <w:start w:val="1"/>
      <w:numFmt w:val="lowerLetter"/>
      <w:lvlText w:val="%8."/>
      <w:lvlJc w:val="left"/>
      <w:pPr>
        <w:ind w:left="7668" w:hanging="360"/>
      </w:pPr>
    </w:lvl>
    <w:lvl w:ilvl="8" w:tplc="0410001B" w:tentative="1">
      <w:start w:val="1"/>
      <w:numFmt w:val="lowerRoman"/>
      <w:lvlText w:val="%9."/>
      <w:lvlJc w:val="right"/>
      <w:pPr>
        <w:ind w:left="8388" w:hanging="180"/>
      </w:pPr>
    </w:lvl>
  </w:abstractNum>
  <w:abstractNum w:abstractNumId="12" w15:restartNumberingAfterBreak="0">
    <w:nsid w:val="6C1F2C38"/>
    <w:multiLevelType w:val="multilevel"/>
    <w:tmpl w:val="1F9C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4"/>
  </w:num>
  <w:num w:numId="4">
    <w:abstractNumId w:val="8"/>
  </w:num>
  <w:num w:numId="5">
    <w:abstractNumId w:val="0"/>
  </w:num>
  <w:num w:numId="6">
    <w:abstractNumId w:val="9"/>
  </w:num>
  <w:num w:numId="7">
    <w:abstractNumId w:val="3"/>
  </w:num>
  <w:num w:numId="8">
    <w:abstractNumId w:val="12"/>
  </w:num>
  <w:num w:numId="9">
    <w:abstractNumId w:val="7"/>
  </w:num>
  <w:num w:numId="10">
    <w:abstractNumId w:val="6"/>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BC"/>
    <w:rsid w:val="00001589"/>
    <w:rsid w:val="00007BC0"/>
    <w:rsid w:val="00011A71"/>
    <w:rsid w:val="0001221F"/>
    <w:rsid w:val="00014BC2"/>
    <w:rsid w:val="00015A97"/>
    <w:rsid w:val="00021911"/>
    <w:rsid w:val="00021F84"/>
    <w:rsid w:val="0002378F"/>
    <w:rsid w:val="00024052"/>
    <w:rsid w:val="00024927"/>
    <w:rsid w:val="00025C16"/>
    <w:rsid w:val="00026B4D"/>
    <w:rsid w:val="0003022D"/>
    <w:rsid w:val="0003074A"/>
    <w:rsid w:val="00030B1D"/>
    <w:rsid w:val="00031C8A"/>
    <w:rsid w:val="00031D18"/>
    <w:rsid w:val="000336C0"/>
    <w:rsid w:val="00037231"/>
    <w:rsid w:val="00037F72"/>
    <w:rsid w:val="0004015B"/>
    <w:rsid w:val="00041F03"/>
    <w:rsid w:val="00042075"/>
    <w:rsid w:val="00042A4B"/>
    <w:rsid w:val="00043215"/>
    <w:rsid w:val="0004678C"/>
    <w:rsid w:val="000504EA"/>
    <w:rsid w:val="00052E5B"/>
    <w:rsid w:val="00052E6B"/>
    <w:rsid w:val="00054B36"/>
    <w:rsid w:val="00055132"/>
    <w:rsid w:val="00055E4B"/>
    <w:rsid w:val="00060B53"/>
    <w:rsid w:val="00061C8A"/>
    <w:rsid w:val="000623F1"/>
    <w:rsid w:val="00062865"/>
    <w:rsid w:val="00064887"/>
    <w:rsid w:val="00064917"/>
    <w:rsid w:val="000658E3"/>
    <w:rsid w:val="000669F9"/>
    <w:rsid w:val="00066AFB"/>
    <w:rsid w:val="00070099"/>
    <w:rsid w:val="00074740"/>
    <w:rsid w:val="000756C9"/>
    <w:rsid w:val="00075B8C"/>
    <w:rsid w:val="0007636B"/>
    <w:rsid w:val="00077F15"/>
    <w:rsid w:val="0008221D"/>
    <w:rsid w:val="0008461C"/>
    <w:rsid w:val="00086C0A"/>
    <w:rsid w:val="00087B8F"/>
    <w:rsid w:val="0009331B"/>
    <w:rsid w:val="000A3F10"/>
    <w:rsid w:val="000A5B35"/>
    <w:rsid w:val="000A5D8A"/>
    <w:rsid w:val="000B367B"/>
    <w:rsid w:val="000B3942"/>
    <w:rsid w:val="000B3C71"/>
    <w:rsid w:val="000C5E03"/>
    <w:rsid w:val="000C67A1"/>
    <w:rsid w:val="000D10D8"/>
    <w:rsid w:val="000D1B69"/>
    <w:rsid w:val="000D5ED7"/>
    <w:rsid w:val="000E07FB"/>
    <w:rsid w:val="000E18CF"/>
    <w:rsid w:val="000E23D9"/>
    <w:rsid w:val="000E26A6"/>
    <w:rsid w:val="000E518D"/>
    <w:rsid w:val="000E5B19"/>
    <w:rsid w:val="000F1E97"/>
    <w:rsid w:val="000F6EB8"/>
    <w:rsid w:val="00100578"/>
    <w:rsid w:val="0010199C"/>
    <w:rsid w:val="001077E9"/>
    <w:rsid w:val="001109D9"/>
    <w:rsid w:val="0011228A"/>
    <w:rsid w:val="00113420"/>
    <w:rsid w:val="0011396F"/>
    <w:rsid w:val="001139C0"/>
    <w:rsid w:val="0011446A"/>
    <w:rsid w:val="00115069"/>
    <w:rsid w:val="00116047"/>
    <w:rsid w:val="001170E3"/>
    <w:rsid w:val="00120F58"/>
    <w:rsid w:val="00121F40"/>
    <w:rsid w:val="00123DF8"/>
    <w:rsid w:val="00126CA3"/>
    <w:rsid w:val="001316BE"/>
    <w:rsid w:val="00131F69"/>
    <w:rsid w:val="00136884"/>
    <w:rsid w:val="00136962"/>
    <w:rsid w:val="00136DC5"/>
    <w:rsid w:val="00143A6A"/>
    <w:rsid w:val="00144297"/>
    <w:rsid w:val="00145214"/>
    <w:rsid w:val="00145800"/>
    <w:rsid w:val="001478DA"/>
    <w:rsid w:val="00150203"/>
    <w:rsid w:val="00150702"/>
    <w:rsid w:val="00151C9A"/>
    <w:rsid w:val="00152A12"/>
    <w:rsid w:val="0015441C"/>
    <w:rsid w:val="00154900"/>
    <w:rsid w:val="00163081"/>
    <w:rsid w:val="00165094"/>
    <w:rsid w:val="001652D0"/>
    <w:rsid w:val="00166C91"/>
    <w:rsid w:val="001678FB"/>
    <w:rsid w:val="00170BA6"/>
    <w:rsid w:val="0017166F"/>
    <w:rsid w:val="00175505"/>
    <w:rsid w:val="00176AFA"/>
    <w:rsid w:val="001814A6"/>
    <w:rsid w:val="00186487"/>
    <w:rsid w:val="0018769D"/>
    <w:rsid w:val="00192191"/>
    <w:rsid w:val="00192AB1"/>
    <w:rsid w:val="001934FA"/>
    <w:rsid w:val="00193A11"/>
    <w:rsid w:val="0019477D"/>
    <w:rsid w:val="00194852"/>
    <w:rsid w:val="00195CEC"/>
    <w:rsid w:val="00196E02"/>
    <w:rsid w:val="00197FD3"/>
    <w:rsid w:val="001A6A88"/>
    <w:rsid w:val="001A6ECC"/>
    <w:rsid w:val="001B076E"/>
    <w:rsid w:val="001B08D8"/>
    <w:rsid w:val="001B1DC3"/>
    <w:rsid w:val="001B2314"/>
    <w:rsid w:val="001B3748"/>
    <w:rsid w:val="001B68F5"/>
    <w:rsid w:val="001B7E47"/>
    <w:rsid w:val="001B7E6C"/>
    <w:rsid w:val="001C0E30"/>
    <w:rsid w:val="001C1E02"/>
    <w:rsid w:val="001C2F89"/>
    <w:rsid w:val="001C4F9C"/>
    <w:rsid w:val="001C7710"/>
    <w:rsid w:val="001D03A3"/>
    <w:rsid w:val="001D3E6C"/>
    <w:rsid w:val="001D513B"/>
    <w:rsid w:val="001D7124"/>
    <w:rsid w:val="001E03D7"/>
    <w:rsid w:val="001E07A1"/>
    <w:rsid w:val="001E1EE8"/>
    <w:rsid w:val="001E3161"/>
    <w:rsid w:val="001E3961"/>
    <w:rsid w:val="001E57E9"/>
    <w:rsid w:val="001F2A5D"/>
    <w:rsid w:val="001F3581"/>
    <w:rsid w:val="001F48C9"/>
    <w:rsid w:val="001F5A2E"/>
    <w:rsid w:val="001F5D8B"/>
    <w:rsid w:val="001F6B97"/>
    <w:rsid w:val="001F7056"/>
    <w:rsid w:val="00201985"/>
    <w:rsid w:val="00201B9C"/>
    <w:rsid w:val="00201F2B"/>
    <w:rsid w:val="0020225D"/>
    <w:rsid w:val="00203623"/>
    <w:rsid w:val="00204AD7"/>
    <w:rsid w:val="0021213B"/>
    <w:rsid w:val="002135DE"/>
    <w:rsid w:val="0021667C"/>
    <w:rsid w:val="00221E35"/>
    <w:rsid w:val="00224A76"/>
    <w:rsid w:val="00224C47"/>
    <w:rsid w:val="00224E7E"/>
    <w:rsid w:val="002307BE"/>
    <w:rsid w:val="00231C13"/>
    <w:rsid w:val="00232073"/>
    <w:rsid w:val="002328DA"/>
    <w:rsid w:val="00234F1C"/>
    <w:rsid w:val="00234F5F"/>
    <w:rsid w:val="00236093"/>
    <w:rsid w:val="00236CA7"/>
    <w:rsid w:val="00244EA0"/>
    <w:rsid w:val="00246B0A"/>
    <w:rsid w:val="00250355"/>
    <w:rsid w:val="00250E8A"/>
    <w:rsid w:val="00251FAE"/>
    <w:rsid w:val="002534D6"/>
    <w:rsid w:val="002551AB"/>
    <w:rsid w:val="002569D0"/>
    <w:rsid w:val="0026061D"/>
    <w:rsid w:val="002609DE"/>
    <w:rsid w:val="002670C2"/>
    <w:rsid w:val="00267E25"/>
    <w:rsid w:val="00271415"/>
    <w:rsid w:val="00272040"/>
    <w:rsid w:val="002728E2"/>
    <w:rsid w:val="00273C8D"/>
    <w:rsid w:val="00274EF4"/>
    <w:rsid w:val="00276A68"/>
    <w:rsid w:val="0027759B"/>
    <w:rsid w:val="0028156B"/>
    <w:rsid w:val="00283EB9"/>
    <w:rsid w:val="002851A7"/>
    <w:rsid w:val="00285350"/>
    <w:rsid w:val="002867E8"/>
    <w:rsid w:val="00287128"/>
    <w:rsid w:val="0028715A"/>
    <w:rsid w:val="002914E7"/>
    <w:rsid w:val="00292B39"/>
    <w:rsid w:val="00292F89"/>
    <w:rsid w:val="002958E1"/>
    <w:rsid w:val="002961C1"/>
    <w:rsid w:val="002972F1"/>
    <w:rsid w:val="002A0A4B"/>
    <w:rsid w:val="002A2297"/>
    <w:rsid w:val="002A22F5"/>
    <w:rsid w:val="002A2CB1"/>
    <w:rsid w:val="002A4457"/>
    <w:rsid w:val="002A55BE"/>
    <w:rsid w:val="002B0688"/>
    <w:rsid w:val="002B07EA"/>
    <w:rsid w:val="002B0AE5"/>
    <w:rsid w:val="002B3259"/>
    <w:rsid w:val="002B35F1"/>
    <w:rsid w:val="002B5A03"/>
    <w:rsid w:val="002B73CC"/>
    <w:rsid w:val="002C0020"/>
    <w:rsid w:val="002C14F6"/>
    <w:rsid w:val="002C5264"/>
    <w:rsid w:val="002C5D40"/>
    <w:rsid w:val="002C62C6"/>
    <w:rsid w:val="002C7A8D"/>
    <w:rsid w:val="002D3468"/>
    <w:rsid w:val="002E0435"/>
    <w:rsid w:val="002E37EA"/>
    <w:rsid w:val="002E4C50"/>
    <w:rsid w:val="002E4E0E"/>
    <w:rsid w:val="002E6ED1"/>
    <w:rsid w:val="002F0F49"/>
    <w:rsid w:val="002F1FE4"/>
    <w:rsid w:val="002F2FC6"/>
    <w:rsid w:val="002F3BEB"/>
    <w:rsid w:val="00302068"/>
    <w:rsid w:val="00302447"/>
    <w:rsid w:val="003024AD"/>
    <w:rsid w:val="0030340E"/>
    <w:rsid w:val="00304E7F"/>
    <w:rsid w:val="00305A2B"/>
    <w:rsid w:val="0030677D"/>
    <w:rsid w:val="003073DA"/>
    <w:rsid w:val="00307A6A"/>
    <w:rsid w:val="003117EE"/>
    <w:rsid w:val="00312411"/>
    <w:rsid w:val="00314117"/>
    <w:rsid w:val="003150DC"/>
    <w:rsid w:val="003242F0"/>
    <w:rsid w:val="003252EB"/>
    <w:rsid w:val="0032552F"/>
    <w:rsid w:val="00326CA4"/>
    <w:rsid w:val="003336A5"/>
    <w:rsid w:val="00340ED9"/>
    <w:rsid w:val="003419C7"/>
    <w:rsid w:val="00343F16"/>
    <w:rsid w:val="00344170"/>
    <w:rsid w:val="0034464B"/>
    <w:rsid w:val="00344764"/>
    <w:rsid w:val="00345BB7"/>
    <w:rsid w:val="003478BD"/>
    <w:rsid w:val="0035031D"/>
    <w:rsid w:val="00350D78"/>
    <w:rsid w:val="00354B61"/>
    <w:rsid w:val="00355E5D"/>
    <w:rsid w:val="00357F17"/>
    <w:rsid w:val="0036235A"/>
    <w:rsid w:val="00362D0C"/>
    <w:rsid w:val="003809B3"/>
    <w:rsid w:val="00381C60"/>
    <w:rsid w:val="00384188"/>
    <w:rsid w:val="00385B1B"/>
    <w:rsid w:val="00385D3E"/>
    <w:rsid w:val="00390B47"/>
    <w:rsid w:val="00393B86"/>
    <w:rsid w:val="00395672"/>
    <w:rsid w:val="00396D56"/>
    <w:rsid w:val="0039788B"/>
    <w:rsid w:val="003A0AAE"/>
    <w:rsid w:val="003A1985"/>
    <w:rsid w:val="003A285D"/>
    <w:rsid w:val="003A2B19"/>
    <w:rsid w:val="003A3D9B"/>
    <w:rsid w:val="003B39AE"/>
    <w:rsid w:val="003C0C86"/>
    <w:rsid w:val="003C187F"/>
    <w:rsid w:val="003C1984"/>
    <w:rsid w:val="003C1D68"/>
    <w:rsid w:val="003C3F2B"/>
    <w:rsid w:val="003C706C"/>
    <w:rsid w:val="003C769C"/>
    <w:rsid w:val="003D08FE"/>
    <w:rsid w:val="003D34D0"/>
    <w:rsid w:val="003D5414"/>
    <w:rsid w:val="003D5A36"/>
    <w:rsid w:val="003E106B"/>
    <w:rsid w:val="003E1718"/>
    <w:rsid w:val="003E4AAB"/>
    <w:rsid w:val="003E4F12"/>
    <w:rsid w:val="003F47CA"/>
    <w:rsid w:val="004000C1"/>
    <w:rsid w:val="00400895"/>
    <w:rsid w:val="00405727"/>
    <w:rsid w:val="00405F9F"/>
    <w:rsid w:val="004062BE"/>
    <w:rsid w:val="00407070"/>
    <w:rsid w:val="00407138"/>
    <w:rsid w:val="00407766"/>
    <w:rsid w:val="0041220D"/>
    <w:rsid w:val="00414DED"/>
    <w:rsid w:val="00416A88"/>
    <w:rsid w:val="00420E71"/>
    <w:rsid w:val="00421CA9"/>
    <w:rsid w:val="00421F5E"/>
    <w:rsid w:val="00424562"/>
    <w:rsid w:val="00426934"/>
    <w:rsid w:val="00430FA5"/>
    <w:rsid w:val="00432BC5"/>
    <w:rsid w:val="004357C6"/>
    <w:rsid w:val="00436EA6"/>
    <w:rsid w:val="0044237A"/>
    <w:rsid w:val="004425D5"/>
    <w:rsid w:val="00442AB5"/>
    <w:rsid w:val="004438E2"/>
    <w:rsid w:val="004440BC"/>
    <w:rsid w:val="00444E49"/>
    <w:rsid w:val="004455C1"/>
    <w:rsid w:val="00445F7C"/>
    <w:rsid w:val="00452A59"/>
    <w:rsid w:val="00452D80"/>
    <w:rsid w:val="0045487A"/>
    <w:rsid w:val="00454A92"/>
    <w:rsid w:val="00455262"/>
    <w:rsid w:val="004562E2"/>
    <w:rsid w:val="00456B3E"/>
    <w:rsid w:val="00456F88"/>
    <w:rsid w:val="004602B2"/>
    <w:rsid w:val="00464BB3"/>
    <w:rsid w:val="00465534"/>
    <w:rsid w:val="00465A2A"/>
    <w:rsid w:val="00465A8A"/>
    <w:rsid w:val="004667DF"/>
    <w:rsid w:val="00470471"/>
    <w:rsid w:val="00471F05"/>
    <w:rsid w:val="004726F3"/>
    <w:rsid w:val="00475FCB"/>
    <w:rsid w:val="0047603C"/>
    <w:rsid w:val="0047724C"/>
    <w:rsid w:val="004772FB"/>
    <w:rsid w:val="00481C7C"/>
    <w:rsid w:val="004845BA"/>
    <w:rsid w:val="00485362"/>
    <w:rsid w:val="00485F86"/>
    <w:rsid w:val="004878E4"/>
    <w:rsid w:val="00490897"/>
    <w:rsid w:val="004908BC"/>
    <w:rsid w:val="00496978"/>
    <w:rsid w:val="00496CD3"/>
    <w:rsid w:val="004A145F"/>
    <w:rsid w:val="004A1776"/>
    <w:rsid w:val="004A3D31"/>
    <w:rsid w:val="004A6A58"/>
    <w:rsid w:val="004B015D"/>
    <w:rsid w:val="004B229B"/>
    <w:rsid w:val="004B38C2"/>
    <w:rsid w:val="004B6361"/>
    <w:rsid w:val="004C2B67"/>
    <w:rsid w:val="004C2C83"/>
    <w:rsid w:val="004C3741"/>
    <w:rsid w:val="004C414A"/>
    <w:rsid w:val="004C4D19"/>
    <w:rsid w:val="004D320B"/>
    <w:rsid w:val="004D3953"/>
    <w:rsid w:val="004D57F5"/>
    <w:rsid w:val="004D70B1"/>
    <w:rsid w:val="004E15F6"/>
    <w:rsid w:val="004E2E6A"/>
    <w:rsid w:val="004E3F57"/>
    <w:rsid w:val="004E55C2"/>
    <w:rsid w:val="004E661B"/>
    <w:rsid w:val="004E6877"/>
    <w:rsid w:val="004E74CA"/>
    <w:rsid w:val="004F02EB"/>
    <w:rsid w:val="004F28FB"/>
    <w:rsid w:val="004F358D"/>
    <w:rsid w:val="004F6A5C"/>
    <w:rsid w:val="005035A5"/>
    <w:rsid w:val="00503650"/>
    <w:rsid w:val="00503F1F"/>
    <w:rsid w:val="00503FA0"/>
    <w:rsid w:val="00504D94"/>
    <w:rsid w:val="00506205"/>
    <w:rsid w:val="00506645"/>
    <w:rsid w:val="0051038B"/>
    <w:rsid w:val="00510395"/>
    <w:rsid w:val="005142BF"/>
    <w:rsid w:val="005147FD"/>
    <w:rsid w:val="00514F0F"/>
    <w:rsid w:val="00515830"/>
    <w:rsid w:val="005170EC"/>
    <w:rsid w:val="00517820"/>
    <w:rsid w:val="00521664"/>
    <w:rsid w:val="00522D5C"/>
    <w:rsid w:val="00523831"/>
    <w:rsid w:val="00523E26"/>
    <w:rsid w:val="005253CE"/>
    <w:rsid w:val="0052699E"/>
    <w:rsid w:val="00527084"/>
    <w:rsid w:val="00531C39"/>
    <w:rsid w:val="00532405"/>
    <w:rsid w:val="00533BFF"/>
    <w:rsid w:val="0053462F"/>
    <w:rsid w:val="00535542"/>
    <w:rsid w:val="00544B29"/>
    <w:rsid w:val="00544B52"/>
    <w:rsid w:val="00546287"/>
    <w:rsid w:val="005471C3"/>
    <w:rsid w:val="00547C57"/>
    <w:rsid w:val="00551216"/>
    <w:rsid w:val="00554353"/>
    <w:rsid w:val="005557BB"/>
    <w:rsid w:val="00555FC4"/>
    <w:rsid w:val="00557012"/>
    <w:rsid w:val="00561223"/>
    <w:rsid w:val="00561E21"/>
    <w:rsid w:val="00563F64"/>
    <w:rsid w:val="00576BB6"/>
    <w:rsid w:val="00580D0E"/>
    <w:rsid w:val="0058101B"/>
    <w:rsid w:val="0058579F"/>
    <w:rsid w:val="00585D98"/>
    <w:rsid w:val="005861BE"/>
    <w:rsid w:val="0058707B"/>
    <w:rsid w:val="005870A6"/>
    <w:rsid w:val="00587D85"/>
    <w:rsid w:val="00594BB5"/>
    <w:rsid w:val="0059795D"/>
    <w:rsid w:val="005A02E7"/>
    <w:rsid w:val="005A2C50"/>
    <w:rsid w:val="005A3311"/>
    <w:rsid w:val="005A3755"/>
    <w:rsid w:val="005A5263"/>
    <w:rsid w:val="005A57A5"/>
    <w:rsid w:val="005A7770"/>
    <w:rsid w:val="005B17E6"/>
    <w:rsid w:val="005C048E"/>
    <w:rsid w:val="005C0FAE"/>
    <w:rsid w:val="005C1111"/>
    <w:rsid w:val="005C3D45"/>
    <w:rsid w:val="005C4DCD"/>
    <w:rsid w:val="005D02A3"/>
    <w:rsid w:val="005D23EF"/>
    <w:rsid w:val="005D2B89"/>
    <w:rsid w:val="005D49C9"/>
    <w:rsid w:val="005D5F2B"/>
    <w:rsid w:val="005D6037"/>
    <w:rsid w:val="005E3A34"/>
    <w:rsid w:val="005E5D09"/>
    <w:rsid w:val="005E7A75"/>
    <w:rsid w:val="005F12C6"/>
    <w:rsid w:val="005F24B2"/>
    <w:rsid w:val="005F2505"/>
    <w:rsid w:val="005F388E"/>
    <w:rsid w:val="005F46DD"/>
    <w:rsid w:val="005F4CAE"/>
    <w:rsid w:val="005F5187"/>
    <w:rsid w:val="005F69C7"/>
    <w:rsid w:val="005F78F7"/>
    <w:rsid w:val="00602F6C"/>
    <w:rsid w:val="00605E3E"/>
    <w:rsid w:val="0061680D"/>
    <w:rsid w:val="00622C90"/>
    <w:rsid w:val="00623A78"/>
    <w:rsid w:val="006311DF"/>
    <w:rsid w:val="00631C95"/>
    <w:rsid w:val="00632948"/>
    <w:rsid w:val="00633B3E"/>
    <w:rsid w:val="006348D7"/>
    <w:rsid w:val="006361EF"/>
    <w:rsid w:val="00636704"/>
    <w:rsid w:val="00637EB1"/>
    <w:rsid w:val="00642E3B"/>
    <w:rsid w:val="006444E0"/>
    <w:rsid w:val="00647221"/>
    <w:rsid w:val="00654E63"/>
    <w:rsid w:val="006552F2"/>
    <w:rsid w:val="00657C68"/>
    <w:rsid w:val="00660727"/>
    <w:rsid w:val="00661E48"/>
    <w:rsid w:val="00662F4C"/>
    <w:rsid w:val="00663006"/>
    <w:rsid w:val="00663F14"/>
    <w:rsid w:val="0066658F"/>
    <w:rsid w:val="00666C26"/>
    <w:rsid w:val="00667B06"/>
    <w:rsid w:val="006716F1"/>
    <w:rsid w:val="00671C32"/>
    <w:rsid w:val="0067250C"/>
    <w:rsid w:val="00673989"/>
    <w:rsid w:val="00673D06"/>
    <w:rsid w:val="00676F10"/>
    <w:rsid w:val="006805CF"/>
    <w:rsid w:val="00680787"/>
    <w:rsid w:val="00680953"/>
    <w:rsid w:val="00681235"/>
    <w:rsid w:val="006816FE"/>
    <w:rsid w:val="006864E4"/>
    <w:rsid w:val="00686761"/>
    <w:rsid w:val="00690537"/>
    <w:rsid w:val="00690D6C"/>
    <w:rsid w:val="006932AC"/>
    <w:rsid w:val="00693351"/>
    <w:rsid w:val="00694EBC"/>
    <w:rsid w:val="006A04D5"/>
    <w:rsid w:val="006A0D62"/>
    <w:rsid w:val="006A49FB"/>
    <w:rsid w:val="006A58E3"/>
    <w:rsid w:val="006B1FC1"/>
    <w:rsid w:val="006B4FA4"/>
    <w:rsid w:val="006B542B"/>
    <w:rsid w:val="006B585A"/>
    <w:rsid w:val="006B69AE"/>
    <w:rsid w:val="006B76A7"/>
    <w:rsid w:val="006C03C0"/>
    <w:rsid w:val="006C504C"/>
    <w:rsid w:val="006C77DE"/>
    <w:rsid w:val="006D059D"/>
    <w:rsid w:val="006D29FE"/>
    <w:rsid w:val="006D343D"/>
    <w:rsid w:val="006D3551"/>
    <w:rsid w:val="006D3F3B"/>
    <w:rsid w:val="006E2131"/>
    <w:rsid w:val="006E323D"/>
    <w:rsid w:val="006E6313"/>
    <w:rsid w:val="006F176E"/>
    <w:rsid w:val="006F2AC3"/>
    <w:rsid w:val="006F3D01"/>
    <w:rsid w:val="006F4176"/>
    <w:rsid w:val="006F5E23"/>
    <w:rsid w:val="006F6448"/>
    <w:rsid w:val="006F67F4"/>
    <w:rsid w:val="006F6B95"/>
    <w:rsid w:val="00704AB2"/>
    <w:rsid w:val="007148E4"/>
    <w:rsid w:val="00714FA1"/>
    <w:rsid w:val="00715232"/>
    <w:rsid w:val="00721083"/>
    <w:rsid w:val="00724320"/>
    <w:rsid w:val="007326B7"/>
    <w:rsid w:val="00733FA2"/>
    <w:rsid w:val="00740E19"/>
    <w:rsid w:val="007450AA"/>
    <w:rsid w:val="007500D9"/>
    <w:rsid w:val="00752ACB"/>
    <w:rsid w:val="007551F5"/>
    <w:rsid w:val="00755B98"/>
    <w:rsid w:val="00756426"/>
    <w:rsid w:val="007564AE"/>
    <w:rsid w:val="00757A3F"/>
    <w:rsid w:val="00762172"/>
    <w:rsid w:val="0076269B"/>
    <w:rsid w:val="00764211"/>
    <w:rsid w:val="0077071C"/>
    <w:rsid w:val="00770BBA"/>
    <w:rsid w:val="00772313"/>
    <w:rsid w:val="007739E2"/>
    <w:rsid w:val="007774D4"/>
    <w:rsid w:val="007805FC"/>
    <w:rsid w:val="00780E71"/>
    <w:rsid w:val="00780E93"/>
    <w:rsid w:val="00782846"/>
    <w:rsid w:val="00782F23"/>
    <w:rsid w:val="00783A11"/>
    <w:rsid w:val="00784C52"/>
    <w:rsid w:val="0078687B"/>
    <w:rsid w:val="00790D7E"/>
    <w:rsid w:val="00795236"/>
    <w:rsid w:val="00796A7E"/>
    <w:rsid w:val="00797D17"/>
    <w:rsid w:val="007A000B"/>
    <w:rsid w:val="007A09D8"/>
    <w:rsid w:val="007A11DB"/>
    <w:rsid w:val="007A200E"/>
    <w:rsid w:val="007A298C"/>
    <w:rsid w:val="007A48A4"/>
    <w:rsid w:val="007A5C62"/>
    <w:rsid w:val="007A7818"/>
    <w:rsid w:val="007A796B"/>
    <w:rsid w:val="007B10CD"/>
    <w:rsid w:val="007B4813"/>
    <w:rsid w:val="007B4EDE"/>
    <w:rsid w:val="007B5269"/>
    <w:rsid w:val="007B64E2"/>
    <w:rsid w:val="007C0F3C"/>
    <w:rsid w:val="007C2985"/>
    <w:rsid w:val="007C50C7"/>
    <w:rsid w:val="007C5C92"/>
    <w:rsid w:val="007C6EFE"/>
    <w:rsid w:val="007C74FE"/>
    <w:rsid w:val="007D15F2"/>
    <w:rsid w:val="007D59FE"/>
    <w:rsid w:val="007E0B98"/>
    <w:rsid w:val="007E0F87"/>
    <w:rsid w:val="007E3F29"/>
    <w:rsid w:val="007E3F2B"/>
    <w:rsid w:val="007E75FE"/>
    <w:rsid w:val="007F133F"/>
    <w:rsid w:val="007F4BAB"/>
    <w:rsid w:val="007F5F99"/>
    <w:rsid w:val="007F668F"/>
    <w:rsid w:val="007F6A31"/>
    <w:rsid w:val="00801034"/>
    <w:rsid w:val="008030D2"/>
    <w:rsid w:val="008039A9"/>
    <w:rsid w:val="00804B1D"/>
    <w:rsid w:val="00806081"/>
    <w:rsid w:val="00807662"/>
    <w:rsid w:val="00810F1A"/>
    <w:rsid w:val="008142A8"/>
    <w:rsid w:val="00817CB1"/>
    <w:rsid w:val="008217D9"/>
    <w:rsid w:val="00826651"/>
    <w:rsid w:val="00826AD5"/>
    <w:rsid w:val="008324B5"/>
    <w:rsid w:val="00833AE1"/>
    <w:rsid w:val="008351A3"/>
    <w:rsid w:val="00835D15"/>
    <w:rsid w:val="008400BB"/>
    <w:rsid w:val="00840E94"/>
    <w:rsid w:val="0084101A"/>
    <w:rsid w:val="0084231B"/>
    <w:rsid w:val="00843CB7"/>
    <w:rsid w:val="008448D4"/>
    <w:rsid w:val="008502A9"/>
    <w:rsid w:val="00850DC3"/>
    <w:rsid w:val="008531F9"/>
    <w:rsid w:val="00853BDC"/>
    <w:rsid w:val="00854963"/>
    <w:rsid w:val="008559C6"/>
    <w:rsid w:val="0085678E"/>
    <w:rsid w:val="008578D6"/>
    <w:rsid w:val="008610DC"/>
    <w:rsid w:val="00861899"/>
    <w:rsid w:val="00864E29"/>
    <w:rsid w:val="008734B3"/>
    <w:rsid w:val="00880331"/>
    <w:rsid w:val="00882BBB"/>
    <w:rsid w:val="00883997"/>
    <w:rsid w:val="00883E00"/>
    <w:rsid w:val="00885AF5"/>
    <w:rsid w:val="00886FA0"/>
    <w:rsid w:val="00892AEC"/>
    <w:rsid w:val="008936CE"/>
    <w:rsid w:val="0089381E"/>
    <w:rsid w:val="0089701E"/>
    <w:rsid w:val="00897872"/>
    <w:rsid w:val="008A07F5"/>
    <w:rsid w:val="008A087F"/>
    <w:rsid w:val="008A2230"/>
    <w:rsid w:val="008A2263"/>
    <w:rsid w:val="008A3863"/>
    <w:rsid w:val="008A4727"/>
    <w:rsid w:val="008A710B"/>
    <w:rsid w:val="008B04A2"/>
    <w:rsid w:val="008B14B6"/>
    <w:rsid w:val="008B16FF"/>
    <w:rsid w:val="008B1AD2"/>
    <w:rsid w:val="008B3176"/>
    <w:rsid w:val="008B35A9"/>
    <w:rsid w:val="008B405D"/>
    <w:rsid w:val="008B52B8"/>
    <w:rsid w:val="008B5A2D"/>
    <w:rsid w:val="008B67D7"/>
    <w:rsid w:val="008C25D9"/>
    <w:rsid w:val="008C4832"/>
    <w:rsid w:val="008C490E"/>
    <w:rsid w:val="008C643D"/>
    <w:rsid w:val="008D3598"/>
    <w:rsid w:val="008D48BA"/>
    <w:rsid w:val="008D5C6F"/>
    <w:rsid w:val="008D6BFD"/>
    <w:rsid w:val="008E0310"/>
    <w:rsid w:val="008E055A"/>
    <w:rsid w:val="008E394A"/>
    <w:rsid w:val="008F34FC"/>
    <w:rsid w:val="008F5587"/>
    <w:rsid w:val="008F5C16"/>
    <w:rsid w:val="00900513"/>
    <w:rsid w:val="00900994"/>
    <w:rsid w:val="00901EDA"/>
    <w:rsid w:val="0090283A"/>
    <w:rsid w:val="00902A8D"/>
    <w:rsid w:val="00904BD7"/>
    <w:rsid w:val="0090642A"/>
    <w:rsid w:val="009067E1"/>
    <w:rsid w:val="009106BE"/>
    <w:rsid w:val="0091090C"/>
    <w:rsid w:val="00911B25"/>
    <w:rsid w:val="00913003"/>
    <w:rsid w:val="00913619"/>
    <w:rsid w:val="009147F3"/>
    <w:rsid w:val="00914838"/>
    <w:rsid w:val="00915B49"/>
    <w:rsid w:val="009173B7"/>
    <w:rsid w:val="00917D90"/>
    <w:rsid w:val="0092075D"/>
    <w:rsid w:val="00922418"/>
    <w:rsid w:val="0092288A"/>
    <w:rsid w:val="00923550"/>
    <w:rsid w:val="009236B6"/>
    <w:rsid w:val="00926A87"/>
    <w:rsid w:val="009307EC"/>
    <w:rsid w:val="00932549"/>
    <w:rsid w:val="0093293B"/>
    <w:rsid w:val="00933CDA"/>
    <w:rsid w:val="00933EB1"/>
    <w:rsid w:val="00935D06"/>
    <w:rsid w:val="00935D61"/>
    <w:rsid w:val="00940D3C"/>
    <w:rsid w:val="009421F5"/>
    <w:rsid w:val="0094262D"/>
    <w:rsid w:val="009447CA"/>
    <w:rsid w:val="00947385"/>
    <w:rsid w:val="00947B07"/>
    <w:rsid w:val="00950B92"/>
    <w:rsid w:val="00950CD1"/>
    <w:rsid w:val="0095479D"/>
    <w:rsid w:val="00956E54"/>
    <w:rsid w:val="00956ED6"/>
    <w:rsid w:val="00964912"/>
    <w:rsid w:val="00964A7B"/>
    <w:rsid w:val="00964FED"/>
    <w:rsid w:val="00965005"/>
    <w:rsid w:val="009670C2"/>
    <w:rsid w:val="00970878"/>
    <w:rsid w:val="00972BA3"/>
    <w:rsid w:val="009732DC"/>
    <w:rsid w:val="0097482D"/>
    <w:rsid w:val="009766F1"/>
    <w:rsid w:val="00976D94"/>
    <w:rsid w:val="00977F7E"/>
    <w:rsid w:val="00990F5D"/>
    <w:rsid w:val="009910DE"/>
    <w:rsid w:val="00991A74"/>
    <w:rsid w:val="009934A7"/>
    <w:rsid w:val="00993829"/>
    <w:rsid w:val="00996442"/>
    <w:rsid w:val="00996F30"/>
    <w:rsid w:val="009970F6"/>
    <w:rsid w:val="00997BCC"/>
    <w:rsid w:val="009A1248"/>
    <w:rsid w:val="009A26EC"/>
    <w:rsid w:val="009A339B"/>
    <w:rsid w:val="009A5859"/>
    <w:rsid w:val="009A7A0C"/>
    <w:rsid w:val="009A7DC9"/>
    <w:rsid w:val="009B06B1"/>
    <w:rsid w:val="009B2622"/>
    <w:rsid w:val="009B6961"/>
    <w:rsid w:val="009C2531"/>
    <w:rsid w:val="009C37D6"/>
    <w:rsid w:val="009C3A9A"/>
    <w:rsid w:val="009C4214"/>
    <w:rsid w:val="009C424F"/>
    <w:rsid w:val="009C5966"/>
    <w:rsid w:val="009C61DA"/>
    <w:rsid w:val="009D14E8"/>
    <w:rsid w:val="009E1272"/>
    <w:rsid w:val="009E1B81"/>
    <w:rsid w:val="009E2C03"/>
    <w:rsid w:val="009E362D"/>
    <w:rsid w:val="009F0641"/>
    <w:rsid w:val="009F140A"/>
    <w:rsid w:val="00A00B65"/>
    <w:rsid w:val="00A021C5"/>
    <w:rsid w:val="00A031F1"/>
    <w:rsid w:val="00A034EF"/>
    <w:rsid w:val="00A035A0"/>
    <w:rsid w:val="00A04BCC"/>
    <w:rsid w:val="00A069E3"/>
    <w:rsid w:val="00A06DDE"/>
    <w:rsid w:val="00A106A5"/>
    <w:rsid w:val="00A10CE2"/>
    <w:rsid w:val="00A142B0"/>
    <w:rsid w:val="00A14E7E"/>
    <w:rsid w:val="00A16713"/>
    <w:rsid w:val="00A20F37"/>
    <w:rsid w:val="00A2619E"/>
    <w:rsid w:val="00A27FD4"/>
    <w:rsid w:val="00A32BE2"/>
    <w:rsid w:val="00A32D9F"/>
    <w:rsid w:val="00A33BAF"/>
    <w:rsid w:val="00A34949"/>
    <w:rsid w:val="00A40586"/>
    <w:rsid w:val="00A41A9B"/>
    <w:rsid w:val="00A41CC0"/>
    <w:rsid w:val="00A4390F"/>
    <w:rsid w:val="00A543D5"/>
    <w:rsid w:val="00A54D86"/>
    <w:rsid w:val="00A608CD"/>
    <w:rsid w:val="00A62294"/>
    <w:rsid w:val="00A62609"/>
    <w:rsid w:val="00A64322"/>
    <w:rsid w:val="00A659C7"/>
    <w:rsid w:val="00A667DB"/>
    <w:rsid w:val="00A67F92"/>
    <w:rsid w:val="00A67FDB"/>
    <w:rsid w:val="00A709CE"/>
    <w:rsid w:val="00A737AE"/>
    <w:rsid w:val="00A74611"/>
    <w:rsid w:val="00A8032F"/>
    <w:rsid w:val="00A80B48"/>
    <w:rsid w:val="00A8232D"/>
    <w:rsid w:val="00A84AD2"/>
    <w:rsid w:val="00A86ADB"/>
    <w:rsid w:val="00AA1ED0"/>
    <w:rsid w:val="00AA1FE7"/>
    <w:rsid w:val="00AA33F1"/>
    <w:rsid w:val="00AA3EEB"/>
    <w:rsid w:val="00AA5131"/>
    <w:rsid w:val="00AB41FD"/>
    <w:rsid w:val="00AB4938"/>
    <w:rsid w:val="00AB4B2C"/>
    <w:rsid w:val="00AC1CB3"/>
    <w:rsid w:val="00AC24A3"/>
    <w:rsid w:val="00AC36B7"/>
    <w:rsid w:val="00AC3CFC"/>
    <w:rsid w:val="00AD0D42"/>
    <w:rsid w:val="00AD1FAD"/>
    <w:rsid w:val="00AD496D"/>
    <w:rsid w:val="00AE1110"/>
    <w:rsid w:val="00AE1ADD"/>
    <w:rsid w:val="00AE2029"/>
    <w:rsid w:val="00AE3318"/>
    <w:rsid w:val="00AE4029"/>
    <w:rsid w:val="00AE4525"/>
    <w:rsid w:val="00AF13C9"/>
    <w:rsid w:val="00AF59F1"/>
    <w:rsid w:val="00AF66A1"/>
    <w:rsid w:val="00AF6DAE"/>
    <w:rsid w:val="00B0160F"/>
    <w:rsid w:val="00B0337E"/>
    <w:rsid w:val="00B037FC"/>
    <w:rsid w:val="00B03E14"/>
    <w:rsid w:val="00B05195"/>
    <w:rsid w:val="00B053FE"/>
    <w:rsid w:val="00B0590E"/>
    <w:rsid w:val="00B06348"/>
    <w:rsid w:val="00B07AD0"/>
    <w:rsid w:val="00B10A97"/>
    <w:rsid w:val="00B116EB"/>
    <w:rsid w:val="00B118C7"/>
    <w:rsid w:val="00B120D9"/>
    <w:rsid w:val="00B12C5C"/>
    <w:rsid w:val="00B136D0"/>
    <w:rsid w:val="00B15B4B"/>
    <w:rsid w:val="00B17117"/>
    <w:rsid w:val="00B22652"/>
    <w:rsid w:val="00B23151"/>
    <w:rsid w:val="00B24D78"/>
    <w:rsid w:val="00B30BBC"/>
    <w:rsid w:val="00B341B5"/>
    <w:rsid w:val="00B34EA5"/>
    <w:rsid w:val="00B37C2D"/>
    <w:rsid w:val="00B4498A"/>
    <w:rsid w:val="00B45151"/>
    <w:rsid w:val="00B45968"/>
    <w:rsid w:val="00B46084"/>
    <w:rsid w:val="00B52503"/>
    <w:rsid w:val="00B53334"/>
    <w:rsid w:val="00B56989"/>
    <w:rsid w:val="00B62F8C"/>
    <w:rsid w:val="00B6747B"/>
    <w:rsid w:val="00B724F9"/>
    <w:rsid w:val="00B72A0E"/>
    <w:rsid w:val="00B73919"/>
    <w:rsid w:val="00B74C22"/>
    <w:rsid w:val="00B767D5"/>
    <w:rsid w:val="00B77BC2"/>
    <w:rsid w:val="00B82D9A"/>
    <w:rsid w:val="00B86265"/>
    <w:rsid w:val="00B873FB"/>
    <w:rsid w:val="00B90C30"/>
    <w:rsid w:val="00B90C58"/>
    <w:rsid w:val="00B91A7D"/>
    <w:rsid w:val="00BA129F"/>
    <w:rsid w:val="00BA1A7E"/>
    <w:rsid w:val="00BA428D"/>
    <w:rsid w:val="00BA4666"/>
    <w:rsid w:val="00BB029F"/>
    <w:rsid w:val="00BB32EA"/>
    <w:rsid w:val="00BB37C9"/>
    <w:rsid w:val="00BB7C11"/>
    <w:rsid w:val="00BC00F5"/>
    <w:rsid w:val="00BC0125"/>
    <w:rsid w:val="00BC2EF0"/>
    <w:rsid w:val="00BC30E0"/>
    <w:rsid w:val="00BD000E"/>
    <w:rsid w:val="00BD25E3"/>
    <w:rsid w:val="00BD54BC"/>
    <w:rsid w:val="00BD5560"/>
    <w:rsid w:val="00BE06ED"/>
    <w:rsid w:val="00BE2C14"/>
    <w:rsid w:val="00BE5C13"/>
    <w:rsid w:val="00BE61DF"/>
    <w:rsid w:val="00BE6E37"/>
    <w:rsid w:val="00BF0A8B"/>
    <w:rsid w:val="00BF313F"/>
    <w:rsid w:val="00BF32C2"/>
    <w:rsid w:val="00BF39A6"/>
    <w:rsid w:val="00BF4113"/>
    <w:rsid w:val="00BF6325"/>
    <w:rsid w:val="00BF654C"/>
    <w:rsid w:val="00BF77DC"/>
    <w:rsid w:val="00C01284"/>
    <w:rsid w:val="00C01AB0"/>
    <w:rsid w:val="00C029B4"/>
    <w:rsid w:val="00C06AC9"/>
    <w:rsid w:val="00C10C93"/>
    <w:rsid w:val="00C11411"/>
    <w:rsid w:val="00C12C07"/>
    <w:rsid w:val="00C1381A"/>
    <w:rsid w:val="00C14BA8"/>
    <w:rsid w:val="00C20071"/>
    <w:rsid w:val="00C20391"/>
    <w:rsid w:val="00C23466"/>
    <w:rsid w:val="00C25FA2"/>
    <w:rsid w:val="00C26832"/>
    <w:rsid w:val="00C26C7F"/>
    <w:rsid w:val="00C3215B"/>
    <w:rsid w:val="00C32367"/>
    <w:rsid w:val="00C32EA4"/>
    <w:rsid w:val="00C41AC9"/>
    <w:rsid w:val="00C43D94"/>
    <w:rsid w:val="00C4427D"/>
    <w:rsid w:val="00C445D0"/>
    <w:rsid w:val="00C45FEE"/>
    <w:rsid w:val="00C4756D"/>
    <w:rsid w:val="00C52292"/>
    <w:rsid w:val="00C574A6"/>
    <w:rsid w:val="00C60AA0"/>
    <w:rsid w:val="00C62995"/>
    <w:rsid w:val="00C644FE"/>
    <w:rsid w:val="00C64675"/>
    <w:rsid w:val="00C66145"/>
    <w:rsid w:val="00C66D1B"/>
    <w:rsid w:val="00C73940"/>
    <w:rsid w:val="00C749A1"/>
    <w:rsid w:val="00C75CC4"/>
    <w:rsid w:val="00C76DAB"/>
    <w:rsid w:val="00C772DE"/>
    <w:rsid w:val="00C83A3B"/>
    <w:rsid w:val="00C84CB9"/>
    <w:rsid w:val="00C87D6D"/>
    <w:rsid w:val="00C902B6"/>
    <w:rsid w:val="00C952F4"/>
    <w:rsid w:val="00C95466"/>
    <w:rsid w:val="00C9631F"/>
    <w:rsid w:val="00C97278"/>
    <w:rsid w:val="00C975B9"/>
    <w:rsid w:val="00CA0F1F"/>
    <w:rsid w:val="00CA1A60"/>
    <w:rsid w:val="00CA25EC"/>
    <w:rsid w:val="00CA5AB1"/>
    <w:rsid w:val="00CA75FF"/>
    <w:rsid w:val="00CB0356"/>
    <w:rsid w:val="00CB3433"/>
    <w:rsid w:val="00CB7AC2"/>
    <w:rsid w:val="00CB7F03"/>
    <w:rsid w:val="00CC1C53"/>
    <w:rsid w:val="00CC35E2"/>
    <w:rsid w:val="00CC6EEB"/>
    <w:rsid w:val="00CC7E51"/>
    <w:rsid w:val="00CD1372"/>
    <w:rsid w:val="00CD19A9"/>
    <w:rsid w:val="00CD3BEB"/>
    <w:rsid w:val="00CD3D7B"/>
    <w:rsid w:val="00CD5BF8"/>
    <w:rsid w:val="00CD63CD"/>
    <w:rsid w:val="00CD6F69"/>
    <w:rsid w:val="00CE1174"/>
    <w:rsid w:val="00CE24E6"/>
    <w:rsid w:val="00CE3DFA"/>
    <w:rsid w:val="00CE47D3"/>
    <w:rsid w:val="00CE51C5"/>
    <w:rsid w:val="00CE560C"/>
    <w:rsid w:val="00CE6D81"/>
    <w:rsid w:val="00CF1D15"/>
    <w:rsid w:val="00CF2740"/>
    <w:rsid w:val="00D023FB"/>
    <w:rsid w:val="00D02549"/>
    <w:rsid w:val="00D0492E"/>
    <w:rsid w:val="00D063CC"/>
    <w:rsid w:val="00D06EA8"/>
    <w:rsid w:val="00D1079C"/>
    <w:rsid w:val="00D11E78"/>
    <w:rsid w:val="00D1211B"/>
    <w:rsid w:val="00D2423F"/>
    <w:rsid w:val="00D24C87"/>
    <w:rsid w:val="00D26ACC"/>
    <w:rsid w:val="00D27182"/>
    <w:rsid w:val="00D2729A"/>
    <w:rsid w:val="00D274BB"/>
    <w:rsid w:val="00D30BF7"/>
    <w:rsid w:val="00D30E7C"/>
    <w:rsid w:val="00D318BD"/>
    <w:rsid w:val="00D33EE0"/>
    <w:rsid w:val="00D34FDB"/>
    <w:rsid w:val="00D35257"/>
    <w:rsid w:val="00D355B2"/>
    <w:rsid w:val="00D37043"/>
    <w:rsid w:val="00D41300"/>
    <w:rsid w:val="00D4329B"/>
    <w:rsid w:val="00D439EF"/>
    <w:rsid w:val="00D44A63"/>
    <w:rsid w:val="00D44B69"/>
    <w:rsid w:val="00D459C2"/>
    <w:rsid w:val="00D46A82"/>
    <w:rsid w:val="00D47092"/>
    <w:rsid w:val="00D47985"/>
    <w:rsid w:val="00D519E6"/>
    <w:rsid w:val="00D52347"/>
    <w:rsid w:val="00D55A4B"/>
    <w:rsid w:val="00D55D10"/>
    <w:rsid w:val="00D56D3E"/>
    <w:rsid w:val="00D577AF"/>
    <w:rsid w:val="00D61E6F"/>
    <w:rsid w:val="00D62365"/>
    <w:rsid w:val="00D6246C"/>
    <w:rsid w:val="00D6357F"/>
    <w:rsid w:val="00D653E4"/>
    <w:rsid w:val="00D65C0C"/>
    <w:rsid w:val="00D67199"/>
    <w:rsid w:val="00D70CD7"/>
    <w:rsid w:val="00D70EE7"/>
    <w:rsid w:val="00D716D8"/>
    <w:rsid w:val="00D71710"/>
    <w:rsid w:val="00D71F10"/>
    <w:rsid w:val="00D72720"/>
    <w:rsid w:val="00D72A5B"/>
    <w:rsid w:val="00D746A9"/>
    <w:rsid w:val="00D75603"/>
    <w:rsid w:val="00D7632C"/>
    <w:rsid w:val="00D8382D"/>
    <w:rsid w:val="00D838F3"/>
    <w:rsid w:val="00D84997"/>
    <w:rsid w:val="00D84E9C"/>
    <w:rsid w:val="00D84FC1"/>
    <w:rsid w:val="00D85FF2"/>
    <w:rsid w:val="00D86CD4"/>
    <w:rsid w:val="00D90B91"/>
    <w:rsid w:val="00D90F3F"/>
    <w:rsid w:val="00D93A2B"/>
    <w:rsid w:val="00D93CDD"/>
    <w:rsid w:val="00D93F20"/>
    <w:rsid w:val="00D948E4"/>
    <w:rsid w:val="00D95127"/>
    <w:rsid w:val="00D9732E"/>
    <w:rsid w:val="00DA2512"/>
    <w:rsid w:val="00DA3385"/>
    <w:rsid w:val="00DB002C"/>
    <w:rsid w:val="00DB03E5"/>
    <w:rsid w:val="00DB1965"/>
    <w:rsid w:val="00DB4D6E"/>
    <w:rsid w:val="00DB5253"/>
    <w:rsid w:val="00DB633A"/>
    <w:rsid w:val="00DC1716"/>
    <w:rsid w:val="00DC2205"/>
    <w:rsid w:val="00DC3836"/>
    <w:rsid w:val="00DC3D51"/>
    <w:rsid w:val="00DC3F69"/>
    <w:rsid w:val="00DC5B17"/>
    <w:rsid w:val="00DC718D"/>
    <w:rsid w:val="00DD02C3"/>
    <w:rsid w:val="00DD049A"/>
    <w:rsid w:val="00DD199D"/>
    <w:rsid w:val="00DD25E6"/>
    <w:rsid w:val="00DE11CA"/>
    <w:rsid w:val="00DE45C8"/>
    <w:rsid w:val="00DE646B"/>
    <w:rsid w:val="00DE7B17"/>
    <w:rsid w:val="00DF01E2"/>
    <w:rsid w:val="00DF03FD"/>
    <w:rsid w:val="00DF10A8"/>
    <w:rsid w:val="00DF4472"/>
    <w:rsid w:val="00DF5F6F"/>
    <w:rsid w:val="00DF7C8B"/>
    <w:rsid w:val="00E00BE0"/>
    <w:rsid w:val="00E0202A"/>
    <w:rsid w:val="00E02706"/>
    <w:rsid w:val="00E04304"/>
    <w:rsid w:val="00E0581B"/>
    <w:rsid w:val="00E05BCA"/>
    <w:rsid w:val="00E12A01"/>
    <w:rsid w:val="00E14E4C"/>
    <w:rsid w:val="00E16962"/>
    <w:rsid w:val="00E2045A"/>
    <w:rsid w:val="00E20BB4"/>
    <w:rsid w:val="00E21A00"/>
    <w:rsid w:val="00E229A8"/>
    <w:rsid w:val="00E25374"/>
    <w:rsid w:val="00E25F9C"/>
    <w:rsid w:val="00E30388"/>
    <w:rsid w:val="00E30A91"/>
    <w:rsid w:val="00E30EAD"/>
    <w:rsid w:val="00E31E17"/>
    <w:rsid w:val="00E32789"/>
    <w:rsid w:val="00E4038E"/>
    <w:rsid w:val="00E40F46"/>
    <w:rsid w:val="00E42C88"/>
    <w:rsid w:val="00E43726"/>
    <w:rsid w:val="00E4403D"/>
    <w:rsid w:val="00E44606"/>
    <w:rsid w:val="00E52CEC"/>
    <w:rsid w:val="00E5347F"/>
    <w:rsid w:val="00E53AC9"/>
    <w:rsid w:val="00E561B4"/>
    <w:rsid w:val="00E56A1B"/>
    <w:rsid w:val="00E5707F"/>
    <w:rsid w:val="00E573DF"/>
    <w:rsid w:val="00E70C24"/>
    <w:rsid w:val="00E7421E"/>
    <w:rsid w:val="00E77854"/>
    <w:rsid w:val="00E81500"/>
    <w:rsid w:val="00E8522C"/>
    <w:rsid w:val="00E901D8"/>
    <w:rsid w:val="00E90B9E"/>
    <w:rsid w:val="00E90DC7"/>
    <w:rsid w:val="00E911B7"/>
    <w:rsid w:val="00E92205"/>
    <w:rsid w:val="00EA1167"/>
    <w:rsid w:val="00EA3818"/>
    <w:rsid w:val="00EA68A1"/>
    <w:rsid w:val="00EA70A7"/>
    <w:rsid w:val="00EA7A1F"/>
    <w:rsid w:val="00EA7D33"/>
    <w:rsid w:val="00EB0BF4"/>
    <w:rsid w:val="00EB1F4F"/>
    <w:rsid w:val="00EB1F75"/>
    <w:rsid w:val="00EB5517"/>
    <w:rsid w:val="00EB7D7D"/>
    <w:rsid w:val="00EC188E"/>
    <w:rsid w:val="00EC633B"/>
    <w:rsid w:val="00ED09AC"/>
    <w:rsid w:val="00ED0C3E"/>
    <w:rsid w:val="00ED1205"/>
    <w:rsid w:val="00ED2397"/>
    <w:rsid w:val="00ED4B13"/>
    <w:rsid w:val="00ED4DD1"/>
    <w:rsid w:val="00ED71C4"/>
    <w:rsid w:val="00EE02EF"/>
    <w:rsid w:val="00EE04BC"/>
    <w:rsid w:val="00EE0BC8"/>
    <w:rsid w:val="00EE1A5D"/>
    <w:rsid w:val="00EE253D"/>
    <w:rsid w:val="00EF1793"/>
    <w:rsid w:val="00EF241A"/>
    <w:rsid w:val="00EF4893"/>
    <w:rsid w:val="00EF4E1B"/>
    <w:rsid w:val="00F0185C"/>
    <w:rsid w:val="00F02F9C"/>
    <w:rsid w:val="00F0351F"/>
    <w:rsid w:val="00F05AD8"/>
    <w:rsid w:val="00F0622D"/>
    <w:rsid w:val="00F0643B"/>
    <w:rsid w:val="00F068C5"/>
    <w:rsid w:val="00F07EB9"/>
    <w:rsid w:val="00F11306"/>
    <w:rsid w:val="00F11A2D"/>
    <w:rsid w:val="00F1746F"/>
    <w:rsid w:val="00F25048"/>
    <w:rsid w:val="00F254AC"/>
    <w:rsid w:val="00F25F18"/>
    <w:rsid w:val="00F31010"/>
    <w:rsid w:val="00F33D83"/>
    <w:rsid w:val="00F3575D"/>
    <w:rsid w:val="00F35770"/>
    <w:rsid w:val="00F35A79"/>
    <w:rsid w:val="00F425D2"/>
    <w:rsid w:val="00F442FF"/>
    <w:rsid w:val="00F44377"/>
    <w:rsid w:val="00F4538B"/>
    <w:rsid w:val="00F45A1D"/>
    <w:rsid w:val="00F45E7F"/>
    <w:rsid w:val="00F479A7"/>
    <w:rsid w:val="00F50A28"/>
    <w:rsid w:val="00F50FFA"/>
    <w:rsid w:val="00F515D2"/>
    <w:rsid w:val="00F53325"/>
    <w:rsid w:val="00F54912"/>
    <w:rsid w:val="00F54A9D"/>
    <w:rsid w:val="00F552D6"/>
    <w:rsid w:val="00F55CD3"/>
    <w:rsid w:val="00F5764A"/>
    <w:rsid w:val="00F61496"/>
    <w:rsid w:val="00F629C5"/>
    <w:rsid w:val="00F64134"/>
    <w:rsid w:val="00F645AF"/>
    <w:rsid w:val="00F651DD"/>
    <w:rsid w:val="00F67D60"/>
    <w:rsid w:val="00F707ED"/>
    <w:rsid w:val="00F7127C"/>
    <w:rsid w:val="00F717AB"/>
    <w:rsid w:val="00F72AB2"/>
    <w:rsid w:val="00F72D01"/>
    <w:rsid w:val="00F739F1"/>
    <w:rsid w:val="00F75D88"/>
    <w:rsid w:val="00F769FD"/>
    <w:rsid w:val="00F80AFD"/>
    <w:rsid w:val="00F80C3F"/>
    <w:rsid w:val="00F83E42"/>
    <w:rsid w:val="00F86E86"/>
    <w:rsid w:val="00F871D1"/>
    <w:rsid w:val="00F906BB"/>
    <w:rsid w:val="00F91906"/>
    <w:rsid w:val="00F92A43"/>
    <w:rsid w:val="00F92B9A"/>
    <w:rsid w:val="00F92E19"/>
    <w:rsid w:val="00F944B3"/>
    <w:rsid w:val="00F9750A"/>
    <w:rsid w:val="00FA0E52"/>
    <w:rsid w:val="00FA20E8"/>
    <w:rsid w:val="00FA4582"/>
    <w:rsid w:val="00FA7BC1"/>
    <w:rsid w:val="00FA7E2B"/>
    <w:rsid w:val="00FB0181"/>
    <w:rsid w:val="00FB1782"/>
    <w:rsid w:val="00FB1E22"/>
    <w:rsid w:val="00FB2941"/>
    <w:rsid w:val="00FB3592"/>
    <w:rsid w:val="00FB4D7C"/>
    <w:rsid w:val="00FB5323"/>
    <w:rsid w:val="00FB55BA"/>
    <w:rsid w:val="00FC0476"/>
    <w:rsid w:val="00FC0ED5"/>
    <w:rsid w:val="00FC2871"/>
    <w:rsid w:val="00FC3678"/>
    <w:rsid w:val="00FD193A"/>
    <w:rsid w:val="00FD4F9F"/>
    <w:rsid w:val="00FD58DB"/>
    <w:rsid w:val="00FD69CF"/>
    <w:rsid w:val="00FD6EAC"/>
    <w:rsid w:val="00FE1299"/>
    <w:rsid w:val="00FE34C9"/>
    <w:rsid w:val="00FE4969"/>
    <w:rsid w:val="00FE7CDF"/>
    <w:rsid w:val="00FE7FBE"/>
    <w:rsid w:val="00FF0D4A"/>
    <w:rsid w:val="00FF2BE8"/>
    <w:rsid w:val="00FF60A5"/>
    <w:rsid w:val="00FF63D3"/>
    <w:rsid w:val="00FF721E"/>
    <w:rsid w:val="00FF7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AAABFD76-B9E6-4FA3-A65C-0191649C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477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360" w:lineRule="auto"/>
      <w:ind w:left="1701" w:right="142"/>
    </w:pPr>
    <w:rPr>
      <w:rFonts w:ascii="Titillium" w:hAnsi="Titillium" w:cs="Titillium Web"/>
      <w:sz w:val="18"/>
      <w:szCs w:val="18"/>
    </w:rPr>
  </w:style>
  <w:style w:type="paragraph" w:styleId="Titolo2">
    <w:name w:val="heading 2"/>
    <w:basedOn w:val="Normale"/>
    <w:next w:val="Normale"/>
    <w:link w:val="Titolo2Carattere"/>
    <w:uiPriority w:val="9"/>
    <w:unhideWhenUsed/>
    <w:qFormat/>
    <w:rsid w:val="00F75D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756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694E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4E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4EBC"/>
  </w:style>
  <w:style w:type="paragraph" w:styleId="Pidipagina">
    <w:name w:val="footer"/>
    <w:basedOn w:val="Normale"/>
    <w:link w:val="PidipaginaCarattere"/>
    <w:uiPriority w:val="99"/>
    <w:unhideWhenUsed/>
    <w:rsid w:val="00694E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4EBC"/>
  </w:style>
  <w:style w:type="paragraph" w:customStyle="1" w:styleId="Paragrafobase">
    <w:name w:val="[Paragrafo base]"/>
    <w:basedOn w:val="Normale"/>
    <w:link w:val="ParagrafobaseChar"/>
    <w:uiPriority w:val="99"/>
    <w:rsid w:val="00694EBC"/>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sid w:val="00694EBC"/>
    <w:rPr>
      <w:rFonts w:ascii="Minion Pro" w:hAnsi="Minion Pro" w:cs="Minion Pro"/>
      <w:color w:val="000000"/>
      <w:sz w:val="24"/>
      <w:szCs w:val="24"/>
    </w:rPr>
  </w:style>
  <w:style w:type="paragraph" w:customStyle="1" w:styleId="TitoloParagrafo">
    <w:name w:val="Titolo Paragrafo"/>
    <w:basedOn w:val="Titolo5"/>
    <w:qFormat/>
    <w:rsid w:val="00694EBC"/>
    <w:pPr>
      <w:numPr>
        <w:numId w:val="1"/>
      </w:numPr>
      <w:spacing w:line="240" w:lineRule="auto"/>
    </w:pPr>
    <w:rPr>
      <w:sz w:val="28"/>
      <w:szCs w:val="24"/>
    </w:rPr>
  </w:style>
  <w:style w:type="paragraph" w:customStyle="1" w:styleId="ANAC-TitoloParagrafo">
    <w:name w:val="ANAC - Titolo Paragrafo"/>
    <w:basedOn w:val="TitoloParagrafo"/>
    <w:link w:val="ANAC-TitoloParagrafoCarattere"/>
    <w:qFormat/>
    <w:rsid w:val="0019477D"/>
    <w:pPr>
      <w:numPr>
        <w:numId w:val="0"/>
      </w:numPr>
      <w:ind w:left="1560"/>
    </w:pPr>
    <w:rPr>
      <w:rFonts w:ascii="Gotham Light" w:hAnsi="Gotham Light"/>
      <w:color w:val="2770B7"/>
    </w:rPr>
  </w:style>
  <w:style w:type="character" w:customStyle="1" w:styleId="ANAC-TitoloParagrafoCarattere">
    <w:name w:val="ANAC - Titolo Paragrafo Carattere"/>
    <w:basedOn w:val="Carpredefinitoparagrafo"/>
    <w:link w:val="ANAC-TitoloParagrafo"/>
    <w:rsid w:val="0019477D"/>
    <w:rPr>
      <w:rFonts w:ascii="Gotham Light" w:eastAsiaTheme="majorEastAsia" w:hAnsi="Gotham Light" w:cstheme="majorBidi"/>
      <w:color w:val="2770B7"/>
      <w:sz w:val="28"/>
      <w:szCs w:val="24"/>
    </w:rPr>
  </w:style>
  <w:style w:type="character" w:customStyle="1" w:styleId="Titolo5Carattere">
    <w:name w:val="Titolo 5 Carattere"/>
    <w:basedOn w:val="Carpredefinitoparagrafo"/>
    <w:link w:val="Titolo5"/>
    <w:uiPriority w:val="9"/>
    <w:semiHidden/>
    <w:rsid w:val="00694EBC"/>
    <w:rPr>
      <w:rFonts w:asciiTheme="majorHAnsi" w:eastAsiaTheme="majorEastAsia" w:hAnsiTheme="majorHAnsi" w:cstheme="majorBidi"/>
      <w:color w:val="2F5496" w:themeColor="accent1" w:themeShade="BF"/>
    </w:rPr>
  </w:style>
  <w:style w:type="table" w:styleId="Grigliatabella">
    <w:name w:val="Table Grid"/>
    <w:basedOn w:val="Tabellanormale"/>
    <w:uiPriority w:val="39"/>
    <w:rsid w:val="0046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unhideWhenUsed/>
    <w:rsid w:val="00343F1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jc w:val="both"/>
    </w:pPr>
    <w:rPr>
      <w:rFonts w:ascii="Times New Roman" w:eastAsia="Times New Roman" w:hAnsi="Times New Roman" w:cs="Times New Roman"/>
      <w:sz w:val="28"/>
      <w:szCs w:val="24"/>
      <w:lang w:eastAsia="it-IT"/>
    </w:rPr>
  </w:style>
  <w:style w:type="character" w:customStyle="1" w:styleId="CorpotestoCarattere">
    <w:name w:val="Corpo testo Carattere"/>
    <w:basedOn w:val="Carpredefinitoparagrafo"/>
    <w:link w:val="Corpotesto"/>
    <w:semiHidden/>
    <w:rsid w:val="00343F16"/>
    <w:rPr>
      <w:rFonts w:ascii="Times New Roman" w:eastAsia="Times New Roman" w:hAnsi="Times New Roman" w:cs="Times New Roman"/>
      <w:sz w:val="28"/>
      <w:szCs w:val="24"/>
      <w:lang w:eastAsia="it-IT"/>
    </w:rPr>
  </w:style>
  <w:style w:type="paragraph" w:styleId="Sottotitolo">
    <w:name w:val="Subtitle"/>
    <w:basedOn w:val="Normale"/>
    <w:next w:val="Normale"/>
    <w:link w:val="SottotitoloCarattere"/>
    <w:uiPriority w:val="11"/>
    <w:qFormat/>
    <w:rsid w:val="003A285D"/>
    <w:pPr>
      <w:numPr>
        <w:ilvl w:val="1"/>
      </w:numPr>
      <w:ind w:left="1701"/>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3A285D"/>
    <w:rPr>
      <w:rFonts w:eastAsiaTheme="minorEastAsia"/>
      <w:color w:val="5A5A5A" w:themeColor="text1" w:themeTint="A5"/>
      <w:spacing w:val="15"/>
    </w:rPr>
  </w:style>
  <w:style w:type="paragraph" w:customStyle="1" w:styleId="Default">
    <w:name w:val="Default"/>
    <w:qFormat/>
    <w:rsid w:val="009C4214"/>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9C4214"/>
    <w:rPr>
      <w:b/>
      <w:bCs/>
    </w:rPr>
  </w:style>
  <w:style w:type="character" w:styleId="Enfasicorsivo">
    <w:name w:val="Emphasis"/>
    <w:basedOn w:val="Carpredefinitoparagrafo"/>
    <w:uiPriority w:val="20"/>
    <w:qFormat/>
    <w:rsid w:val="00B118C7"/>
    <w:rPr>
      <w:i/>
      <w:iCs/>
    </w:rPr>
  </w:style>
  <w:style w:type="character" w:customStyle="1" w:styleId="Titolo3Carattere">
    <w:name w:val="Titolo 3 Carattere"/>
    <w:basedOn w:val="Carpredefinitoparagrafo"/>
    <w:link w:val="Titolo3"/>
    <w:uiPriority w:val="9"/>
    <w:rsid w:val="000756C9"/>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unhideWhenUsed/>
    <w:rsid w:val="00504D94"/>
    <w:rPr>
      <w:color w:val="0000FF"/>
      <w:u w:val="single"/>
    </w:rPr>
  </w:style>
  <w:style w:type="paragraph" w:customStyle="1" w:styleId="ANCATABELLATITOLOBIANCO">
    <w:name w:val="ANCA_TABELLA_TITOLO BIANCO"/>
    <w:basedOn w:val="Normale"/>
    <w:qFormat/>
    <w:rsid w:val="001C2F89"/>
    <w:pPr>
      <w:spacing w:line="276" w:lineRule="auto"/>
      <w:ind w:left="1560"/>
    </w:pPr>
    <w:rPr>
      <w:rFonts w:ascii="Gotham Book" w:hAnsi="Gotham Book"/>
      <w:color w:val="FFFFFF" w:themeColor="background1"/>
      <w:sz w:val="20"/>
      <w:szCs w:val="20"/>
      <w:lang w:val="en-US"/>
    </w:rPr>
  </w:style>
  <w:style w:type="paragraph" w:customStyle="1" w:styleId="popolo">
    <w:name w:val="popolo"/>
    <w:basedOn w:val="Normale"/>
    <w:rsid w:val="0008221D"/>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before="100" w:beforeAutospacing="1" w:after="100" w:afterAutospacing="1" w:line="240" w:lineRule="auto"/>
      <w:ind w:left="0" w:right="0"/>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A2619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before="100" w:beforeAutospacing="1" w:after="100" w:afterAutospacing="1" w:line="240" w:lineRule="auto"/>
      <w:ind w:left="0" w:right="0"/>
    </w:pPr>
    <w:rPr>
      <w:rFonts w:ascii="Times New Roman" w:eastAsia="Times New Roman" w:hAnsi="Times New Roman" w:cs="Times New Roman"/>
      <w:sz w:val="24"/>
      <w:szCs w:val="24"/>
      <w:lang w:eastAsia="it-IT"/>
    </w:rPr>
  </w:style>
  <w:style w:type="character" w:styleId="Titolodellibro">
    <w:name w:val="Book Title"/>
    <w:basedOn w:val="Carpredefinitoparagrafo"/>
    <w:uiPriority w:val="33"/>
    <w:qFormat/>
    <w:rsid w:val="00F80C3F"/>
    <w:rPr>
      <w:b/>
      <w:bCs/>
      <w:i/>
      <w:iCs/>
      <w:spacing w:val="5"/>
    </w:rPr>
  </w:style>
  <w:style w:type="paragraph" w:styleId="Nessunaspaziatura">
    <w:name w:val="No Spacing"/>
    <w:uiPriority w:val="1"/>
    <w:qFormat/>
    <w:rsid w:val="001F2A5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18"/>
      <w:szCs w:val="18"/>
    </w:rPr>
  </w:style>
  <w:style w:type="paragraph" w:customStyle="1" w:styleId="bollo">
    <w:name w:val="bollo"/>
    <w:basedOn w:val="Normale"/>
    <w:rsid w:val="00BB029F"/>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567" w:lineRule="atLeast"/>
      <w:ind w:left="0" w:right="0"/>
      <w:jc w:val="both"/>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2534D6"/>
    <w:pPr>
      <w:ind w:left="720"/>
      <w:contextualSpacing/>
    </w:pPr>
  </w:style>
  <w:style w:type="character" w:customStyle="1" w:styleId="Titolo2Carattere">
    <w:name w:val="Titolo 2 Carattere"/>
    <w:basedOn w:val="Carpredefinitoparagrafo"/>
    <w:link w:val="Titolo2"/>
    <w:uiPriority w:val="9"/>
    <w:rsid w:val="00F75D88"/>
    <w:rPr>
      <w:rFonts w:asciiTheme="majorHAnsi" w:eastAsiaTheme="majorEastAsia" w:hAnsiTheme="majorHAnsi" w:cstheme="majorBidi"/>
      <w:color w:val="2F5496" w:themeColor="accent1" w:themeShade="BF"/>
      <w:sz w:val="26"/>
      <w:szCs w:val="26"/>
    </w:rPr>
  </w:style>
  <w:style w:type="character" w:customStyle="1" w:styleId="provvnumcomma">
    <w:name w:val="provv_numcomma"/>
    <w:basedOn w:val="Carpredefinitoparagrafo"/>
    <w:rsid w:val="00DC718D"/>
  </w:style>
  <w:style w:type="character" w:customStyle="1" w:styleId="linkneltesto">
    <w:name w:val="link_nel_testo"/>
    <w:basedOn w:val="Carpredefinitoparagrafo"/>
    <w:rsid w:val="00DC718D"/>
  </w:style>
  <w:style w:type="character" w:styleId="Testosegnaposto">
    <w:name w:val="Placeholder Text"/>
    <w:basedOn w:val="Carpredefinitoparagrafo"/>
    <w:uiPriority w:val="99"/>
    <w:semiHidden/>
    <w:rsid w:val="00221E35"/>
    <w:rPr>
      <w:color w:val="808080"/>
    </w:rPr>
  </w:style>
  <w:style w:type="paragraph" w:customStyle="1" w:styleId="provvr0">
    <w:name w:val="provv_r0"/>
    <w:basedOn w:val="Normale"/>
    <w:rsid w:val="0068095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before="100" w:beforeAutospacing="1" w:after="100" w:afterAutospacing="1" w:line="240" w:lineRule="auto"/>
      <w:ind w:left="0" w:right="0"/>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14838"/>
    <w:pPr>
      <w:spacing w:after="0" w:line="240" w:lineRule="auto"/>
    </w:pPr>
    <w:rPr>
      <w:rFonts w:ascii="Segoe UI" w:hAnsi="Segoe UI" w:cs="Segoe UI"/>
    </w:rPr>
  </w:style>
  <w:style w:type="character" w:customStyle="1" w:styleId="TestofumettoCarattere">
    <w:name w:val="Testo fumetto Carattere"/>
    <w:basedOn w:val="Carpredefinitoparagrafo"/>
    <w:link w:val="Testofumetto"/>
    <w:uiPriority w:val="99"/>
    <w:semiHidden/>
    <w:rsid w:val="00914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257">
      <w:bodyDiv w:val="1"/>
      <w:marLeft w:val="0"/>
      <w:marRight w:val="0"/>
      <w:marTop w:val="0"/>
      <w:marBottom w:val="0"/>
      <w:divBdr>
        <w:top w:val="none" w:sz="0" w:space="0" w:color="auto"/>
        <w:left w:val="none" w:sz="0" w:space="0" w:color="auto"/>
        <w:bottom w:val="none" w:sz="0" w:space="0" w:color="auto"/>
        <w:right w:val="none" w:sz="0" w:space="0" w:color="auto"/>
      </w:divBdr>
    </w:div>
    <w:div w:id="38476889">
      <w:bodyDiv w:val="1"/>
      <w:marLeft w:val="0"/>
      <w:marRight w:val="0"/>
      <w:marTop w:val="0"/>
      <w:marBottom w:val="0"/>
      <w:divBdr>
        <w:top w:val="none" w:sz="0" w:space="0" w:color="auto"/>
        <w:left w:val="none" w:sz="0" w:space="0" w:color="auto"/>
        <w:bottom w:val="none" w:sz="0" w:space="0" w:color="auto"/>
        <w:right w:val="none" w:sz="0" w:space="0" w:color="auto"/>
      </w:divBdr>
      <w:divsChild>
        <w:div w:id="104610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16389">
      <w:bodyDiv w:val="1"/>
      <w:marLeft w:val="0"/>
      <w:marRight w:val="0"/>
      <w:marTop w:val="0"/>
      <w:marBottom w:val="0"/>
      <w:divBdr>
        <w:top w:val="none" w:sz="0" w:space="0" w:color="auto"/>
        <w:left w:val="none" w:sz="0" w:space="0" w:color="auto"/>
        <w:bottom w:val="none" w:sz="0" w:space="0" w:color="auto"/>
        <w:right w:val="none" w:sz="0" w:space="0" w:color="auto"/>
      </w:divBdr>
    </w:div>
    <w:div w:id="137310765">
      <w:bodyDiv w:val="1"/>
      <w:marLeft w:val="0"/>
      <w:marRight w:val="0"/>
      <w:marTop w:val="0"/>
      <w:marBottom w:val="0"/>
      <w:divBdr>
        <w:top w:val="none" w:sz="0" w:space="0" w:color="auto"/>
        <w:left w:val="none" w:sz="0" w:space="0" w:color="auto"/>
        <w:bottom w:val="none" w:sz="0" w:space="0" w:color="auto"/>
        <w:right w:val="none" w:sz="0" w:space="0" w:color="auto"/>
      </w:divBdr>
      <w:divsChild>
        <w:div w:id="97140891">
          <w:marLeft w:val="0"/>
          <w:marRight w:val="0"/>
          <w:marTop w:val="0"/>
          <w:marBottom w:val="0"/>
          <w:divBdr>
            <w:top w:val="none" w:sz="0" w:space="0" w:color="auto"/>
            <w:left w:val="none" w:sz="0" w:space="0" w:color="auto"/>
            <w:bottom w:val="none" w:sz="0" w:space="0" w:color="auto"/>
            <w:right w:val="none" w:sz="0" w:space="0" w:color="auto"/>
          </w:divBdr>
        </w:div>
      </w:divsChild>
    </w:div>
    <w:div w:id="175074198">
      <w:bodyDiv w:val="1"/>
      <w:marLeft w:val="0"/>
      <w:marRight w:val="0"/>
      <w:marTop w:val="0"/>
      <w:marBottom w:val="0"/>
      <w:divBdr>
        <w:top w:val="none" w:sz="0" w:space="0" w:color="auto"/>
        <w:left w:val="none" w:sz="0" w:space="0" w:color="auto"/>
        <w:bottom w:val="none" w:sz="0" w:space="0" w:color="auto"/>
        <w:right w:val="none" w:sz="0" w:space="0" w:color="auto"/>
      </w:divBdr>
    </w:div>
    <w:div w:id="185602710">
      <w:bodyDiv w:val="1"/>
      <w:marLeft w:val="0"/>
      <w:marRight w:val="0"/>
      <w:marTop w:val="0"/>
      <w:marBottom w:val="0"/>
      <w:divBdr>
        <w:top w:val="none" w:sz="0" w:space="0" w:color="auto"/>
        <w:left w:val="none" w:sz="0" w:space="0" w:color="auto"/>
        <w:bottom w:val="none" w:sz="0" w:space="0" w:color="auto"/>
        <w:right w:val="none" w:sz="0" w:space="0" w:color="auto"/>
      </w:divBdr>
    </w:div>
    <w:div w:id="203451390">
      <w:bodyDiv w:val="1"/>
      <w:marLeft w:val="0"/>
      <w:marRight w:val="0"/>
      <w:marTop w:val="0"/>
      <w:marBottom w:val="0"/>
      <w:divBdr>
        <w:top w:val="none" w:sz="0" w:space="0" w:color="auto"/>
        <w:left w:val="none" w:sz="0" w:space="0" w:color="auto"/>
        <w:bottom w:val="none" w:sz="0" w:space="0" w:color="auto"/>
        <w:right w:val="none" w:sz="0" w:space="0" w:color="auto"/>
      </w:divBdr>
    </w:div>
    <w:div w:id="233399455">
      <w:bodyDiv w:val="1"/>
      <w:marLeft w:val="0"/>
      <w:marRight w:val="0"/>
      <w:marTop w:val="0"/>
      <w:marBottom w:val="0"/>
      <w:divBdr>
        <w:top w:val="none" w:sz="0" w:space="0" w:color="auto"/>
        <w:left w:val="none" w:sz="0" w:space="0" w:color="auto"/>
        <w:bottom w:val="none" w:sz="0" w:space="0" w:color="auto"/>
        <w:right w:val="none" w:sz="0" w:space="0" w:color="auto"/>
      </w:divBdr>
    </w:div>
    <w:div w:id="248739764">
      <w:bodyDiv w:val="1"/>
      <w:marLeft w:val="0"/>
      <w:marRight w:val="0"/>
      <w:marTop w:val="0"/>
      <w:marBottom w:val="0"/>
      <w:divBdr>
        <w:top w:val="none" w:sz="0" w:space="0" w:color="auto"/>
        <w:left w:val="none" w:sz="0" w:space="0" w:color="auto"/>
        <w:bottom w:val="none" w:sz="0" w:space="0" w:color="auto"/>
        <w:right w:val="none" w:sz="0" w:space="0" w:color="auto"/>
      </w:divBdr>
    </w:div>
    <w:div w:id="263347465">
      <w:bodyDiv w:val="1"/>
      <w:marLeft w:val="0"/>
      <w:marRight w:val="0"/>
      <w:marTop w:val="0"/>
      <w:marBottom w:val="0"/>
      <w:divBdr>
        <w:top w:val="none" w:sz="0" w:space="0" w:color="auto"/>
        <w:left w:val="none" w:sz="0" w:space="0" w:color="auto"/>
        <w:bottom w:val="none" w:sz="0" w:space="0" w:color="auto"/>
        <w:right w:val="none" w:sz="0" w:space="0" w:color="auto"/>
      </w:divBdr>
    </w:div>
    <w:div w:id="275988726">
      <w:bodyDiv w:val="1"/>
      <w:marLeft w:val="0"/>
      <w:marRight w:val="0"/>
      <w:marTop w:val="0"/>
      <w:marBottom w:val="0"/>
      <w:divBdr>
        <w:top w:val="none" w:sz="0" w:space="0" w:color="auto"/>
        <w:left w:val="none" w:sz="0" w:space="0" w:color="auto"/>
        <w:bottom w:val="none" w:sz="0" w:space="0" w:color="auto"/>
        <w:right w:val="none" w:sz="0" w:space="0" w:color="auto"/>
      </w:divBdr>
      <w:divsChild>
        <w:div w:id="1243836247">
          <w:marLeft w:val="0"/>
          <w:marRight w:val="0"/>
          <w:marTop w:val="0"/>
          <w:marBottom w:val="0"/>
          <w:divBdr>
            <w:top w:val="none" w:sz="0" w:space="0" w:color="auto"/>
            <w:left w:val="none" w:sz="0" w:space="0" w:color="auto"/>
            <w:bottom w:val="none" w:sz="0" w:space="0" w:color="auto"/>
            <w:right w:val="none" w:sz="0" w:space="0" w:color="auto"/>
          </w:divBdr>
        </w:div>
      </w:divsChild>
    </w:div>
    <w:div w:id="310981790">
      <w:bodyDiv w:val="1"/>
      <w:marLeft w:val="0"/>
      <w:marRight w:val="0"/>
      <w:marTop w:val="0"/>
      <w:marBottom w:val="0"/>
      <w:divBdr>
        <w:top w:val="none" w:sz="0" w:space="0" w:color="auto"/>
        <w:left w:val="none" w:sz="0" w:space="0" w:color="auto"/>
        <w:bottom w:val="none" w:sz="0" w:space="0" w:color="auto"/>
        <w:right w:val="none" w:sz="0" w:space="0" w:color="auto"/>
      </w:divBdr>
    </w:div>
    <w:div w:id="323748493">
      <w:bodyDiv w:val="1"/>
      <w:marLeft w:val="0"/>
      <w:marRight w:val="0"/>
      <w:marTop w:val="0"/>
      <w:marBottom w:val="0"/>
      <w:divBdr>
        <w:top w:val="none" w:sz="0" w:space="0" w:color="auto"/>
        <w:left w:val="none" w:sz="0" w:space="0" w:color="auto"/>
        <w:bottom w:val="none" w:sz="0" w:space="0" w:color="auto"/>
        <w:right w:val="none" w:sz="0" w:space="0" w:color="auto"/>
      </w:divBdr>
    </w:div>
    <w:div w:id="426343082">
      <w:bodyDiv w:val="1"/>
      <w:marLeft w:val="0"/>
      <w:marRight w:val="0"/>
      <w:marTop w:val="0"/>
      <w:marBottom w:val="0"/>
      <w:divBdr>
        <w:top w:val="none" w:sz="0" w:space="0" w:color="auto"/>
        <w:left w:val="none" w:sz="0" w:space="0" w:color="auto"/>
        <w:bottom w:val="none" w:sz="0" w:space="0" w:color="auto"/>
        <w:right w:val="none" w:sz="0" w:space="0" w:color="auto"/>
      </w:divBdr>
    </w:div>
    <w:div w:id="426389268">
      <w:bodyDiv w:val="1"/>
      <w:marLeft w:val="0"/>
      <w:marRight w:val="0"/>
      <w:marTop w:val="0"/>
      <w:marBottom w:val="0"/>
      <w:divBdr>
        <w:top w:val="none" w:sz="0" w:space="0" w:color="auto"/>
        <w:left w:val="none" w:sz="0" w:space="0" w:color="auto"/>
        <w:bottom w:val="none" w:sz="0" w:space="0" w:color="auto"/>
        <w:right w:val="none" w:sz="0" w:space="0" w:color="auto"/>
      </w:divBdr>
    </w:div>
    <w:div w:id="457721117">
      <w:bodyDiv w:val="1"/>
      <w:marLeft w:val="0"/>
      <w:marRight w:val="0"/>
      <w:marTop w:val="0"/>
      <w:marBottom w:val="0"/>
      <w:divBdr>
        <w:top w:val="none" w:sz="0" w:space="0" w:color="auto"/>
        <w:left w:val="none" w:sz="0" w:space="0" w:color="auto"/>
        <w:bottom w:val="none" w:sz="0" w:space="0" w:color="auto"/>
        <w:right w:val="none" w:sz="0" w:space="0" w:color="auto"/>
      </w:divBdr>
      <w:divsChild>
        <w:div w:id="196359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169968">
      <w:bodyDiv w:val="1"/>
      <w:marLeft w:val="0"/>
      <w:marRight w:val="0"/>
      <w:marTop w:val="0"/>
      <w:marBottom w:val="0"/>
      <w:divBdr>
        <w:top w:val="none" w:sz="0" w:space="0" w:color="auto"/>
        <w:left w:val="none" w:sz="0" w:space="0" w:color="auto"/>
        <w:bottom w:val="none" w:sz="0" w:space="0" w:color="auto"/>
        <w:right w:val="none" w:sz="0" w:space="0" w:color="auto"/>
      </w:divBdr>
    </w:div>
    <w:div w:id="472021837">
      <w:bodyDiv w:val="1"/>
      <w:marLeft w:val="0"/>
      <w:marRight w:val="0"/>
      <w:marTop w:val="0"/>
      <w:marBottom w:val="0"/>
      <w:divBdr>
        <w:top w:val="none" w:sz="0" w:space="0" w:color="auto"/>
        <w:left w:val="none" w:sz="0" w:space="0" w:color="auto"/>
        <w:bottom w:val="none" w:sz="0" w:space="0" w:color="auto"/>
        <w:right w:val="none" w:sz="0" w:space="0" w:color="auto"/>
      </w:divBdr>
    </w:div>
    <w:div w:id="484980917">
      <w:bodyDiv w:val="1"/>
      <w:marLeft w:val="0"/>
      <w:marRight w:val="0"/>
      <w:marTop w:val="0"/>
      <w:marBottom w:val="0"/>
      <w:divBdr>
        <w:top w:val="none" w:sz="0" w:space="0" w:color="auto"/>
        <w:left w:val="none" w:sz="0" w:space="0" w:color="auto"/>
        <w:bottom w:val="none" w:sz="0" w:space="0" w:color="auto"/>
        <w:right w:val="none" w:sz="0" w:space="0" w:color="auto"/>
      </w:divBdr>
    </w:div>
    <w:div w:id="502356664">
      <w:bodyDiv w:val="1"/>
      <w:marLeft w:val="0"/>
      <w:marRight w:val="0"/>
      <w:marTop w:val="0"/>
      <w:marBottom w:val="0"/>
      <w:divBdr>
        <w:top w:val="none" w:sz="0" w:space="0" w:color="auto"/>
        <w:left w:val="none" w:sz="0" w:space="0" w:color="auto"/>
        <w:bottom w:val="none" w:sz="0" w:space="0" w:color="auto"/>
        <w:right w:val="none" w:sz="0" w:space="0" w:color="auto"/>
      </w:divBdr>
    </w:div>
    <w:div w:id="515387533">
      <w:bodyDiv w:val="1"/>
      <w:marLeft w:val="0"/>
      <w:marRight w:val="0"/>
      <w:marTop w:val="0"/>
      <w:marBottom w:val="0"/>
      <w:divBdr>
        <w:top w:val="none" w:sz="0" w:space="0" w:color="auto"/>
        <w:left w:val="none" w:sz="0" w:space="0" w:color="auto"/>
        <w:bottom w:val="none" w:sz="0" w:space="0" w:color="auto"/>
        <w:right w:val="none" w:sz="0" w:space="0" w:color="auto"/>
      </w:divBdr>
    </w:div>
    <w:div w:id="539515152">
      <w:bodyDiv w:val="1"/>
      <w:marLeft w:val="0"/>
      <w:marRight w:val="0"/>
      <w:marTop w:val="0"/>
      <w:marBottom w:val="0"/>
      <w:divBdr>
        <w:top w:val="none" w:sz="0" w:space="0" w:color="auto"/>
        <w:left w:val="none" w:sz="0" w:space="0" w:color="auto"/>
        <w:bottom w:val="none" w:sz="0" w:space="0" w:color="auto"/>
        <w:right w:val="none" w:sz="0" w:space="0" w:color="auto"/>
      </w:divBdr>
      <w:divsChild>
        <w:div w:id="608975123">
          <w:marLeft w:val="0"/>
          <w:marRight w:val="0"/>
          <w:marTop w:val="0"/>
          <w:marBottom w:val="0"/>
          <w:divBdr>
            <w:top w:val="none" w:sz="0" w:space="0" w:color="auto"/>
            <w:left w:val="none" w:sz="0" w:space="0" w:color="auto"/>
            <w:bottom w:val="none" w:sz="0" w:space="0" w:color="auto"/>
            <w:right w:val="none" w:sz="0" w:space="0" w:color="auto"/>
          </w:divBdr>
          <w:divsChild>
            <w:div w:id="1416123168">
              <w:marLeft w:val="0"/>
              <w:marRight w:val="0"/>
              <w:marTop w:val="0"/>
              <w:marBottom w:val="0"/>
              <w:divBdr>
                <w:top w:val="none" w:sz="0" w:space="0" w:color="auto"/>
                <w:left w:val="none" w:sz="0" w:space="0" w:color="auto"/>
                <w:bottom w:val="none" w:sz="0" w:space="0" w:color="auto"/>
                <w:right w:val="none" w:sz="0" w:space="0" w:color="auto"/>
              </w:divBdr>
              <w:divsChild>
                <w:div w:id="852262142">
                  <w:marLeft w:val="0"/>
                  <w:marRight w:val="0"/>
                  <w:marTop w:val="150"/>
                  <w:marBottom w:val="75"/>
                  <w:divBdr>
                    <w:top w:val="none" w:sz="0" w:space="0" w:color="auto"/>
                    <w:left w:val="none" w:sz="0" w:space="0" w:color="auto"/>
                    <w:bottom w:val="none" w:sz="0" w:space="0" w:color="auto"/>
                    <w:right w:val="none" w:sz="0" w:space="0" w:color="auto"/>
                  </w:divBdr>
                  <w:divsChild>
                    <w:div w:id="531260795">
                      <w:marLeft w:val="0"/>
                      <w:marRight w:val="0"/>
                      <w:marTop w:val="0"/>
                      <w:marBottom w:val="0"/>
                      <w:divBdr>
                        <w:top w:val="none" w:sz="0" w:space="0" w:color="auto"/>
                        <w:left w:val="none" w:sz="0" w:space="0" w:color="auto"/>
                        <w:bottom w:val="none" w:sz="0" w:space="0" w:color="auto"/>
                        <w:right w:val="none" w:sz="0" w:space="0" w:color="auto"/>
                      </w:divBdr>
                      <w:divsChild>
                        <w:div w:id="785270983">
                          <w:marLeft w:val="0"/>
                          <w:marRight w:val="0"/>
                          <w:marTop w:val="0"/>
                          <w:marBottom w:val="0"/>
                          <w:divBdr>
                            <w:top w:val="none" w:sz="0" w:space="0" w:color="auto"/>
                            <w:left w:val="none" w:sz="0" w:space="0" w:color="auto"/>
                            <w:bottom w:val="none" w:sz="0" w:space="0" w:color="auto"/>
                            <w:right w:val="none" w:sz="0" w:space="0" w:color="auto"/>
                          </w:divBdr>
                          <w:divsChild>
                            <w:div w:id="942496285">
                              <w:marLeft w:val="0"/>
                              <w:marRight w:val="0"/>
                              <w:marTop w:val="0"/>
                              <w:marBottom w:val="0"/>
                              <w:divBdr>
                                <w:top w:val="none" w:sz="0" w:space="0" w:color="auto"/>
                                <w:left w:val="none" w:sz="0" w:space="0" w:color="auto"/>
                                <w:bottom w:val="none" w:sz="0" w:space="0" w:color="auto"/>
                                <w:right w:val="none" w:sz="0" w:space="0" w:color="auto"/>
                              </w:divBdr>
                              <w:divsChild>
                                <w:div w:id="1860464949">
                                  <w:marLeft w:val="0"/>
                                  <w:marRight w:val="0"/>
                                  <w:marTop w:val="0"/>
                                  <w:marBottom w:val="0"/>
                                  <w:divBdr>
                                    <w:top w:val="none" w:sz="0" w:space="0" w:color="auto"/>
                                    <w:left w:val="none" w:sz="0" w:space="0" w:color="auto"/>
                                    <w:bottom w:val="none" w:sz="0" w:space="0" w:color="auto"/>
                                    <w:right w:val="none" w:sz="0" w:space="0" w:color="auto"/>
                                  </w:divBdr>
                                  <w:divsChild>
                                    <w:div w:id="285740012">
                                      <w:marLeft w:val="-225"/>
                                      <w:marRight w:val="-225"/>
                                      <w:marTop w:val="0"/>
                                      <w:marBottom w:val="75"/>
                                      <w:divBdr>
                                        <w:top w:val="none" w:sz="0" w:space="0" w:color="auto"/>
                                        <w:left w:val="none" w:sz="0" w:space="0" w:color="auto"/>
                                        <w:bottom w:val="none" w:sz="0" w:space="0" w:color="auto"/>
                                        <w:right w:val="none" w:sz="0" w:space="0" w:color="auto"/>
                                      </w:divBdr>
                                      <w:divsChild>
                                        <w:div w:id="758449279">
                                          <w:marLeft w:val="-225"/>
                                          <w:marRight w:val="-225"/>
                                          <w:marTop w:val="0"/>
                                          <w:marBottom w:val="0"/>
                                          <w:divBdr>
                                            <w:top w:val="none" w:sz="0" w:space="0" w:color="auto"/>
                                            <w:left w:val="none" w:sz="0" w:space="0" w:color="auto"/>
                                            <w:bottom w:val="none" w:sz="0" w:space="0" w:color="auto"/>
                                            <w:right w:val="none" w:sz="0" w:space="0" w:color="auto"/>
                                          </w:divBdr>
                                          <w:divsChild>
                                            <w:div w:id="2057001444">
                                              <w:marLeft w:val="0"/>
                                              <w:marRight w:val="0"/>
                                              <w:marTop w:val="0"/>
                                              <w:marBottom w:val="0"/>
                                              <w:divBdr>
                                                <w:top w:val="none" w:sz="0" w:space="0" w:color="auto"/>
                                                <w:left w:val="none" w:sz="0" w:space="0" w:color="auto"/>
                                                <w:bottom w:val="none" w:sz="0" w:space="0" w:color="auto"/>
                                                <w:right w:val="none" w:sz="0" w:space="0" w:color="auto"/>
                                              </w:divBdr>
                                              <w:divsChild>
                                                <w:div w:id="1860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841135">
      <w:bodyDiv w:val="1"/>
      <w:marLeft w:val="0"/>
      <w:marRight w:val="0"/>
      <w:marTop w:val="0"/>
      <w:marBottom w:val="0"/>
      <w:divBdr>
        <w:top w:val="none" w:sz="0" w:space="0" w:color="auto"/>
        <w:left w:val="none" w:sz="0" w:space="0" w:color="auto"/>
        <w:bottom w:val="none" w:sz="0" w:space="0" w:color="auto"/>
        <w:right w:val="none" w:sz="0" w:space="0" w:color="auto"/>
      </w:divBdr>
    </w:div>
    <w:div w:id="622617006">
      <w:bodyDiv w:val="1"/>
      <w:marLeft w:val="0"/>
      <w:marRight w:val="0"/>
      <w:marTop w:val="0"/>
      <w:marBottom w:val="0"/>
      <w:divBdr>
        <w:top w:val="none" w:sz="0" w:space="0" w:color="auto"/>
        <w:left w:val="none" w:sz="0" w:space="0" w:color="auto"/>
        <w:bottom w:val="none" w:sz="0" w:space="0" w:color="auto"/>
        <w:right w:val="none" w:sz="0" w:space="0" w:color="auto"/>
      </w:divBdr>
      <w:divsChild>
        <w:div w:id="74445045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768544687">
      <w:bodyDiv w:val="1"/>
      <w:marLeft w:val="0"/>
      <w:marRight w:val="0"/>
      <w:marTop w:val="0"/>
      <w:marBottom w:val="0"/>
      <w:divBdr>
        <w:top w:val="none" w:sz="0" w:space="0" w:color="auto"/>
        <w:left w:val="none" w:sz="0" w:space="0" w:color="auto"/>
        <w:bottom w:val="none" w:sz="0" w:space="0" w:color="auto"/>
        <w:right w:val="none" w:sz="0" w:space="0" w:color="auto"/>
      </w:divBdr>
    </w:div>
    <w:div w:id="783502878">
      <w:bodyDiv w:val="1"/>
      <w:marLeft w:val="0"/>
      <w:marRight w:val="0"/>
      <w:marTop w:val="0"/>
      <w:marBottom w:val="0"/>
      <w:divBdr>
        <w:top w:val="none" w:sz="0" w:space="0" w:color="auto"/>
        <w:left w:val="none" w:sz="0" w:space="0" w:color="auto"/>
        <w:bottom w:val="none" w:sz="0" w:space="0" w:color="auto"/>
        <w:right w:val="none" w:sz="0" w:space="0" w:color="auto"/>
      </w:divBdr>
    </w:div>
    <w:div w:id="820736339">
      <w:bodyDiv w:val="1"/>
      <w:marLeft w:val="0"/>
      <w:marRight w:val="0"/>
      <w:marTop w:val="0"/>
      <w:marBottom w:val="0"/>
      <w:divBdr>
        <w:top w:val="none" w:sz="0" w:space="0" w:color="auto"/>
        <w:left w:val="none" w:sz="0" w:space="0" w:color="auto"/>
        <w:bottom w:val="none" w:sz="0" w:space="0" w:color="auto"/>
        <w:right w:val="none" w:sz="0" w:space="0" w:color="auto"/>
      </w:divBdr>
      <w:divsChild>
        <w:div w:id="135027476">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828056665">
      <w:bodyDiv w:val="1"/>
      <w:marLeft w:val="0"/>
      <w:marRight w:val="0"/>
      <w:marTop w:val="0"/>
      <w:marBottom w:val="0"/>
      <w:divBdr>
        <w:top w:val="none" w:sz="0" w:space="0" w:color="auto"/>
        <w:left w:val="none" w:sz="0" w:space="0" w:color="auto"/>
        <w:bottom w:val="none" w:sz="0" w:space="0" w:color="auto"/>
        <w:right w:val="none" w:sz="0" w:space="0" w:color="auto"/>
      </w:divBdr>
    </w:div>
    <w:div w:id="915556088">
      <w:bodyDiv w:val="1"/>
      <w:marLeft w:val="0"/>
      <w:marRight w:val="0"/>
      <w:marTop w:val="0"/>
      <w:marBottom w:val="0"/>
      <w:divBdr>
        <w:top w:val="none" w:sz="0" w:space="0" w:color="auto"/>
        <w:left w:val="none" w:sz="0" w:space="0" w:color="auto"/>
        <w:bottom w:val="none" w:sz="0" w:space="0" w:color="auto"/>
        <w:right w:val="none" w:sz="0" w:space="0" w:color="auto"/>
      </w:divBdr>
    </w:div>
    <w:div w:id="973635147">
      <w:bodyDiv w:val="1"/>
      <w:marLeft w:val="0"/>
      <w:marRight w:val="0"/>
      <w:marTop w:val="0"/>
      <w:marBottom w:val="0"/>
      <w:divBdr>
        <w:top w:val="none" w:sz="0" w:space="0" w:color="auto"/>
        <w:left w:val="none" w:sz="0" w:space="0" w:color="auto"/>
        <w:bottom w:val="none" w:sz="0" w:space="0" w:color="auto"/>
        <w:right w:val="none" w:sz="0" w:space="0" w:color="auto"/>
      </w:divBdr>
    </w:div>
    <w:div w:id="1017578787">
      <w:bodyDiv w:val="1"/>
      <w:marLeft w:val="0"/>
      <w:marRight w:val="0"/>
      <w:marTop w:val="0"/>
      <w:marBottom w:val="0"/>
      <w:divBdr>
        <w:top w:val="none" w:sz="0" w:space="0" w:color="auto"/>
        <w:left w:val="none" w:sz="0" w:space="0" w:color="auto"/>
        <w:bottom w:val="none" w:sz="0" w:space="0" w:color="auto"/>
        <w:right w:val="none" w:sz="0" w:space="0" w:color="auto"/>
      </w:divBdr>
    </w:div>
    <w:div w:id="1096438839">
      <w:bodyDiv w:val="1"/>
      <w:marLeft w:val="0"/>
      <w:marRight w:val="0"/>
      <w:marTop w:val="0"/>
      <w:marBottom w:val="0"/>
      <w:divBdr>
        <w:top w:val="none" w:sz="0" w:space="0" w:color="auto"/>
        <w:left w:val="none" w:sz="0" w:space="0" w:color="auto"/>
        <w:bottom w:val="none" w:sz="0" w:space="0" w:color="auto"/>
        <w:right w:val="none" w:sz="0" w:space="0" w:color="auto"/>
      </w:divBdr>
    </w:div>
    <w:div w:id="1104226656">
      <w:bodyDiv w:val="1"/>
      <w:marLeft w:val="0"/>
      <w:marRight w:val="0"/>
      <w:marTop w:val="0"/>
      <w:marBottom w:val="0"/>
      <w:divBdr>
        <w:top w:val="none" w:sz="0" w:space="0" w:color="auto"/>
        <w:left w:val="none" w:sz="0" w:space="0" w:color="auto"/>
        <w:bottom w:val="none" w:sz="0" w:space="0" w:color="auto"/>
        <w:right w:val="none" w:sz="0" w:space="0" w:color="auto"/>
      </w:divBdr>
    </w:div>
    <w:div w:id="1134713169">
      <w:bodyDiv w:val="1"/>
      <w:marLeft w:val="0"/>
      <w:marRight w:val="0"/>
      <w:marTop w:val="0"/>
      <w:marBottom w:val="0"/>
      <w:divBdr>
        <w:top w:val="none" w:sz="0" w:space="0" w:color="auto"/>
        <w:left w:val="none" w:sz="0" w:space="0" w:color="auto"/>
        <w:bottom w:val="none" w:sz="0" w:space="0" w:color="auto"/>
        <w:right w:val="none" w:sz="0" w:space="0" w:color="auto"/>
      </w:divBdr>
    </w:div>
    <w:div w:id="1149202963">
      <w:bodyDiv w:val="1"/>
      <w:marLeft w:val="0"/>
      <w:marRight w:val="0"/>
      <w:marTop w:val="0"/>
      <w:marBottom w:val="0"/>
      <w:divBdr>
        <w:top w:val="none" w:sz="0" w:space="0" w:color="auto"/>
        <w:left w:val="none" w:sz="0" w:space="0" w:color="auto"/>
        <w:bottom w:val="none" w:sz="0" w:space="0" w:color="auto"/>
        <w:right w:val="none" w:sz="0" w:space="0" w:color="auto"/>
      </w:divBdr>
    </w:div>
    <w:div w:id="1157845611">
      <w:bodyDiv w:val="1"/>
      <w:marLeft w:val="0"/>
      <w:marRight w:val="0"/>
      <w:marTop w:val="0"/>
      <w:marBottom w:val="0"/>
      <w:divBdr>
        <w:top w:val="none" w:sz="0" w:space="0" w:color="auto"/>
        <w:left w:val="none" w:sz="0" w:space="0" w:color="auto"/>
        <w:bottom w:val="none" w:sz="0" w:space="0" w:color="auto"/>
        <w:right w:val="none" w:sz="0" w:space="0" w:color="auto"/>
      </w:divBdr>
    </w:div>
    <w:div w:id="1166093340">
      <w:bodyDiv w:val="1"/>
      <w:marLeft w:val="0"/>
      <w:marRight w:val="0"/>
      <w:marTop w:val="0"/>
      <w:marBottom w:val="0"/>
      <w:divBdr>
        <w:top w:val="none" w:sz="0" w:space="0" w:color="auto"/>
        <w:left w:val="none" w:sz="0" w:space="0" w:color="auto"/>
        <w:bottom w:val="none" w:sz="0" w:space="0" w:color="auto"/>
        <w:right w:val="none" w:sz="0" w:space="0" w:color="auto"/>
      </w:divBdr>
    </w:div>
    <w:div w:id="1170220833">
      <w:bodyDiv w:val="1"/>
      <w:marLeft w:val="0"/>
      <w:marRight w:val="0"/>
      <w:marTop w:val="0"/>
      <w:marBottom w:val="0"/>
      <w:divBdr>
        <w:top w:val="none" w:sz="0" w:space="0" w:color="auto"/>
        <w:left w:val="none" w:sz="0" w:space="0" w:color="auto"/>
        <w:bottom w:val="none" w:sz="0" w:space="0" w:color="auto"/>
        <w:right w:val="none" w:sz="0" w:space="0" w:color="auto"/>
      </w:divBdr>
    </w:div>
    <w:div w:id="1223713702">
      <w:bodyDiv w:val="1"/>
      <w:marLeft w:val="0"/>
      <w:marRight w:val="0"/>
      <w:marTop w:val="0"/>
      <w:marBottom w:val="0"/>
      <w:divBdr>
        <w:top w:val="none" w:sz="0" w:space="0" w:color="auto"/>
        <w:left w:val="none" w:sz="0" w:space="0" w:color="auto"/>
        <w:bottom w:val="none" w:sz="0" w:space="0" w:color="auto"/>
        <w:right w:val="none" w:sz="0" w:space="0" w:color="auto"/>
      </w:divBdr>
    </w:div>
    <w:div w:id="1268656826">
      <w:bodyDiv w:val="1"/>
      <w:marLeft w:val="0"/>
      <w:marRight w:val="0"/>
      <w:marTop w:val="0"/>
      <w:marBottom w:val="0"/>
      <w:divBdr>
        <w:top w:val="none" w:sz="0" w:space="0" w:color="auto"/>
        <w:left w:val="none" w:sz="0" w:space="0" w:color="auto"/>
        <w:bottom w:val="none" w:sz="0" w:space="0" w:color="auto"/>
        <w:right w:val="none" w:sz="0" w:space="0" w:color="auto"/>
      </w:divBdr>
    </w:div>
    <w:div w:id="1291932414">
      <w:bodyDiv w:val="1"/>
      <w:marLeft w:val="0"/>
      <w:marRight w:val="0"/>
      <w:marTop w:val="0"/>
      <w:marBottom w:val="0"/>
      <w:divBdr>
        <w:top w:val="none" w:sz="0" w:space="0" w:color="auto"/>
        <w:left w:val="none" w:sz="0" w:space="0" w:color="auto"/>
        <w:bottom w:val="none" w:sz="0" w:space="0" w:color="auto"/>
        <w:right w:val="none" w:sz="0" w:space="0" w:color="auto"/>
      </w:divBdr>
      <w:divsChild>
        <w:div w:id="646478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499526">
      <w:bodyDiv w:val="1"/>
      <w:marLeft w:val="0"/>
      <w:marRight w:val="0"/>
      <w:marTop w:val="0"/>
      <w:marBottom w:val="0"/>
      <w:divBdr>
        <w:top w:val="none" w:sz="0" w:space="0" w:color="auto"/>
        <w:left w:val="none" w:sz="0" w:space="0" w:color="auto"/>
        <w:bottom w:val="none" w:sz="0" w:space="0" w:color="auto"/>
        <w:right w:val="none" w:sz="0" w:space="0" w:color="auto"/>
      </w:divBdr>
    </w:div>
    <w:div w:id="1340082692">
      <w:bodyDiv w:val="1"/>
      <w:marLeft w:val="0"/>
      <w:marRight w:val="0"/>
      <w:marTop w:val="0"/>
      <w:marBottom w:val="0"/>
      <w:divBdr>
        <w:top w:val="none" w:sz="0" w:space="0" w:color="auto"/>
        <w:left w:val="none" w:sz="0" w:space="0" w:color="auto"/>
        <w:bottom w:val="none" w:sz="0" w:space="0" w:color="auto"/>
        <w:right w:val="none" w:sz="0" w:space="0" w:color="auto"/>
      </w:divBdr>
    </w:div>
    <w:div w:id="1433815605">
      <w:bodyDiv w:val="1"/>
      <w:marLeft w:val="0"/>
      <w:marRight w:val="0"/>
      <w:marTop w:val="0"/>
      <w:marBottom w:val="0"/>
      <w:divBdr>
        <w:top w:val="none" w:sz="0" w:space="0" w:color="auto"/>
        <w:left w:val="none" w:sz="0" w:space="0" w:color="auto"/>
        <w:bottom w:val="none" w:sz="0" w:space="0" w:color="auto"/>
        <w:right w:val="none" w:sz="0" w:space="0" w:color="auto"/>
      </w:divBdr>
    </w:div>
    <w:div w:id="1455829080">
      <w:bodyDiv w:val="1"/>
      <w:marLeft w:val="0"/>
      <w:marRight w:val="0"/>
      <w:marTop w:val="0"/>
      <w:marBottom w:val="0"/>
      <w:divBdr>
        <w:top w:val="none" w:sz="0" w:space="0" w:color="auto"/>
        <w:left w:val="none" w:sz="0" w:space="0" w:color="auto"/>
        <w:bottom w:val="none" w:sz="0" w:space="0" w:color="auto"/>
        <w:right w:val="none" w:sz="0" w:space="0" w:color="auto"/>
      </w:divBdr>
    </w:div>
    <w:div w:id="1457143114">
      <w:bodyDiv w:val="1"/>
      <w:marLeft w:val="0"/>
      <w:marRight w:val="0"/>
      <w:marTop w:val="0"/>
      <w:marBottom w:val="0"/>
      <w:divBdr>
        <w:top w:val="none" w:sz="0" w:space="0" w:color="auto"/>
        <w:left w:val="none" w:sz="0" w:space="0" w:color="auto"/>
        <w:bottom w:val="none" w:sz="0" w:space="0" w:color="auto"/>
        <w:right w:val="none" w:sz="0" w:space="0" w:color="auto"/>
      </w:divBdr>
    </w:div>
    <w:div w:id="1482962853">
      <w:bodyDiv w:val="1"/>
      <w:marLeft w:val="0"/>
      <w:marRight w:val="0"/>
      <w:marTop w:val="0"/>
      <w:marBottom w:val="0"/>
      <w:divBdr>
        <w:top w:val="none" w:sz="0" w:space="0" w:color="auto"/>
        <w:left w:val="none" w:sz="0" w:space="0" w:color="auto"/>
        <w:bottom w:val="none" w:sz="0" w:space="0" w:color="auto"/>
        <w:right w:val="none" w:sz="0" w:space="0" w:color="auto"/>
      </w:divBdr>
    </w:div>
    <w:div w:id="1507090599">
      <w:bodyDiv w:val="1"/>
      <w:marLeft w:val="0"/>
      <w:marRight w:val="0"/>
      <w:marTop w:val="0"/>
      <w:marBottom w:val="0"/>
      <w:divBdr>
        <w:top w:val="none" w:sz="0" w:space="0" w:color="auto"/>
        <w:left w:val="none" w:sz="0" w:space="0" w:color="auto"/>
        <w:bottom w:val="none" w:sz="0" w:space="0" w:color="auto"/>
        <w:right w:val="none" w:sz="0" w:space="0" w:color="auto"/>
      </w:divBdr>
    </w:div>
    <w:div w:id="1563979673">
      <w:bodyDiv w:val="1"/>
      <w:marLeft w:val="0"/>
      <w:marRight w:val="0"/>
      <w:marTop w:val="0"/>
      <w:marBottom w:val="0"/>
      <w:divBdr>
        <w:top w:val="none" w:sz="0" w:space="0" w:color="auto"/>
        <w:left w:val="none" w:sz="0" w:space="0" w:color="auto"/>
        <w:bottom w:val="none" w:sz="0" w:space="0" w:color="auto"/>
        <w:right w:val="none" w:sz="0" w:space="0" w:color="auto"/>
      </w:divBdr>
    </w:div>
    <w:div w:id="1569999631">
      <w:bodyDiv w:val="1"/>
      <w:marLeft w:val="0"/>
      <w:marRight w:val="0"/>
      <w:marTop w:val="0"/>
      <w:marBottom w:val="0"/>
      <w:divBdr>
        <w:top w:val="none" w:sz="0" w:space="0" w:color="auto"/>
        <w:left w:val="none" w:sz="0" w:space="0" w:color="auto"/>
        <w:bottom w:val="none" w:sz="0" w:space="0" w:color="auto"/>
        <w:right w:val="none" w:sz="0" w:space="0" w:color="auto"/>
      </w:divBdr>
      <w:divsChild>
        <w:div w:id="314526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251249">
      <w:bodyDiv w:val="1"/>
      <w:marLeft w:val="0"/>
      <w:marRight w:val="0"/>
      <w:marTop w:val="0"/>
      <w:marBottom w:val="0"/>
      <w:divBdr>
        <w:top w:val="none" w:sz="0" w:space="0" w:color="auto"/>
        <w:left w:val="none" w:sz="0" w:space="0" w:color="auto"/>
        <w:bottom w:val="none" w:sz="0" w:space="0" w:color="auto"/>
        <w:right w:val="none" w:sz="0" w:space="0" w:color="auto"/>
      </w:divBdr>
    </w:div>
    <w:div w:id="1603107923">
      <w:bodyDiv w:val="1"/>
      <w:marLeft w:val="0"/>
      <w:marRight w:val="0"/>
      <w:marTop w:val="0"/>
      <w:marBottom w:val="0"/>
      <w:divBdr>
        <w:top w:val="none" w:sz="0" w:space="0" w:color="auto"/>
        <w:left w:val="none" w:sz="0" w:space="0" w:color="auto"/>
        <w:bottom w:val="none" w:sz="0" w:space="0" w:color="auto"/>
        <w:right w:val="none" w:sz="0" w:space="0" w:color="auto"/>
      </w:divBdr>
    </w:div>
    <w:div w:id="1711106489">
      <w:bodyDiv w:val="1"/>
      <w:marLeft w:val="0"/>
      <w:marRight w:val="0"/>
      <w:marTop w:val="0"/>
      <w:marBottom w:val="0"/>
      <w:divBdr>
        <w:top w:val="none" w:sz="0" w:space="0" w:color="auto"/>
        <w:left w:val="none" w:sz="0" w:space="0" w:color="auto"/>
        <w:bottom w:val="none" w:sz="0" w:space="0" w:color="auto"/>
        <w:right w:val="none" w:sz="0" w:space="0" w:color="auto"/>
      </w:divBdr>
    </w:div>
    <w:div w:id="1748182993">
      <w:bodyDiv w:val="1"/>
      <w:marLeft w:val="0"/>
      <w:marRight w:val="0"/>
      <w:marTop w:val="0"/>
      <w:marBottom w:val="0"/>
      <w:divBdr>
        <w:top w:val="none" w:sz="0" w:space="0" w:color="auto"/>
        <w:left w:val="none" w:sz="0" w:space="0" w:color="auto"/>
        <w:bottom w:val="none" w:sz="0" w:space="0" w:color="auto"/>
        <w:right w:val="none" w:sz="0" w:space="0" w:color="auto"/>
      </w:divBdr>
    </w:div>
    <w:div w:id="1769621086">
      <w:bodyDiv w:val="1"/>
      <w:marLeft w:val="0"/>
      <w:marRight w:val="0"/>
      <w:marTop w:val="0"/>
      <w:marBottom w:val="0"/>
      <w:divBdr>
        <w:top w:val="none" w:sz="0" w:space="0" w:color="auto"/>
        <w:left w:val="none" w:sz="0" w:space="0" w:color="auto"/>
        <w:bottom w:val="none" w:sz="0" w:space="0" w:color="auto"/>
        <w:right w:val="none" w:sz="0" w:space="0" w:color="auto"/>
      </w:divBdr>
    </w:div>
    <w:div w:id="1790851126">
      <w:bodyDiv w:val="1"/>
      <w:marLeft w:val="0"/>
      <w:marRight w:val="0"/>
      <w:marTop w:val="0"/>
      <w:marBottom w:val="0"/>
      <w:divBdr>
        <w:top w:val="none" w:sz="0" w:space="0" w:color="auto"/>
        <w:left w:val="none" w:sz="0" w:space="0" w:color="auto"/>
        <w:bottom w:val="none" w:sz="0" w:space="0" w:color="auto"/>
        <w:right w:val="none" w:sz="0" w:space="0" w:color="auto"/>
      </w:divBdr>
      <w:divsChild>
        <w:div w:id="1927953111">
          <w:marLeft w:val="0"/>
          <w:marRight w:val="0"/>
          <w:marTop w:val="0"/>
          <w:marBottom w:val="0"/>
          <w:divBdr>
            <w:top w:val="none" w:sz="0" w:space="0" w:color="auto"/>
            <w:left w:val="none" w:sz="0" w:space="0" w:color="auto"/>
            <w:bottom w:val="none" w:sz="0" w:space="0" w:color="auto"/>
            <w:right w:val="none" w:sz="0" w:space="0" w:color="auto"/>
          </w:divBdr>
          <w:divsChild>
            <w:div w:id="1013650043">
              <w:marLeft w:val="0"/>
              <w:marRight w:val="0"/>
              <w:marTop w:val="0"/>
              <w:marBottom w:val="0"/>
              <w:divBdr>
                <w:top w:val="none" w:sz="0" w:space="0" w:color="auto"/>
                <w:left w:val="none" w:sz="0" w:space="0" w:color="auto"/>
                <w:bottom w:val="none" w:sz="0" w:space="0" w:color="auto"/>
                <w:right w:val="none" w:sz="0" w:space="0" w:color="auto"/>
              </w:divBdr>
              <w:divsChild>
                <w:div w:id="689526658">
                  <w:marLeft w:val="0"/>
                  <w:marRight w:val="0"/>
                  <w:marTop w:val="0"/>
                  <w:marBottom w:val="0"/>
                  <w:divBdr>
                    <w:top w:val="none" w:sz="0" w:space="0" w:color="auto"/>
                    <w:left w:val="none" w:sz="0" w:space="0" w:color="auto"/>
                    <w:bottom w:val="none" w:sz="0" w:space="0" w:color="auto"/>
                    <w:right w:val="none" w:sz="0" w:space="0" w:color="auto"/>
                  </w:divBdr>
                  <w:divsChild>
                    <w:div w:id="568073683">
                      <w:marLeft w:val="0"/>
                      <w:marRight w:val="0"/>
                      <w:marTop w:val="0"/>
                      <w:marBottom w:val="0"/>
                      <w:divBdr>
                        <w:top w:val="none" w:sz="0" w:space="0" w:color="auto"/>
                        <w:left w:val="none" w:sz="0" w:space="0" w:color="auto"/>
                        <w:bottom w:val="none" w:sz="0" w:space="0" w:color="auto"/>
                        <w:right w:val="none" w:sz="0" w:space="0" w:color="auto"/>
                      </w:divBdr>
                      <w:divsChild>
                        <w:div w:id="970600792">
                          <w:marLeft w:val="0"/>
                          <w:marRight w:val="0"/>
                          <w:marTop w:val="0"/>
                          <w:marBottom w:val="0"/>
                          <w:divBdr>
                            <w:top w:val="none" w:sz="0" w:space="0" w:color="auto"/>
                            <w:left w:val="none" w:sz="0" w:space="0" w:color="auto"/>
                            <w:bottom w:val="none" w:sz="0" w:space="0" w:color="auto"/>
                            <w:right w:val="none" w:sz="0" w:space="0" w:color="auto"/>
                          </w:divBdr>
                          <w:divsChild>
                            <w:div w:id="345139789">
                              <w:marLeft w:val="0"/>
                              <w:marRight w:val="0"/>
                              <w:marTop w:val="0"/>
                              <w:marBottom w:val="0"/>
                              <w:divBdr>
                                <w:top w:val="none" w:sz="0" w:space="0" w:color="auto"/>
                                <w:left w:val="none" w:sz="0" w:space="0" w:color="auto"/>
                                <w:bottom w:val="none" w:sz="0" w:space="0" w:color="auto"/>
                                <w:right w:val="none" w:sz="0" w:space="0" w:color="auto"/>
                              </w:divBdr>
                              <w:divsChild>
                                <w:div w:id="2066251155">
                                  <w:marLeft w:val="0"/>
                                  <w:marRight w:val="0"/>
                                  <w:marTop w:val="0"/>
                                  <w:marBottom w:val="0"/>
                                  <w:divBdr>
                                    <w:top w:val="none" w:sz="0" w:space="0" w:color="auto"/>
                                    <w:left w:val="none" w:sz="0" w:space="0" w:color="auto"/>
                                    <w:bottom w:val="none" w:sz="0" w:space="0" w:color="auto"/>
                                    <w:right w:val="none" w:sz="0" w:space="0" w:color="auto"/>
                                  </w:divBdr>
                                  <w:divsChild>
                                    <w:div w:id="1289819661">
                                      <w:marLeft w:val="0"/>
                                      <w:marRight w:val="0"/>
                                      <w:marTop w:val="0"/>
                                      <w:marBottom w:val="0"/>
                                      <w:divBdr>
                                        <w:top w:val="none" w:sz="0" w:space="0" w:color="auto"/>
                                        <w:left w:val="none" w:sz="0" w:space="0" w:color="auto"/>
                                        <w:bottom w:val="none" w:sz="0" w:space="0" w:color="auto"/>
                                        <w:right w:val="none" w:sz="0" w:space="0" w:color="auto"/>
                                      </w:divBdr>
                                      <w:divsChild>
                                        <w:div w:id="164327984">
                                          <w:marLeft w:val="0"/>
                                          <w:marRight w:val="0"/>
                                          <w:marTop w:val="0"/>
                                          <w:marBottom w:val="0"/>
                                          <w:divBdr>
                                            <w:top w:val="none" w:sz="0" w:space="0" w:color="auto"/>
                                            <w:left w:val="none" w:sz="0" w:space="0" w:color="auto"/>
                                            <w:bottom w:val="none" w:sz="0" w:space="0" w:color="auto"/>
                                            <w:right w:val="none" w:sz="0" w:space="0" w:color="auto"/>
                                          </w:divBdr>
                                          <w:divsChild>
                                            <w:div w:id="96490298">
                                              <w:marLeft w:val="0"/>
                                              <w:marRight w:val="0"/>
                                              <w:marTop w:val="0"/>
                                              <w:marBottom w:val="0"/>
                                              <w:divBdr>
                                                <w:top w:val="none" w:sz="0" w:space="0" w:color="auto"/>
                                                <w:left w:val="none" w:sz="0" w:space="0" w:color="auto"/>
                                                <w:bottom w:val="none" w:sz="0" w:space="0" w:color="auto"/>
                                                <w:right w:val="none" w:sz="0" w:space="0" w:color="auto"/>
                                              </w:divBdr>
                                              <w:divsChild>
                                                <w:div w:id="386615521">
                                                  <w:marLeft w:val="0"/>
                                                  <w:marRight w:val="0"/>
                                                  <w:marTop w:val="0"/>
                                                  <w:marBottom w:val="0"/>
                                                  <w:divBdr>
                                                    <w:top w:val="none" w:sz="0" w:space="0" w:color="auto"/>
                                                    <w:left w:val="none" w:sz="0" w:space="0" w:color="auto"/>
                                                    <w:bottom w:val="none" w:sz="0" w:space="0" w:color="auto"/>
                                                    <w:right w:val="none" w:sz="0" w:space="0" w:color="auto"/>
                                                  </w:divBdr>
                                                  <w:divsChild>
                                                    <w:div w:id="698704723">
                                                      <w:marLeft w:val="0"/>
                                                      <w:marRight w:val="0"/>
                                                      <w:marTop w:val="0"/>
                                                      <w:marBottom w:val="0"/>
                                                      <w:divBdr>
                                                        <w:top w:val="none" w:sz="0" w:space="0" w:color="auto"/>
                                                        <w:left w:val="none" w:sz="0" w:space="0" w:color="auto"/>
                                                        <w:bottom w:val="none" w:sz="0" w:space="0" w:color="auto"/>
                                                        <w:right w:val="none" w:sz="0" w:space="0" w:color="auto"/>
                                                      </w:divBdr>
                                                      <w:divsChild>
                                                        <w:div w:id="381178980">
                                                          <w:marLeft w:val="0"/>
                                                          <w:marRight w:val="0"/>
                                                          <w:marTop w:val="0"/>
                                                          <w:marBottom w:val="0"/>
                                                          <w:divBdr>
                                                            <w:top w:val="none" w:sz="0" w:space="0" w:color="auto"/>
                                                            <w:left w:val="none" w:sz="0" w:space="0" w:color="auto"/>
                                                            <w:bottom w:val="none" w:sz="0" w:space="0" w:color="auto"/>
                                                            <w:right w:val="none" w:sz="0" w:space="0" w:color="auto"/>
                                                          </w:divBdr>
                                                          <w:divsChild>
                                                            <w:div w:id="745080329">
                                                              <w:marLeft w:val="0"/>
                                                              <w:marRight w:val="0"/>
                                                              <w:marTop w:val="0"/>
                                                              <w:marBottom w:val="0"/>
                                                              <w:divBdr>
                                                                <w:top w:val="none" w:sz="0" w:space="0" w:color="auto"/>
                                                                <w:left w:val="none" w:sz="0" w:space="0" w:color="auto"/>
                                                                <w:bottom w:val="none" w:sz="0" w:space="0" w:color="auto"/>
                                                                <w:right w:val="none" w:sz="0" w:space="0" w:color="auto"/>
                                                              </w:divBdr>
                                                              <w:divsChild>
                                                                <w:div w:id="1130047849">
                                                                  <w:marLeft w:val="0"/>
                                                                  <w:marRight w:val="0"/>
                                                                  <w:marTop w:val="0"/>
                                                                  <w:marBottom w:val="0"/>
                                                                  <w:divBdr>
                                                                    <w:top w:val="none" w:sz="0" w:space="0" w:color="auto"/>
                                                                    <w:left w:val="none" w:sz="0" w:space="0" w:color="auto"/>
                                                                    <w:bottom w:val="none" w:sz="0" w:space="0" w:color="auto"/>
                                                                    <w:right w:val="none" w:sz="0" w:space="0" w:color="auto"/>
                                                                  </w:divBdr>
                                                                  <w:divsChild>
                                                                    <w:div w:id="1014724908">
                                                                      <w:marLeft w:val="0"/>
                                                                      <w:marRight w:val="0"/>
                                                                      <w:marTop w:val="0"/>
                                                                      <w:marBottom w:val="0"/>
                                                                      <w:divBdr>
                                                                        <w:top w:val="none" w:sz="0" w:space="0" w:color="auto"/>
                                                                        <w:left w:val="none" w:sz="0" w:space="0" w:color="auto"/>
                                                                        <w:bottom w:val="none" w:sz="0" w:space="0" w:color="auto"/>
                                                                        <w:right w:val="none" w:sz="0" w:space="0" w:color="auto"/>
                                                                      </w:divBdr>
                                                                      <w:divsChild>
                                                                        <w:div w:id="1527864618">
                                                                          <w:marLeft w:val="0"/>
                                                                          <w:marRight w:val="0"/>
                                                                          <w:marTop w:val="0"/>
                                                                          <w:marBottom w:val="0"/>
                                                                          <w:divBdr>
                                                                            <w:top w:val="none" w:sz="0" w:space="0" w:color="auto"/>
                                                                            <w:left w:val="none" w:sz="0" w:space="0" w:color="auto"/>
                                                                            <w:bottom w:val="none" w:sz="0" w:space="0" w:color="auto"/>
                                                                            <w:right w:val="none" w:sz="0" w:space="0" w:color="auto"/>
                                                                          </w:divBdr>
                                                                          <w:divsChild>
                                                                            <w:div w:id="971521224">
                                                                              <w:marLeft w:val="0"/>
                                                                              <w:marRight w:val="0"/>
                                                                              <w:marTop w:val="0"/>
                                                                              <w:marBottom w:val="0"/>
                                                                              <w:divBdr>
                                                                                <w:top w:val="none" w:sz="0" w:space="0" w:color="auto"/>
                                                                                <w:left w:val="none" w:sz="0" w:space="0" w:color="auto"/>
                                                                                <w:bottom w:val="none" w:sz="0" w:space="0" w:color="auto"/>
                                                                                <w:right w:val="none" w:sz="0" w:space="0" w:color="auto"/>
                                                                              </w:divBdr>
                                                                              <w:divsChild>
                                                                                <w:div w:id="7994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20394">
      <w:bodyDiv w:val="1"/>
      <w:marLeft w:val="0"/>
      <w:marRight w:val="0"/>
      <w:marTop w:val="0"/>
      <w:marBottom w:val="0"/>
      <w:divBdr>
        <w:top w:val="none" w:sz="0" w:space="0" w:color="auto"/>
        <w:left w:val="none" w:sz="0" w:space="0" w:color="auto"/>
        <w:bottom w:val="none" w:sz="0" w:space="0" w:color="auto"/>
        <w:right w:val="none" w:sz="0" w:space="0" w:color="auto"/>
      </w:divBdr>
    </w:div>
    <w:div w:id="1820807616">
      <w:bodyDiv w:val="1"/>
      <w:marLeft w:val="0"/>
      <w:marRight w:val="0"/>
      <w:marTop w:val="0"/>
      <w:marBottom w:val="0"/>
      <w:divBdr>
        <w:top w:val="none" w:sz="0" w:space="0" w:color="auto"/>
        <w:left w:val="none" w:sz="0" w:space="0" w:color="auto"/>
        <w:bottom w:val="none" w:sz="0" w:space="0" w:color="auto"/>
        <w:right w:val="none" w:sz="0" w:space="0" w:color="auto"/>
      </w:divBdr>
    </w:div>
    <w:div w:id="1824616261">
      <w:bodyDiv w:val="1"/>
      <w:marLeft w:val="0"/>
      <w:marRight w:val="0"/>
      <w:marTop w:val="0"/>
      <w:marBottom w:val="0"/>
      <w:divBdr>
        <w:top w:val="none" w:sz="0" w:space="0" w:color="auto"/>
        <w:left w:val="none" w:sz="0" w:space="0" w:color="auto"/>
        <w:bottom w:val="none" w:sz="0" w:space="0" w:color="auto"/>
        <w:right w:val="none" w:sz="0" w:space="0" w:color="auto"/>
      </w:divBdr>
    </w:div>
    <w:div w:id="1973439394">
      <w:bodyDiv w:val="1"/>
      <w:marLeft w:val="0"/>
      <w:marRight w:val="0"/>
      <w:marTop w:val="0"/>
      <w:marBottom w:val="0"/>
      <w:divBdr>
        <w:top w:val="none" w:sz="0" w:space="0" w:color="auto"/>
        <w:left w:val="none" w:sz="0" w:space="0" w:color="auto"/>
        <w:bottom w:val="none" w:sz="0" w:space="0" w:color="auto"/>
        <w:right w:val="none" w:sz="0" w:space="0" w:color="auto"/>
      </w:divBdr>
    </w:div>
    <w:div w:id="1989244343">
      <w:bodyDiv w:val="1"/>
      <w:marLeft w:val="0"/>
      <w:marRight w:val="0"/>
      <w:marTop w:val="0"/>
      <w:marBottom w:val="0"/>
      <w:divBdr>
        <w:top w:val="none" w:sz="0" w:space="0" w:color="auto"/>
        <w:left w:val="none" w:sz="0" w:space="0" w:color="auto"/>
        <w:bottom w:val="none" w:sz="0" w:space="0" w:color="auto"/>
        <w:right w:val="none" w:sz="0" w:space="0" w:color="auto"/>
      </w:divBdr>
    </w:div>
    <w:div w:id="2043479345">
      <w:bodyDiv w:val="1"/>
      <w:marLeft w:val="0"/>
      <w:marRight w:val="0"/>
      <w:marTop w:val="0"/>
      <w:marBottom w:val="0"/>
      <w:divBdr>
        <w:top w:val="none" w:sz="0" w:space="0" w:color="auto"/>
        <w:left w:val="none" w:sz="0" w:space="0" w:color="auto"/>
        <w:bottom w:val="none" w:sz="0" w:space="0" w:color="auto"/>
        <w:right w:val="none" w:sz="0" w:space="0" w:color="auto"/>
      </w:divBdr>
    </w:div>
    <w:div w:id="21058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rm38896@pec.carabinieri.it" TargetMode="External"/><Relationship Id="rId18" Type="http://schemas.openxmlformats.org/officeDocument/2006/relationships/hyperlink" Target="https://www.anticorruzione.it/-/anac-chiede-a-governo-e-parlamento-un-intervento-normativo-sulla-revisione-dei-prezzi-negli-appalt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bd01.leggiditalia.it/cgi-bin/FulShow?TIPO=5&amp;NOTXT=1&amp;KEY=01LX0000827965ART0" TargetMode="External"/><Relationship Id="rId2" Type="http://schemas.openxmlformats.org/officeDocument/2006/relationships/customXml" Target="../customXml/item2.xml"/><Relationship Id="rId16" Type="http://schemas.openxmlformats.org/officeDocument/2006/relationships/hyperlink" Target="http://bd01.leggiditalia.it/cgi-bin/FulShow?TIPO=5&amp;NOTXT=1&amp;KEY=01LX0000827965ART1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d01.leggiditalia.it/cgi-bin/FulShow?KEY=01LX0000926349ART22&amp;NONAV=1&amp;NOTXT=1&am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criniepartners.it/?s=aumento+dei+prezz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93CECC9FBA0F42AC5A832076EE311E" ma:contentTypeVersion="2" ma:contentTypeDescription="Creare un nuovo documento." ma:contentTypeScope="" ma:versionID="26a235167c73a1349f55f722bb33aaa4">
  <xsd:schema xmlns:xsd="http://www.w3.org/2001/XMLSchema" xmlns:xs="http://www.w3.org/2001/XMLSchema" xmlns:p="http://schemas.microsoft.com/office/2006/metadata/properties" xmlns:ns2="2ef6b725-9c57-468c-a981-9c5e9851ad11" xmlns:ns3="82f6872c-ea9f-47e6-9729-095c4256b5ed" xmlns:ns4="858caf0d-fa43-49a6-8dbc-d57b37ac135a" targetNamespace="http://schemas.microsoft.com/office/2006/metadata/properties" ma:root="true" ma:fieldsID="979cd295e4ee554d8048ba35d1928dcb" ns2:_="" ns3:_="" ns4:_="">
    <xsd:import namespace="2ef6b725-9c57-468c-a981-9c5e9851ad11"/>
    <xsd:import namespace="82f6872c-ea9f-47e6-9729-095c4256b5ed"/>
    <xsd:import namespace="858caf0d-fa43-49a6-8dbc-d57b37ac135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Descriz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b725-9c57-468c-a981-9c5e9851ad11"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6872c-ea9f-47e6-9729-095c4256b5ed"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af0d-fa43-49a6-8dbc-d57b37ac135a" elementFormDefault="qualified">
    <xsd:import namespace="http://schemas.microsoft.com/office/2006/documentManagement/types"/>
    <xsd:import namespace="http://schemas.microsoft.com/office/infopath/2007/PartnerControls"/>
    <xsd:element name="Descrizione" ma:index="12" nillable="true" ma:displayName="Descrizione" ma:internalName="Descriz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ef6b725-9c57-468c-a981-9c5e9851ad11">DMDJSSH6JNYS-1207385524-171</_dlc_DocId>
    <_dlc_DocIdUrl xmlns="2ef6b725-9c57-468c-a981-9c5e9851ad11">
      <Url>http://esespfe16/intranet/collaborazione/nuovaidentitavisiva/_layouts/15/DocIdRedir.aspx?ID=DMDJSSH6JNYS-1207385524-171</Url>
      <Description>DMDJSSH6JNYS-1207385524-171</Description>
    </_dlc_DocIdUrl>
    <Descrizione xmlns="858caf0d-fa43-49a6-8dbc-d57b37ac135a">Modello di Lettera</Descrizion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D9CD-7D9A-4E53-ADF0-A0C3C016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b725-9c57-468c-a981-9c5e9851ad11"/>
    <ds:schemaRef ds:uri="82f6872c-ea9f-47e6-9729-095c4256b5ed"/>
    <ds:schemaRef ds:uri="858caf0d-fa43-49a6-8dbc-d57b37ac1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74544-6598-473A-9875-AFD4029944BE}">
  <ds:schemaRefs>
    <ds:schemaRef ds:uri="http://purl.org/dc/dcmitype/"/>
    <ds:schemaRef ds:uri="2ef6b725-9c57-468c-a981-9c5e9851ad11"/>
    <ds:schemaRef ds:uri="858caf0d-fa43-49a6-8dbc-d57b37ac135a"/>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82f6872c-ea9f-47e6-9729-095c4256b5ed"/>
  </ds:schemaRefs>
</ds:datastoreItem>
</file>

<file path=customXml/itemProps3.xml><?xml version="1.0" encoding="utf-8"?>
<ds:datastoreItem xmlns:ds="http://schemas.openxmlformats.org/officeDocument/2006/customXml" ds:itemID="{8C720358-32F2-404E-9CE5-27D9459ED67D}">
  <ds:schemaRefs>
    <ds:schemaRef ds:uri="http://schemas.microsoft.com/sharepoint/events"/>
  </ds:schemaRefs>
</ds:datastoreItem>
</file>

<file path=customXml/itemProps4.xml><?xml version="1.0" encoding="utf-8"?>
<ds:datastoreItem xmlns:ds="http://schemas.openxmlformats.org/officeDocument/2006/customXml" ds:itemID="{9AB86BAF-ACE0-453A-B72E-E39940D2F6D9}">
  <ds:schemaRefs>
    <ds:schemaRef ds:uri="http://schemas.microsoft.com/sharepoint/v3/contenttype/forms"/>
  </ds:schemaRefs>
</ds:datastoreItem>
</file>

<file path=customXml/itemProps5.xml><?xml version="1.0" encoding="utf-8"?>
<ds:datastoreItem xmlns:ds="http://schemas.openxmlformats.org/officeDocument/2006/customXml" ds:itemID="{D2EE25B0-8C45-4C39-B929-A3A78580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1994</Words>
  <Characters>11370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Cecilia Martini</dc:creator>
  <cp:keywords/>
  <dc:description/>
  <cp:lastModifiedBy>D'ascanio Michela</cp:lastModifiedBy>
  <cp:revision>24</cp:revision>
  <cp:lastPrinted>2022-01-18T09:46:00Z</cp:lastPrinted>
  <dcterms:created xsi:type="dcterms:W3CDTF">2022-07-13T09:02:00Z</dcterms:created>
  <dcterms:modified xsi:type="dcterms:W3CDTF">2022-07-22T10:40:00Z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0x0101007593CECC9FBA0F42AC5A832076EE311E</vt:lpwstr>
  </property>
  <property fmtid="{D5CDD505-2E9C-101B-9397-08002B2CF9AE}" pid="3" name="_dlc_DocIdItemGuid">
    <vt:lpwstr>57c145dc-0fc3-46ee-90f8-758c6a19607c</vt:lpwstr>
  </property>
  <property fmtid="{D5CDD505-2E9C-101B-9397-08002B2CF9AE}" pid="4" name="_dlc_DocId">
    <vt:lpwstr>DMDJSSH6JNYS-1207385524-171</vt:lpwstr>
  </property>
  <property fmtid="{D5CDD505-2E9C-101B-9397-08002B2CF9AE}" pid="5" name="_dlc_DocIdUrl">
    <vt:lpwstr>http://esespfe16/intranet/collaborazione/nuovaidentitavisiva/_layouts/15/DocIdRedir.aspx?ID=DMDJSSH6JNYS-1207385524-171, DMDJSSH6JNYS-1207385524-171</vt:lpwstr>
  </property>
  <property fmtid="{D5CDD505-2E9C-101B-9397-08002B2CF9AE}" pid="6" name="Descrizione">
    <vt:lpwstr>Modello di Lettera</vt:lpwstr>
  </property>
</Properties>
</file>