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122" w:rsidRPr="002A74BD" w:rsidRDefault="00F646B1" w:rsidP="002A74BD">
      <w:pPr>
        <w:jc w:val="center"/>
        <w:rPr>
          <w:sz w:val="32"/>
          <w:szCs w:val="32"/>
        </w:rPr>
      </w:pPr>
      <w:r w:rsidRPr="002A74BD">
        <w:rPr>
          <w:noProof/>
          <w:sz w:val="32"/>
          <w:szCs w:val="32"/>
          <w:lang w:eastAsia="it-IT"/>
        </w:rPr>
        <w:drawing>
          <wp:inline distT="0" distB="0" distL="0" distR="0" wp14:anchorId="5E772EBE" wp14:editId="1D491D52">
            <wp:extent cx="3010514" cy="8445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1198" cy="847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46B1" w:rsidRDefault="00F646B1"/>
    <w:p w:rsidR="00F646B1" w:rsidRDefault="00F646B1"/>
    <w:p w:rsidR="002A74BD" w:rsidRDefault="002A74BD" w:rsidP="002A74BD">
      <w:pPr>
        <w:spacing w:line="276" w:lineRule="auto"/>
        <w:jc w:val="center"/>
        <w:rPr>
          <w:rFonts w:ascii="Arial" w:hAnsi="Arial" w:cs="Arial"/>
          <w:sz w:val="32"/>
          <w:szCs w:val="32"/>
          <w:u w:val="single"/>
        </w:rPr>
      </w:pPr>
      <w:r w:rsidRPr="002A74BD">
        <w:rPr>
          <w:rFonts w:ascii="Arial" w:hAnsi="Arial" w:cs="Arial"/>
          <w:sz w:val="32"/>
          <w:szCs w:val="32"/>
          <w:u w:val="single"/>
        </w:rPr>
        <w:t xml:space="preserve">Position </w:t>
      </w:r>
      <w:proofErr w:type="spellStart"/>
      <w:r w:rsidRPr="002A74BD">
        <w:rPr>
          <w:rFonts w:ascii="Arial" w:hAnsi="Arial" w:cs="Arial"/>
          <w:sz w:val="32"/>
          <w:szCs w:val="32"/>
          <w:u w:val="single"/>
        </w:rPr>
        <w:t>paper</w:t>
      </w:r>
      <w:proofErr w:type="spellEnd"/>
      <w:r w:rsidRPr="002A74BD">
        <w:rPr>
          <w:rFonts w:ascii="Arial" w:hAnsi="Arial" w:cs="Arial"/>
          <w:sz w:val="32"/>
          <w:szCs w:val="32"/>
          <w:u w:val="single"/>
        </w:rPr>
        <w:t xml:space="preserve"> dell'</w:t>
      </w:r>
      <w:proofErr w:type="spellStart"/>
      <w:r w:rsidRPr="002A74BD">
        <w:rPr>
          <w:rFonts w:ascii="Arial" w:hAnsi="Arial" w:cs="Arial"/>
          <w:sz w:val="32"/>
          <w:szCs w:val="32"/>
          <w:u w:val="single"/>
        </w:rPr>
        <w:t>European</w:t>
      </w:r>
      <w:proofErr w:type="spellEnd"/>
      <w:r w:rsidRPr="002A74BD">
        <w:rPr>
          <w:rFonts w:ascii="Arial" w:hAnsi="Arial" w:cs="Arial"/>
          <w:sz w:val="32"/>
          <w:szCs w:val="32"/>
          <w:u w:val="single"/>
        </w:rPr>
        <w:t xml:space="preserve"> Network for Public </w:t>
      </w:r>
      <w:proofErr w:type="spellStart"/>
      <w:r w:rsidRPr="002A74BD">
        <w:rPr>
          <w:rFonts w:ascii="Arial" w:hAnsi="Arial" w:cs="Arial"/>
          <w:sz w:val="32"/>
          <w:szCs w:val="32"/>
          <w:u w:val="single"/>
        </w:rPr>
        <w:t>Ethics</w:t>
      </w:r>
      <w:proofErr w:type="spellEnd"/>
      <w:r w:rsidRPr="002A74BD">
        <w:rPr>
          <w:rFonts w:ascii="Arial" w:hAnsi="Arial" w:cs="Arial"/>
          <w:sz w:val="32"/>
          <w:szCs w:val="32"/>
          <w:u w:val="single"/>
        </w:rPr>
        <w:t xml:space="preserve"> </w:t>
      </w:r>
    </w:p>
    <w:p w:rsidR="00F646B1" w:rsidRDefault="002A74BD" w:rsidP="002A74BD">
      <w:pPr>
        <w:spacing w:line="276" w:lineRule="auto"/>
        <w:jc w:val="center"/>
        <w:rPr>
          <w:rFonts w:ascii="Arial" w:hAnsi="Arial" w:cs="Arial"/>
          <w:sz w:val="32"/>
          <w:szCs w:val="32"/>
          <w:u w:val="single"/>
        </w:rPr>
      </w:pPr>
      <w:r w:rsidRPr="002A74BD">
        <w:rPr>
          <w:rFonts w:ascii="Arial" w:hAnsi="Arial" w:cs="Arial"/>
          <w:sz w:val="32"/>
          <w:szCs w:val="32"/>
          <w:u w:val="single"/>
        </w:rPr>
        <w:t>sul pacchetto anticorruzione dell'Unione Europea</w:t>
      </w:r>
    </w:p>
    <w:p w:rsidR="002A74BD" w:rsidRDefault="002A74BD" w:rsidP="002A74BD">
      <w:pPr>
        <w:spacing w:line="276" w:lineRule="auto"/>
        <w:jc w:val="center"/>
        <w:rPr>
          <w:rFonts w:ascii="Arial" w:hAnsi="Arial" w:cs="Arial"/>
          <w:sz w:val="32"/>
          <w:szCs w:val="32"/>
          <w:u w:val="single"/>
        </w:rPr>
      </w:pPr>
    </w:p>
    <w:p w:rsidR="002A74BD" w:rsidRPr="002A74BD" w:rsidRDefault="002A74BD" w:rsidP="002A74BD">
      <w:pPr>
        <w:spacing w:line="276" w:lineRule="auto"/>
        <w:jc w:val="center"/>
        <w:rPr>
          <w:rFonts w:ascii="Arial" w:hAnsi="Arial" w:cs="Arial"/>
          <w:sz w:val="32"/>
          <w:szCs w:val="32"/>
        </w:rPr>
      </w:pPr>
      <w:r w:rsidRPr="002A74BD">
        <w:rPr>
          <w:rFonts w:ascii="Arial" w:hAnsi="Arial" w:cs="Arial"/>
          <w:sz w:val="32"/>
          <w:szCs w:val="32"/>
        </w:rPr>
        <w:t>Aprile 2023</w:t>
      </w:r>
    </w:p>
    <w:p w:rsidR="002A74BD" w:rsidRDefault="002A74BD" w:rsidP="002A74BD">
      <w:pPr>
        <w:spacing w:line="276" w:lineRule="auto"/>
        <w:rPr>
          <w:rFonts w:ascii="Arial" w:hAnsi="Arial" w:cs="Arial"/>
          <w:sz w:val="32"/>
          <w:szCs w:val="32"/>
          <w:u w:val="single"/>
        </w:rPr>
      </w:pPr>
    </w:p>
    <w:p w:rsidR="002A74BD" w:rsidRDefault="00FA4B39" w:rsidP="00FA4B39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FA4B39">
        <w:rPr>
          <w:rFonts w:ascii="Arial" w:hAnsi="Arial" w:cs="Arial"/>
          <w:sz w:val="28"/>
          <w:szCs w:val="28"/>
        </w:rPr>
        <w:t xml:space="preserve">“La Rete europea per l'etica pubblica chiede alla Commissione europea di includere anche </w:t>
      </w:r>
      <w:r>
        <w:rPr>
          <w:rFonts w:ascii="Arial" w:hAnsi="Arial" w:cs="Arial"/>
          <w:sz w:val="28"/>
          <w:szCs w:val="28"/>
        </w:rPr>
        <w:t xml:space="preserve">le </w:t>
      </w:r>
      <w:r w:rsidRPr="00FA4B39">
        <w:rPr>
          <w:rFonts w:ascii="Arial" w:hAnsi="Arial" w:cs="Arial"/>
          <w:sz w:val="28"/>
          <w:szCs w:val="28"/>
        </w:rPr>
        <w:t>misure preventive nelle sue proposte sulla lotta alla corruzione.</w:t>
      </w:r>
      <w:r>
        <w:rPr>
          <w:rFonts w:ascii="Arial" w:hAnsi="Arial" w:cs="Arial"/>
          <w:sz w:val="28"/>
          <w:szCs w:val="28"/>
        </w:rPr>
        <w:t xml:space="preserve"> </w:t>
      </w:r>
    </w:p>
    <w:p w:rsidR="00FA4B39" w:rsidRDefault="00FA4B39" w:rsidP="00FA4B39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FA4B39">
        <w:rPr>
          <w:rFonts w:ascii="Arial" w:hAnsi="Arial" w:cs="Arial"/>
          <w:sz w:val="28"/>
          <w:szCs w:val="28"/>
        </w:rPr>
        <w:t>La rete europea per l'etica pubblica riunisce 12 autorità degli Stati membri dell'Unione europea attive in materia di integrità pubblica.</w:t>
      </w:r>
      <w:r>
        <w:rPr>
          <w:rFonts w:ascii="Arial" w:hAnsi="Arial" w:cs="Arial"/>
          <w:sz w:val="28"/>
          <w:szCs w:val="28"/>
        </w:rPr>
        <w:t xml:space="preserve"> </w:t>
      </w:r>
      <w:r w:rsidRPr="00FA4B39">
        <w:rPr>
          <w:rFonts w:ascii="Arial" w:hAnsi="Arial" w:cs="Arial"/>
          <w:sz w:val="28"/>
          <w:szCs w:val="28"/>
        </w:rPr>
        <w:t>Le loro missioni riguardano il mantenimento dello stato di diritto, la lotta alla corruzione e la promozione del buon governo, che condizionano la fiducia dei cittadini nei loro funzionari pubblici.</w:t>
      </w:r>
      <w:r>
        <w:rPr>
          <w:rFonts w:ascii="Arial" w:hAnsi="Arial" w:cs="Arial"/>
          <w:sz w:val="28"/>
          <w:szCs w:val="28"/>
        </w:rPr>
        <w:t xml:space="preserve"> </w:t>
      </w:r>
      <w:r w:rsidRPr="00FA4B39">
        <w:rPr>
          <w:rFonts w:ascii="Arial" w:hAnsi="Arial" w:cs="Arial"/>
          <w:sz w:val="28"/>
          <w:szCs w:val="28"/>
        </w:rPr>
        <w:t>Tali autorità assicurano, in particolare, all'interno dei loro Stati e nelle condizioni di indipendenza garantite dal diritto interno, la prevenzione dei conflitti di interesse nella sfera pubblica e la regolamentazione delle "porte girevoli" tra pubblico e privato.</w:t>
      </w:r>
      <w:r>
        <w:rPr>
          <w:rFonts w:ascii="Arial" w:hAnsi="Arial" w:cs="Arial"/>
          <w:sz w:val="28"/>
          <w:szCs w:val="28"/>
        </w:rPr>
        <w:t xml:space="preserve"> </w:t>
      </w:r>
      <w:r w:rsidRPr="00FA4B39">
        <w:rPr>
          <w:rFonts w:ascii="Arial" w:hAnsi="Arial" w:cs="Arial"/>
          <w:sz w:val="28"/>
          <w:szCs w:val="28"/>
        </w:rPr>
        <w:t>Il pacchetto anticorruzione della Commissione europea dovrebbe rappresentare un importante passo avanti per i valori europei.</w:t>
      </w:r>
    </w:p>
    <w:p w:rsidR="00FA4B39" w:rsidRDefault="00F56FB2" w:rsidP="00FA4B39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F56FB2">
        <w:rPr>
          <w:rFonts w:ascii="Arial" w:hAnsi="Arial" w:cs="Arial"/>
          <w:sz w:val="28"/>
          <w:szCs w:val="28"/>
        </w:rPr>
        <w:t xml:space="preserve">La Rete desidera ribadire che, accanto </w:t>
      </w:r>
      <w:r>
        <w:rPr>
          <w:rFonts w:ascii="Arial" w:hAnsi="Arial" w:cs="Arial"/>
          <w:sz w:val="28"/>
          <w:szCs w:val="28"/>
        </w:rPr>
        <w:t>alle componenti</w:t>
      </w:r>
      <w:r w:rsidRPr="00F56FB2">
        <w:rPr>
          <w:rFonts w:ascii="Arial" w:hAnsi="Arial" w:cs="Arial"/>
          <w:sz w:val="28"/>
          <w:szCs w:val="28"/>
        </w:rPr>
        <w:t xml:space="preserve"> penale e civile, l'aspetto preventivo della lotta alla corruzione è essenziale per garantirne l'efficacia e che l'adozione di alcuni standard minimi comuni di integrità pubblica dovrebbe essere utilmente considerata già nell'ambito della proposta direttiva anticorruzione.</w:t>
      </w:r>
      <w:r>
        <w:rPr>
          <w:rFonts w:ascii="Arial" w:hAnsi="Arial" w:cs="Arial"/>
          <w:sz w:val="28"/>
          <w:szCs w:val="28"/>
        </w:rPr>
        <w:t xml:space="preserve"> </w:t>
      </w:r>
      <w:r w:rsidRPr="00F56FB2">
        <w:rPr>
          <w:rFonts w:ascii="Arial" w:hAnsi="Arial" w:cs="Arial"/>
          <w:sz w:val="28"/>
          <w:szCs w:val="28"/>
        </w:rPr>
        <w:t>Solo un approccio legislativo alle misure preventive può garantire la loro piena efficacia.</w:t>
      </w:r>
    </w:p>
    <w:p w:rsidR="00F56FB2" w:rsidRDefault="00F56FB2" w:rsidP="00FA4B39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F56FB2">
        <w:rPr>
          <w:rFonts w:ascii="Arial" w:hAnsi="Arial" w:cs="Arial"/>
          <w:sz w:val="28"/>
          <w:szCs w:val="28"/>
        </w:rPr>
        <w:t xml:space="preserve">I membri della rete sottolineano l'importanza di preservare le specificità dei modelli </w:t>
      </w:r>
      <w:r>
        <w:rPr>
          <w:rFonts w:ascii="Arial" w:hAnsi="Arial" w:cs="Arial"/>
          <w:sz w:val="28"/>
          <w:szCs w:val="28"/>
        </w:rPr>
        <w:t>adottati da ciascuno</w:t>
      </w:r>
      <w:r w:rsidRPr="00F56FB2">
        <w:rPr>
          <w:rFonts w:ascii="Arial" w:hAnsi="Arial" w:cs="Arial"/>
          <w:sz w:val="28"/>
          <w:szCs w:val="28"/>
        </w:rPr>
        <w:t xml:space="preserve"> Stato membro.</w:t>
      </w:r>
      <w:r>
        <w:rPr>
          <w:rFonts w:ascii="Arial" w:hAnsi="Arial" w:cs="Arial"/>
          <w:sz w:val="28"/>
          <w:szCs w:val="28"/>
        </w:rPr>
        <w:t xml:space="preserve"> </w:t>
      </w:r>
      <w:r w:rsidRPr="00F56FB2">
        <w:rPr>
          <w:rFonts w:ascii="Arial" w:hAnsi="Arial" w:cs="Arial"/>
          <w:sz w:val="28"/>
          <w:szCs w:val="28"/>
        </w:rPr>
        <w:t>Tuttavia, concordano sulla necessità di stabilire norme minime comuni per porre l'integrità personale e pubblica al centro dei principi dell'Unione europea.</w:t>
      </w:r>
      <w:r>
        <w:rPr>
          <w:rFonts w:ascii="Arial" w:hAnsi="Arial" w:cs="Arial"/>
          <w:sz w:val="28"/>
          <w:szCs w:val="28"/>
        </w:rPr>
        <w:t xml:space="preserve"> </w:t>
      </w:r>
      <w:r w:rsidRPr="00F56FB2">
        <w:rPr>
          <w:rFonts w:ascii="Arial" w:hAnsi="Arial" w:cs="Arial"/>
          <w:sz w:val="28"/>
          <w:szCs w:val="28"/>
        </w:rPr>
        <w:t xml:space="preserve">Rafforzare l'indipendenza, </w:t>
      </w:r>
      <w:r w:rsidRPr="00F56FB2">
        <w:rPr>
          <w:rFonts w:ascii="Arial" w:hAnsi="Arial" w:cs="Arial"/>
          <w:sz w:val="28"/>
          <w:szCs w:val="28"/>
        </w:rPr>
        <w:lastRenderedPageBreak/>
        <w:t>i poteri e le risorse delle autorità di integrità pubblica è importante anche per la credibilità dell'azione pubblica e la fiducia dei cittadini nelle loro istituzioni nazionali ed europee.</w:t>
      </w:r>
    </w:p>
    <w:p w:rsidR="001F02CC" w:rsidRDefault="00F56FB2" w:rsidP="00FA4B39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F56FB2">
        <w:rPr>
          <w:rFonts w:ascii="Arial" w:hAnsi="Arial" w:cs="Arial"/>
          <w:sz w:val="28"/>
          <w:szCs w:val="28"/>
        </w:rPr>
        <w:t>L'armonizzazione della definizione di conflitto di interessi all'interno degli Stati membri sarebbe rilevante a questo proposito.</w:t>
      </w:r>
      <w:r>
        <w:rPr>
          <w:rFonts w:ascii="Arial" w:hAnsi="Arial" w:cs="Arial"/>
          <w:sz w:val="28"/>
          <w:szCs w:val="28"/>
        </w:rPr>
        <w:t xml:space="preserve"> </w:t>
      </w:r>
      <w:r w:rsidR="00672907" w:rsidRPr="00672907">
        <w:rPr>
          <w:rFonts w:ascii="Arial" w:hAnsi="Arial" w:cs="Arial"/>
          <w:sz w:val="28"/>
          <w:szCs w:val="28"/>
        </w:rPr>
        <w:t xml:space="preserve">Sarebbe inoltre essenziale una legislazione convergente sugli obblighi dichiarativi dei responsabili pubblici </w:t>
      </w:r>
      <w:r w:rsidR="00672907">
        <w:rPr>
          <w:rFonts w:ascii="Arial" w:hAnsi="Arial" w:cs="Arial"/>
          <w:sz w:val="28"/>
          <w:szCs w:val="28"/>
        </w:rPr>
        <w:t>circa</w:t>
      </w:r>
      <w:r w:rsidR="00672907" w:rsidRPr="00672907">
        <w:rPr>
          <w:rFonts w:ascii="Arial" w:hAnsi="Arial" w:cs="Arial"/>
          <w:sz w:val="28"/>
          <w:szCs w:val="28"/>
        </w:rPr>
        <w:t xml:space="preserve"> la propria situazione reddituale e patrimoniale e </w:t>
      </w:r>
      <w:r w:rsidR="001F02CC">
        <w:rPr>
          <w:rFonts w:ascii="Arial" w:hAnsi="Arial" w:cs="Arial"/>
          <w:sz w:val="28"/>
          <w:szCs w:val="28"/>
        </w:rPr>
        <w:t>su quelli relativi al</w:t>
      </w:r>
      <w:r w:rsidR="00672907" w:rsidRPr="00672907">
        <w:rPr>
          <w:rFonts w:ascii="Arial" w:hAnsi="Arial" w:cs="Arial"/>
          <w:sz w:val="28"/>
          <w:szCs w:val="28"/>
        </w:rPr>
        <w:t xml:space="preserve"> passaggio dei funzionari pubblici dal settore pubblico a quello privato e viceversa, </w:t>
      </w:r>
      <w:r w:rsidR="001F02CC" w:rsidRPr="001F02CC">
        <w:rPr>
          <w:rFonts w:ascii="Arial" w:hAnsi="Arial" w:cs="Arial"/>
          <w:sz w:val="28"/>
          <w:szCs w:val="28"/>
        </w:rPr>
        <w:t xml:space="preserve">affinché in tutta l'Unione europea i </w:t>
      </w:r>
      <w:r w:rsidR="001F02CC">
        <w:rPr>
          <w:rFonts w:ascii="Arial" w:hAnsi="Arial" w:cs="Arial"/>
          <w:sz w:val="28"/>
          <w:szCs w:val="28"/>
        </w:rPr>
        <w:t>funzionari pubblici</w:t>
      </w:r>
      <w:r w:rsidR="001F02CC" w:rsidRPr="001F02CC">
        <w:rPr>
          <w:rFonts w:ascii="Arial" w:hAnsi="Arial" w:cs="Arial"/>
          <w:sz w:val="28"/>
          <w:szCs w:val="28"/>
        </w:rPr>
        <w:t xml:space="preserve"> siano soggetti agli stessi standard minimi di integrità pubblica.</w:t>
      </w:r>
    </w:p>
    <w:p w:rsidR="001F02CC" w:rsidRDefault="001F02CC" w:rsidP="00FA4B39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1F02CC">
        <w:rPr>
          <w:rFonts w:ascii="Arial" w:hAnsi="Arial" w:cs="Arial"/>
          <w:sz w:val="28"/>
          <w:szCs w:val="28"/>
        </w:rPr>
        <w:t xml:space="preserve">Le dichiarazioni di interessi consentono di valutare i rischi di conflitti di interesse e di </w:t>
      </w:r>
      <w:r>
        <w:rPr>
          <w:rFonts w:ascii="Arial" w:hAnsi="Arial" w:cs="Arial"/>
          <w:sz w:val="28"/>
          <w:szCs w:val="28"/>
        </w:rPr>
        <w:t>adottare le</w:t>
      </w:r>
      <w:r w:rsidRPr="001F02CC">
        <w:rPr>
          <w:rFonts w:ascii="Arial" w:hAnsi="Arial" w:cs="Arial"/>
          <w:sz w:val="28"/>
          <w:szCs w:val="28"/>
        </w:rPr>
        <w:t xml:space="preserve"> misure</w:t>
      </w:r>
      <w:r>
        <w:rPr>
          <w:rFonts w:ascii="Arial" w:hAnsi="Arial" w:cs="Arial"/>
          <w:sz w:val="28"/>
          <w:szCs w:val="28"/>
        </w:rPr>
        <w:t xml:space="preserve"> idonee</w:t>
      </w:r>
      <w:r w:rsidRPr="001F02CC">
        <w:rPr>
          <w:rFonts w:ascii="Arial" w:hAnsi="Arial" w:cs="Arial"/>
          <w:sz w:val="28"/>
          <w:szCs w:val="28"/>
        </w:rPr>
        <w:t xml:space="preserve"> per evitare che i </w:t>
      </w:r>
      <w:r>
        <w:rPr>
          <w:rFonts w:ascii="Arial" w:hAnsi="Arial" w:cs="Arial"/>
          <w:sz w:val="28"/>
          <w:szCs w:val="28"/>
        </w:rPr>
        <w:t xml:space="preserve">funzionari </w:t>
      </w:r>
      <w:r w:rsidRPr="001F02CC">
        <w:rPr>
          <w:rFonts w:ascii="Arial" w:hAnsi="Arial" w:cs="Arial"/>
          <w:sz w:val="28"/>
          <w:szCs w:val="28"/>
        </w:rPr>
        <w:t>pubblici si trovino in una situazione che possa mettere in discussione l'indipendenza e l'imparzialità dell'azione pubblica.</w:t>
      </w:r>
    </w:p>
    <w:p w:rsidR="00223D68" w:rsidRDefault="00223D68" w:rsidP="00FA4B39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L’istituto </w:t>
      </w:r>
      <w:r>
        <w:rPr>
          <w:rFonts w:ascii="Arial" w:hAnsi="Arial" w:cs="Arial"/>
          <w:sz w:val="28"/>
          <w:szCs w:val="28"/>
        </w:rPr>
        <w:t>delle</w:t>
      </w:r>
      <w:r w:rsidRPr="00B96D3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“</w:t>
      </w:r>
      <w:r w:rsidRPr="00B96D30">
        <w:rPr>
          <w:rFonts w:ascii="Arial" w:hAnsi="Arial" w:cs="Arial"/>
          <w:sz w:val="28"/>
          <w:szCs w:val="28"/>
        </w:rPr>
        <w:t>porte girevoli</w:t>
      </w:r>
      <w:r>
        <w:rPr>
          <w:rFonts w:ascii="Arial" w:hAnsi="Arial" w:cs="Arial"/>
          <w:sz w:val="28"/>
          <w:szCs w:val="28"/>
        </w:rPr>
        <w:t>”</w:t>
      </w:r>
      <w:r w:rsidRPr="00B96D3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ovvero il </w:t>
      </w:r>
      <w:r w:rsidRPr="00223D68">
        <w:rPr>
          <w:rFonts w:ascii="Arial" w:hAnsi="Arial" w:cs="Arial"/>
          <w:sz w:val="28"/>
          <w:szCs w:val="28"/>
        </w:rPr>
        <w:t xml:space="preserve">controllo della mobilità tra pubblico e privato consente di garantire che le nuove funzioni degli ex </w:t>
      </w:r>
      <w:r>
        <w:rPr>
          <w:rFonts w:ascii="Arial" w:hAnsi="Arial" w:cs="Arial"/>
          <w:sz w:val="28"/>
          <w:szCs w:val="28"/>
        </w:rPr>
        <w:t xml:space="preserve">funzionari </w:t>
      </w:r>
      <w:r w:rsidRPr="00223D68">
        <w:rPr>
          <w:rFonts w:ascii="Arial" w:hAnsi="Arial" w:cs="Arial"/>
          <w:sz w:val="28"/>
          <w:szCs w:val="28"/>
        </w:rPr>
        <w:t xml:space="preserve">pubblici siano esercitate nel rispetto dei principi </w:t>
      </w:r>
      <w:r w:rsidRPr="00B96D30">
        <w:rPr>
          <w:rFonts w:ascii="Arial" w:hAnsi="Arial" w:cs="Arial"/>
          <w:sz w:val="28"/>
          <w:szCs w:val="28"/>
        </w:rPr>
        <w:t xml:space="preserve">di etica e correttezza </w:t>
      </w:r>
      <w:r w:rsidRPr="00223D68">
        <w:rPr>
          <w:rFonts w:ascii="Arial" w:hAnsi="Arial" w:cs="Arial"/>
          <w:sz w:val="28"/>
          <w:szCs w:val="28"/>
        </w:rPr>
        <w:t xml:space="preserve">e senza esporli al rischio di </w:t>
      </w:r>
      <w:r>
        <w:rPr>
          <w:rFonts w:ascii="Arial" w:hAnsi="Arial" w:cs="Arial"/>
          <w:sz w:val="28"/>
          <w:szCs w:val="28"/>
        </w:rPr>
        <w:t xml:space="preserve">commettere </w:t>
      </w:r>
      <w:r w:rsidRPr="00223D68">
        <w:rPr>
          <w:rFonts w:ascii="Arial" w:hAnsi="Arial" w:cs="Arial"/>
          <w:sz w:val="28"/>
          <w:szCs w:val="28"/>
        </w:rPr>
        <w:t>reati.</w:t>
      </w:r>
      <w:r>
        <w:rPr>
          <w:rFonts w:ascii="Arial" w:hAnsi="Arial" w:cs="Arial"/>
          <w:sz w:val="28"/>
          <w:szCs w:val="28"/>
        </w:rPr>
        <w:t xml:space="preserve"> </w:t>
      </w:r>
      <w:r w:rsidRPr="00223D68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l c.d.</w:t>
      </w:r>
      <w:r w:rsidRPr="00223D6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“periodo</w:t>
      </w:r>
      <w:r w:rsidRPr="00223D68">
        <w:rPr>
          <w:rFonts w:ascii="Arial" w:hAnsi="Arial" w:cs="Arial"/>
          <w:sz w:val="28"/>
          <w:szCs w:val="28"/>
        </w:rPr>
        <w:t xml:space="preserve"> di </w:t>
      </w:r>
      <w:r>
        <w:rPr>
          <w:rFonts w:ascii="Arial" w:hAnsi="Arial" w:cs="Arial"/>
          <w:sz w:val="28"/>
          <w:szCs w:val="28"/>
        </w:rPr>
        <w:t>raffreddamento”</w:t>
      </w:r>
      <w:r w:rsidRPr="00223D68">
        <w:rPr>
          <w:rFonts w:ascii="Arial" w:hAnsi="Arial" w:cs="Arial"/>
          <w:sz w:val="28"/>
          <w:szCs w:val="28"/>
        </w:rPr>
        <w:t xml:space="preserve"> o il controllo caso di questa mobilità consentono di escludere tali rischi.</w:t>
      </w:r>
    </w:p>
    <w:p w:rsidR="00223D68" w:rsidRDefault="00025364" w:rsidP="00FA4B39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025364">
        <w:rPr>
          <w:rFonts w:ascii="Arial" w:hAnsi="Arial" w:cs="Arial"/>
          <w:sz w:val="28"/>
          <w:szCs w:val="28"/>
        </w:rPr>
        <w:t>Tali disposizioni contribuiscono al corretto funzionamento del mercato interno e alla fiducia dei cittadini nelle loro istituzioni.</w:t>
      </w:r>
    </w:p>
    <w:p w:rsidR="00025364" w:rsidRDefault="00025364" w:rsidP="00FA4B39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025364">
        <w:rPr>
          <w:rFonts w:ascii="Arial" w:hAnsi="Arial" w:cs="Arial"/>
          <w:sz w:val="28"/>
          <w:szCs w:val="28"/>
        </w:rPr>
        <w:t>Una violazione dell'integrità in uno Stato membro lede anzitutto la fiducia dei cittadini di tale Stato.</w:t>
      </w:r>
      <w:r>
        <w:rPr>
          <w:rFonts w:ascii="Arial" w:hAnsi="Arial" w:cs="Arial"/>
          <w:sz w:val="28"/>
          <w:szCs w:val="28"/>
        </w:rPr>
        <w:t xml:space="preserve"> </w:t>
      </w:r>
      <w:r w:rsidRPr="00025364">
        <w:rPr>
          <w:rFonts w:ascii="Arial" w:hAnsi="Arial" w:cs="Arial"/>
          <w:sz w:val="28"/>
          <w:szCs w:val="28"/>
        </w:rPr>
        <w:t>Ma questo attacco può anche indebolire collettivamente l'azione pubblica a livello dell'UE.</w:t>
      </w:r>
      <w:r>
        <w:rPr>
          <w:rFonts w:ascii="Arial" w:hAnsi="Arial" w:cs="Arial"/>
          <w:sz w:val="28"/>
          <w:szCs w:val="28"/>
        </w:rPr>
        <w:t xml:space="preserve"> </w:t>
      </w:r>
      <w:r w:rsidRPr="00025364">
        <w:rPr>
          <w:rFonts w:ascii="Arial" w:hAnsi="Arial" w:cs="Arial"/>
          <w:sz w:val="28"/>
          <w:szCs w:val="28"/>
        </w:rPr>
        <w:t>Una serie di misure trasversali per prevenire la corruzione contribuirebbe a preservare lo stato di diritto all'interno di uno spazio giuridico comune.</w:t>
      </w:r>
      <w:r w:rsidR="0061254B">
        <w:rPr>
          <w:rFonts w:ascii="Arial" w:hAnsi="Arial" w:cs="Arial"/>
          <w:sz w:val="28"/>
          <w:szCs w:val="28"/>
        </w:rPr>
        <w:t xml:space="preserve"> </w:t>
      </w:r>
      <w:r w:rsidR="0061254B" w:rsidRPr="0061254B">
        <w:rPr>
          <w:rFonts w:ascii="Arial" w:hAnsi="Arial" w:cs="Arial"/>
          <w:sz w:val="28"/>
          <w:szCs w:val="28"/>
        </w:rPr>
        <w:t xml:space="preserve">Tali azioni </w:t>
      </w:r>
      <w:r w:rsidR="006127D1" w:rsidRPr="0061254B">
        <w:rPr>
          <w:rFonts w:ascii="Arial" w:hAnsi="Arial" w:cs="Arial"/>
          <w:sz w:val="28"/>
          <w:szCs w:val="28"/>
        </w:rPr>
        <w:t>dovrebbero</w:t>
      </w:r>
      <w:r w:rsidR="006127D1" w:rsidRPr="0061254B">
        <w:rPr>
          <w:rFonts w:ascii="Arial" w:hAnsi="Arial" w:cs="Arial"/>
          <w:sz w:val="28"/>
          <w:szCs w:val="28"/>
        </w:rPr>
        <w:t xml:space="preserve"> </w:t>
      </w:r>
      <w:r w:rsidR="0061254B" w:rsidRPr="0061254B">
        <w:rPr>
          <w:rFonts w:ascii="Arial" w:hAnsi="Arial" w:cs="Arial"/>
          <w:sz w:val="28"/>
          <w:szCs w:val="28"/>
        </w:rPr>
        <w:t>essere accompagnate da alcuni parametri di riferimento per misurare i progressi futuri, sulla base delle informazioni provenienti dagli Stati membri e dalle parti interessate del mondo privato, accademico e della società civile."</w:t>
      </w:r>
    </w:p>
    <w:p w:rsidR="0061254B" w:rsidRDefault="0061254B" w:rsidP="00FA4B39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6125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6B1"/>
    <w:rsid w:val="00025364"/>
    <w:rsid w:val="001F02CC"/>
    <w:rsid w:val="00223D68"/>
    <w:rsid w:val="002A74BD"/>
    <w:rsid w:val="00384F23"/>
    <w:rsid w:val="0054773E"/>
    <w:rsid w:val="0061254B"/>
    <w:rsid w:val="006127D1"/>
    <w:rsid w:val="00672907"/>
    <w:rsid w:val="00B96D30"/>
    <w:rsid w:val="00F56FB2"/>
    <w:rsid w:val="00F646B1"/>
    <w:rsid w:val="00FA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9746"/>
  <w15:chartTrackingRefBased/>
  <w15:docId w15:val="{83F7D3E0-566D-459D-8D9C-0D466F72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Levstik Sonja</dc:creator>
  <cp:keywords/>
  <dc:description/>
  <cp:lastModifiedBy>Levstik Sonja</cp:lastModifiedBy>
  <cp:revision>6</cp:revision>
  <dcterms:created xsi:type="dcterms:W3CDTF">2023-04-18T10:38:00Z</dcterms:created>
  <dcterms:modified xsi:type="dcterms:W3CDTF">2023-04-18T11:44:00Z</dcterms:modified>
</cp:coreProperties>
</file>