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F348" w14:textId="77777777" w:rsidR="00264F92" w:rsidRPr="008401A7" w:rsidRDefault="00264F92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>Mod.C.1</w:t>
      </w:r>
    </w:p>
    <w:p w14:paraId="7ECFF389" w14:textId="77777777" w:rsidR="00975F8F" w:rsidRPr="008401A7" w:rsidRDefault="00975F8F" w:rsidP="00264F92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ABEBBA5" w14:textId="77777777" w:rsidR="007372C8" w:rsidRPr="008401A7" w:rsidRDefault="00172953" w:rsidP="00264F92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</w:t>
      </w:r>
      <w:r w:rsidR="00891381" w:rsidRPr="008401A7">
        <w:rPr>
          <w:rFonts w:ascii="Garamond" w:hAnsi="Garamond"/>
          <w:b/>
          <w:sz w:val="24"/>
          <w:szCs w:val="24"/>
          <w:u w:val="single"/>
        </w:rPr>
        <w:t xml:space="preserve">articolo </w:t>
      </w:r>
      <w:r w:rsidR="00A23C81">
        <w:rPr>
          <w:rFonts w:ascii="Garamond" w:hAnsi="Garamond"/>
          <w:b/>
          <w:sz w:val="24"/>
          <w:szCs w:val="24"/>
          <w:u w:val="single"/>
        </w:rPr>
        <w:t>11</w:t>
      </w:r>
      <w:r w:rsidRPr="008401A7">
        <w:rPr>
          <w:rFonts w:ascii="Garamond" w:hAnsi="Garamond"/>
          <w:b/>
          <w:sz w:val="24"/>
          <w:szCs w:val="24"/>
          <w:u w:val="single"/>
        </w:rPr>
        <w:t>, comma 7</w:t>
      </w:r>
      <w:r w:rsidR="0016430B" w:rsidRPr="008401A7">
        <w:rPr>
          <w:rFonts w:ascii="Garamond" w:hAnsi="Garamond"/>
          <w:b/>
          <w:sz w:val="24"/>
          <w:szCs w:val="24"/>
          <w:u w:val="single"/>
        </w:rPr>
        <w:t>,</w:t>
      </w:r>
      <w:r w:rsidR="00A23C81">
        <w:rPr>
          <w:rFonts w:ascii="Garamond" w:hAnsi="Garamond"/>
          <w:b/>
          <w:sz w:val="24"/>
          <w:szCs w:val="24"/>
          <w:u w:val="single"/>
        </w:rPr>
        <w:t xml:space="preserve"> dell’Allegato II.12 al d.lgs. n. 36/2023</w:t>
      </w:r>
    </w:p>
    <w:p w14:paraId="52315992" w14:textId="77777777" w:rsidR="0016430B" w:rsidRPr="008401A7" w:rsidRDefault="0016430B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</w:t>
      </w:r>
      <w:r w:rsidR="0029039E" w:rsidRPr="008401A7">
        <w:rPr>
          <w:rFonts w:ascii="Garamond" w:hAnsi="Garamond"/>
          <w:b/>
        </w:rPr>
        <w:t>accertamento del possesso</w:t>
      </w:r>
      <w:r w:rsidR="00690177">
        <w:rPr>
          <w:rFonts w:ascii="Garamond" w:hAnsi="Garamond"/>
          <w:b/>
        </w:rPr>
        <w:t>/mantenimento</w:t>
      </w:r>
      <w:r w:rsidR="0029039E" w:rsidRPr="008401A7">
        <w:rPr>
          <w:rFonts w:ascii="Garamond" w:hAnsi="Garamond"/>
          <w:b/>
        </w:rPr>
        <w:t xml:space="preserve"> dei requisiti - </w:t>
      </w:r>
      <w:r w:rsidRPr="008401A7">
        <w:rPr>
          <w:rFonts w:ascii="Garamond" w:hAnsi="Garamond"/>
          <w:b/>
        </w:rPr>
        <w:t>avvio procedimento)</w:t>
      </w:r>
    </w:p>
    <w:p w14:paraId="4A460B75" w14:textId="77777777"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14:paraId="7C326409" w14:textId="77777777"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via Minghetti ,10</w:t>
      </w:r>
    </w:p>
    <w:p w14:paraId="3434B9FC" w14:textId="77777777"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14:paraId="65CFD72E" w14:textId="77777777" w:rsidR="009E209B" w:rsidRPr="008401A7" w:rsidRDefault="009E209B" w:rsidP="009E209B">
      <w:pPr>
        <w:spacing w:after="0"/>
        <w:ind w:left="5529"/>
        <w:jc w:val="both"/>
        <w:rPr>
          <w:rStyle w:val="Collegamentoipertestuale"/>
          <w:rFonts w:ascii="Garamond" w:hAnsi="Garamond"/>
          <w:sz w:val="24"/>
          <w:szCs w:val="24"/>
        </w:rPr>
      </w:pP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11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p w14:paraId="717EE95B" w14:textId="77777777" w:rsidR="00975F8F" w:rsidRPr="008401A7" w:rsidRDefault="00975F8F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</w:p>
    <w:tbl>
      <w:tblPr>
        <w:tblW w:w="10038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00"/>
      </w:tblGrid>
      <w:tr w:rsidR="008847A0" w:rsidRPr="008401A7" w14:paraId="71FA5E00" w14:textId="77777777" w:rsidTr="008847A0">
        <w:trPr>
          <w:trHeight w:val="1905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2CCB4C9C" w14:textId="46FE4118" w:rsidR="008847A0" w:rsidRPr="008401A7" w:rsidRDefault="008847A0" w:rsidP="001931A2">
            <w:pPr>
              <w:spacing w:before="240"/>
              <w:ind w:left="397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="001931A2">
              <w:rPr>
                <w:rFonts w:ascii="Garamond" w:hAnsi="Garamond"/>
                <w:sz w:val="24"/>
                <w:szCs w:val="24"/>
              </w:rPr>
              <w:t xml:space="preserve"> …………………………………………………………………………</w:t>
            </w:r>
            <w:proofErr w:type="gramStart"/>
            <w:r w:rsidR="001931A2">
              <w:rPr>
                <w:rFonts w:ascii="Garamond" w:hAnsi="Garamond"/>
                <w:sz w:val="24"/>
                <w:szCs w:val="24"/>
              </w:rPr>
              <w:t>…….</w:t>
            </w:r>
            <w:proofErr w:type="gramEnd"/>
            <w:r w:rsidR="001931A2">
              <w:rPr>
                <w:rFonts w:ascii="Garamond" w:hAnsi="Garamond"/>
                <w:sz w:val="24"/>
                <w:szCs w:val="24"/>
              </w:rPr>
              <w:t>.</w:t>
            </w:r>
          </w:p>
          <w:p w14:paraId="0E46BC97" w14:textId="75417721"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O.E. segnalato </w:t>
            </w:r>
            <w:r w:rsidR="001931A2"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  <w:proofErr w:type="gramStart"/>
            <w:r w:rsidR="001931A2">
              <w:rPr>
                <w:rFonts w:ascii="Garamond" w:hAnsi="Garamond"/>
                <w:sz w:val="24"/>
                <w:szCs w:val="24"/>
              </w:rPr>
              <w:t>…</w:t>
            </w:r>
            <w:r w:rsidRPr="008401A7">
              <w:rPr>
                <w:rFonts w:ascii="Garamond" w:hAnsi="Garamond"/>
                <w:sz w:val="24"/>
                <w:szCs w:val="24"/>
              </w:rPr>
              <w:t>(</w:t>
            </w:r>
            <w:proofErr w:type="gramEnd"/>
            <w:r w:rsidRPr="008401A7">
              <w:rPr>
                <w:rFonts w:ascii="Garamond" w:hAnsi="Garamond"/>
                <w:sz w:val="24"/>
                <w:szCs w:val="24"/>
              </w:rPr>
              <w:t>C.F. …</w:t>
            </w:r>
            <w:r w:rsidR="001931A2">
              <w:rPr>
                <w:rFonts w:ascii="Garamond" w:hAnsi="Garamond"/>
                <w:sz w:val="24"/>
                <w:szCs w:val="24"/>
              </w:rPr>
              <w:t>……………….…….)</w:t>
            </w:r>
          </w:p>
          <w:p w14:paraId="4ABD9E02" w14:textId="77777777"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fattispecie</w:t>
            </w:r>
            <w:r w:rsidRPr="008401A7">
              <w:rPr>
                <w:rFonts w:ascii="Garamond" w:hAnsi="Garamond"/>
                <w:sz w:val="24"/>
                <w:szCs w:val="24"/>
              </w:rPr>
              <w:t>: (falsa dichiarazione/falsa documentazione);</w:t>
            </w:r>
          </w:p>
          <w:p w14:paraId="6763928F" w14:textId="2FDA0A5B" w:rsidR="008847A0" w:rsidRPr="008401A7" w:rsidRDefault="008847A0" w:rsidP="001931A2">
            <w:pPr>
              <w:ind w:left="39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="001931A2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C3237F" w:rsidRPr="008401A7" w14:paraId="504C52BA" w14:textId="77777777" w:rsidTr="00BD562A">
        <w:trPr>
          <w:trHeight w:val="469"/>
        </w:trPr>
        <w:tc>
          <w:tcPr>
            <w:tcW w:w="10038" w:type="dxa"/>
            <w:gridSpan w:val="2"/>
            <w:tcBorders>
              <w:top w:val="single" w:sz="4" w:space="0" w:color="auto"/>
            </w:tcBorders>
          </w:tcPr>
          <w:p w14:paraId="2CF50EFA" w14:textId="77777777" w:rsidR="00C3237F" w:rsidRPr="00C3237F" w:rsidRDefault="00C3237F" w:rsidP="00C3237F">
            <w:pPr>
              <w:spacing w:before="120" w:after="120"/>
              <w:ind w:left="39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Cause di esclusione automatica art. 94 </w:t>
            </w:r>
            <w:proofErr w:type="spellStart"/>
            <w:r w:rsidRPr="00C3237F">
              <w:rPr>
                <w:rFonts w:ascii="Garamond" w:hAnsi="Garamond"/>
                <w:b/>
                <w:sz w:val="24"/>
                <w:szCs w:val="24"/>
              </w:rPr>
              <w:t>d.lgs</w:t>
            </w:r>
            <w:proofErr w:type="spellEnd"/>
            <w:r w:rsidRPr="00C3237F">
              <w:rPr>
                <w:rFonts w:ascii="Garamond" w:hAnsi="Garamond"/>
                <w:b/>
                <w:sz w:val="24"/>
                <w:szCs w:val="24"/>
              </w:rPr>
              <w:t xml:space="preserve"> n. 36/2023</w:t>
            </w:r>
          </w:p>
        </w:tc>
      </w:tr>
      <w:tr w:rsidR="00C3237F" w:rsidRPr="008401A7" w14:paraId="070156D1" w14:textId="77777777" w:rsidTr="00C3237F">
        <w:trPr>
          <w:trHeight w:val="469"/>
        </w:trPr>
        <w:tc>
          <w:tcPr>
            <w:tcW w:w="538" w:type="dxa"/>
            <w:tcBorders>
              <w:top w:val="single" w:sz="4" w:space="0" w:color="auto"/>
            </w:tcBorders>
          </w:tcPr>
          <w:p w14:paraId="1B0E9578" w14:textId="33170F83" w:rsidR="00C3237F" w:rsidRPr="008401A7" w:rsidRDefault="00C3237F" w:rsidP="008847A0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sz="4" w:space="0" w:color="auto"/>
            </w:tcBorders>
          </w:tcPr>
          <w:p w14:paraId="1988E5A7" w14:textId="77777777" w:rsidR="00C3237F" w:rsidRPr="008401A7" w:rsidRDefault="00C3237F" w:rsidP="00C3237F">
            <w:pPr>
              <w:spacing w:before="120" w:after="120"/>
              <w:ind w:left="39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art. 94, comma 1</w:t>
            </w:r>
            <w:r w:rsidRPr="008401A7">
              <w:rPr>
                <w:rFonts w:ascii="Garamond" w:hAnsi="Garamond"/>
                <w:sz w:val="24"/>
                <w:szCs w:val="24"/>
              </w:rPr>
              <w:t>: evidenze penali;</w:t>
            </w:r>
          </w:p>
          <w:p w14:paraId="33DEEEF7" w14:textId="77777777" w:rsidR="00C3237F" w:rsidRPr="007741AD" w:rsidRDefault="00C3237F" w:rsidP="00C3237F">
            <w:pPr>
              <w:spacing w:before="120" w:after="120"/>
              <w:ind w:left="397"/>
              <w:rPr>
                <w:rFonts w:ascii="Garamond" w:hAnsi="Garamond"/>
                <w:b/>
                <w:sz w:val="24"/>
                <w:szCs w:val="24"/>
              </w:rPr>
            </w:pPr>
            <w:r w:rsidRPr="007741AD">
              <w:rPr>
                <w:rFonts w:ascii="Garamond" w:hAnsi="Garamond"/>
                <w:sz w:val="24"/>
                <w:szCs w:val="24"/>
              </w:rPr>
              <w:t xml:space="preserve">art. 94, comma 2: antimafia (d.lgs. n. 159/2011); </w:t>
            </w:r>
          </w:p>
          <w:p w14:paraId="0A825585" w14:textId="77777777" w:rsidR="00C3237F" w:rsidRPr="008401A7" w:rsidRDefault="00C3237F" w:rsidP="00C3237F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art. 94, comma 5</w:t>
            </w:r>
            <w:r w:rsidR="00DF570D">
              <w:rPr>
                <w:rFonts w:ascii="Garamond" w:hAnsi="Garamond"/>
                <w:sz w:val="24"/>
                <w:szCs w:val="24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(tutte le lettere)</w:t>
            </w:r>
            <w:r w:rsidR="006523F2">
              <w:rPr>
                <w:rStyle w:val="Rimandonotaapidipagina"/>
                <w:rFonts w:ascii="Garamond" w:hAnsi="Garamond"/>
                <w:sz w:val="24"/>
                <w:szCs w:val="24"/>
              </w:rPr>
              <w:footnoteReference w:id="1"/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1912B9" w14:textId="77777777" w:rsidR="00C3237F" w:rsidRDefault="00C3237F" w:rsidP="00C3237F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art. 94, comma 6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sz w:val="24"/>
                <w:szCs w:val="24"/>
              </w:rPr>
              <w:t xml:space="preserve">gravi </w:t>
            </w:r>
            <w:r w:rsidRPr="008401A7">
              <w:rPr>
                <w:rFonts w:ascii="Garamond" w:hAnsi="Garamond"/>
                <w:sz w:val="24"/>
                <w:szCs w:val="24"/>
              </w:rPr>
              <w:t>irregolarità fiscali e contributive</w:t>
            </w:r>
            <w:r>
              <w:rPr>
                <w:rFonts w:ascii="Garamond" w:hAnsi="Garamond"/>
                <w:sz w:val="24"/>
                <w:szCs w:val="24"/>
              </w:rPr>
              <w:t>, definitivamente accertate;</w:t>
            </w:r>
          </w:p>
          <w:p w14:paraId="3BF0267D" w14:textId="77777777" w:rsidR="00C3237F" w:rsidRPr="008401A7" w:rsidRDefault="00C3237F" w:rsidP="006514B5">
            <w:pPr>
              <w:spacing w:before="120" w:after="120"/>
              <w:ind w:left="39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art. 18, comma 5, Allegato II.12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6514B5">
              <w:rPr>
                <w:rFonts w:ascii="Garamond" w:hAnsi="Garamond"/>
                <w:sz w:val="24"/>
                <w:szCs w:val="24"/>
              </w:rPr>
              <w:t>idoneità professionale attestata ai sensi dell’articolo 100 del codice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6514B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401A7">
              <w:rPr>
                <w:rFonts w:ascii="Garamond" w:hAnsi="Garamond"/>
                <w:sz w:val="24"/>
                <w:szCs w:val="24"/>
              </w:rPr>
              <w:t>adeguata capacità economica e finanziaria, adeguata idoneità tecnica e organizzativa, adeguata dotazione di attrezzature tecniche, adeguato organico medio annuo;</w:t>
            </w:r>
          </w:p>
        </w:tc>
      </w:tr>
      <w:tr w:rsidR="00C942AE" w:rsidRPr="008401A7" w14:paraId="27491047" w14:textId="77777777" w:rsidTr="00A425D2">
        <w:trPr>
          <w:trHeight w:val="465"/>
        </w:trPr>
        <w:tc>
          <w:tcPr>
            <w:tcW w:w="10038" w:type="dxa"/>
            <w:gridSpan w:val="2"/>
            <w:tcBorders>
              <w:top w:val="single" w:sz="4" w:space="0" w:color="auto"/>
            </w:tcBorders>
          </w:tcPr>
          <w:p w14:paraId="596C3564" w14:textId="77777777" w:rsidR="00C942AE" w:rsidRDefault="00C942AE" w:rsidP="00C3237F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Cause di esclusione non automatica art. 95 </w:t>
            </w:r>
            <w:proofErr w:type="spellStart"/>
            <w:r w:rsidRPr="00C3237F">
              <w:rPr>
                <w:rFonts w:ascii="Garamond" w:hAnsi="Garamond"/>
                <w:b/>
                <w:sz w:val="24"/>
                <w:szCs w:val="24"/>
              </w:rPr>
              <w:t>d.lgs</w:t>
            </w:r>
            <w:proofErr w:type="spellEnd"/>
            <w:r w:rsidRPr="00C3237F">
              <w:rPr>
                <w:rFonts w:ascii="Garamond" w:hAnsi="Garamond"/>
                <w:b/>
                <w:sz w:val="24"/>
                <w:szCs w:val="24"/>
              </w:rPr>
              <w:t xml:space="preserve"> n. 36/2023</w:t>
            </w:r>
          </w:p>
        </w:tc>
      </w:tr>
      <w:tr w:rsidR="00C3237F" w:rsidRPr="008401A7" w14:paraId="0E83F06D" w14:textId="77777777" w:rsidTr="00C3237F">
        <w:trPr>
          <w:trHeight w:val="465"/>
        </w:trPr>
        <w:tc>
          <w:tcPr>
            <w:tcW w:w="538" w:type="dxa"/>
            <w:tcBorders>
              <w:top w:val="single" w:sz="4" w:space="0" w:color="auto"/>
            </w:tcBorders>
          </w:tcPr>
          <w:p w14:paraId="39022A31" w14:textId="77777777" w:rsidR="00C3237F" w:rsidRDefault="00C3237F" w:rsidP="008847A0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sz="4" w:space="0" w:color="auto"/>
            </w:tcBorders>
          </w:tcPr>
          <w:p w14:paraId="23196EB2" w14:textId="77777777" w:rsidR="00DF570D" w:rsidRDefault="00DF570D" w:rsidP="00C3237F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art. </w:t>
            </w:r>
            <w:r w:rsidR="00C942AE">
              <w:rPr>
                <w:rFonts w:ascii="Garamond" w:hAnsi="Garamond"/>
                <w:sz w:val="24"/>
                <w:szCs w:val="24"/>
              </w:rPr>
              <w:t>95, comma 1</w:t>
            </w:r>
            <w:r>
              <w:rPr>
                <w:rStyle w:val="Rimandonotaapidipagina"/>
                <w:rFonts w:ascii="Garamond" w:hAnsi="Garamond"/>
                <w:sz w:val="24"/>
                <w:szCs w:val="24"/>
              </w:rPr>
              <w:footnoteReference w:id="2"/>
            </w:r>
          </w:p>
          <w:p w14:paraId="3C651FDB" w14:textId="77777777" w:rsidR="00C3237F" w:rsidRDefault="00DF570D" w:rsidP="00DF570D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art. 95, comma 2</w:t>
            </w:r>
            <w:r w:rsidR="00C3237F" w:rsidRPr="008401A7">
              <w:rPr>
                <w:rFonts w:ascii="Garamond" w:hAnsi="Garamond"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sz w:val="24"/>
                <w:szCs w:val="24"/>
              </w:rPr>
              <w:t xml:space="preserve">gravi </w:t>
            </w:r>
            <w:r w:rsidR="00C3237F" w:rsidRPr="008401A7">
              <w:rPr>
                <w:rFonts w:ascii="Garamond" w:hAnsi="Garamond"/>
                <w:sz w:val="24"/>
                <w:szCs w:val="24"/>
              </w:rPr>
              <w:t>irregolarità fiscali e contributive</w:t>
            </w:r>
            <w:r>
              <w:rPr>
                <w:rFonts w:ascii="Garamond" w:hAnsi="Garamond"/>
                <w:sz w:val="24"/>
                <w:szCs w:val="24"/>
              </w:rPr>
              <w:t xml:space="preserve"> non definitamente accertate;</w:t>
            </w:r>
          </w:p>
        </w:tc>
      </w:tr>
      <w:tr w:rsidR="00DF570D" w:rsidRPr="008401A7" w14:paraId="1FF33403" w14:textId="77777777" w:rsidTr="00332792">
        <w:trPr>
          <w:trHeight w:val="1111"/>
        </w:trPr>
        <w:tc>
          <w:tcPr>
            <w:tcW w:w="10038" w:type="dxa"/>
            <w:gridSpan w:val="2"/>
            <w:tcBorders>
              <w:top w:val="single" w:sz="4" w:space="0" w:color="auto"/>
            </w:tcBorders>
          </w:tcPr>
          <w:p w14:paraId="76AB2D3B" w14:textId="77777777" w:rsidR="00DF570D" w:rsidRDefault="00DF570D" w:rsidP="008847A0">
            <w:pPr>
              <w:spacing w:before="120" w:after="120"/>
              <w:ind w:left="397"/>
              <w:rPr>
                <w:rFonts w:ascii="Garamond" w:hAnsi="Garamond"/>
                <w:sz w:val="24"/>
                <w:szCs w:val="24"/>
              </w:rPr>
            </w:pPr>
          </w:p>
        </w:tc>
      </w:tr>
      <w:tr w:rsidR="008847A0" w:rsidRPr="008401A7" w14:paraId="66967460" w14:textId="77777777" w:rsidTr="008847A0">
        <w:trPr>
          <w:trHeight w:val="3045"/>
        </w:trPr>
        <w:tc>
          <w:tcPr>
            <w:tcW w:w="10038" w:type="dxa"/>
            <w:gridSpan w:val="2"/>
            <w:tcBorders>
              <w:top w:val="single" w:sz="4" w:space="0" w:color="auto"/>
            </w:tcBorders>
          </w:tcPr>
          <w:p w14:paraId="501F0911" w14:textId="77777777"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descrizione della fattispecie rilevata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libero);</w:t>
            </w:r>
          </w:p>
          <w:p w14:paraId="51ABB0EF" w14:textId="77777777" w:rsidR="008847A0" w:rsidRPr="008401A7" w:rsidRDefault="008847A0" w:rsidP="008847A0">
            <w:pPr>
              <w:ind w:left="39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momento della rilevazione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(contratto </w:t>
            </w:r>
            <w:r w:rsidR="00DF570D">
              <w:rPr>
                <w:rFonts w:ascii="Garamond" w:hAnsi="Garamond"/>
                <w:sz w:val="24"/>
                <w:szCs w:val="24"/>
              </w:rPr>
              <w:t>di nuova attestazione o rinnovo</w:t>
            </w:r>
            <w:r w:rsidRPr="008401A7">
              <w:rPr>
                <w:rFonts w:ascii="Garamond" w:hAnsi="Garamond"/>
                <w:sz w:val="24"/>
                <w:szCs w:val="24"/>
              </w:rPr>
              <w:t>, verifica triennale, altro tipo di variazione</w:t>
            </w:r>
            <w:r w:rsidR="00DF570D">
              <w:rPr>
                <w:rFonts w:ascii="Garamond" w:hAnsi="Garamond"/>
                <w:sz w:val="24"/>
                <w:szCs w:val="24"/>
              </w:rPr>
              <w:t>, attestazione in corso di validità</w:t>
            </w:r>
            <w:r w:rsidRPr="008401A7">
              <w:rPr>
                <w:rFonts w:ascii="Garamond" w:hAnsi="Garamond"/>
                <w:sz w:val="24"/>
                <w:szCs w:val="24"/>
              </w:rPr>
              <w:t>);</w:t>
            </w:r>
          </w:p>
          <w:p w14:paraId="42AF9FE9" w14:textId="77777777" w:rsidR="008847A0" w:rsidRPr="008401A7" w:rsidRDefault="008847A0" w:rsidP="00E94555">
            <w:pPr>
              <w:ind w:left="3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riferimenti del contratto di qualificazione/di verifica triennale o altro tipo di variazione (data e numero) ed eventuale n.ro dell’attestazione principale, data della dichiarazione sostitutiva risultata mendace o della presentazione della documentazione disconosciuta; data della richiesta di verifica e data del relativo riscontro.</w:t>
            </w:r>
          </w:p>
        </w:tc>
      </w:tr>
    </w:tbl>
    <w:p w14:paraId="34FB72B3" w14:textId="77777777" w:rsidR="005728BA" w:rsidRDefault="005728BA">
      <w:pPr>
        <w:rPr>
          <w:rFonts w:ascii="Garamond" w:hAnsi="Garamond"/>
          <w:b/>
          <w:sz w:val="24"/>
          <w:szCs w:val="24"/>
          <w:u w:val="single"/>
        </w:rPr>
      </w:pPr>
    </w:p>
    <w:sectPr w:rsidR="005728BA" w:rsidSect="008401A7">
      <w:headerReference w:type="default" r:id="rId12"/>
      <w:footerReference w:type="default" r:id="rId13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BCE3" w14:textId="77777777" w:rsidR="00440B70" w:rsidRDefault="00440B70" w:rsidP="004846A3">
      <w:pPr>
        <w:spacing w:after="0" w:line="240" w:lineRule="auto"/>
      </w:pPr>
      <w:r>
        <w:separator/>
      </w:r>
    </w:p>
  </w:endnote>
  <w:endnote w:type="continuationSeparator" w:id="0">
    <w:p w14:paraId="1A5C0C9A" w14:textId="77777777" w:rsidR="00440B70" w:rsidRDefault="00440B70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14:paraId="32571C85" w14:textId="58FAD878"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1931A2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1931A2">
          <w:rPr>
            <w:rFonts w:ascii="Arial" w:hAnsi="Arial" w:cs="Arial"/>
            <w:b/>
            <w:noProof/>
            <w:sz w:val="16"/>
            <w:szCs w:val="16"/>
          </w:rPr>
          <w:t>2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14:paraId="52EDEEAF" w14:textId="77777777"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0170" w14:textId="77777777" w:rsidR="00440B70" w:rsidRDefault="00440B70" w:rsidP="004846A3">
      <w:pPr>
        <w:spacing w:after="0" w:line="240" w:lineRule="auto"/>
      </w:pPr>
      <w:r>
        <w:separator/>
      </w:r>
    </w:p>
  </w:footnote>
  <w:footnote w:type="continuationSeparator" w:id="0">
    <w:p w14:paraId="172E209B" w14:textId="77777777" w:rsidR="00440B70" w:rsidRDefault="00440B70" w:rsidP="004846A3">
      <w:pPr>
        <w:spacing w:after="0" w:line="240" w:lineRule="auto"/>
      </w:pPr>
      <w:r>
        <w:continuationSeparator/>
      </w:r>
    </w:p>
  </w:footnote>
  <w:footnote w:id="1">
    <w:p w14:paraId="07C76195" w14:textId="77777777" w:rsidR="006523F2" w:rsidRDefault="006523F2" w:rsidP="006523F2">
      <w:pPr>
        <w:pStyle w:val="anota94"/>
      </w:pPr>
      <w:r>
        <w:rPr>
          <w:rStyle w:val="Rimandonotaapidipagina"/>
        </w:rPr>
        <w:footnoteRef/>
      </w:r>
      <w:r>
        <w:t xml:space="preserve"> l’operatore economico destinatario della sanzione interdittiva di cui all’articolo 9, comma 2, lettera c), del decreto legislativo 8 giugno 2001, n. 231, o di altra sanzione che comporta il divieto di contrarre con la pubblica amministrazione, compresi i provvedimenti interdittivi di cui all’articolo 14 del decreto legislativo 9 aprile 2008, n. 81;</w:t>
      </w:r>
    </w:p>
    <w:p w14:paraId="06F7516C" w14:textId="77777777" w:rsidR="006523F2" w:rsidRDefault="006523F2" w:rsidP="006523F2">
      <w:pPr>
        <w:pStyle w:val="anota94"/>
      </w:pPr>
      <w:r>
        <w:t>l’operatore economico che non abbia presentato la certificazione di cui all’articolo 17 della legge 12 marzo 1999, n. 68, ovvero non abbia presentato dichiarazione sostitutiva della sussistenza del medesimo requisito;</w:t>
      </w:r>
    </w:p>
    <w:p w14:paraId="58FB49DD" w14:textId="77777777" w:rsidR="006523F2" w:rsidRDefault="006523F2" w:rsidP="006523F2">
      <w:pPr>
        <w:pStyle w:val="anota94"/>
      </w:pPr>
      <w: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3B4D94E1" w14:textId="77777777" w:rsidR="006523F2" w:rsidRDefault="006523F2" w:rsidP="006523F2">
      <w:pPr>
        <w:pStyle w:val="anota94"/>
      </w:pPr>
      <w:r>
        <w:t>l’operatore economico che sia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dell’insolvenza, di cui al decreto legislativo 12 gennaio 2019, n. 14, dall’articolo 186-bis, comma 5, del regio decreto 16 marzo 1942, n. 267 e dall’articolo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2A553D4D" w14:textId="77777777" w:rsidR="006523F2" w:rsidRDefault="006523F2" w:rsidP="006523F2">
      <w:pPr>
        <w:pStyle w:val="anota94"/>
      </w:pPr>
      <w:r>
        <w:t>l’operatore economico iscritto nel casellario informatico tenuto dall’ANAC per aver presentato false dichiarazioni o falsa documentazione nelle procedure di gara e negli affidamenti di subappalti; la causa di esclusione perdura fino a quando opera l’iscrizione nel casellario informatico;</w:t>
      </w:r>
    </w:p>
    <w:p w14:paraId="231D8A57" w14:textId="77777777" w:rsidR="006523F2" w:rsidRPr="00D10AEC" w:rsidRDefault="006523F2" w:rsidP="006523F2">
      <w:pPr>
        <w:pStyle w:val="anota94"/>
      </w:pPr>
      <w:r>
        <w:t>l’operatore economico iscritto nel casellario informatico tenuto dall’ANAC per aver presentato false dichiarazioni o falsa documentazione ai fini del rilascio dell’attestazione di qualificazione, per il periodo durante il quale perdura l’iscrizione.</w:t>
      </w:r>
    </w:p>
    <w:p w14:paraId="3F50FD81" w14:textId="77777777" w:rsidR="006523F2" w:rsidRDefault="006523F2">
      <w:pPr>
        <w:pStyle w:val="Testonotaapidipagina"/>
      </w:pPr>
    </w:p>
  </w:footnote>
  <w:footnote w:id="2">
    <w:p w14:paraId="211A05CC" w14:textId="77777777" w:rsidR="00DF570D" w:rsidRPr="00DF570D" w:rsidRDefault="00DF570D" w:rsidP="00DF570D">
      <w:pPr>
        <w:pStyle w:val="anota95"/>
      </w:pPr>
      <w:r w:rsidRPr="00DF570D">
        <w:rPr>
          <w:rStyle w:val="Rimandonotaapidipagina"/>
          <w:vertAlign w:val="baseline"/>
        </w:rPr>
        <w:footnoteRef/>
      </w:r>
      <w:r w:rsidRPr="00DF570D">
        <w:t xml:space="preserve"> sussistere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7E5D24F8" w14:textId="77777777" w:rsidR="00DF570D" w:rsidRPr="00DF570D" w:rsidRDefault="00DF570D" w:rsidP="00DF570D">
      <w:pPr>
        <w:pStyle w:val="anota95"/>
      </w:pPr>
      <w:r w:rsidRPr="00DF570D">
        <w:t>che la partecipazione dell’operatore economico determini una situazione di conflitto di interesse di cui all’articolo 16 non diversamente risolvibile;</w:t>
      </w:r>
    </w:p>
    <w:p w14:paraId="56603155" w14:textId="77777777" w:rsidR="00DF570D" w:rsidRPr="00DF570D" w:rsidRDefault="00DF570D" w:rsidP="00DF570D">
      <w:pPr>
        <w:pStyle w:val="anota95"/>
      </w:pPr>
      <w:r w:rsidRPr="00DF570D">
        <w:t>sussistere una distorsione della concorrenza derivante dal precedente coinvolgimento degli operatori economici nella preparazione della procedura d’appalto che non possa essere risolta con misure meno intrusive;</w:t>
      </w:r>
    </w:p>
    <w:p w14:paraId="435171CE" w14:textId="77777777" w:rsidR="00DF570D" w:rsidRPr="00DF570D" w:rsidRDefault="00DF570D" w:rsidP="00DF570D">
      <w:pPr>
        <w:pStyle w:val="anota95"/>
      </w:pPr>
      <w:r w:rsidRPr="00DF570D">
        <w:t>sussistere rilevanti indizi tali da far ritenere che le offerte degli operatori economici siano imputabili ad un unico centro decisionale a cagione di accordi intercorsi con altri operatori economici partecipanti alla stessa gara;</w:t>
      </w:r>
    </w:p>
    <w:p w14:paraId="2687C334" w14:textId="77777777" w:rsidR="00DF570D" w:rsidRPr="00DF570D" w:rsidRDefault="00DF570D" w:rsidP="00DF570D">
      <w:pPr>
        <w:pStyle w:val="anota95"/>
      </w:pPr>
      <w:r w:rsidRPr="00DF570D">
        <w:t>che l’offerente abbia commesso un illecito professionale grave, tale da rendere dubbia la sua integrità o affidabilità, dimostrato dalla stazione appaltante con mezzi adeguati. All’articolo 98 sono indicati, in modo tassativo, i gravi illeciti professionali, nonché i mezzi adeguati a dimostrare i medesimi</w:t>
      </w:r>
    </w:p>
    <w:p w14:paraId="415873CA" w14:textId="77777777" w:rsidR="00DF570D" w:rsidRDefault="00DF57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6EFD" w14:textId="1888BFF2" w:rsidR="00F040DB" w:rsidRDefault="007741AD">
    <w:pPr>
      <w:pStyle w:val="Intestazione"/>
    </w:pPr>
    <w:r>
      <w:rPr>
        <w:noProof/>
      </w:rPr>
      <w:drawing>
        <wp:inline distT="0" distB="0" distL="0" distR="0" wp14:anchorId="499F503E" wp14:editId="29E02F71">
          <wp:extent cx="2877820" cy="341630"/>
          <wp:effectExtent l="0" t="0" r="0" b="1270"/>
          <wp:docPr id="15409299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3FA8"/>
    <w:multiLevelType w:val="hybridMultilevel"/>
    <w:tmpl w:val="FEBACAD6"/>
    <w:lvl w:ilvl="0" w:tplc="BCE4F732">
      <w:start w:val="1"/>
      <w:numFmt w:val="lowerLetter"/>
      <w:pStyle w:val="anota94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91A62"/>
    <w:multiLevelType w:val="hybridMultilevel"/>
    <w:tmpl w:val="8F728ED8"/>
    <w:lvl w:ilvl="0" w:tplc="BF3CD122">
      <w:start w:val="1"/>
      <w:numFmt w:val="lowerLetter"/>
      <w:pStyle w:val="anota95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6" w15:restartNumberingAfterBreak="0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 w16cid:durableId="274405838">
    <w:abstractNumId w:val="1"/>
  </w:num>
  <w:num w:numId="2" w16cid:durableId="1141387077">
    <w:abstractNumId w:val="7"/>
  </w:num>
  <w:num w:numId="3" w16cid:durableId="1067417278">
    <w:abstractNumId w:val="6"/>
  </w:num>
  <w:num w:numId="4" w16cid:durableId="990670733">
    <w:abstractNumId w:val="3"/>
  </w:num>
  <w:num w:numId="5" w16cid:durableId="1620337819">
    <w:abstractNumId w:val="5"/>
  </w:num>
  <w:num w:numId="6" w16cid:durableId="1606302666">
    <w:abstractNumId w:val="0"/>
  </w:num>
  <w:num w:numId="7" w16cid:durableId="1310208190">
    <w:abstractNumId w:val="8"/>
  </w:num>
  <w:num w:numId="8" w16cid:durableId="1620448212">
    <w:abstractNumId w:val="2"/>
  </w:num>
  <w:num w:numId="9" w16cid:durableId="2038118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53"/>
    <w:rsid w:val="0000060A"/>
    <w:rsid w:val="00023568"/>
    <w:rsid w:val="00036D1E"/>
    <w:rsid w:val="000806CA"/>
    <w:rsid w:val="000A257B"/>
    <w:rsid w:val="000A6EA1"/>
    <w:rsid w:val="000D6D3D"/>
    <w:rsid w:val="000E0637"/>
    <w:rsid w:val="00131235"/>
    <w:rsid w:val="00152876"/>
    <w:rsid w:val="001537A7"/>
    <w:rsid w:val="00163DA0"/>
    <w:rsid w:val="0016430B"/>
    <w:rsid w:val="00172953"/>
    <w:rsid w:val="001931A2"/>
    <w:rsid w:val="001D0FBE"/>
    <w:rsid w:val="001F12EB"/>
    <w:rsid w:val="00213EB0"/>
    <w:rsid w:val="00224F00"/>
    <w:rsid w:val="0023241D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0BC1"/>
    <w:rsid w:val="003926BF"/>
    <w:rsid w:val="003C1967"/>
    <w:rsid w:val="003C5697"/>
    <w:rsid w:val="00440B70"/>
    <w:rsid w:val="004846A3"/>
    <w:rsid w:val="004979F7"/>
    <w:rsid w:val="004C27DB"/>
    <w:rsid w:val="004F565F"/>
    <w:rsid w:val="005728BA"/>
    <w:rsid w:val="0059399E"/>
    <w:rsid w:val="005C1C90"/>
    <w:rsid w:val="005C4553"/>
    <w:rsid w:val="005D517A"/>
    <w:rsid w:val="005F67BE"/>
    <w:rsid w:val="006514B5"/>
    <w:rsid w:val="006523F2"/>
    <w:rsid w:val="00690177"/>
    <w:rsid w:val="006B5A3C"/>
    <w:rsid w:val="006F0FD2"/>
    <w:rsid w:val="007127A4"/>
    <w:rsid w:val="007372C8"/>
    <w:rsid w:val="007741AD"/>
    <w:rsid w:val="007754DD"/>
    <w:rsid w:val="00792135"/>
    <w:rsid w:val="007F05EB"/>
    <w:rsid w:val="008148CB"/>
    <w:rsid w:val="008401A7"/>
    <w:rsid w:val="00846E0E"/>
    <w:rsid w:val="00850E12"/>
    <w:rsid w:val="008847A0"/>
    <w:rsid w:val="00890363"/>
    <w:rsid w:val="00891381"/>
    <w:rsid w:val="008D61E9"/>
    <w:rsid w:val="008E7CF9"/>
    <w:rsid w:val="00934609"/>
    <w:rsid w:val="00942841"/>
    <w:rsid w:val="009550CE"/>
    <w:rsid w:val="00962BD9"/>
    <w:rsid w:val="00967557"/>
    <w:rsid w:val="00975F8F"/>
    <w:rsid w:val="009A62B5"/>
    <w:rsid w:val="009C2044"/>
    <w:rsid w:val="009E209B"/>
    <w:rsid w:val="00A23C81"/>
    <w:rsid w:val="00A35D87"/>
    <w:rsid w:val="00A66334"/>
    <w:rsid w:val="00A771A0"/>
    <w:rsid w:val="00A965D1"/>
    <w:rsid w:val="00B1398C"/>
    <w:rsid w:val="00B52704"/>
    <w:rsid w:val="00B61605"/>
    <w:rsid w:val="00B67720"/>
    <w:rsid w:val="00BB1D27"/>
    <w:rsid w:val="00BC05F2"/>
    <w:rsid w:val="00BC5D55"/>
    <w:rsid w:val="00C3237F"/>
    <w:rsid w:val="00C561B8"/>
    <w:rsid w:val="00C64F30"/>
    <w:rsid w:val="00C65023"/>
    <w:rsid w:val="00C942AE"/>
    <w:rsid w:val="00CA23D5"/>
    <w:rsid w:val="00CB0F6D"/>
    <w:rsid w:val="00CC4DCB"/>
    <w:rsid w:val="00CE23F9"/>
    <w:rsid w:val="00CF414E"/>
    <w:rsid w:val="00D10083"/>
    <w:rsid w:val="00D345F5"/>
    <w:rsid w:val="00D34886"/>
    <w:rsid w:val="00D37A76"/>
    <w:rsid w:val="00D42019"/>
    <w:rsid w:val="00DF570D"/>
    <w:rsid w:val="00E37B99"/>
    <w:rsid w:val="00E41004"/>
    <w:rsid w:val="00E65EB9"/>
    <w:rsid w:val="00E944CA"/>
    <w:rsid w:val="00E94555"/>
    <w:rsid w:val="00F040DB"/>
    <w:rsid w:val="00F37A5D"/>
    <w:rsid w:val="00F769F7"/>
    <w:rsid w:val="00FA5FF8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332C4"/>
  <w15:docId w15:val="{E4ADE031-5035-4FA7-857F-1F945482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  <w:style w:type="paragraph" w:customStyle="1" w:styleId="anota94">
    <w:name w:val="a) nota 94"/>
    <w:link w:val="anota94Carattere"/>
    <w:qFormat/>
    <w:rsid w:val="006523F2"/>
    <w:pPr>
      <w:numPr>
        <w:numId w:val="8"/>
      </w:numPr>
      <w:spacing w:after="0" w:line="240" w:lineRule="auto"/>
      <w:ind w:left="170" w:hanging="170"/>
      <w:jc w:val="both"/>
    </w:pPr>
    <w:rPr>
      <w:rFonts w:ascii="Times New Roman" w:hAnsi="Times New Roman"/>
      <w:sz w:val="16"/>
    </w:rPr>
  </w:style>
  <w:style w:type="character" w:customStyle="1" w:styleId="anota94Carattere">
    <w:name w:val="a) nota 94 Carattere"/>
    <w:basedOn w:val="Carpredefinitoparagrafo"/>
    <w:link w:val="anota94"/>
    <w:rsid w:val="006523F2"/>
    <w:rPr>
      <w:rFonts w:ascii="Times New Roman" w:hAnsi="Times New Roman"/>
      <w:sz w:val="16"/>
    </w:rPr>
  </w:style>
  <w:style w:type="paragraph" w:customStyle="1" w:styleId="anota95">
    <w:name w:val="a) nota 95"/>
    <w:link w:val="anota95Carattere"/>
    <w:qFormat/>
    <w:rsid w:val="00DF570D"/>
    <w:pPr>
      <w:numPr>
        <w:numId w:val="9"/>
      </w:numPr>
      <w:spacing w:after="0" w:line="240" w:lineRule="auto"/>
      <w:ind w:left="357" w:hanging="357"/>
      <w:jc w:val="both"/>
    </w:pPr>
    <w:rPr>
      <w:rFonts w:ascii="Times New Roman" w:hAnsi="Times New Roman"/>
      <w:sz w:val="16"/>
    </w:rPr>
  </w:style>
  <w:style w:type="character" w:customStyle="1" w:styleId="anota95Carattere">
    <w:name w:val="a) nota 95 Carattere"/>
    <w:basedOn w:val="Carpredefinitoparagrafo"/>
    <w:link w:val="anota95"/>
    <w:rsid w:val="00DF570D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anticorruzion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fa64e-86f2-43c1-a4e7-9883642cd8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5" ma:contentTypeDescription="Creare un nuovo documento." ma:contentTypeScope="" ma:versionID="1a4fce8e1d87e95de1535b22bd5ef797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39584796d934c59e45fc7659bd4dbaaf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B812A-8F8F-4BD5-9A90-05B53F472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5561B-7CAE-4972-9965-B2DD92B9612B}">
  <ds:schemaRefs>
    <ds:schemaRef ds:uri="http://schemas.microsoft.com/office/2006/metadata/properties"/>
    <ds:schemaRef ds:uri="http://schemas.microsoft.com/office/infopath/2007/PartnerControls"/>
    <ds:schemaRef ds:uri="193fa64e-86f2-43c1-a4e7-9883642cd89e"/>
  </ds:schemaRefs>
</ds:datastoreItem>
</file>

<file path=customXml/itemProps3.xml><?xml version="1.0" encoding="utf-8"?>
<ds:datastoreItem xmlns:ds="http://schemas.openxmlformats.org/officeDocument/2006/customXml" ds:itemID="{D9E7B2FE-5056-49D7-B1A6-5961ED01F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86E04-9D91-4A14-9DD2-4EBC136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Colazingari Luca</dc:creator>
  <cp:lastModifiedBy>Pedercini Duccio Raffaele</cp:lastModifiedBy>
  <cp:revision>3</cp:revision>
  <cp:lastPrinted>2016-12-06T15:46:00Z</cp:lastPrinted>
  <dcterms:created xsi:type="dcterms:W3CDTF">2023-06-30T11:23:00Z</dcterms:created>
  <dcterms:modified xsi:type="dcterms:W3CDTF">2023-06-30T14:13:00Z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