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8401A7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  <w:u w:val="single"/>
        </w:rPr>
        <w:t xml:space="preserve">Modello </w:t>
      </w:r>
      <w:r w:rsidRPr="008401A7">
        <w:rPr>
          <w:rFonts w:ascii="Garamond" w:hAnsi="Garamond"/>
          <w:b/>
          <w:sz w:val="24"/>
          <w:szCs w:val="24"/>
          <w:u w:val="single"/>
        </w:rPr>
        <w:t>E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3244B3" w:rsidRPr="008401A7" w:rsidRDefault="003244B3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</w:t>
      </w:r>
      <w:r w:rsidR="00891381" w:rsidRPr="008401A7">
        <w:rPr>
          <w:rFonts w:ascii="Garamond" w:hAnsi="Garamond"/>
          <w:b/>
          <w:sz w:val="24"/>
          <w:szCs w:val="24"/>
          <w:u w:val="single"/>
        </w:rPr>
        <w:t xml:space="preserve">articolo </w:t>
      </w:r>
      <w:r w:rsidRPr="008401A7">
        <w:rPr>
          <w:rFonts w:ascii="Garamond" w:hAnsi="Garamond"/>
          <w:b/>
          <w:sz w:val="24"/>
          <w:szCs w:val="24"/>
          <w:u w:val="single"/>
        </w:rPr>
        <w:t xml:space="preserve">74, comma 6,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B61605" w:rsidRPr="008401A7" w:rsidRDefault="003244B3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(mancata comunicazione dell’Operatore economico all’Osservatorio della variazione dei requisiti di ordine generale nonché della variazione della direzione tecnica)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73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8"/>
      </w:tblGrid>
      <w:tr w:rsidR="008847A0" w:rsidRPr="008401A7" w:rsidTr="008847A0">
        <w:trPr>
          <w:trHeight w:val="3465"/>
        </w:trPr>
        <w:tc>
          <w:tcPr>
            <w:tcW w:w="9738" w:type="dxa"/>
          </w:tcPr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Soggetto segnalante</w:t>
            </w:r>
            <w:r w:rsidRPr="008401A7">
              <w:rPr>
                <w:rFonts w:ascii="Garamond" w:hAnsi="Garamond"/>
                <w:sz w:val="24"/>
                <w:szCs w:val="24"/>
              </w:rPr>
              <w:t>: SOA o privato;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segnalato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(sempre art. 74, comma 6,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207/2010);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fattispecie</w:t>
            </w:r>
            <w:r w:rsidRPr="008401A7">
              <w:rPr>
                <w:rFonts w:ascii="Garamond" w:hAnsi="Garamond"/>
                <w:sz w:val="24"/>
                <w:szCs w:val="24"/>
              </w:rPr>
              <w:t>: (requisiti di ordine generale/direzione tecnica);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(visura CCIAA, documentazione che comprovi l’interruzione del rapporto con direttore tecnico, ogni altra documentazione che comprovi la violazione dell’obbligo informativo con particolare attenzione alla data di decorrenza dell’omissione)</w:t>
            </w:r>
          </w:p>
        </w:tc>
      </w:tr>
    </w:tbl>
    <w:p w:rsidR="005728BA" w:rsidRDefault="005728BA" w:rsidP="003244B3">
      <w:pPr>
        <w:rPr>
          <w:rFonts w:ascii="Garamond" w:hAnsi="Garamond"/>
          <w:sz w:val="24"/>
          <w:szCs w:val="24"/>
        </w:rPr>
      </w:pPr>
    </w:p>
    <w:p w:rsidR="005728BA" w:rsidRDefault="005728BA">
      <w:pPr>
        <w:rPr>
          <w:rFonts w:ascii="Garamond" w:hAnsi="Garamond"/>
          <w:sz w:val="24"/>
          <w:szCs w:val="24"/>
        </w:rPr>
      </w:pPr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02" w:rsidRDefault="00991E02" w:rsidP="004846A3">
      <w:pPr>
        <w:spacing w:after="0" w:line="240" w:lineRule="auto"/>
      </w:pPr>
      <w:r>
        <w:separator/>
      </w:r>
    </w:p>
  </w:endnote>
  <w:endnote w:type="continuationSeparator" w:id="0">
    <w:p w:rsidR="00991E02" w:rsidRDefault="00991E02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35E03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35E03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02" w:rsidRDefault="00991E02" w:rsidP="004846A3">
      <w:pPr>
        <w:spacing w:after="0" w:line="240" w:lineRule="auto"/>
      </w:pPr>
      <w:r>
        <w:separator/>
      </w:r>
    </w:p>
  </w:footnote>
  <w:footnote w:type="continuationSeparator" w:id="0">
    <w:p w:rsidR="00991E02" w:rsidRDefault="00991E02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6652A2DB" wp14:editId="0B3EA95E">
                <wp:extent cx="545465" cy="607060"/>
                <wp:effectExtent l="0" t="0" r="6985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35E03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91E02"/>
    <w:rsid w:val="009C2044"/>
    <w:rsid w:val="009C3B5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F216-4818-4339-9C28-8C4B4585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2017-01-30T11:55:00Z</dcterms:created>
  <dcterms:modified xsi:type="dcterms:W3CDTF">2017-01-30T11:55:00Z</dcterms:modified>
</cp:coreProperties>
</file>