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7371"/>
      </w:tblGrid>
      <w:tr w:rsidR="008B50CB" w:rsidRPr="0061099A" w14:paraId="6CE33C2B" w14:textId="77777777" w:rsidTr="008B50CB">
        <w:tc>
          <w:tcPr>
            <w:tcW w:w="1276" w:type="dxa"/>
            <w:shd w:val="clear" w:color="auto" w:fill="D9F2D0" w:themeFill="accent6" w:themeFillTint="33"/>
            <w:vAlign w:val="center"/>
          </w:tcPr>
          <w:p w14:paraId="188AD708" w14:textId="14F898E6" w:rsidR="008B50CB" w:rsidRPr="0061099A" w:rsidRDefault="008B50CB" w:rsidP="008B50CB">
            <w:pPr>
              <w:widowControl w:val="0"/>
              <w:tabs>
                <w:tab w:val="clear" w:pos="284"/>
              </w:tabs>
              <w:spacing w:before="40" w:after="40" w:line="240" w:lineRule="auto"/>
              <w:ind w:left="-106" w:right="-44"/>
              <w:jc w:val="center"/>
              <w:rPr>
                <w:b/>
                <w:bCs/>
                <w:sz w:val="24"/>
                <w:szCs w:val="24"/>
              </w:rPr>
            </w:pPr>
            <w:bookmarkStart w:id="0" w:name="_Hlk193965974"/>
            <w:r w:rsidRPr="0061099A">
              <w:rPr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126" w:type="dxa"/>
            <w:shd w:val="clear" w:color="auto" w:fill="D9F2D0" w:themeFill="accent6" w:themeFillTint="33"/>
            <w:vAlign w:val="center"/>
          </w:tcPr>
          <w:p w14:paraId="30E9BD2B" w14:textId="19445EBE" w:rsidR="008B50CB" w:rsidRPr="0061099A" w:rsidRDefault="008B50CB" w:rsidP="008B50CB">
            <w:pPr>
              <w:widowControl w:val="0"/>
              <w:spacing w:before="40" w:after="4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biettivo s</w:t>
            </w:r>
            <w:r w:rsidRPr="0061099A">
              <w:rPr>
                <w:b/>
                <w:bCs/>
                <w:sz w:val="24"/>
                <w:szCs w:val="24"/>
              </w:rPr>
              <w:t>trategic</w:t>
            </w:r>
            <w:r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7371" w:type="dxa"/>
            <w:shd w:val="clear" w:color="auto" w:fill="D9F2D0" w:themeFill="accent6" w:themeFillTint="33"/>
            <w:vAlign w:val="center"/>
          </w:tcPr>
          <w:p w14:paraId="120AE0D5" w14:textId="77777777" w:rsidR="008B50CB" w:rsidRPr="0061099A" w:rsidRDefault="008B50CB" w:rsidP="008B50CB">
            <w:pPr>
              <w:widowControl w:val="0"/>
              <w:spacing w:before="40" w:after="4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1099A">
              <w:rPr>
                <w:b/>
                <w:bCs/>
                <w:sz w:val="24"/>
                <w:szCs w:val="24"/>
              </w:rPr>
              <w:t>Obiettivo operativo</w:t>
            </w:r>
          </w:p>
        </w:tc>
      </w:tr>
      <w:tr w:rsidR="008B50CB" w:rsidRPr="0061099A" w14:paraId="2C258AFD" w14:textId="77777777" w:rsidTr="008B50CB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14:paraId="64881CC7" w14:textId="45D03499" w:rsidR="008B50CB" w:rsidRPr="0061099A" w:rsidRDefault="008B50CB" w:rsidP="008B50CB">
            <w:pPr>
              <w:widowControl w:val="0"/>
              <w:spacing w:before="120" w:after="120" w:line="240" w:lineRule="auto"/>
              <w:ind w:left="113"/>
              <w:jc w:val="center"/>
              <w:rPr>
                <w:sz w:val="24"/>
                <w:szCs w:val="24"/>
              </w:rPr>
            </w:pPr>
            <w:r w:rsidRPr="0061099A">
              <w:rPr>
                <w:i/>
                <w:iCs/>
                <w:sz w:val="24"/>
                <w:szCs w:val="24"/>
              </w:rPr>
              <w:t>Anticorruzione e trasparenza</w:t>
            </w:r>
          </w:p>
        </w:tc>
        <w:tc>
          <w:tcPr>
            <w:tcW w:w="2126" w:type="dxa"/>
            <w:vAlign w:val="center"/>
          </w:tcPr>
          <w:p w14:paraId="4422F315" w14:textId="2B870C63" w:rsidR="008B50CB" w:rsidRPr="008B50CB" w:rsidRDefault="008B50CB" w:rsidP="008B50CB">
            <w:pPr>
              <w:widowControl w:val="0"/>
              <w:tabs>
                <w:tab w:val="clear" w:pos="851"/>
                <w:tab w:val="clear" w:pos="1134"/>
                <w:tab w:val="left" w:pos="993"/>
              </w:tabs>
              <w:spacing w:before="120" w:after="120"/>
              <w:ind w:left="0"/>
              <w:rPr>
                <w:i/>
                <w:iCs/>
                <w:sz w:val="24"/>
                <w:szCs w:val="24"/>
              </w:rPr>
            </w:pPr>
            <w:r w:rsidRPr="0061099A">
              <w:rPr>
                <w:sz w:val="24"/>
                <w:szCs w:val="24"/>
              </w:rPr>
              <w:t>Realizzazione della piattaforma unica della trasparenza amministrativa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BD44BA4" w14:textId="77777777" w:rsidR="008B50CB" w:rsidRPr="0061099A" w:rsidRDefault="008B50CB" w:rsidP="0009418C">
            <w:pPr>
              <w:widowControl w:val="0"/>
              <w:tabs>
                <w:tab w:val="clear" w:pos="851"/>
                <w:tab w:val="clear" w:pos="1134"/>
                <w:tab w:val="left" w:pos="993"/>
              </w:tabs>
              <w:spacing w:before="120" w:after="120"/>
              <w:ind w:left="0"/>
              <w:rPr>
                <w:sz w:val="24"/>
                <w:szCs w:val="24"/>
                <w:highlight w:val="yellow"/>
              </w:rPr>
            </w:pPr>
            <w:r w:rsidRPr="0061099A">
              <w:rPr>
                <w:sz w:val="24"/>
                <w:szCs w:val="24"/>
              </w:rPr>
              <w:t xml:space="preserve">Predisposizione di un pacchetto di strumenti ad ausilio di amministrazioni ed enti in materia di inconferibilità e incompatibilità ex d.lgs. n. 39/2013 al fine di coadiuvarli nelle verifiche di loro competenza ed aumentare la </w:t>
            </w:r>
            <w:r w:rsidRPr="0002117B">
              <w:rPr>
                <w:i/>
                <w:iCs/>
                <w:sz w:val="24"/>
                <w:szCs w:val="24"/>
              </w:rPr>
              <w:t>compliance</w:t>
            </w:r>
            <w:r w:rsidRPr="0061099A">
              <w:rPr>
                <w:sz w:val="24"/>
                <w:szCs w:val="24"/>
              </w:rPr>
              <w:t xml:space="preserve"> alla normativa di riferimento, quali delibera di carattere generale in materia di esercizio del potere di vigilanza e accertamento del RPCT e di ANAC, tabelle riepilogative dei divieti distinti per enti e categorie di soggetti, catalogazione aggiornata delle delibere, etc.</w:t>
            </w:r>
          </w:p>
        </w:tc>
      </w:tr>
      <w:tr w:rsidR="008B50CB" w:rsidRPr="0061099A" w14:paraId="737BFC1F" w14:textId="77777777" w:rsidTr="008B50CB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14:paraId="3751D737" w14:textId="1BBF0AFB" w:rsidR="008B50CB" w:rsidRPr="0061099A" w:rsidRDefault="008B50CB" w:rsidP="008B50CB">
            <w:pPr>
              <w:widowControl w:val="0"/>
              <w:spacing w:before="120" w:after="120" w:line="240" w:lineRule="auto"/>
              <w:ind w:left="113"/>
              <w:jc w:val="center"/>
              <w:rPr>
                <w:sz w:val="24"/>
                <w:szCs w:val="24"/>
              </w:rPr>
            </w:pPr>
            <w:r w:rsidRPr="0061099A">
              <w:rPr>
                <w:i/>
                <w:iCs/>
                <w:sz w:val="24"/>
                <w:szCs w:val="24"/>
              </w:rPr>
              <w:t>Contratti</w:t>
            </w:r>
          </w:p>
        </w:tc>
        <w:tc>
          <w:tcPr>
            <w:tcW w:w="2126" w:type="dxa"/>
            <w:vAlign w:val="center"/>
          </w:tcPr>
          <w:p w14:paraId="43AFF103" w14:textId="2424DFCE" w:rsidR="008B50CB" w:rsidRPr="0061099A" w:rsidRDefault="008B50CB" w:rsidP="0009418C">
            <w:pPr>
              <w:widowControl w:val="0"/>
              <w:tabs>
                <w:tab w:val="clear" w:pos="851"/>
                <w:tab w:val="clear" w:pos="1134"/>
                <w:tab w:val="left" w:pos="993"/>
              </w:tabs>
              <w:spacing w:before="120" w:after="120"/>
              <w:ind w:left="0"/>
              <w:rPr>
                <w:sz w:val="24"/>
                <w:szCs w:val="24"/>
              </w:rPr>
            </w:pPr>
            <w:bookmarkStart w:id="1" w:name="_Hlk197935468"/>
            <w:r>
              <w:rPr>
                <w:sz w:val="24"/>
                <w:szCs w:val="24"/>
              </w:rPr>
              <w:t>I</w:t>
            </w:r>
            <w:r w:rsidRPr="0061099A">
              <w:rPr>
                <w:sz w:val="24"/>
                <w:szCs w:val="24"/>
              </w:rPr>
              <w:t>stituzione fascicolo virtuale degli operatori economici</w:t>
            </w:r>
            <w:bookmarkEnd w:id="1"/>
          </w:p>
        </w:tc>
        <w:tc>
          <w:tcPr>
            <w:tcW w:w="7371" w:type="dxa"/>
          </w:tcPr>
          <w:p w14:paraId="27B95126" w14:textId="77777777" w:rsidR="00AB3CEF" w:rsidRDefault="00AB3CEF" w:rsidP="0009418C">
            <w:pPr>
              <w:widowControl w:val="0"/>
              <w:tabs>
                <w:tab w:val="clear" w:pos="851"/>
                <w:tab w:val="clear" w:pos="1134"/>
                <w:tab w:val="left" w:pos="993"/>
              </w:tabs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734B23">
              <w:rPr>
                <w:sz w:val="24"/>
                <w:szCs w:val="24"/>
              </w:rPr>
              <w:t xml:space="preserve">Definizione di uno strumento per la valorizzazione della reputazione dell’impresa che ha conseguito il premio di accelerazione di cui all’art. 126, co. 2 e 2-bis del D.lgs. 36/2023 e/o ha correttamente adempiuto l’accordo di collaborazione di cui all’art. 82-bis del D.lgs. 36/2023 e </w:t>
            </w:r>
            <w:proofErr w:type="spellStart"/>
            <w:r w:rsidRPr="00734B23">
              <w:rPr>
                <w:sz w:val="24"/>
                <w:szCs w:val="24"/>
              </w:rPr>
              <w:t>s.m.i.</w:t>
            </w:r>
            <w:proofErr w:type="spellEnd"/>
            <w:r w:rsidRPr="00734B23">
              <w:rPr>
                <w:sz w:val="24"/>
                <w:szCs w:val="24"/>
              </w:rPr>
              <w:t xml:space="preserve">, nel rispetto dei tempi di esecuzione, garantendo il contenimento del costo o del prezzo del contratto entro i limiti di spesa dal medesimo fissati, nonché ogni ulteriore aspetto funzionale al raggiungimento del risultato. </w:t>
            </w:r>
          </w:p>
          <w:p w14:paraId="7BC01D64" w14:textId="3057E029" w:rsidR="008B50CB" w:rsidRPr="0061099A" w:rsidRDefault="00AB3CEF" w:rsidP="0009418C">
            <w:pPr>
              <w:widowControl w:val="0"/>
              <w:tabs>
                <w:tab w:val="clear" w:pos="851"/>
                <w:tab w:val="clear" w:pos="1134"/>
                <w:tab w:val="left" w:pos="993"/>
              </w:tabs>
              <w:spacing w:before="120" w:after="120"/>
              <w:ind w:left="0"/>
              <w:jc w:val="both"/>
              <w:rPr>
                <w:sz w:val="24"/>
                <w:szCs w:val="24"/>
                <w:highlight w:val="yellow"/>
              </w:rPr>
            </w:pPr>
            <w:r w:rsidRPr="00734B23">
              <w:rPr>
                <w:sz w:val="24"/>
                <w:szCs w:val="24"/>
              </w:rPr>
              <w:t>Nel modello di riferimento alla base dello strumento si dovrà tener conto: -</w:t>
            </w:r>
            <w:r>
              <w:rPr>
                <w:sz w:val="24"/>
                <w:szCs w:val="24"/>
              </w:rPr>
              <w:t xml:space="preserve"> </w:t>
            </w:r>
            <w:r w:rsidRPr="00734B23">
              <w:rPr>
                <w:sz w:val="24"/>
                <w:szCs w:val="24"/>
              </w:rPr>
              <w:t xml:space="preserve">di eventuali informazioni, notizie utili o annotazioni presenti sul Casellario Informatico, anche previa valutazione di fattibilità dell'inserimento sullo stesso delle notizie riguardanti le misure ex art. 32, co. 1 e 8, del </w:t>
            </w:r>
            <w:proofErr w:type="spellStart"/>
            <w:r w:rsidRPr="00734B23">
              <w:rPr>
                <w:sz w:val="24"/>
                <w:szCs w:val="24"/>
              </w:rPr>
              <w:t>d.l.</w:t>
            </w:r>
            <w:proofErr w:type="spellEnd"/>
            <w:r w:rsidRPr="00734B23">
              <w:rPr>
                <w:sz w:val="24"/>
                <w:szCs w:val="24"/>
              </w:rPr>
              <w:t xml:space="preserve"> 90/2014 applicate agli operatori economici; - di criteri di attestazione più coerenti e più attuali, che ai fini della qualificazione degli OE, valorizzino gli aspetti organizzativi della gestione dell'impresa e la sua affidabilità; - delle elaborazioni ed analisi dei dati presenti in BDNCP</w:t>
            </w:r>
            <w:r>
              <w:rPr>
                <w:sz w:val="24"/>
                <w:szCs w:val="24"/>
              </w:rPr>
              <w:t>.</w:t>
            </w:r>
          </w:p>
        </w:tc>
      </w:tr>
      <w:tr w:rsidR="008B50CB" w:rsidRPr="0061099A" w14:paraId="051ECE7C" w14:textId="77777777" w:rsidTr="008B50CB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14:paraId="7684160A" w14:textId="0934DFED" w:rsidR="008B50CB" w:rsidRPr="008B50CB" w:rsidRDefault="008B50CB" w:rsidP="008B50CB">
            <w:pPr>
              <w:widowControl w:val="0"/>
              <w:spacing w:before="60" w:after="120" w:line="240" w:lineRule="auto"/>
              <w:ind w:left="113"/>
              <w:jc w:val="center"/>
              <w:rPr>
                <w:i/>
                <w:iCs/>
                <w:sz w:val="24"/>
                <w:szCs w:val="24"/>
              </w:rPr>
            </w:pPr>
            <w:r w:rsidRPr="0061099A">
              <w:rPr>
                <w:i/>
                <w:iCs/>
                <w:sz w:val="24"/>
                <w:szCs w:val="24"/>
              </w:rPr>
              <w:t>Supporto, comunicazione e gestione</w:t>
            </w:r>
          </w:p>
        </w:tc>
        <w:tc>
          <w:tcPr>
            <w:tcW w:w="2126" w:type="dxa"/>
          </w:tcPr>
          <w:p w14:paraId="0E44BA46" w14:textId="77777777" w:rsidR="008B50CB" w:rsidRPr="0061099A" w:rsidRDefault="008B50CB" w:rsidP="0009418C">
            <w:pPr>
              <w:widowControl w:val="0"/>
              <w:tabs>
                <w:tab w:val="clear" w:pos="851"/>
                <w:tab w:val="clear" w:pos="1134"/>
                <w:tab w:val="left" w:pos="993"/>
              </w:tabs>
              <w:spacing w:before="120" w:after="120"/>
              <w:ind w:left="0"/>
              <w:jc w:val="both"/>
              <w:rPr>
                <w:sz w:val="24"/>
                <w:szCs w:val="24"/>
              </w:rPr>
            </w:pPr>
            <w:r w:rsidRPr="0061099A">
              <w:rPr>
                <w:sz w:val="24"/>
                <w:szCs w:val="24"/>
              </w:rPr>
              <w:t>Progettazione ed implementazione di un Sistema di Controllo di Gestione</w:t>
            </w:r>
          </w:p>
        </w:tc>
        <w:tc>
          <w:tcPr>
            <w:tcW w:w="7371" w:type="dxa"/>
            <w:vAlign w:val="center"/>
          </w:tcPr>
          <w:p w14:paraId="7DAACA78" w14:textId="77777777" w:rsidR="008B50CB" w:rsidRPr="0061099A" w:rsidRDefault="008B50CB" w:rsidP="0009418C">
            <w:pPr>
              <w:widowControl w:val="0"/>
              <w:ind w:left="0"/>
              <w:rPr>
                <w:sz w:val="24"/>
                <w:szCs w:val="24"/>
              </w:rPr>
            </w:pPr>
            <w:r w:rsidRPr="0061099A">
              <w:rPr>
                <w:sz w:val="24"/>
                <w:szCs w:val="24"/>
              </w:rPr>
              <w:t>Definizione di regole di monitoraggio e allineamento dei dati risultanti dal sistema contabile in uso presso l'Autorità con i dati disponibili sul portale dei crediti commerc</w:t>
            </w:r>
            <w:r>
              <w:rPr>
                <w:sz w:val="24"/>
                <w:szCs w:val="24"/>
              </w:rPr>
              <w:t>i</w:t>
            </w:r>
            <w:r w:rsidRPr="0061099A">
              <w:rPr>
                <w:sz w:val="24"/>
                <w:szCs w:val="24"/>
              </w:rPr>
              <w:t>ali (indicatore tempestività dei pagamenti e stock del debito)</w:t>
            </w:r>
          </w:p>
        </w:tc>
      </w:tr>
      <w:bookmarkEnd w:id="0"/>
    </w:tbl>
    <w:p w14:paraId="146D2A5C" w14:textId="77777777" w:rsidR="008B50CB" w:rsidRDefault="008B50CB"/>
    <w:tbl>
      <w:tblPr>
        <w:tblStyle w:val="Grigliatabell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B50CB" w:rsidRPr="0061099A" w14:paraId="45D21D2F" w14:textId="77777777" w:rsidTr="00AB3CEF">
        <w:tc>
          <w:tcPr>
            <w:tcW w:w="10207" w:type="dxa"/>
            <w:shd w:val="clear" w:color="auto" w:fill="DAE9F7" w:themeFill="text2" w:themeFillTint="1A"/>
            <w:vAlign w:val="center"/>
          </w:tcPr>
          <w:p w14:paraId="290BD409" w14:textId="2AA565B3" w:rsidR="008B50CB" w:rsidRPr="0061099A" w:rsidRDefault="008B50CB" w:rsidP="0009418C">
            <w:pPr>
              <w:widowControl w:val="0"/>
              <w:spacing w:before="40" w:after="4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Obiettivi individuali</w:t>
            </w:r>
          </w:p>
        </w:tc>
      </w:tr>
      <w:tr w:rsidR="008B50CB" w:rsidRPr="0061099A" w14:paraId="513C7B09" w14:textId="77777777" w:rsidTr="00AB3CEF">
        <w:trPr>
          <w:cantSplit/>
          <w:trHeight w:val="1134"/>
        </w:trPr>
        <w:tc>
          <w:tcPr>
            <w:tcW w:w="10207" w:type="dxa"/>
            <w:vAlign w:val="center"/>
          </w:tcPr>
          <w:p w14:paraId="3545C8FE" w14:textId="7D8D434F" w:rsidR="008B50CB" w:rsidRPr="008B50CB" w:rsidRDefault="008B50CB" w:rsidP="008B50CB">
            <w:pPr>
              <w:spacing w:before="240" w:after="240"/>
              <w:ind w:left="0"/>
            </w:pPr>
            <w:r w:rsidRPr="008B50CB">
              <w:rPr>
                <w:sz w:val="24"/>
                <w:szCs w:val="24"/>
              </w:rPr>
              <w:t xml:space="preserve">N. 5 obiettivi individuali </w:t>
            </w:r>
            <w:r w:rsidR="008D171A">
              <w:rPr>
                <w:sz w:val="22"/>
              </w:rPr>
              <w:t>finalizzati ad assicurare un incremento della produttività compreso tra il 20 e il 25%.</w:t>
            </w:r>
          </w:p>
        </w:tc>
      </w:tr>
    </w:tbl>
    <w:p w14:paraId="2A3DA046" w14:textId="77777777" w:rsidR="008B50CB" w:rsidRDefault="008B50CB"/>
    <w:p w14:paraId="14259E88" w14:textId="77777777" w:rsidR="008B50CB" w:rsidRDefault="008B50CB"/>
    <w:p w14:paraId="579EAA5E" w14:textId="77777777" w:rsidR="008B50CB" w:rsidRDefault="008B50CB"/>
    <w:sectPr w:rsidR="008B50CB" w:rsidSect="008B50CB">
      <w:headerReference w:type="default" r:id="rId6"/>
      <w:pgSz w:w="11906" w:h="16838"/>
      <w:pgMar w:top="2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85C1" w14:textId="77777777" w:rsidR="003D0D27" w:rsidRDefault="003D0D27" w:rsidP="008B50CB">
      <w:pPr>
        <w:spacing w:after="0" w:line="240" w:lineRule="auto"/>
      </w:pPr>
      <w:r>
        <w:separator/>
      </w:r>
    </w:p>
  </w:endnote>
  <w:endnote w:type="continuationSeparator" w:id="0">
    <w:p w14:paraId="386051BE" w14:textId="77777777" w:rsidR="003D0D27" w:rsidRDefault="003D0D27" w:rsidP="008B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FF2F" w14:textId="77777777" w:rsidR="003D0D27" w:rsidRDefault="003D0D27" w:rsidP="008B50CB">
      <w:pPr>
        <w:spacing w:after="0" w:line="240" w:lineRule="auto"/>
      </w:pPr>
      <w:r>
        <w:separator/>
      </w:r>
    </w:p>
  </w:footnote>
  <w:footnote w:type="continuationSeparator" w:id="0">
    <w:p w14:paraId="00930AA7" w14:textId="77777777" w:rsidR="003D0D27" w:rsidRDefault="003D0D27" w:rsidP="008B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CE59" w14:textId="10197F91" w:rsidR="008B50CB" w:rsidRPr="008B50CB" w:rsidRDefault="008B50CB" w:rsidP="008B50CB">
    <w:pPr>
      <w:pStyle w:val="Intestazione"/>
      <w:ind w:left="0"/>
      <w:jc w:val="center"/>
      <w:rPr>
        <w:b/>
        <w:bCs/>
        <w:sz w:val="24"/>
        <w:szCs w:val="24"/>
      </w:rPr>
    </w:pPr>
    <w:r w:rsidRPr="008B50CB">
      <w:rPr>
        <w:b/>
        <w:bCs/>
        <w:i/>
        <w:iCs/>
        <w:sz w:val="24"/>
        <w:szCs w:val="24"/>
      </w:rPr>
      <w:t>Allegato 1</w:t>
    </w:r>
    <w:r w:rsidRPr="008B50CB">
      <w:rPr>
        <w:b/>
        <w:bCs/>
        <w:sz w:val="24"/>
        <w:szCs w:val="24"/>
      </w:rPr>
      <w:t xml:space="preserve"> al </w:t>
    </w:r>
    <w:r w:rsidRPr="008B50CB">
      <w:rPr>
        <w:b/>
        <w:bCs/>
        <w:sz w:val="24"/>
        <w:szCs w:val="24"/>
      </w:rPr>
      <w:t>Piano della performance 2025-2027</w:t>
    </w:r>
  </w:p>
  <w:p w14:paraId="7C4AFED3" w14:textId="77777777" w:rsidR="008B50CB" w:rsidRPr="008B50CB" w:rsidRDefault="008B50CB" w:rsidP="008B50CB">
    <w:pPr>
      <w:pStyle w:val="Intestazione"/>
      <w:ind w:left="0"/>
      <w:jc w:val="center"/>
      <w:rPr>
        <w:sz w:val="24"/>
        <w:szCs w:val="24"/>
      </w:rPr>
    </w:pPr>
  </w:p>
  <w:p w14:paraId="6F2D4446" w14:textId="5009E57A" w:rsidR="008B50CB" w:rsidRPr="008B50CB" w:rsidRDefault="008B50CB" w:rsidP="008B50CB">
    <w:pPr>
      <w:pStyle w:val="Intestazione"/>
      <w:ind w:left="0"/>
      <w:jc w:val="center"/>
      <w:rPr>
        <w:b/>
        <w:bCs/>
        <w:i/>
        <w:iCs/>
        <w:sz w:val="24"/>
        <w:szCs w:val="24"/>
      </w:rPr>
    </w:pPr>
    <w:r w:rsidRPr="008B50CB">
      <w:rPr>
        <w:b/>
        <w:bCs/>
        <w:i/>
        <w:iCs/>
        <w:sz w:val="24"/>
        <w:szCs w:val="24"/>
      </w:rPr>
      <w:t>Prospetto contenente aree, obiettivi strategici ed obiettivi operativi ed obiettivi individuali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CB"/>
    <w:rsid w:val="0024264A"/>
    <w:rsid w:val="003D0D27"/>
    <w:rsid w:val="008B50CB"/>
    <w:rsid w:val="008D171A"/>
    <w:rsid w:val="00AB3CEF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EA25"/>
  <w15:chartTrackingRefBased/>
  <w15:docId w15:val="{145ADCCB-C12A-470F-818C-EC83D191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0CB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76" w:lineRule="auto"/>
      <w:ind w:left="1560" w:right="142"/>
    </w:pPr>
    <w:rPr>
      <w:rFonts w:ascii="Titillium" w:hAnsi="Titillium" w:cs="Titillium Web"/>
      <w:kern w:val="0"/>
      <w:sz w:val="18"/>
      <w:szCs w:val="18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360" w:after="80" w:line="278" w:lineRule="auto"/>
      <w:ind w:left="0"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160" w:after="80" w:line="278" w:lineRule="auto"/>
      <w:ind w:left="0"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160" w:after="80" w:line="278" w:lineRule="auto"/>
      <w:ind w:left="0" w:righ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80" w:after="40" w:line="278" w:lineRule="auto"/>
      <w:ind w:left="0"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80" w:after="40" w:line="278" w:lineRule="auto"/>
      <w:ind w:left="0" w:righ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40" w:after="0" w:line="278" w:lineRule="auto"/>
      <w:ind w:left="0"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40" w:after="0" w:line="278" w:lineRule="auto"/>
      <w:ind w:left="0" w:righ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0" w:line="278" w:lineRule="auto"/>
      <w:ind w:left="0"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50CB"/>
    <w:pPr>
      <w:keepNext/>
      <w:keepLines/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0" w:line="278" w:lineRule="auto"/>
      <w:ind w:left="0" w:righ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5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5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50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50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50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50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50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50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50CB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after="8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B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50CB"/>
    <w:pPr>
      <w:numPr>
        <w:ilvl w:val="1"/>
      </w:num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line="278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5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50CB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160" w:line="278" w:lineRule="auto"/>
      <w:ind w:left="0" w:right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50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50CB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line="278" w:lineRule="auto"/>
      <w:ind w:left="720" w:right="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B50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5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</w:tabs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50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50C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B50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B50CB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0CB"/>
    <w:rPr>
      <w:rFonts w:ascii="Titillium" w:hAnsi="Titillium" w:cs="Titillium Web"/>
      <w:kern w:val="0"/>
      <w:sz w:val="18"/>
      <w:szCs w:val="18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B50CB"/>
    <w:pPr>
      <w:tabs>
        <w:tab w:val="clear" w:pos="284"/>
        <w:tab w:val="clear" w:pos="567"/>
        <w:tab w:val="clear" w:pos="708"/>
        <w:tab w:val="clear" w:pos="851"/>
        <w:tab w:val="clear" w:pos="1134"/>
        <w:tab w:val="clear" w:pos="1418"/>
        <w:tab w:val="clear" w:pos="2124"/>
        <w:tab w:val="clear" w:pos="2268"/>
        <w:tab w:val="clear" w:pos="2835"/>
        <w:tab w:val="clear" w:pos="3540"/>
        <w:tab w:val="clear" w:pos="4248"/>
        <w:tab w:val="clear" w:pos="4956"/>
        <w:tab w:val="clear" w:pos="5664"/>
        <w:tab w:val="clear" w:pos="6265"/>
        <w:tab w:val="clear" w:pos="10348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0CB"/>
    <w:rPr>
      <w:rFonts w:ascii="Titillium" w:hAnsi="Titillium" w:cs="Titillium Web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Verdenelli</dc:creator>
  <cp:keywords/>
  <dc:description/>
  <cp:lastModifiedBy>Laura Verdenelli</cp:lastModifiedBy>
  <cp:revision>2</cp:revision>
  <dcterms:created xsi:type="dcterms:W3CDTF">2025-06-25T11:30:00Z</dcterms:created>
  <dcterms:modified xsi:type="dcterms:W3CDTF">2025-06-25T12:00:00Z</dcterms:modified>
</cp:coreProperties>
</file>