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8F" w:rsidRPr="00D17260" w:rsidRDefault="00101C88" w:rsidP="00D17260">
      <w:pPr>
        <w:pStyle w:val="Titolo"/>
        <w:spacing w:before="33"/>
        <w:ind w:right="109"/>
        <w:rPr>
          <w:rFonts w:ascii="Titillium" w:hAnsi="Titillium"/>
          <w:sz w:val="20"/>
          <w:szCs w:val="20"/>
        </w:rPr>
      </w:pPr>
      <w:r w:rsidRPr="00D17260">
        <w:rPr>
          <w:rFonts w:ascii="Titillium" w:hAnsi="Titillium"/>
          <w:i w:val="0"/>
          <w:sz w:val="20"/>
          <w:szCs w:val="20"/>
        </w:rPr>
        <w:t>Allegato</w:t>
      </w:r>
      <w:r w:rsidRPr="00D17260">
        <w:rPr>
          <w:rFonts w:ascii="Titillium" w:hAnsi="Titillium"/>
          <w:i w:val="0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i w:val="0"/>
          <w:sz w:val="20"/>
          <w:szCs w:val="20"/>
        </w:rPr>
        <w:t>n.</w:t>
      </w:r>
      <w:r w:rsidRPr="00D17260">
        <w:rPr>
          <w:rFonts w:ascii="Titillium" w:hAnsi="Titillium"/>
          <w:i w:val="0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i w:val="0"/>
          <w:sz w:val="20"/>
          <w:szCs w:val="20"/>
        </w:rPr>
        <w:t>1</w:t>
      </w:r>
      <w:r w:rsidRPr="00D17260">
        <w:rPr>
          <w:rFonts w:ascii="Titillium" w:hAnsi="Titillium"/>
          <w:i w:val="0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i w:val="0"/>
          <w:sz w:val="20"/>
          <w:szCs w:val="20"/>
        </w:rPr>
        <w:t xml:space="preserve">– </w:t>
      </w:r>
      <w:r w:rsidRPr="00D17260">
        <w:rPr>
          <w:rFonts w:ascii="Titillium" w:hAnsi="Titillium"/>
          <w:sz w:val="20"/>
          <w:szCs w:val="20"/>
        </w:rPr>
        <w:t>Istanza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per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manifestazione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di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interesse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per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l’affidamento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dei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servizi di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cassa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e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di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  <w:r w:rsidR="00D17260" w:rsidRPr="00D17260">
        <w:rPr>
          <w:rFonts w:ascii="Titillium" w:hAnsi="Titillium"/>
          <w:sz w:val="20"/>
          <w:szCs w:val="20"/>
        </w:rPr>
        <w:t>riscossione e rendicontazione dei MAV</w:t>
      </w:r>
    </w:p>
    <w:p w:rsidR="003D698F" w:rsidRPr="00D17260" w:rsidRDefault="003D698F">
      <w:pPr>
        <w:pStyle w:val="Corpotesto"/>
        <w:spacing w:before="0"/>
        <w:rPr>
          <w:rFonts w:ascii="Titillium" w:hAnsi="Titillium"/>
          <w:i/>
        </w:rPr>
      </w:pPr>
    </w:p>
    <w:p w:rsidR="003D698F" w:rsidRPr="00D17260" w:rsidRDefault="00101C88" w:rsidP="00D17260">
      <w:pPr>
        <w:pStyle w:val="Titolo1"/>
        <w:spacing w:before="1"/>
        <w:ind w:left="1020" w:hanging="907"/>
        <w:jc w:val="both"/>
        <w:rPr>
          <w:rFonts w:ascii="Titillium" w:hAnsi="Titillium"/>
        </w:rPr>
      </w:pPr>
      <w:r w:rsidRPr="00D17260">
        <w:rPr>
          <w:rFonts w:ascii="Titillium" w:hAnsi="Titillium"/>
        </w:rPr>
        <w:t>Oggetto:</w:t>
      </w:r>
      <w:r w:rsidRPr="00D17260">
        <w:rPr>
          <w:rFonts w:ascii="Titillium" w:hAnsi="Titillium"/>
          <w:spacing w:val="38"/>
        </w:rPr>
        <w:t xml:space="preserve"> </w:t>
      </w:r>
      <w:r w:rsidRPr="00D17260">
        <w:rPr>
          <w:rFonts w:ascii="Titillium" w:hAnsi="Titillium"/>
        </w:rPr>
        <w:t>Avviso</w:t>
      </w:r>
      <w:r w:rsidRPr="00D17260">
        <w:rPr>
          <w:rFonts w:ascii="Titillium" w:hAnsi="Titillium"/>
          <w:spacing w:val="38"/>
        </w:rPr>
        <w:t xml:space="preserve"> </w:t>
      </w:r>
      <w:r w:rsidR="00D17260" w:rsidRPr="00D17260">
        <w:rPr>
          <w:rFonts w:ascii="Titillium" w:hAnsi="Titillium"/>
        </w:rPr>
        <w:t>di indagine di mercato per i servizi di cassa e di riscossione e rendicontazione</w:t>
      </w:r>
      <w:r w:rsidR="00D17260">
        <w:rPr>
          <w:rFonts w:ascii="Titillium" w:hAnsi="Titillium"/>
        </w:rPr>
        <w:t xml:space="preserve"> dei</w:t>
      </w:r>
      <w:r w:rsidR="00D17260" w:rsidRPr="00D17260">
        <w:rPr>
          <w:rFonts w:ascii="Titillium" w:hAnsi="Titillium"/>
        </w:rPr>
        <w:t xml:space="preserve"> MAV relativi ai contributi dovuti dalle stazioni appaltanti nell’ambito dell’espletamento delle procedure di scelta del contraente</w:t>
      </w:r>
      <w:r w:rsidR="00F678BB">
        <w:rPr>
          <w:rFonts w:ascii="Titillium" w:hAnsi="Titillium"/>
        </w:rPr>
        <w:t xml:space="preserve"> in favore dell’Autorità Nazionale Anticorruzione (ANAC)</w:t>
      </w:r>
      <w:r w:rsidR="00D17260" w:rsidRPr="00D17260">
        <w:rPr>
          <w:rFonts w:ascii="Titillium" w:hAnsi="Titillium"/>
        </w:rPr>
        <w:t>.</w:t>
      </w:r>
    </w:p>
    <w:p w:rsidR="003D698F" w:rsidRPr="00D17260" w:rsidRDefault="003D698F">
      <w:pPr>
        <w:pStyle w:val="Corpotesto"/>
        <w:spacing w:before="0"/>
        <w:rPr>
          <w:rFonts w:ascii="Titillium" w:hAnsi="Titillium"/>
          <w:b/>
        </w:rPr>
      </w:pPr>
    </w:p>
    <w:p w:rsidR="003D698F" w:rsidRPr="00D17260" w:rsidRDefault="00101C88" w:rsidP="00742554">
      <w:pPr>
        <w:pStyle w:val="Corpotesto"/>
        <w:tabs>
          <w:tab w:val="left" w:leader="dot" w:pos="9671"/>
        </w:tabs>
        <w:spacing w:before="124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</w:rPr>
        <w:t>L’Operatore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economico</w:t>
      </w:r>
      <w:r w:rsidRPr="00D17260">
        <w:rPr>
          <w:rFonts w:ascii="Titillium" w:hAnsi="Titillium"/>
        </w:rPr>
        <w:tab/>
        <w:t>,</w:t>
      </w:r>
    </w:p>
    <w:p w:rsidR="003D698F" w:rsidRPr="00D17260" w:rsidRDefault="00101C88" w:rsidP="00742554">
      <w:pPr>
        <w:pStyle w:val="Corpotesto"/>
        <w:spacing w:before="121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</w:rPr>
        <w:t>con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sede</w:t>
      </w:r>
      <w:r w:rsidRPr="00D17260">
        <w:rPr>
          <w:rFonts w:ascii="Titillium" w:hAnsi="Titillium"/>
          <w:spacing w:val="-6"/>
        </w:rPr>
        <w:t xml:space="preserve"> </w:t>
      </w:r>
      <w:r w:rsidRPr="00D17260">
        <w:rPr>
          <w:rFonts w:ascii="Titillium" w:hAnsi="Titillium"/>
        </w:rPr>
        <w:t>legale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………………………………………………………………………………………………………</w:t>
      </w:r>
      <w:proofErr w:type="gramStart"/>
      <w:r w:rsidRPr="00D17260">
        <w:rPr>
          <w:rFonts w:ascii="Titillium" w:hAnsi="Titillium"/>
        </w:rPr>
        <w:t>…….</w:t>
      </w:r>
      <w:proofErr w:type="gramEnd"/>
      <w:r w:rsidRPr="00D17260">
        <w:rPr>
          <w:rFonts w:ascii="Titillium" w:hAnsi="Titillium"/>
        </w:rPr>
        <w:t>.,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tel.</w:t>
      </w:r>
      <w:r w:rsidR="00D17260">
        <w:rPr>
          <w:rFonts w:ascii="Titillium" w:hAnsi="Titillium"/>
          <w:spacing w:val="-5"/>
        </w:rPr>
        <w:t xml:space="preserve"> </w:t>
      </w:r>
      <w:r w:rsidR="00D17260">
        <w:rPr>
          <w:rFonts w:ascii="Titillium" w:hAnsi="Titillium"/>
        </w:rPr>
        <w:t>…………………………….,</w:t>
      </w:r>
    </w:p>
    <w:p w:rsidR="003D698F" w:rsidRPr="00D17260" w:rsidRDefault="00101C88" w:rsidP="00742554">
      <w:pPr>
        <w:pStyle w:val="Corpotesto"/>
        <w:spacing w:before="123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mail</w:t>
      </w:r>
      <w:r w:rsidR="00D17260">
        <w:rPr>
          <w:rFonts w:ascii="Titillium" w:hAnsi="Titillium"/>
          <w:spacing w:val="49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……………………………………………………………………………………………,</w:t>
      </w:r>
      <w:r w:rsidR="00D17260">
        <w:rPr>
          <w:rFonts w:ascii="Titillium" w:hAnsi="Titillium"/>
          <w:spacing w:val="49"/>
        </w:rPr>
        <w:t xml:space="preserve"> </w:t>
      </w:r>
      <w:proofErr w:type="spellStart"/>
      <w:r w:rsidRPr="00D17260">
        <w:rPr>
          <w:rFonts w:ascii="Titillium" w:hAnsi="Titillium"/>
          <w:w w:val="95"/>
        </w:rPr>
        <w:t>pec</w:t>
      </w:r>
      <w:proofErr w:type="spellEnd"/>
      <w:r w:rsidR="00D17260">
        <w:rPr>
          <w:rFonts w:ascii="Titillium" w:hAnsi="Titillium"/>
          <w:spacing w:val="53"/>
        </w:rPr>
        <w:t xml:space="preserve"> </w:t>
      </w:r>
      <w:r w:rsidR="00D17260">
        <w:rPr>
          <w:rFonts w:ascii="Titillium" w:hAnsi="Titillium"/>
          <w:w w:val="95"/>
        </w:rPr>
        <w:t>………………………………………………………………………...,</w:t>
      </w:r>
    </w:p>
    <w:p w:rsidR="003D698F" w:rsidRPr="00D17260" w:rsidRDefault="00101C88" w:rsidP="00742554">
      <w:pPr>
        <w:pStyle w:val="Corpotesto"/>
        <w:spacing w:before="121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codice</w:t>
      </w:r>
      <w:r w:rsidRPr="00D17260">
        <w:rPr>
          <w:rFonts w:ascii="Titillium" w:hAnsi="Titillium"/>
          <w:spacing w:val="41"/>
        </w:rPr>
        <w:t xml:space="preserve"> </w:t>
      </w:r>
      <w:r w:rsidRPr="00D17260">
        <w:rPr>
          <w:rFonts w:ascii="Titillium" w:hAnsi="Titillium"/>
          <w:w w:val="95"/>
        </w:rPr>
        <w:t>fiscale</w:t>
      </w:r>
      <w:r w:rsidR="00D17260">
        <w:rPr>
          <w:rFonts w:ascii="Titillium" w:hAnsi="Titillium"/>
          <w:spacing w:val="43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</w:t>
      </w:r>
      <w:r w:rsidR="00D17260">
        <w:rPr>
          <w:rFonts w:ascii="Titillium" w:hAnsi="Titillium"/>
          <w:w w:val="95"/>
        </w:rPr>
        <w:t>…………………………………………………………………………………,</w:t>
      </w:r>
    </w:p>
    <w:p w:rsidR="003D698F" w:rsidRPr="00D17260" w:rsidRDefault="00101C88" w:rsidP="00742554">
      <w:pPr>
        <w:pStyle w:val="Corpotesto"/>
        <w:spacing w:before="123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partita</w:t>
      </w:r>
      <w:r w:rsidR="00D17260">
        <w:rPr>
          <w:rFonts w:ascii="Titillium" w:hAnsi="Titillium"/>
          <w:spacing w:val="44"/>
        </w:rPr>
        <w:t xml:space="preserve"> </w:t>
      </w:r>
      <w:r w:rsidRPr="00D17260">
        <w:rPr>
          <w:rFonts w:ascii="Titillium" w:hAnsi="Titillium"/>
          <w:w w:val="95"/>
        </w:rPr>
        <w:t>IVA</w:t>
      </w:r>
      <w:r w:rsidRPr="00D17260">
        <w:rPr>
          <w:rFonts w:ascii="Titillium" w:hAnsi="Titillium"/>
          <w:spacing w:val="42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…………………………………………………………………………………</w:t>
      </w:r>
      <w:r w:rsidR="00D17260">
        <w:rPr>
          <w:rFonts w:ascii="Titillium" w:hAnsi="Titillium"/>
          <w:w w:val="95"/>
        </w:rPr>
        <w:t>……………………………………………………………………………………</w:t>
      </w:r>
    </w:p>
    <w:p w:rsidR="003D698F" w:rsidRPr="00D17260" w:rsidRDefault="003D698F" w:rsidP="00742554">
      <w:pPr>
        <w:pStyle w:val="Corpotesto"/>
        <w:spacing w:before="11" w:line="300" w:lineRule="exact"/>
        <w:rPr>
          <w:rFonts w:ascii="Titillium" w:hAnsi="Titillium"/>
        </w:rPr>
      </w:pPr>
    </w:p>
    <w:p w:rsidR="003D698F" w:rsidRPr="00D17260" w:rsidRDefault="00101C88" w:rsidP="00742554">
      <w:pPr>
        <w:pStyle w:val="Titolo1"/>
        <w:spacing w:before="0" w:line="300" w:lineRule="exact"/>
        <w:ind w:right="5"/>
        <w:rPr>
          <w:rFonts w:ascii="Titillium" w:hAnsi="Titillium"/>
        </w:rPr>
      </w:pPr>
      <w:r w:rsidRPr="00D17260">
        <w:rPr>
          <w:rFonts w:ascii="Titillium" w:hAnsi="Titillium"/>
        </w:rPr>
        <w:t>DICHIARA,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ai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sensi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D.P.R. 28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dicembre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2000,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n.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445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-2"/>
        </w:rPr>
        <w:t xml:space="preserve"> </w:t>
      </w:r>
      <w:proofErr w:type="spellStart"/>
      <w:r w:rsidRPr="00D17260">
        <w:rPr>
          <w:rFonts w:ascii="Titillium" w:hAnsi="Titillium"/>
        </w:rPr>
        <w:t>s.m.i.</w:t>
      </w:r>
      <w:proofErr w:type="spellEnd"/>
      <w:r w:rsidRPr="00D17260">
        <w:rPr>
          <w:rFonts w:ascii="Titillium" w:hAnsi="Titillium"/>
        </w:rPr>
        <w:t>,</w:t>
      </w:r>
    </w:p>
    <w:p w:rsidR="003D698F" w:rsidRPr="00D17260" w:rsidRDefault="003D698F" w:rsidP="00742554">
      <w:pPr>
        <w:pStyle w:val="Corpotesto"/>
        <w:spacing w:before="8" w:line="300" w:lineRule="exact"/>
        <w:rPr>
          <w:rFonts w:ascii="Titillium" w:hAnsi="Titillium"/>
          <w:b/>
        </w:rPr>
      </w:pPr>
    </w:p>
    <w:p w:rsidR="003D698F" w:rsidRPr="00D17260" w:rsidRDefault="00101C88" w:rsidP="00742554">
      <w:pPr>
        <w:pStyle w:val="Corpotesto"/>
        <w:spacing w:before="60" w:line="300" w:lineRule="exact"/>
        <w:ind w:left="821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50800</wp:posOffset>
                </wp:positionV>
                <wp:extent cx="126365" cy="1263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9662" id="Rectangle 9" o:spid="_x0000_s1026" style="position:absolute;margin-left:57.75pt;margin-top:4pt;width:9.95pt;height:9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FefAIAABMFAAAOAAAAZHJzL2Uyb0RvYy54bWysVFFv0zAQfkfiP1h+79J0WVmjpdPUtAhp&#10;wMTgB1xtp7FwbGO7TQfiv3N22tKxF4TIg3P2ne/uu/vON7f7TpGdcF4aXdH8YkyJ0MxwqTcV/fJ5&#10;NbqmxAfQHJTRoqJPwtPb+etXN70txcS0RnHhCDrRvuxtRdsQbJllnrWiA39hrNCobIzrIODWbTLu&#10;oEfvncom4/E0643j1hkmvMfTelDSefLfNIKFj03jRSCqophbSKtL6zqu2fwGyo0D20p2SAP+IYsO&#10;pMagJ1c1BCBbJ1+46iRzxpsmXDDTZaZpJBMJA6LJx3+geWzBioQFi+PtqUz+/7llH3YPjkheUWyU&#10;hg5b9AmLBnqjBJnF8vTWl2j1aB9cBOjtvWFfPdFm0aKVuHPO9K0Ajknl0T57diFuPF4l6/694egd&#10;tsGkSu0b10WHWAOyTw15OjVE7ANheJhPppfTK0oYqg5yjADl8bJ1PrwVpiNRqKjD1JNz2N37MJge&#10;TWIsbVZSKTyHUmnSV3SWF0W64I2SPCoTRrdZL5QjO4isSV9ChujPzaLnGnw72CXVwKdOBiS1kh1W&#10;9XQbylilpeYpfACpBhnRKB2jImhM+iAN5PkxG8+W18vrYlRMpstRMa7r0d1qUYymq/zNVX1ZLxZ1&#10;/jMCyIuylZwLHTEciZwXf0eUw0gNFDxR+RlWf16SVfpeliR7nkbqFKI6/hO6RI/IiIFZa8OfkB3O&#10;DJOJLwkKrXHfKelxKivqv23BCUrUO40Mi/2KY5w2xdWbCW7cuWZ9rgHN0FVFAyWDuAjD6G+tk5sW&#10;I+Wp+drcISsbmRgTGTtkdeAyTl5CcHgl4mif75PV77ds/gsAAP//AwBQSwMEFAAGAAgAAAAhABtt&#10;uWjdAAAACAEAAA8AAABkcnMvZG93bnJldi54bWxMjzFPwzAUhHck/oP1kNio3dKUEuJUqIKlE4QM&#10;sL3EJo6wn6PYTcO/x53oeLrT3XfFbnaWTXoMvScJy4UApqn1qqdOQv3xercFFiKSQutJS/jVAXbl&#10;9VWBufInetdTFTuWSijkKMHEOOSch9Zoh2HhB03J+/ajw5jk2HE14imVO8tXQmy4w57SgsFB741u&#10;f6qjk/A1H2o8iLd+3bSfm5d9Jcxkaylvb+bnJ2BRz/E/DGf8hA5lYmr8kVRgNulllqWohG26dPbv&#10;szWwRsLq4RF4WfDLA+UfAAAA//8DAFBLAQItABQABgAIAAAAIQC2gziS/gAAAOEBAAATAAAAAAAA&#10;AAAAAAAAAAAAAABbQ29udGVudF9UeXBlc10ueG1sUEsBAi0AFAAGAAgAAAAhADj9If/WAAAAlAEA&#10;AAsAAAAAAAAAAAAAAAAALwEAAF9yZWxzLy5yZWxzUEsBAi0AFAAGAAgAAAAhANANoV58AgAAEwUA&#10;AA4AAAAAAAAAAAAAAAAALgIAAGRycy9lMm9Eb2MueG1sUEsBAi0AFAAGAAgAAAAhABttuWj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interessato</w:t>
      </w:r>
      <w:r w:rsidRPr="00D17260">
        <w:rPr>
          <w:rFonts w:ascii="Titillium" w:hAnsi="Titillium"/>
          <w:spacing w:val="17"/>
        </w:rPr>
        <w:t xml:space="preserve"> </w:t>
      </w:r>
      <w:r w:rsidRPr="00D17260">
        <w:rPr>
          <w:rFonts w:ascii="Titillium" w:hAnsi="Titillium"/>
        </w:rPr>
        <w:t>a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partecipare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alla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procedura</w:t>
      </w:r>
      <w:r w:rsidRPr="00D17260">
        <w:rPr>
          <w:rFonts w:ascii="Titillium" w:hAnsi="Titillium"/>
          <w:spacing w:val="19"/>
        </w:rPr>
        <w:t xml:space="preserve"> </w:t>
      </w:r>
      <w:r w:rsidRPr="00D17260">
        <w:rPr>
          <w:rFonts w:ascii="Titillium" w:hAnsi="Titillium"/>
        </w:rPr>
        <w:t>per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l’affidamento</w:t>
      </w:r>
      <w:r w:rsidRPr="00D17260">
        <w:rPr>
          <w:rFonts w:ascii="Titillium" w:hAnsi="Titillium"/>
          <w:spacing w:val="16"/>
        </w:rPr>
        <w:t xml:space="preserve"> </w:t>
      </w:r>
      <w:r w:rsidRPr="00D17260">
        <w:rPr>
          <w:rFonts w:ascii="Titillium" w:hAnsi="Titillium"/>
        </w:rPr>
        <w:t>dei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servizi</w:t>
      </w:r>
      <w:r w:rsidRPr="00D17260">
        <w:rPr>
          <w:rFonts w:ascii="Titillium" w:hAnsi="Titillium"/>
          <w:spacing w:val="18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cassa</w:t>
      </w:r>
      <w:r w:rsidRPr="00D17260">
        <w:rPr>
          <w:rFonts w:ascii="Titillium" w:hAnsi="Titillium"/>
          <w:spacing w:val="16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5"/>
        </w:rPr>
        <w:t xml:space="preserve"> </w:t>
      </w:r>
      <w:r w:rsidR="00D17260" w:rsidRPr="00D17260">
        <w:rPr>
          <w:rFonts w:ascii="Titillium" w:hAnsi="Titillium"/>
        </w:rPr>
        <w:t>riscossione e rendicontazione</w:t>
      </w:r>
      <w:r w:rsidR="00D17260">
        <w:rPr>
          <w:rFonts w:ascii="Titillium" w:hAnsi="Titillium"/>
        </w:rPr>
        <w:t xml:space="preserve"> dei</w:t>
      </w:r>
      <w:r w:rsidR="00D17260" w:rsidRPr="00D17260">
        <w:rPr>
          <w:rFonts w:ascii="Titillium" w:hAnsi="Titillium"/>
        </w:rPr>
        <w:t xml:space="preserve"> MAV relativi ai contributi dovuti dalle stazioni appaltanti nell’ambito dell’espletamento delle procedure di scelta del contraente</w:t>
      </w:r>
      <w:r w:rsidR="00F678BB">
        <w:rPr>
          <w:rFonts w:ascii="Titillium" w:hAnsi="Titillium"/>
        </w:rPr>
        <w:t xml:space="preserve"> in favore dell’Autorità Nazionale Anticorruzione (ANAC)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5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21" w:right="115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ED093" id="Rectangle 8" o:spid="_x0000_s1026" style="position:absolute;margin-left:57.75pt;margin-top:3.95pt;width:9.95pt;height:9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yyfgIAABM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JERa8p&#10;MazDFn3CojGz0ZLMYnl650u0enQPEAF6987yr54Yu2jRSt4D2L6VTGBSebTPnl2IG49Xybp/bwV6&#10;Z9tgU6X2DXTRIdaA7FNDnk4NkftAOB7mk+nl9IoSjqqDHCOw8njZgQ9vpO1IFCoKmHpyznbvfBhM&#10;jyYxlrErpTWes1Ib0lf0Ji+KdMFbrURUJoywWS80kB2LrElfQoboz82i55r5drBLqoFPnQpIaq26&#10;is5Ot1kZq7Q0IoUPTOlBRjTaxKgIGpM+SAN5ftyMb5az5awYFZPpclSM63p0v1oUo+kqv76qL+vF&#10;os5/RgB5UbZKCGkihiOR8+LviHIYqYGCJyo/w+rPS7JK38uSZM/TSJ1CVMd/QpfoERkxMGttxROy&#10;A+wwmfiSoNBa+E5Jj1NZUf9ty0BSot8aZFjsVxzjtCmurie4gXPN+lzDDEdXFQ2UDOIiDKO/daA2&#10;LUbKU/ONvUdWNioxJjJ2yOrAZZy8hODwSsTRPt8nq99v2fwXAAAA//8DAFBLAwQUAAYACAAAACEA&#10;WUwfst0AAAAIAQAADwAAAGRycy9kb3ducmV2LnhtbEyPMU/DMBSEdyT+g/WQ2Kjd0rQlxKlQBUsn&#10;CBlge4lNHGE/R7Gbhn+PO8F4utPdd8V+dpZNegy9JwnLhQCmqfWqp05C/f5ytwMWIpJC60lL+NEB&#10;9uX1VYG58md601MVO5ZKKOQowcQ45JyH1miHYeEHTcn78qPDmOTYcTXiOZU7y1dCbLjDntKCwUEf&#10;jG6/q5OT8DkfazyK137dtB+b50MlzGRrKW9v5qdHYFHP8S8MF/yEDmViavyJVGA26WWWpaiE7QOw&#10;i3+frYE1ElbbHfCy4P8PlL8AAAD//wMAUEsBAi0AFAAGAAgAAAAhALaDOJL+AAAA4QEAABMAAAAA&#10;AAAAAAAAAAAAAAAAAFtDb250ZW50X1R5cGVzXS54bWxQSwECLQAUAAYACAAAACEAOP0h/9YAAACU&#10;AQAACwAAAAAAAAAAAAAAAAAvAQAAX3JlbHMvLnJlbHNQSwECLQAUAAYACAAAACEA4mfMsn4CAAAT&#10;BQAADgAAAAAAAAAAAAAAAAAuAgAAZHJzL2Uyb0RvYy54bWxQSwECLQAUAAYACAAAACEAWUwfs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 essere iscritto nel Registro delle Imprese della Camera di Commercio per attività inerenti servizi bancari 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(</w:t>
      </w:r>
      <w:r w:rsidRPr="00D17260">
        <w:rPr>
          <w:rFonts w:ascii="Titillium" w:hAnsi="Titillium"/>
          <w:i/>
        </w:rPr>
        <w:t>nel caso di soggetto con sede in uno Stato estero</w:t>
      </w:r>
      <w:r w:rsidRPr="00D17260">
        <w:rPr>
          <w:rFonts w:ascii="Titillium" w:hAnsi="Titillium"/>
        </w:rPr>
        <w:t>) di essere iscritto nell’Albo o nella Lista Ufficiale dello Stato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appartenenza;</w:t>
      </w:r>
    </w:p>
    <w:p w:rsidR="003D698F" w:rsidRPr="00D17260" w:rsidRDefault="003D698F" w:rsidP="00742554">
      <w:pPr>
        <w:pStyle w:val="Corpotesto"/>
        <w:spacing w:before="11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1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07A0" id="Rectangle 7" o:spid="_x0000_s1026" style="position:absolute;margin-left:57.75pt;margin-top:3.95pt;width:9.95pt;height: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1YfgIAABMFAAAOAAAAZHJzL2Uyb0RvYy54bWysVM1u2zAMvg/YOwi6p45TN02NOkURJ8OA&#10;/RTr9gCKJMfCZFGTlDjdsHcfJSdZul6GYT7IlEiR/MiPur3bd5rspPMKTEXzizEl0nAQymwq+uXz&#10;ajSjxAdmBNNgZEWfpKd389evbntbygm0oIV0BJ0YX/a2om0Itswyz1vZMX8BVhpUNuA6FnDrNplw&#10;rEfvnc4m4/E068EJ64BL7/G0HpR0nvw3jeThY9N4GYiuKOYW0urSuo5rNr9l5cYx2yp+SIP9QxYd&#10;UwaDnlzVLDCydeqFq05xBx6acMGhy6BpFJcJA6LJx3+geWyZlQkLFsfbU5n8/3PLP+weHFGiolNK&#10;DOuwRZ+waMxstCTXsTy99SVaPdoHFwF6+w74V08MLFq0kvfOQd9KJjCpPNpnzy7EjcerZN2/B4He&#10;2TZAqtS+cV10iDUg+9SQp1ND5D4Qjof5ZHo5vaKEo+ogxwisPF62zoc3EjoShYo6TD05Z7t3Pgym&#10;R5MYy8BKaY3nrNSG9BW9yYsiXfCglYjKhNFt1gvtyI5F1qQvIUP052bRc818O9gl1cCnTgUktVZd&#10;RWen26yMVVoakcIHpvQgIxptYlQEjUkfpIE8P27GN8vZclaMisl0OSrGdT26Xy2K0XSVX1/Vl/Vi&#10;Uec/I4C8KFslhDQRw5HIefF3RDmM1EDBE5WfYfXnJVml72VJsudppE4hquM/oUv0iIwYmLUG8YTs&#10;cDBMJr4kKLTgvlPS41RW1H/bMicp0W8NMiz2K45x2hRX1xPcuHPN+lzDDEdXFQ2UDOIiDKO/tU5t&#10;WoyUp+YbuEdWNioxJjJ2yOrAZZy8hODwSsTRPt8nq99v2fwXAAAA//8DAFBLAwQUAAYACAAAACEA&#10;WUwfst0AAAAIAQAADwAAAGRycy9kb3ducmV2LnhtbEyPMU/DMBSEdyT+g/WQ2Kjd0rQlxKlQBUsn&#10;CBlge4lNHGE/R7Gbhn+PO8F4utPdd8V+dpZNegy9JwnLhQCmqfWqp05C/f5ytwMWIpJC60lL+NEB&#10;9uX1VYG58md601MVO5ZKKOQowcQ45JyH1miHYeEHTcn78qPDmOTYcTXiOZU7y1dCbLjDntKCwUEf&#10;jG6/q5OT8DkfazyK137dtB+b50MlzGRrKW9v5qdHYFHP8S8MF/yEDmViavyJVGA26WWWpaiE7QOw&#10;i3+frYE1ElbbHfCy4P8PlL8AAAD//wMAUEsBAi0AFAAGAAgAAAAhALaDOJL+AAAA4QEAABMAAAAA&#10;AAAAAAAAAAAAAAAAAFtDb250ZW50X1R5cGVzXS54bWxQSwECLQAUAAYACAAAACEAOP0h/9YAAACU&#10;AQAACwAAAAAAAAAAAAAAAAAvAQAAX3JlbHMvLnJlbHNQSwECLQAUAAYACAAAACEAOaD9WH4CAAAT&#10;BQAADgAAAAAAAAAAAAAAAAAuAgAAZHJzL2Uyb0RvYy54bWxQSwECLQAUAAYACAAAACEAWUwfs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10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possesso</w:t>
      </w:r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dell’autorizzazione</w:t>
      </w:r>
      <w:r w:rsidRPr="00D17260">
        <w:rPr>
          <w:rFonts w:ascii="Titillium" w:hAnsi="Titillium"/>
          <w:spacing w:val="10"/>
        </w:rPr>
        <w:t xml:space="preserve"> </w:t>
      </w:r>
      <w:r w:rsidRPr="00D17260">
        <w:rPr>
          <w:rFonts w:ascii="Titillium" w:hAnsi="Titillium"/>
        </w:rPr>
        <w:t>a</w:t>
      </w:r>
      <w:r w:rsidRPr="00D17260">
        <w:rPr>
          <w:rFonts w:ascii="Titillium" w:hAnsi="Titillium"/>
          <w:spacing w:val="13"/>
        </w:rPr>
        <w:t xml:space="preserve"> </w:t>
      </w:r>
      <w:r w:rsidRPr="00D17260">
        <w:rPr>
          <w:rFonts w:ascii="Titillium" w:hAnsi="Titillium"/>
        </w:rPr>
        <w:t>svolgere</w:t>
      </w:r>
      <w:r w:rsidRPr="00D17260">
        <w:rPr>
          <w:rFonts w:ascii="Titillium" w:hAnsi="Titillium"/>
          <w:spacing w:val="10"/>
        </w:rPr>
        <w:t xml:space="preserve"> </w:t>
      </w:r>
      <w:r w:rsidRPr="00D17260">
        <w:rPr>
          <w:rFonts w:ascii="Titillium" w:hAnsi="Titillium"/>
        </w:rPr>
        <w:t>l’attività</w:t>
      </w:r>
      <w:r w:rsidRPr="00D17260">
        <w:rPr>
          <w:rFonts w:ascii="Titillium" w:hAnsi="Titillium"/>
          <w:spacing w:val="16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2"/>
        </w:rPr>
        <w:t xml:space="preserve"> </w:t>
      </w:r>
      <w:r w:rsidRPr="00D17260">
        <w:rPr>
          <w:rFonts w:ascii="Titillium" w:hAnsi="Titillium"/>
        </w:rPr>
        <w:t>cui</w:t>
      </w:r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all’art.</w:t>
      </w:r>
      <w:r w:rsidRPr="00D17260">
        <w:rPr>
          <w:rFonts w:ascii="Titillium" w:hAnsi="Titillium"/>
          <w:spacing w:val="12"/>
        </w:rPr>
        <w:t xml:space="preserve"> </w:t>
      </w:r>
      <w:r w:rsidRPr="00D17260">
        <w:rPr>
          <w:rFonts w:ascii="Titillium" w:hAnsi="Titillium"/>
        </w:rPr>
        <w:t>10</w:t>
      </w:r>
      <w:r w:rsidRPr="00D17260">
        <w:rPr>
          <w:rFonts w:ascii="Titillium" w:hAnsi="Titillium"/>
          <w:spacing w:val="8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12"/>
        </w:rPr>
        <w:t xml:space="preserve"> </w:t>
      </w:r>
      <w:proofErr w:type="spellStart"/>
      <w:proofErr w:type="gramStart"/>
      <w:r w:rsidRPr="00D17260">
        <w:rPr>
          <w:rFonts w:ascii="Titillium" w:hAnsi="Titillium"/>
        </w:rPr>
        <w:t>D.Lgs</w:t>
      </w:r>
      <w:proofErr w:type="gramEnd"/>
      <w:r w:rsidRPr="00D17260">
        <w:rPr>
          <w:rFonts w:ascii="Titillium" w:hAnsi="Titillium"/>
        </w:rPr>
        <w:t>.</w:t>
      </w:r>
      <w:proofErr w:type="spellEnd"/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1</w:t>
      </w:r>
      <w:r w:rsidRPr="00D17260">
        <w:rPr>
          <w:rFonts w:ascii="Titillium" w:hAnsi="Titillium"/>
          <w:spacing w:val="17"/>
        </w:rPr>
        <w:t xml:space="preserve"> </w:t>
      </w:r>
      <w:r w:rsidRPr="00D17260">
        <w:rPr>
          <w:rFonts w:ascii="Titillium" w:hAnsi="Titillium"/>
        </w:rPr>
        <w:t>settembre</w:t>
      </w:r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1993,</w:t>
      </w:r>
      <w:r w:rsidRPr="00D17260">
        <w:rPr>
          <w:rFonts w:ascii="Titillium" w:hAnsi="Titillium"/>
          <w:spacing w:val="12"/>
        </w:rPr>
        <w:t xml:space="preserve"> </w:t>
      </w:r>
      <w:r w:rsidRPr="00D17260">
        <w:rPr>
          <w:rFonts w:ascii="Titillium" w:hAnsi="Titillium"/>
        </w:rPr>
        <w:t>n.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385;</w:t>
      </w:r>
    </w:p>
    <w:p w:rsidR="003D698F" w:rsidRPr="00D17260" w:rsidRDefault="003D698F" w:rsidP="00742554">
      <w:pPr>
        <w:pStyle w:val="Corpotesto"/>
        <w:spacing w:before="9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1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B45C" id="Rectangle 6" o:spid="_x0000_s1026" style="position:absolute;margin-left:57.75pt;margin-top:3.95pt;width:9.95pt;height:9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UlfQ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BUl&#10;hnXYok9YNGY2WpJpLE/vfIlWj+4BIkDv7i3/6omxixat5B2A7VvJBCaVR/vs2YW48XiVrPv3VqB3&#10;tg02VWrfQBcdYg3IPjXk6dQQuQ+E42E+mV5OMTGOqoMcI7DyeNmBD2+l7UgUKgqYenLOdvc+DKZH&#10;kxjL2JXSGs9ZqQ3pK3qdF0W64K1WIioTRtisFxrIjkXWpC8hQ/TnZtFzzXw72CXVwKdOBSS1Vl1F&#10;Z6fbrIxVWhqRwgem9CAjGm1iVASNSR+kgTw/rsfXy9lyVoyKyXQ5KsZ1PbpbLYrRdJW/uaov68Wi&#10;zn9GAHlRtkoIaSKGI5Hz4u+IchipgYInKj/D6s9Lskrfy5Jkz9NInUJUx39Cl+gRGTEwa23FE7ID&#10;7DCZ+JKg0Fr4TkmPU1lR/23LQFKi3xlkWOxXHOO0Ka7eTHAD55r1uYYZjq4qGigZxEUYRn/rQG1a&#10;jJSn5ht7h6xsVGJMZOyQ1YHLOHkJweGViKN9vk9Wv9+y+S8A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BWGhUl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che</w:t>
      </w:r>
      <w:r w:rsidRPr="00D17260">
        <w:rPr>
          <w:rFonts w:ascii="Titillium" w:hAnsi="Titillium"/>
          <w:spacing w:val="39"/>
        </w:rPr>
        <w:t xml:space="preserve"> </w:t>
      </w:r>
      <w:r w:rsidRPr="00D17260">
        <w:rPr>
          <w:rFonts w:ascii="Titillium" w:hAnsi="Titillium"/>
        </w:rPr>
        <w:t>gli</w:t>
      </w:r>
      <w:r w:rsidRPr="00D17260">
        <w:rPr>
          <w:rFonts w:ascii="Titillium" w:hAnsi="Titillium"/>
          <w:spacing w:val="42"/>
        </w:rPr>
        <w:t xml:space="preserve"> </w:t>
      </w:r>
      <w:r w:rsidRPr="00D17260">
        <w:rPr>
          <w:rFonts w:ascii="Titillium" w:hAnsi="Titillium"/>
        </w:rPr>
        <w:t>esponenti</w:t>
      </w:r>
      <w:r w:rsidRPr="00D17260">
        <w:rPr>
          <w:rFonts w:ascii="Titillium" w:hAnsi="Titillium"/>
          <w:spacing w:val="40"/>
        </w:rPr>
        <w:t xml:space="preserve"> </w:t>
      </w:r>
      <w:r w:rsidRPr="00D17260">
        <w:rPr>
          <w:rFonts w:ascii="Titillium" w:hAnsi="Titillium"/>
        </w:rPr>
        <w:t>aziendali</w:t>
      </w:r>
      <w:r w:rsidRPr="00D17260">
        <w:rPr>
          <w:rFonts w:ascii="Titillium" w:hAnsi="Titillium"/>
          <w:spacing w:val="41"/>
        </w:rPr>
        <w:t xml:space="preserve"> </w:t>
      </w:r>
      <w:r w:rsidRPr="00D17260">
        <w:rPr>
          <w:rFonts w:ascii="Titillium" w:hAnsi="Titillium"/>
        </w:rPr>
        <w:t>(amministratori,</w:t>
      </w:r>
      <w:r w:rsidRPr="00D17260">
        <w:rPr>
          <w:rFonts w:ascii="Titillium" w:hAnsi="Titillium"/>
          <w:spacing w:val="40"/>
        </w:rPr>
        <w:t xml:space="preserve"> </w:t>
      </w:r>
      <w:r w:rsidRPr="00D17260">
        <w:rPr>
          <w:rFonts w:ascii="Titillium" w:hAnsi="Titillium"/>
        </w:rPr>
        <w:t>direttore</w:t>
      </w:r>
      <w:r w:rsidRPr="00D17260">
        <w:rPr>
          <w:rFonts w:ascii="Titillium" w:hAnsi="Titillium"/>
          <w:spacing w:val="41"/>
        </w:rPr>
        <w:t xml:space="preserve"> </w:t>
      </w:r>
      <w:r w:rsidRPr="00D17260">
        <w:rPr>
          <w:rFonts w:ascii="Titillium" w:hAnsi="Titillium"/>
        </w:rPr>
        <w:t>generale,</w:t>
      </w:r>
      <w:r w:rsidRPr="00D17260">
        <w:rPr>
          <w:rFonts w:ascii="Titillium" w:hAnsi="Titillium"/>
          <w:spacing w:val="40"/>
        </w:rPr>
        <w:t xml:space="preserve"> </w:t>
      </w:r>
      <w:r w:rsidRPr="00D17260">
        <w:rPr>
          <w:rFonts w:ascii="Titillium" w:hAnsi="Titillium"/>
        </w:rPr>
        <w:t>sindaci)</w:t>
      </w:r>
      <w:r w:rsidRPr="00D17260">
        <w:rPr>
          <w:rFonts w:ascii="Titillium" w:hAnsi="Titillium"/>
          <w:spacing w:val="2"/>
        </w:rPr>
        <w:t xml:space="preserve"> </w:t>
      </w:r>
      <w:r w:rsidRPr="00D17260">
        <w:rPr>
          <w:rFonts w:ascii="Titillium" w:hAnsi="Titillium"/>
        </w:rPr>
        <w:t>sono</w:t>
      </w:r>
      <w:r w:rsidRPr="00D17260">
        <w:rPr>
          <w:rFonts w:ascii="Titillium" w:hAnsi="Titillium"/>
          <w:spacing w:val="43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40"/>
        </w:rPr>
        <w:t xml:space="preserve"> </w:t>
      </w:r>
      <w:r w:rsidRPr="00D17260">
        <w:rPr>
          <w:rFonts w:ascii="Titillium" w:hAnsi="Titillium"/>
        </w:rPr>
        <w:t>possesso</w:t>
      </w:r>
      <w:r w:rsidRPr="00D17260">
        <w:rPr>
          <w:rFonts w:ascii="Titillium" w:hAnsi="Titillium"/>
          <w:spacing w:val="42"/>
        </w:rPr>
        <w:t xml:space="preserve"> </w:t>
      </w:r>
      <w:r w:rsidRPr="00D17260">
        <w:rPr>
          <w:rFonts w:ascii="Titillium" w:hAnsi="Titillium"/>
        </w:rPr>
        <w:t>dei</w:t>
      </w:r>
      <w:r w:rsidRPr="00D17260">
        <w:rPr>
          <w:rFonts w:ascii="Titillium" w:hAnsi="Titillium"/>
          <w:spacing w:val="40"/>
        </w:rPr>
        <w:t xml:space="preserve"> </w:t>
      </w:r>
      <w:r w:rsidRPr="00D17260">
        <w:rPr>
          <w:rFonts w:ascii="Titillium" w:hAnsi="Titillium"/>
        </w:rPr>
        <w:t>requisiti</w:t>
      </w:r>
      <w:r w:rsidRPr="00D17260">
        <w:rPr>
          <w:rFonts w:ascii="Titillium" w:hAnsi="Titillium"/>
          <w:spacing w:val="43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43"/>
        </w:rPr>
        <w:t xml:space="preserve"> </w:t>
      </w:r>
      <w:r w:rsidRPr="00D17260">
        <w:rPr>
          <w:rFonts w:ascii="Titillium" w:hAnsi="Titillium"/>
        </w:rPr>
        <w:t>onorabilità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di cui al D.M. 18 marzo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1998, n. 161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-1"/>
        </w:rPr>
        <w:t xml:space="preserve"> </w:t>
      </w:r>
      <w:proofErr w:type="spellStart"/>
      <w:r w:rsidRPr="00D17260">
        <w:rPr>
          <w:rFonts w:ascii="Titillium" w:hAnsi="Titillium"/>
        </w:rPr>
        <w:t>s.m.i.</w:t>
      </w:r>
      <w:proofErr w:type="spellEnd"/>
      <w:r w:rsidR="00742554">
        <w:rPr>
          <w:rFonts w:ascii="Titillium" w:hAnsi="Titillium"/>
        </w:rPr>
        <w:t xml:space="preserve"> del Ministro del Tesoro, del Bilancio e della Programmazione economica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1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EC203" id="Rectangle 5" o:spid="_x0000_s1026" style="position:absolute;margin-left:57.75pt;margin-top:3.95pt;width:9.95pt;height:9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/TfAIAABM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OMNI&#10;kQZa9BmKRtRWcjQK5WmNy8Hq2TzZANCZR02/OaT0sgYrvrBWtzUnDJJKg31ycyFsHFxFm/aDZuCd&#10;7LyOlTpUtgkOoQboEBtyvDSEHzyicJgOx3fjEUYUVCc5RCD5+bKxzr/jukFBKLCF1KNzsn90vjM9&#10;m4RYSq+FlHBOcqlQW+BpmmXxgtNSsKCMGO12s5QW7UlgTfwiMkB/bRY8l8TVnV1UdXxqhAdSS9EU&#10;eHK5TfJQpZViMbwnQnYyoJEqRAXQkPRJ6sjzMh1MV5PVJOtlw/Gqlw3KsrdYL7PeeJ3ej8q7crks&#10;058BQJrltWCMq4DhTOQ0+zuinEaqo+CFyjdY3XVJ1vF7XZLkNo3YKUB1/kd0kR6BER2zNpodgR1W&#10;d5MJLwkItbY/MGphKgvsvu+I5RjJ9woYFvoVxjhustH9EDb2WrO51hBFwVWBPUaduPTd6O+MFdsa&#10;IqWx+UovgJWViIwJjO2yOnEZJi8iOL0SYbSv99Hq91s2/wUAAP//AwBQSwMEFAAGAAgAAAAhAFlM&#10;H7LdAAAACAEAAA8AAABkcnMvZG93bnJldi54bWxMjzFPwzAUhHck/oP1kNio3dK0JcSpUAVLJwgZ&#10;YHuJTRxhP0exm4Z/jzvBeLrT3XfFfnaWTXoMvScJy4UApqn1qqdOQv3+crcDFiKSQutJS/jRAfbl&#10;9VWBufJnetNTFTuWSijkKMHEOOSch9Zoh2HhB03J+/Kjw5jk2HE14jmVO8tXQmy4w57SgsFBH4xu&#10;v6uTk/A5H2s8itd+3bQfm+dDJcxkaylvb+anR2BRz/EvDBf8hA5lYmr8iVRgNulllqWohO0DsIt/&#10;n62BNRJW2x3wsuD/D5S/AAAA//8DAFBLAQItABQABgAIAAAAIQC2gziS/gAAAOEBAAATAAAAAAAA&#10;AAAAAAAAAAAAAABbQ29udGVudF9UeXBlc10ueG1sUEsBAi0AFAAGAAgAAAAhADj9If/WAAAAlAEA&#10;AAsAAAAAAAAAAAAAAAAALwEAAF9yZWxzLy5yZWxzUEsBAi0AFAAGAAgAAAAhACybr9N8AgAAEwUA&#10;AA4AAAAAAAAAAAAAAAAALgIAAGRycy9lMm9Eb2MueG1sUEsBAi0AFAAGAAgAAAAhAFlMH7L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che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non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sussistono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le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cause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esclusione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cui</w:t>
      </w:r>
      <w:r w:rsidRPr="00D17260">
        <w:rPr>
          <w:rFonts w:ascii="Titillium" w:hAnsi="Titillium"/>
          <w:spacing w:val="-2"/>
        </w:rPr>
        <w:t xml:space="preserve"> </w:t>
      </w:r>
      <w:r w:rsidR="00D17260">
        <w:rPr>
          <w:rFonts w:ascii="Titillium" w:hAnsi="Titillium"/>
        </w:rPr>
        <w:t>agli articoli da 94 a 98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-2"/>
        </w:rPr>
        <w:t xml:space="preserve"> </w:t>
      </w:r>
      <w:proofErr w:type="spellStart"/>
      <w:proofErr w:type="gramStart"/>
      <w:r w:rsidRPr="00D17260">
        <w:rPr>
          <w:rFonts w:ascii="Titillium" w:hAnsi="Titillium"/>
        </w:rPr>
        <w:t>D.Lgs</w:t>
      </w:r>
      <w:proofErr w:type="gramEnd"/>
      <w:r w:rsidRPr="00D17260">
        <w:rPr>
          <w:rFonts w:ascii="Titillium" w:hAnsi="Titillium"/>
        </w:rPr>
        <w:t>.</w:t>
      </w:r>
      <w:proofErr w:type="spellEnd"/>
      <w:r w:rsidRPr="00D17260">
        <w:rPr>
          <w:rFonts w:ascii="Titillium" w:hAnsi="Titillium"/>
          <w:spacing w:val="-1"/>
        </w:rPr>
        <w:t xml:space="preserve"> </w:t>
      </w:r>
      <w:r w:rsidR="00D17260">
        <w:rPr>
          <w:rFonts w:ascii="Titillium" w:hAnsi="Titillium"/>
        </w:rPr>
        <w:t>31 marzo 2023</w:t>
      </w:r>
      <w:r w:rsidRPr="00D17260">
        <w:rPr>
          <w:rFonts w:ascii="Titillium" w:hAnsi="Titillium"/>
        </w:rPr>
        <w:t>,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n.</w:t>
      </w:r>
      <w:r w:rsidRPr="00D17260">
        <w:rPr>
          <w:rFonts w:ascii="Titillium" w:hAnsi="Titillium"/>
          <w:spacing w:val="-2"/>
        </w:rPr>
        <w:t xml:space="preserve"> </w:t>
      </w:r>
      <w:r w:rsidR="00D17260">
        <w:rPr>
          <w:rFonts w:ascii="Titillium" w:hAnsi="Titillium"/>
        </w:rPr>
        <w:t>36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8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18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C2FE" id="Rectangle 4" o:spid="_x0000_s1026" style="position:absolute;margin-left:57.75pt;margin-top:3.95pt;width:9.95pt;height:9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Te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CUl&#10;Gjps0ScsGuiNEqSI5emtL9Hq0T64CNDbe8O+eqLNokUrceec6VsBHJPKo3327ELceLxK1v17w9E7&#10;bINJldo3rosOsQZknxrydGqI2AfC8DCfTC+nV5QwVB3kGAHK42XrfHgrTEeiUFGHqSfnsLv3YTA9&#10;msRY2qykUngOpdKkr+h1XhTpgjdK8qhMGN1mvVCO7CCyJn0JGaI/N4uea/DtYJdUA586GZDUSnYV&#10;nZ1uQxmrtNQ8hQ8g1SAjGqVjVASNSR+kgTw/rsfXy9lyVoyKyXQ5KsZ1PbpbLYrRdJW/uaov68Wi&#10;zn9GAHlRtpJzoSOGI5Hz4u+IchipgYInKj/D6s9Lskrfy5Jkz9NInUJUx39Cl+gRGTEwa234E7LD&#10;mWEy8SVBoTXuOyU9TmVF/bctOEGJeqeRYbFfcYzTprh6M8GNO9eszzWgGbqqaKBkEBdhGP2tdXLT&#10;YqQ8NV+bO2RlIxNjImOHrA5cxslLCA6vRBzt832y+v2WzX8B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CIbsTe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aver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stipulato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con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Amministrazioni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ed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Enti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Pubblici,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nel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corso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triennio</w:t>
      </w:r>
      <w:r w:rsidRPr="00D17260">
        <w:rPr>
          <w:rFonts w:ascii="Titillium" w:hAnsi="Titillium"/>
          <w:spacing w:val="1"/>
        </w:rPr>
        <w:t xml:space="preserve"> </w:t>
      </w:r>
      <w:r w:rsidR="00D17260">
        <w:rPr>
          <w:rFonts w:ascii="Titillium" w:hAnsi="Titillium"/>
        </w:rPr>
        <w:t>2020-2022</w:t>
      </w:r>
      <w:r w:rsidRPr="00D17260">
        <w:rPr>
          <w:rFonts w:ascii="Titillium" w:hAnsi="Titillium"/>
        </w:rPr>
        <w:t>,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un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numero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43"/>
        </w:rPr>
        <w:t xml:space="preserve"> </w:t>
      </w:r>
      <w:r w:rsidRPr="00D17260">
        <w:rPr>
          <w:rFonts w:ascii="Titillium" w:hAnsi="Titillium"/>
        </w:rPr>
        <w:t>contratti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non inferiore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a 3 (tre)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per servizi di cassa e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tesoreria;</w:t>
      </w:r>
    </w:p>
    <w:p w:rsidR="003D698F" w:rsidRPr="00D17260" w:rsidRDefault="003D698F" w:rsidP="00742554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before="92" w:line="300" w:lineRule="exact"/>
        <w:ind w:left="818" w:right="10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1E2D" id="Rectangle 3" o:spid="_x0000_s1026" style="position:absolute;margin-left:57.75pt;margin-top:6.35pt;width:9.95pt;height:9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iV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IQS&#10;DR226BMWDfRGCXIZy9NbX6LVo31wEaC394Z99USbRYtW4s4507cCOCaVR/vs2YW48XiVrPv3hqN3&#10;2AaTKrVvXBcdYg3IPjXk6dQQsQ+E4WE+mV5OryhhqDrIMQKUx8vW+fBWmI5EoaIOU0/OYXfvw2B6&#10;NImxtFlJpfAcSqVJX9HrvCjSBW+U5FGZMLrNeqEc2UFkTfoSMkR/bhY91+DbwS6pBj51MiCplewq&#10;OjvdhjJWaal5Ch9AqkFGNErHqAgakz5IA3l+XI+vl7PlrBgVk+lyVIzrenS3WhSj6Sp/c1Vf1otF&#10;nf+MAPKibCXnQkcMRyLnxd8R5TBSAwVPVH6G1Z+XZJW+lyXJnqeROoWojv+ELtEjMmJg1trwJ2SH&#10;M8Nk4kuCQmvcd0p6nMqK+m9bcIIS9U4jw2K/4hinTXH1ZoIbd65Zn2tAM3RV0UDJIC7CMPpb6+Sm&#10;xUh5ar42d8jKRibGRMYOWR24jJOXEBxeiTja5/tk9fstm/8C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UtAolX0CAAAT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 xml:space="preserve">di essere iscritto e abilitato all’Iniziativa “Servizi – Servizi </w:t>
      </w:r>
      <w:r w:rsidR="00D17260">
        <w:rPr>
          <w:rFonts w:ascii="Titillium" w:hAnsi="Titillium"/>
        </w:rPr>
        <w:t>di tesoreria e/o cassa</w:t>
      </w:r>
      <w:r w:rsidRPr="00D17260">
        <w:rPr>
          <w:rFonts w:ascii="Titillium" w:hAnsi="Titillium"/>
        </w:rPr>
        <w:t>” del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Mercato elettronico della Pubblica Amministrazione (Me.PA) o comunque di impegnarsi a provvedere alla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suddetta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iscrizione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abilitazione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entro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il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termine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scadenza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presentazione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delle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manifestazioni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interesse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previsto dall’avviso;</w:t>
      </w:r>
    </w:p>
    <w:p w:rsidR="003D698F" w:rsidRPr="00D17260" w:rsidRDefault="00101C88" w:rsidP="00742554">
      <w:pPr>
        <w:pStyle w:val="Titolo1"/>
        <w:spacing w:line="300" w:lineRule="exact"/>
        <w:ind w:right="1"/>
        <w:rPr>
          <w:rFonts w:ascii="Titillium" w:hAnsi="Titillium"/>
        </w:rPr>
      </w:pPr>
      <w:r w:rsidRPr="00D17260">
        <w:rPr>
          <w:rFonts w:ascii="Titillium" w:hAnsi="Titillium"/>
        </w:rPr>
        <w:t>DOMANDA</w:t>
      </w:r>
    </w:p>
    <w:p w:rsidR="003D698F" w:rsidRPr="00D17260" w:rsidRDefault="00101C88" w:rsidP="00742554">
      <w:pPr>
        <w:pStyle w:val="Corpotesto"/>
        <w:spacing w:before="121" w:line="300" w:lineRule="exact"/>
        <w:ind w:left="113" w:right="103"/>
        <w:jc w:val="both"/>
        <w:rPr>
          <w:rFonts w:ascii="Titillium" w:hAnsi="Titillium"/>
        </w:rPr>
      </w:pP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preso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considerazione</w:t>
      </w:r>
      <w:r w:rsidRPr="00D17260">
        <w:rPr>
          <w:rFonts w:ascii="Titillium" w:hAnsi="Titillium"/>
          <w:spacing w:val="8"/>
        </w:rPr>
        <w:t xml:space="preserve"> </w:t>
      </w:r>
      <w:r w:rsidRPr="00D17260">
        <w:rPr>
          <w:rFonts w:ascii="Titillium" w:hAnsi="Titillium"/>
        </w:rPr>
        <w:t>ai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fini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dell’affidamento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dei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servizi</w:t>
      </w:r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cassa</w:t>
      </w:r>
      <w:r w:rsidRPr="00D17260">
        <w:rPr>
          <w:rFonts w:ascii="Titillium" w:hAnsi="Titillium"/>
          <w:spacing w:val="13"/>
        </w:rPr>
        <w:t xml:space="preserve"> </w:t>
      </w:r>
      <w:r w:rsidRPr="00D17260">
        <w:rPr>
          <w:rFonts w:ascii="Titillium" w:hAnsi="Titillium"/>
        </w:rPr>
        <w:t>e</w:t>
      </w:r>
      <w:r w:rsidR="00742554">
        <w:rPr>
          <w:rFonts w:ascii="Titillium" w:hAnsi="Titillium"/>
        </w:rPr>
        <w:t xml:space="preserve"> </w:t>
      </w:r>
      <w:r w:rsidR="00742554" w:rsidRPr="00D17260">
        <w:rPr>
          <w:rFonts w:ascii="Titillium" w:hAnsi="Titillium"/>
        </w:rPr>
        <w:t>di</w:t>
      </w:r>
      <w:r w:rsidR="00742554" w:rsidRPr="00D17260">
        <w:rPr>
          <w:rFonts w:ascii="Titillium" w:hAnsi="Titillium"/>
          <w:spacing w:val="15"/>
        </w:rPr>
        <w:t xml:space="preserve"> </w:t>
      </w:r>
      <w:r w:rsidR="00742554" w:rsidRPr="00D17260">
        <w:rPr>
          <w:rFonts w:ascii="Titillium" w:hAnsi="Titillium"/>
        </w:rPr>
        <w:t>riscossione e rendicontazione</w:t>
      </w:r>
      <w:r w:rsidR="00742554">
        <w:rPr>
          <w:rFonts w:ascii="Titillium" w:hAnsi="Titillium"/>
        </w:rPr>
        <w:t xml:space="preserve"> dei</w:t>
      </w:r>
      <w:r w:rsidR="00742554" w:rsidRPr="00D17260">
        <w:rPr>
          <w:rFonts w:ascii="Titillium" w:hAnsi="Titillium"/>
        </w:rPr>
        <w:t xml:space="preserve"> MAV relativi ai contributi dovuti dalle stazioni appaltanti nell’ambito dell’espletamento delle procedure di scelta del contraente</w:t>
      </w:r>
      <w:r w:rsidR="00F678BB">
        <w:rPr>
          <w:rFonts w:ascii="Titillium" w:hAnsi="Titillium"/>
        </w:rPr>
        <w:t xml:space="preserve"> in favore dell’Autorità Nazionale Anticorruzione (ANAC).</w:t>
      </w:r>
      <w:bookmarkStart w:id="0" w:name="_GoBack"/>
      <w:bookmarkEnd w:id="0"/>
    </w:p>
    <w:p w:rsidR="003D698F" w:rsidRPr="00D17260" w:rsidRDefault="005C6744" w:rsidP="00742554">
      <w:pPr>
        <w:pStyle w:val="Corpotesto"/>
        <w:tabs>
          <w:tab w:val="left" w:pos="6841"/>
        </w:tabs>
        <w:spacing w:before="123" w:line="300" w:lineRule="exact"/>
        <w:ind w:right="1"/>
        <w:jc w:val="center"/>
        <w:rPr>
          <w:rFonts w:ascii="Titillium" w:hAnsi="Titillium"/>
        </w:rPr>
      </w:pPr>
      <w:r>
        <w:rPr>
          <w:rFonts w:ascii="Titillium" w:hAnsi="Titillium"/>
        </w:rPr>
        <w:t>Data</w:t>
      </w:r>
      <w:r w:rsidR="00101C88" w:rsidRPr="00D17260">
        <w:rPr>
          <w:rFonts w:ascii="Titillium" w:hAnsi="Titillium"/>
        </w:rPr>
        <w:tab/>
        <w:t>(Firma)</w:t>
      </w:r>
    </w:p>
    <w:p w:rsidR="003D698F" w:rsidRPr="00D17260" w:rsidRDefault="00742554">
      <w:pPr>
        <w:pStyle w:val="Corpotesto"/>
        <w:spacing w:before="112"/>
        <w:ind w:left="6897" w:right="233"/>
        <w:jc w:val="center"/>
        <w:rPr>
          <w:rFonts w:ascii="Titillium" w:hAnsi="Titillium"/>
        </w:rPr>
      </w:pPr>
      <w:r>
        <w:rPr>
          <w:rFonts w:ascii="Titillium" w:hAnsi="Titillium"/>
        </w:rPr>
        <w:t xml:space="preserve">    </w:t>
      </w:r>
      <w:r w:rsidR="00101C88" w:rsidRPr="00D17260">
        <w:rPr>
          <w:rFonts w:ascii="Titillium" w:hAnsi="Titillium"/>
        </w:rPr>
        <w:t>…………………………………..</w:t>
      </w:r>
    </w:p>
    <w:sectPr w:rsidR="003D698F" w:rsidRPr="00D17260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8F"/>
    <w:rsid w:val="00101C88"/>
    <w:rsid w:val="003D698F"/>
    <w:rsid w:val="005C6744"/>
    <w:rsid w:val="00742554"/>
    <w:rsid w:val="00D17260"/>
    <w:rsid w:val="00F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E2E8"/>
  <w15:docId w15:val="{00417274-2590-4730-9BB3-08AAB43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08"/>
      <w:jc w:val="right"/>
    </w:pPr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0802A-C024-48F4-A783-C0CCC5E2F713}"/>
</file>

<file path=customXml/itemProps2.xml><?xml version="1.0" encoding="utf-8"?>
<ds:datastoreItem xmlns:ds="http://schemas.openxmlformats.org/officeDocument/2006/customXml" ds:itemID="{F496D120-ED57-4F0D-80E2-1ACDE8EBC40E}"/>
</file>

<file path=customXml/itemProps3.xml><?xml version="1.0" encoding="utf-8"?>
<ds:datastoreItem xmlns:ds="http://schemas.openxmlformats.org/officeDocument/2006/customXml" ds:itemID="{E90F9FE1-3E88-4455-9145-F0AC3A8C2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AmiciM</dc:creator>
  <cp:lastModifiedBy>Mazzotti Eleonora</cp:lastModifiedBy>
  <cp:revision>5</cp:revision>
  <dcterms:created xsi:type="dcterms:W3CDTF">2023-10-19T11:28:00Z</dcterms:created>
  <dcterms:modified xsi:type="dcterms:W3CDTF">2023-10-19T11:52:00Z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