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theme/themeOverride2.xml" ContentType="application/vnd.openxmlformats-officedocument.themeOverride+xml"/>
  <Override PartName="/word/charts/style2.xml" ContentType="application/vnd.ms-office.chartstyle+xml"/>
  <Override PartName="/word/charts/chart2.xml" ContentType="application/vnd.openxmlformats-officedocument.drawingml.chart+xml"/>
  <Override PartName="/word/charts/colors2.xml" ContentType="application/vnd.ms-office.chartcolorstyle+xml"/>
  <Override PartName="/word/theme/themeOverride1.xml" ContentType="application/vnd.openxmlformats-officedocument.themeOverrid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0A1" w:rsidRPr="008A0150" w:rsidRDefault="00E340A1" w:rsidP="008A0150">
      <w:pPr>
        <w:pStyle w:val="PARTE"/>
        <w:rPr>
          <w:rStyle w:val="Collegamentoipertestuale"/>
          <w:color w:val="002060"/>
        </w:rPr>
      </w:pPr>
      <w:bookmarkStart w:id="0" w:name="_Toc134808518"/>
      <w:r w:rsidRPr="006D4550">
        <w:rPr>
          <w:rStyle w:val="Collegamentoipertestuale"/>
          <w:color w:val="002060"/>
        </w:rPr>
        <w:t>PARTE SECONDA</w:t>
      </w:r>
      <w:bookmarkEnd w:id="0"/>
    </w:p>
    <w:p w:rsidR="00E340A1" w:rsidRPr="008A0150" w:rsidRDefault="00E340A1" w:rsidP="008A0150">
      <w:pPr>
        <w:pStyle w:val="PARTE"/>
        <w:rPr>
          <w:rStyle w:val="Collegamentoipertestuale"/>
          <w:color w:val="002060"/>
        </w:rPr>
      </w:pPr>
      <w:bookmarkStart w:id="1" w:name="_Toc134808519"/>
      <w:r w:rsidRPr="006D4550">
        <w:rPr>
          <w:rStyle w:val="Collegamentoipertestuale"/>
          <w:color w:val="002060"/>
        </w:rPr>
        <w:t>La prevenzione della corruzione e la trasparenza</w:t>
      </w:r>
      <w:bookmarkEnd w:id="1"/>
    </w:p>
    <w:p w:rsidR="00E340A1" w:rsidRDefault="00E340A1" w:rsidP="00E340A1">
      <w:pPr>
        <w:pStyle w:val="Sommario1"/>
        <w:tabs>
          <w:tab w:val="right" w:pos="9628"/>
        </w:tabs>
        <w:spacing w:before="0"/>
        <w:rPr>
          <w:rStyle w:val="Collegamentoipertestuale"/>
          <w:rFonts w:eastAsiaTheme="majorEastAsia" w:cstheme="minorBidi"/>
          <w:b w:val="0"/>
          <w:bCs w:val="0"/>
          <w:iCs/>
          <w:caps/>
          <w:noProof/>
          <w:sz w:val="28"/>
          <w:szCs w:val="28"/>
        </w:rPr>
      </w:pPr>
    </w:p>
    <w:p w:rsidR="00E340A1" w:rsidRPr="00043DE2"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ind w:right="-1"/>
        <w:rPr>
          <w:rStyle w:val="ANACNUMEROCAPITOLOCarattere"/>
          <w:rFonts w:eastAsiaTheme="majorEastAsia"/>
          <w:b/>
          <w:sz w:val="32"/>
          <w:szCs w:val="32"/>
        </w:rPr>
      </w:pPr>
      <w:bookmarkStart w:id="2" w:name="_Toc134808520"/>
      <w:r w:rsidRPr="00043DE2">
        <w:rPr>
          <w:rStyle w:val="ANACNUMEROCAPITOLOCarattere"/>
          <w:rFonts w:eastAsiaTheme="majorEastAsia"/>
          <w:b/>
          <w:sz w:val="32"/>
          <w:szCs w:val="32"/>
        </w:rPr>
        <w:t>CAPITOLO 3</w:t>
      </w:r>
      <w:bookmarkEnd w:id="2"/>
      <w:r w:rsidRPr="00043DE2">
        <w:rPr>
          <w:rStyle w:val="ANACNUMEROCAPITOLOCarattere"/>
          <w:rFonts w:eastAsiaTheme="majorEastAsia"/>
          <w:b/>
          <w:sz w:val="32"/>
          <w:szCs w:val="32"/>
        </w:rPr>
        <w:tab/>
      </w:r>
    </w:p>
    <w:p w:rsidR="00E340A1" w:rsidRPr="00043DE2"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ind w:right="-1"/>
        <w:rPr>
          <w:rStyle w:val="ANACNUMEROCAPITOLOCarattere"/>
          <w:rFonts w:eastAsiaTheme="majorEastAsia"/>
          <w:b/>
          <w:sz w:val="32"/>
          <w:szCs w:val="32"/>
        </w:rPr>
      </w:pPr>
      <w:bookmarkStart w:id="3" w:name="_Toc134808521"/>
      <w:r w:rsidRPr="00043DE2">
        <w:rPr>
          <w:rStyle w:val="ANACNUMEROCAPITOLOCarattere"/>
          <w:rFonts w:eastAsiaTheme="majorEastAsia"/>
          <w:b/>
          <w:sz w:val="32"/>
          <w:szCs w:val="32"/>
        </w:rPr>
        <w:t>La regolazione, la funzione consultiva, l</w:t>
      </w:r>
      <w:r w:rsidR="00514434">
        <w:rPr>
          <w:rStyle w:val="ANACNUMEROCAPITOLOCarattere"/>
          <w:rFonts w:eastAsiaTheme="majorEastAsia"/>
          <w:b/>
          <w:sz w:val="32"/>
          <w:szCs w:val="32"/>
        </w:rPr>
        <w:t>’</w:t>
      </w:r>
      <w:r w:rsidRPr="00043DE2">
        <w:rPr>
          <w:rStyle w:val="ANACNUMEROCAPITOLOCarattere"/>
          <w:rFonts w:eastAsiaTheme="majorEastAsia"/>
          <w:b/>
          <w:sz w:val="32"/>
          <w:szCs w:val="32"/>
        </w:rPr>
        <w:t>analisi dei dati</w:t>
      </w:r>
      <w:bookmarkEnd w:id="3"/>
      <w:r w:rsidRPr="00043DE2">
        <w:rPr>
          <w:rStyle w:val="ANACNUMEROCAPITOLOCarattere"/>
          <w:rFonts w:eastAsiaTheme="majorEastAsia"/>
          <w:b/>
          <w:sz w:val="32"/>
          <w:szCs w:val="32"/>
        </w:rPr>
        <w:tab/>
      </w:r>
    </w:p>
    <w:p w:rsidR="00E340A1" w:rsidRPr="00043DE2" w:rsidRDefault="00E340A1" w:rsidP="00E340A1">
      <w:pPr>
        <w:pStyle w:val="Sommario2"/>
        <w:ind w:left="0"/>
        <w:rPr>
          <w:rStyle w:val="Collegamentoipertestuale"/>
          <w:bCs/>
          <w:caps/>
          <w:color w:val="0070C0"/>
        </w:rPr>
      </w:pPr>
    </w:p>
    <w:p w:rsidR="00E340A1" w:rsidRPr="00376C1C" w:rsidRDefault="00E340A1" w:rsidP="00376C1C">
      <w:pPr>
        <w:pStyle w:val="PARAGRAFORELAZIONE"/>
        <w:rPr>
          <w:rStyle w:val="ANACNUMEROCAPITOLOCarattere"/>
          <w:rFonts w:eastAsiaTheme="majorEastAsia"/>
          <w:sz w:val="24"/>
          <w:szCs w:val="24"/>
        </w:rPr>
      </w:pPr>
      <w:bookmarkStart w:id="4" w:name="_Toc134808522"/>
      <w:r w:rsidRPr="00043DE2">
        <w:rPr>
          <w:rStyle w:val="ANACNUMEROCAPITOLOCarattere"/>
          <w:rFonts w:eastAsiaTheme="majorEastAsia"/>
          <w:sz w:val="24"/>
          <w:szCs w:val="24"/>
        </w:rPr>
        <w:t>1. Il Piano Nazionale Anticorruzione 2022</w:t>
      </w:r>
      <w:r w:rsidR="008370D5">
        <w:rPr>
          <w:rStyle w:val="ANACNUMEROCAPITOLOCarattere"/>
          <w:rFonts w:eastAsiaTheme="majorEastAsia"/>
          <w:sz w:val="24"/>
          <w:szCs w:val="24"/>
        </w:rPr>
        <w:t>-2024</w:t>
      </w:r>
      <w:bookmarkEnd w:id="4"/>
    </w:p>
    <w:p w:rsidR="00E340A1" w:rsidRPr="00F752DC" w:rsidRDefault="00E340A1" w:rsidP="00E340A1">
      <w:pPr>
        <w:spacing w:after="120" w:line="276" w:lineRule="auto"/>
        <w:jc w:val="both"/>
        <w:rPr>
          <w:rFonts w:ascii="Trebuchet MS" w:eastAsia="Calibri" w:hAnsi="Trebuchet MS" w:cs="Times New Roman"/>
          <w:sz w:val="20"/>
          <w:szCs w:val="20"/>
        </w:rPr>
      </w:pP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Nel corso del 2022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attività di regolazione dell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Autorità in materia di prevenzione della corruzione e di trasparenza ha riguardato principalmente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adozione del Piano nazionale anticorruzione</w:t>
      </w:r>
      <w:r>
        <w:rPr>
          <w:rFonts w:ascii="Trebuchet MS" w:eastAsia="Calibri" w:hAnsi="Trebuchet MS" w:cs="Times New Roman"/>
          <w:sz w:val="20"/>
          <w:szCs w:val="20"/>
        </w:rPr>
        <w:t xml:space="preserve"> 2022-2024</w:t>
      </w:r>
      <w:r w:rsidRPr="00B1764C">
        <w:rPr>
          <w:rFonts w:ascii="Trebuchet MS" w:eastAsia="Calibri" w:hAnsi="Trebuchet MS" w:cs="Times New Roman"/>
          <w:sz w:val="20"/>
          <w:szCs w:val="20"/>
        </w:rPr>
        <w:t xml:space="preserve"> (PNA</w:t>
      </w:r>
      <w:r>
        <w:rPr>
          <w:rFonts w:ascii="Trebuchet MS" w:eastAsia="Calibri" w:hAnsi="Trebuchet MS" w:cs="Times New Roman"/>
          <w:sz w:val="20"/>
          <w:szCs w:val="20"/>
        </w:rPr>
        <w:t xml:space="preserve"> 2022</w:t>
      </w:r>
      <w:r w:rsidRPr="00B1764C">
        <w:rPr>
          <w:rFonts w:ascii="Trebuchet MS" w:eastAsia="Calibri" w:hAnsi="Trebuchet MS" w:cs="Times New Roman"/>
          <w:sz w:val="20"/>
          <w:szCs w:val="20"/>
        </w:rPr>
        <w:t xml:space="preserve">) che </w:t>
      </w:r>
      <w:r w:rsidRPr="00B1764C">
        <w:rPr>
          <w:rFonts w:ascii="Trebuchet MS" w:eastAsia="Times New Roman" w:hAnsi="Trebuchet MS" w:cs="Times New Roman"/>
          <w:sz w:val="20"/>
          <w:szCs w:val="20"/>
        </w:rPr>
        <w:t xml:space="preserve">è frutto di </w:t>
      </w:r>
      <w:r w:rsidRPr="00B1764C">
        <w:rPr>
          <w:rFonts w:ascii="Trebuchet MS" w:eastAsia="Calibri" w:hAnsi="Trebuchet MS" w:cs="Times New Roman"/>
          <w:sz w:val="20"/>
          <w:szCs w:val="20"/>
        </w:rPr>
        <w:t xml:space="preserve">un importante impegno e </w:t>
      </w:r>
      <w:r w:rsidRPr="00B1764C">
        <w:rPr>
          <w:rFonts w:ascii="Trebuchet MS" w:eastAsia="Times New Roman" w:hAnsi="Trebuchet MS" w:cs="Times New Roman"/>
          <w:sz w:val="20"/>
          <w:szCs w:val="20"/>
        </w:rPr>
        <w:t>di una intensa e proficua collaborazione dei diversi Uffici competenti nelle materie trattate.</w:t>
      </w:r>
      <w:r w:rsidRPr="00B1764C">
        <w:rPr>
          <w:rFonts w:ascii="Trebuchet MS" w:eastAsia="Calibri" w:hAnsi="Trebuchet MS" w:cs="Times New Roman"/>
          <w:sz w:val="20"/>
          <w:szCs w:val="20"/>
        </w:rPr>
        <w:t xml:space="preserve"> </w:t>
      </w:r>
    </w:p>
    <w:p w:rsidR="00E340A1" w:rsidRDefault="00E340A1" w:rsidP="00E340A1">
      <w:pPr>
        <w:spacing w:after="120" w:line="276" w:lineRule="auto"/>
        <w:jc w:val="both"/>
        <w:rPr>
          <w:rFonts w:ascii="Trebuchet MS" w:eastAsia="Calibri" w:hAnsi="Trebuchet MS" w:cs="Times New Roman"/>
          <w:sz w:val="20"/>
          <w:szCs w:val="20"/>
        </w:rPr>
      </w:pPr>
      <w:r>
        <w:rPr>
          <w:rFonts w:ascii="Trebuchet MS" w:eastAsia="Calibri" w:hAnsi="Trebuchet MS" w:cs="Times New Roman"/>
          <w:sz w:val="20"/>
          <w:szCs w:val="20"/>
        </w:rPr>
        <w:t>Come abbiamo già osservato in premessa, l</w:t>
      </w:r>
      <w:r w:rsidRPr="00B1764C">
        <w:rPr>
          <w:rFonts w:ascii="Trebuchet MS" w:eastAsia="Calibri" w:hAnsi="Trebuchet MS" w:cs="Times New Roman"/>
          <w:sz w:val="20"/>
          <w:szCs w:val="20"/>
        </w:rPr>
        <w:t xml:space="preserve">a fase storica in cui </w:t>
      </w:r>
      <w:r>
        <w:rPr>
          <w:rFonts w:ascii="Trebuchet MS" w:eastAsia="Calibri" w:hAnsi="Trebuchet MS" w:cs="Times New Roman"/>
          <w:sz w:val="20"/>
          <w:szCs w:val="20"/>
        </w:rPr>
        <w:t xml:space="preserve">il </w:t>
      </w:r>
      <w:r w:rsidRPr="00B1764C">
        <w:rPr>
          <w:rFonts w:ascii="Trebuchet MS" w:eastAsia="Calibri" w:hAnsi="Trebuchet MS" w:cs="Times New Roman"/>
          <w:sz w:val="20"/>
          <w:szCs w:val="20"/>
        </w:rPr>
        <w:t xml:space="preserve">PNA 2022 si è collocato è </w:t>
      </w:r>
      <w:r>
        <w:rPr>
          <w:rFonts w:ascii="Trebuchet MS" w:eastAsia="Calibri" w:hAnsi="Trebuchet MS" w:cs="Times New Roman"/>
          <w:sz w:val="20"/>
          <w:szCs w:val="20"/>
        </w:rPr>
        <w:t>risultata particolarmente complessa, in quanto caratterizzata da importanti riforme destinate ad incidere anche sulla predisposizione degli strumenti di programmazione previsti dalla legge n. 190/2012</w:t>
      </w:r>
      <w:r>
        <w:rPr>
          <w:rStyle w:val="Rimandonotaapidipagina"/>
          <w:rFonts w:ascii="Trebuchet MS" w:eastAsia="Calibri" w:hAnsi="Trebuchet MS" w:cs="Times New Roman"/>
        </w:rPr>
        <w:footnoteReference w:id="1"/>
      </w:r>
      <w:r>
        <w:rPr>
          <w:rFonts w:ascii="Trebuchet MS" w:eastAsia="Calibri" w:hAnsi="Trebuchet MS" w:cs="Times New Roman"/>
          <w:sz w:val="20"/>
          <w:szCs w:val="20"/>
        </w:rPr>
        <w:t>.</w:t>
      </w:r>
    </w:p>
    <w:p w:rsidR="00E340A1" w:rsidRDefault="00E340A1" w:rsidP="00E340A1">
      <w:pPr>
        <w:spacing w:after="120" w:line="276" w:lineRule="auto"/>
        <w:jc w:val="both"/>
        <w:rPr>
          <w:rFonts w:ascii="Trebuchet MS" w:eastAsia="Calibri" w:hAnsi="Trebuchet MS" w:cs="Times New Roman"/>
          <w:sz w:val="20"/>
          <w:szCs w:val="20"/>
        </w:rPr>
      </w:pPr>
      <w:r>
        <w:rPr>
          <w:rFonts w:ascii="Trebuchet MS" w:eastAsia="Calibri" w:hAnsi="Trebuchet MS" w:cs="Times New Roman"/>
          <w:sz w:val="20"/>
          <w:szCs w:val="20"/>
        </w:rPr>
        <w:t>In particolare, si fa riferimento all</w:t>
      </w:r>
      <w:r w:rsidR="00514434">
        <w:rPr>
          <w:rFonts w:ascii="Trebuchet MS" w:eastAsia="Calibri" w:hAnsi="Trebuchet MS" w:cs="Times New Roman"/>
          <w:sz w:val="20"/>
          <w:szCs w:val="20"/>
        </w:rPr>
        <w:t>’</w:t>
      </w:r>
      <w:r>
        <w:rPr>
          <w:rFonts w:ascii="Trebuchet MS" w:eastAsia="Calibri" w:hAnsi="Trebuchet MS" w:cs="Times New Roman"/>
          <w:sz w:val="20"/>
          <w:szCs w:val="20"/>
        </w:rPr>
        <w:t xml:space="preserve">introduzione del </w:t>
      </w:r>
      <w:r w:rsidR="005618C3">
        <w:rPr>
          <w:rFonts w:ascii="Trebuchet MS" w:eastAsia="Calibri" w:hAnsi="Trebuchet MS" w:cs="Times New Roman"/>
          <w:sz w:val="20"/>
          <w:szCs w:val="20"/>
        </w:rPr>
        <w:t>Piano Integrato di Attività e O</w:t>
      </w:r>
      <w:r w:rsidRPr="003A0E40">
        <w:rPr>
          <w:rFonts w:ascii="Trebuchet MS" w:eastAsia="Calibri" w:hAnsi="Trebuchet MS" w:cs="Times New Roman"/>
          <w:sz w:val="20"/>
          <w:szCs w:val="20"/>
        </w:rPr>
        <w:t xml:space="preserve">rganizzazione (PIAO), </w:t>
      </w:r>
      <w:r>
        <w:rPr>
          <w:rFonts w:ascii="Trebuchet MS" w:eastAsia="Calibri" w:hAnsi="Trebuchet MS" w:cs="Times New Roman"/>
          <w:sz w:val="20"/>
          <w:szCs w:val="20"/>
        </w:rPr>
        <w:t xml:space="preserve">previsto </w:t>
      </w:r>
      <w:r w:rsidRPr="003A0E40">
        <w:rPr>
          <w:rFonts w:ascii="Trebuchet MS" w:eastAsia="Calibri" w:hAnsi="Trebuchet MS" w:cs="Times New Roman"/>
          <w:sz w:val="20"/>
          <w:szCs w:val="20"/>
        </w:rPr>
        <w:t>dal decreto-legge n. 80/2021</w:t>
      </w:r>
      <w:r w:rsidRPr="003A0E40">
        <w:rPr>
          <w:rFonts w:ascii="Trebuchet MS" w:eastAsia="Calibri" w:hAnsi="Trebuchet MS" w:cs="Times New Roman"/>
          <w:sz w:val="20"/>
          <w:szCs w:val="20"/>
          <w:vertAlign w:val="superscript"/>
        </w:rPr>
        <w:footnoteReference w:id="2"/>
      </w:r>
      <w:r>
        <w:rPr>
          <w:rFonts w:ascii="Trebuchet MS" w:eastAsia="Calibri" w:hAnsi="Trebuchet MS" w:cs="Times New Roman"/>
          <w:sz w:val="20"/>
          <w:szCs w:val="20"/>
        </w:rPr>
        <w:t xml:space="preserve">, del quale costituisce parte integrante anche </w:t>
      </w:r>
      <w:r w:rsidRPr="00B1764C">
        <w:rPr>
          <w:rFonts w:ascii="Trebuchet MS" w:eastAsia="Calibri" w:hAnsi="Trebuchet MS" w:cs="Times New Roman"/>
          <w:sz w:val="20"/>
          <w:szCs w:val="20"/>
        </w:rPr>
        <w:t>la pianificazione della prevenzione della corruzione e della trasparenza</w:t>
      </w:r>
      <w:r>
        <w:rPr>
          <w:rFonts w:ascii="Trebuchet MS" w:eastAsia="Calibri" w:hAnsi="Trebuchet MS" w:cs="Times New Roman"/>
          <w:sz w:val="20"/>
          <w:szCs w:val="20"/>
        </w:rPr>
        <w:t xml:space="preserve">, così come a tutte le ricadute delle riforme connesse </w:t>
      </w:r>
      <w:r w:rsidR="00BA5672">
        <w:rPr>
          <w:rFonts w:ascii="Trebuchet MS" w:eastAsia="Calibri" w:hAnsi="Trebuchet MS" w:cs="Times New Roman"/>
          <w:sz w:val="20"/>
          <w:szCs w:val="20"/>
        </w:rPr>
        <w:t>alla realizzazione del Piano N</w:t>
      </w:r>
      <w:r w:rsidRPr="00B1764C">
        <w:rPr>
          <w:rFonts w:ascii="Trebuchet MS" w:eastAsia="Calibri" w:hAnsi="Trebuchet MS" w:cs="Times New Roman"/>
          <w:sz w:val="20"/>
          <w:szCs w:val="20"/>
        </w:rPr>
        <w:t xml:space="preserve">azionale </w:t>
      </w:r>
      <w:r>
        <w:rPr>
          <w:rFonts w:ascii="Trebuchet MS" w:eastAsia="Calibri" w:hAnsi="Trebuchet MS" w:cs="Times New Roman"/>
          <w:sz w:val="20"/>
          <w:szCs w:val="20"/>
        </w:rPr>
        <w:t>di Ripresa e Resilienza (PNRR), tutte caratterizzate dalla necessità di assicurare la piena efficacia dell</w:t>
      </w:r>
      <w:r w:rsidR="00514434">
        <w:rPr>
          <w:rFonts w:ascii="Trebuchet MS" w:eastAsia="Calibri" w:hAnsi="Trebuchet MS" w:cs="Times New Roman"/>
          <w:sz w:val="20"/>
          <w:szCs w:val="20"/>
        </w:rPr>
        <w:t>’</w:t>
      </w:r>
      <w:r>
        <w:rPr>
          <w:rFonts w:ascii="Trebuchet MS" w:eastAsia="Calibri" w:hAnsi="Trebuchet MS" w:cs="Times New Roman"/>
          <w:sz w:val="20"/>
          <w:szCs w:val="20"/>
        </w:rPr>
        <w:t>azione amministrativa garantendo, al contempo, speditezza e semplificazione.</w:t>
      </w:r>
    </w:p>
    <w:p w:rsidR="00E340A1" w:rsidRPr="00B1764C" w:rsidRDefault="00E340A1" w:rsidP="00E340A1">
      <w:pPr>
        <w:spacing w:after="120" w:line="276" w:lineRule="auto"/>
        <w:jc w:val="both"/>
        <w:rPr>
          <w:rFonts w:ascii="Trebuchet MS" w:eastAsia="Calibri" w:hAnsi="Trebuchet MS" w:cs="Times New Roman"/>
          <w:sz w:val="20"/>
          <w:szCs w:val="20"/>
        </w:rPr>
      </w:pPr>
      <w:r>
        <w:rPr>
          <w:rFonts w:ascii="Trebuchet MS" w:eastAsia="Calibri" w:hAnsi="Trebuchet MS" w:cs="Times New Roman"/>
          <w:sz w:val="20"/>
          <w:szCs w:val="20"/>
        </w:rPr>
        <w:t>L</w:t>
      </w:r>
      <w:r w:rsidR="00514434">
        <w:rPr>
          <w:rFonts w:ascii="Trebuchet MS" w:eastAsia="Calibri" w:hAnsi="Trebuchet MS" w:cs="Times New Roman"/>
          <w:sz w:val="20"/>
          <w:szCs w:val="20"/>
        </w:rPr>
        <w:t>’</w:t>
      </w:r>
      <w:r>
        <w:rPr>
          <w:rFonts w:ascii="Trebuchet MS" w:eastAsia="Calibri" w:hAnsi="Trebuchet MS" w:cs="Times New Roman"/>
          <w:sz w:val="20"/>
          <w:szCs w:val="20"/>
        </w:rPr>
        <w:t xml:space="preserve">Autorità ha quindi ritenuto necessario innanzitutto affermare ancora una volta la rilevanza, nella lotta alla corruzione, degli strumenti di pianificazione e programmazione e, avendo ben presenti gli obiettivi perseguiti dal legislatore, ha elaborato il suo atto </w:t>
      </w:r>
      <w:r w:rsidRPr="0092622D">
        <w:rPr>
          <w:rFonts w:ascii="Trebuchet MS" w:eastAsia="Calibri" w:hAnsi="Trebuchet MS" w:cs="Times New Roman"/>
          <w:sz w:val="20"/>
          <w:szCs w:val="20"/>
        </w:rPr>
        <w:t>di indirizzo con durata triennale per le pubbliche amministrazioni e per gli altri soggetti tenuti a</w:t>
      </w:r>
      <w:r>
        <w:rPr>
          <w:rFonts w:ascii="Trebuchet MS" w:eastAsia="Calibri" w:hAnsi="Trebuchet MS" w:cs="Times New Roman"/>
          <w:sz w:val="20"/>
          <w:szCs w:val="20"/>
        </w:rPr>
        <w:t>ll</w:t>
      </w:r>
      <w:r w:rsidR="00514434">
        <w:rPr>
          <w:rFonts w:ascii="Trebuchet MS" w:eastAsia="Calibri" w:hAnsi="Trebuchet MS" w:cs="Times New Roman"/>
          <w:sz w:val="20"/>
          <w:szCs w:val="20"/>
        </w:rPr>
        <w:t>’</w:t>
      </w:r>
      <w:r>
        <w:rPr>
          <w:rFonts w:ascii="Trebuchet MS" w:eastAsia="Calibri" w:hAnsi="Trebuchet MS" w:cs="Times New Roman"/>
          <w:sz w:val="20"/>
          <w:szCs w:val="20"/>
        </w:rPr>
        <w:t>applicazione della normativa.</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In continuità rispetto al procedimento di predisposizione utilizzato in passato dall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 xml:space="preserve">Autorità, il PNA </w:t>
      </w:r>
      <w:r>
        <w:rPr>
          <w:rFonts w:ascii="Trebuchet MS" w:eastAsia="Calibri" w:hAnsi="Trebuchet MS" w:cs="Times New Roman"/>
          <w:sz w:val="20"/>
          <w:szCs w:val="20"/>
        </w:rPr>
        <w:t xml:space="preserve">2022 </w:t>
      </w:r>
      <w:r w:rsidRPr="00B1764C">
        <w:rPr>
          <w:rFonts w:ascii="Trebuchet MS" w:eastAsia="Calibri" w:hAnsi="Trebuchet MS" w:cs="Times New Roman"/>
          <w:sz w:val="20"/>
          <w:szCs w:val="20"/>
        </w:rPr>
        <w:t>è stato adottato in via preliminare dal Consiglio nella seduta del 21 giugno 2022 e, successivamente, posto in consultazione</w:t>
      </w:r>
      <w:r w:rsidR="00BA5672">
        <w:rPr>
          <w:rFonts w:ascii="Trebuchet MS" w:eastAsia="Calibri" w:hAnsi="Trebuchet MS" w:cs="Times New Roman"/>
          <w:sz w:val="20"/>
          <w:szCs w:val="20"/>
        </w:rPr>
        <w:t xml:space="preserve"> pubblica, aperta dal 24 giugno al </w:t>
      </w:r>
      <w:r w:rsidRPr="00B1764C">
        <w:rPr>
          <w:rFonts w:ascii="Trebuchet MS" w:eastAsia="Calibri" w:hAnsi="Trebuchet MS" w:cs="Times New Roman"/>
          <w:sz w:val="20"/>
          <w:szCs w:val="20"/>
        </w:rPr>
        <w:t xml:space="preserve">15 settembre 2022, al fine di ricevere osservazioni e proposte di integrazione. </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È stata altresì svolta una consultazione mirata con i soggetti istituzionali maggiormente coinvolti nell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attuazione della disciplina in questione, con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invito a presentare osservazioni entro la data di conclusione della consultazione pubblica.</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Times New Roman" w:hAnsi="Trebuchet MS" w:cs="Times New Roman"/>
          <w:sz w:val="20"/>
          <w:szCs w:val="20"/>
        </w:rPr>
        <w:t>In p</w:t>
      </w:r>
      <w:r>
        <w:rPr>
          <w:rFonts w:ascii="Trebuchet MS" w:eastAsia="Times New Roman" w:hAnsi="Trebuchet MS" w:cs="Times New Roman"/>
          <w:sz w:val="20"/>
          <w:szCs w:val="20"/>
        </w:rPr>
        <w:t>articolare, lo schema di PNA 202</w:t>
      </w:r>
      <w:r w:rsidRPr="00B1764C">
        <w:rPr>
          <w:rFonts w:ascii="Trebuchet MS" w:eastAsia="Times New Roman" w:hAnsi="Trebuchet MS" w:cs="Times New Roman"/>
          <w:sz w:val="20"/>
          <w:szCs w:val="20"/>
        </w:rPr>
        <w:t>2 è stato portato all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attenzione del Dipartimento della Funzione pubblica (vista la competenza a disciplinare il PIAO), della Conferenza delle Regioni e delle Province autonome, della Conferenza dei Presidenti delle Assemblee legislative delle Regioni e delle Provin</w:t>
      </w:r>
      <w:r w:rsidR="00A54256">
        <w:rPr>
          <w:rFonts w:ascii="Trebuchet MS" w:eastAsia="Times New Roman" w:hAnsi="Trebuchet MS" w:cs="Times New Roman"/>
          <w:sz w:val="20"/>
          <w:szCs w:val="20"/>
        </w:rPr>
        <w:t>ce autonome, dell</w:t>
      </w:r>
      <w:r w:rsidR="00514434">
        <w:rPr>
          <w:rFonts w:ascii="Trebuchet MS" w:eastAsia="Times New Roman" w:hAnsi="Trebuchet MS" w:cs="Times New Roman"/>
          <w:sz w:val="20"/>
          <w:szCs w:val="20"/>
        </w:rPr>
        <w:t>’</w:t>
      </w:r>
      <w:r w:rsidR="00A54256">
        <w:rPr>
          <w:rFonts w:ascii="Trebuchet MS" w:eastAsia="Times New Roman" w:hAnsi="Trebuchet MS" w:cs="Times New Roman"/>
          <w:sz w:val="20"/>
          <w:szCs w:val="20"/>
        </w:rPr>
        <w:t>Associazione Nazionale Comuni I</w:t>
      </w:r>
      <w:r w:rsidRPr="00B1764C">
        <w:rPr>
          <w:rFonts w:ascii="Trebuchet MS" w:eastAsia="Times New Roman" w:hAnsi="Trebuchet MS" w:cs="Times New Roman"/>
          <w:sz w:val="20"/>
          <w:szCs w:val="20"/>
        </w:rPr>
        <w:t>taliani (ANCI) e dell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Unione delle Provincie d</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 xml:space="preserve">Italia (UPI). </w:t>
      </w:r>
    </w:p>
    <w:p w:rsidR="00E340A1" w:rsidRPr="00B1764C" w:rsidRDefault="00E340A1" w:rsidP="00E340A1">
      <w:pPr>
        <w:tabs>
          <w:tab w:val="left" w:pos="426"/>
        </w:tabs>
        <w:spacing w:after="120" w:line="276" w:lineRule="auto"/>
        <w:jc w:val="both"/>
        <w:rPr>
          <w:rFonts w:ascii="Trebuchet MS" w:eastAsia="Times New Roman" w:hAnsi="Trebuchet MS" w:cs="Times New Roman"/>
          <w:sz w:val="20"/>
          <w:szCs w:val="20"/>
        </w:rPr>
      </w:pPr>
      <w:r w:rsidRPr="00B1764C">
        <w:rPr>
          <w:rFonts w:ascii="Trebuchet MS" w:eastAsia="Times New Roman" w:hAnsi="Trebuchet MS" w:cs="Times New Roman"/>
          <w:sz w:val="20"/>
          <w:szCs w:val="20"/>
        </w:rPr>
        <w:t>Si è ritenuto opportuno avviare una consultazione mirata anche con 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Unità di informazione finanziaria per 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It</w:t>
      </w:r>
      <w:r w:rsidR="003542F8">
        <w:rPr>
          <w:rFonts w:ascii="Trebuchet MS" w:eastAsia="Times New Roman" w:hAnsi="Trebuchet MS" w:cs="Times New Roman"/>
          <w:sz w:val="20"/>
          <w:szCs w:val="20"/>
        </w:rPr>
        <w:t>alia (UIF), il Ministero delle Infrastrutture e dei T</w:t>
      </w:r>
      <w:r w:rsidRPr="00B1764C">
        <w:rPr>
          <w:rFonts w:ascii="Trebuchet MS" w:eastAsia="Times New Roman" w:hAnsi="Trebuchet MS" w:cs="Times New Roman"/>
          <w:sz w:val="20"/>
          <w:szCs w:val="20"/>
        </w:rPr>
        <w:t>rasporti (MIT), soprattutto per 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 xml:space="preserve">approfondimento sui </w:t>
      </w:r>
      <w:r w:rsidRPr="00B1764C">
        <w:rPr>
          <w:rFonts w:ascii="Trebuchet MS" w:eastAsia="Times New Roman" w:hAnsi="Trebuchet MS" w:cs="Times New Roman"/>
          <w:sz w:val="20"/>
          <w:szCs w:val="20"/>
        </w:rPr>
        <w:lastRenderedPageBreak/>
        <w:t>Commissari straordinari di cui all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 xml:space="preserve">articolo 4 del </w:t>
      </w:r>
      <w:r w:rsidRPr="00B1764C">
        <w:rPr>
          <w:rFonts w:ascii="Trebuchet MS" w:eastAsia="Times New Roman" w:hAnsi="Trebuchet MS" w:cs="Times New Roman"/>
          <w:bCs/>
          <w:sz w:val="20"/>
          <w:szCs w:val="20"/>
        </w:rPr>
        <w:t>decreto-legge n. 32/2019</w:t>
      </w:r>
      <w:r w:rsidRPr="00B1764C">
        <w:rPr>
          <w:rStyle w:val="Rimandonotaapidipagina"/>
          <w:rFonts w:ascii="Trebuchet MS" w:hAnsi="Trebuchet MS"/>
        </w:rPr>
        <w:footnoteReference w:id="3"/>
      </w:r>
      <w:r w:rsidRPr="00B1764C">
        <w:rPr>
          <w:rFonts w:ascii="Trebuchet MS" w:eastAsia="Times New Roman" w:hAnsi="Trebuchet MS" w:cs="Times New Roman"/>
          <w:bCs/>
          <w:sz w:val="20"/>
          <w:szCs w:val="20"/>
        </w:rPr>
        <w:t xml:space="preserve"> (c.d. Sblocca cantieri)</w:t>
      </w:r>
      <w:r w:rsidRPr="00B1764C">
        <w:rPr>
          <w:rFonts w:ascii="Trebuchet MS" w:eastAsia="Times New Roman" w:hAnsi="Trebuchet MS" w:cs="Times New Roman"/>
          <w:sz w:val="20"/>
          <w:szCs w:val="20"/>
        </w:rPr>
        <w:t xml:space="preserve"> - che sono in gran parte </w:t>
      </w:r>
      <w:r w:rsidR="00D60560">
        <w:rPr>
          <w:rFonts w:ascii="Trebuchet MS" w:eastAsia="Times New Roman" w:hAnsi="Trebuchet MS" w:cs="Times New Roman"/>
          <w:sz w:val="20"/>
          <w:szCs w:val="20"/>
        </w:rPr>
        <w:t>collegati al Ministero stesso -</w:t>
      </w:r>
      <w:r w:rsidRPr="00B1764C">
        <w:rPr>
          <w:rFonts w:ascii="Trebuchet MS" w:eastAsia="Times New Roman" w:hAnsi="Trebuchet MS" w:cs="Times New Roman"/>
          <w:sz w:val="20"/>
          <w:szCs w:val="20"/>
        </w:rPr>
        <w:t xml:space="preserve"> e con gli Osservatori regionali, per quanto riguarda gli obblighi di trasparenza dei contratti pubblici.</w:t>
      </w:r>
    </w:p>
    <w:p w:rsidR="00E340A1" w:rsidRPr="00B1764C" w:rsidRDefault="00E340A1" w:rsidP="00E340A1">
      <w:pPr>
        <w:tabs>
          <w:tab w:val="left" w:pos="426"/>
        </w:tabs>
        <w:spacing w:after="120" w:line="276" w:lineRule="auto"/>
        <w:jc w:val="both"/>
        <w:rPr>
          <w:rFonts w:ascii="Trebuchet MS" w:eastAsia="Times New Roman" w:hAnsi="Trebuchet MS" w:cs="Times New Roman"/>
          <w:sz w:val="20"/>
          <w:szCs w:val="20"/>
        </w:rPr>
      </w:pPr>
      <w:r w:rsidRPr="00B1764C">
        <w:rPr>
          <w:rFonts w:ascii="Trebuchet MS" w:eastAsia="Times New Roman" w:hAnsi="Trebuchet MS" w:cs="Times New Roman"/>
          <w:sz w:val="20"/>
          <w:szCs w:val="20"/>
        </w:rPr>
        <w:t>All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esito della consultazione pubblica, hanno presentato osservazioni complessivamente n. 36 soggetti</w:t>
      </w:r>
      <w:r w:rsidRPr="00B1764C">
        <w:rPr>
          <w:rFonts w:ascii="Trebuchet MS" w:eastAsia="Times New Roman" w:hAnsi="Trebuchet MS" w:cs="Times New Roman"/>
          <w:sz w:val="20"/>
          <w:szCs w:val="20"/>
          <w:vertAlign w:val="superscript"/>
        </w:rPr>
        <w:footnoteReference w:id="4"/>
      </w:r>
      <w:r w:rsidRPr="00B1764C">
        <w:rPr>
          <w:rFonts w:ascii="Trebuchet MS" w:eastAsia="Times New Roman" w:hAnsi="Trebuchet MS" w:cs="Times New Roman"/>
          <w:sz w:val="20"/>
          <w:szCs w:val="20"/>
        </w:rPr>
        <w:t xml:space="preserve">. </w:t>
      </w:r>
    </w:p>
    <w:p w:rsidR="00E340A1" w:rsidRPr="00B1764C" w:rsidRDefault="00E340A1" w:rsidP="00E340A1">
      <w:pPr>
        <w:tabs>
          <w:tab w:val="left" w:pos="426"/>
        </w:tabs>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Sono stati poi acquisiti, ai sensi dell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art. 1, co. 2-</w:t>
      </w:r>
      <w:r w:rsidRPr="00B1764C">
        <w:rPr>
          <w:rFonts w:ascii="Trebuchet MS" w:eastAsia="Calibri" w:hAnsi="Trebuchet MS" w:cs="Times New Roman"/>
          <w:i/>
          <w:sz w:val="20"/>
          <w:szCs w:val="20"/>
        </w:rPr>
        <w:t>bis</w:t>
      </w:r>
      <w:r w:rsidRPr="00B1764C">
        <w:rPr>
          <w:rFonts w:ascii="Trebuchet MS" w:eastAsia="Calibri" w:hAnsi="Trebuchet MS" w:cs="Times New Roman"/>
          <w:sz w:val="20"/>
          <w:szCs w:val="20"/>
        </w:rPr>
        <w:t>, della legge n. 190/2012, i pareri favorevoli, con osservazioni, della Conferenza Unificata (21 dicembre 2022) e del Comitato interministeriale per la prevenzione e il contrasto della corruzione e dell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illegalità nella pubblica amministrazione (12 gennaio 2023).</w:t>
      </w:r>
    </w:p>
    <w:p w:rsidR="00E340A1" w:rsidRPr="00B1764C" w:rsidRDefault="00E340A1" w:rsidP="00E340A1">
      <w:pPr>
        <w:tabs>
          <w:tab w:val="left" w:pos="426"/>
        </w:tabs>
        <w:spacing w:after="120" w:line="276" w:lineRule="auto"/>
        <w:jc w:val="both"/>
        <w:rPr>
          <w:rFonts w:ascii="Trebuchet MS" w:eastAsia="Times New Roman" w:hAnsi="Trebuchet MS" w:cs="Times New Roman"/>
          <w:sz w:val="20"/>
          <w:szCs w:val="20"/>
        </w:rPr>
      </w:pPr>
      <w:r w:rsidRPr="00B1764C">
        <w:rPr>
          <w:rFonts w:ascii="Trebuchet MS" w:eastAsia="Calibri" w:hAnsi="Trebuchet MS" w:cs="Times New Roman"/>
          <w:sz w:val="20"/>
          <w:szCs w:val="20"/>
        </w:rPr>
        <w:t xml:space="preserve">Il testo finale del PNA 2022, che consta di due parti, ognuna delle quali corredata dai relativi allegati, è stato da ultimo approvato con la delibera ANAC n. 7 del 17 gennaio 2023, e risulta </w:t>
      </w:r>
      <w:r w:rsidRPr="00B1764C">
        <w:rPr>
          <w:rFonts w:ascii="Trebuchet MS" w:eastAsia="Times New Roman" w:hAnsi="Trebuchet MS" w:cs="Times New Roman"/>
          <w:sz w:val="20"/>
          <w:szCs w:val="20"/>
        </w:rPr>
        <w:t>redatto con una veste grafica che ne facilita la lettura attraverso 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inserimento di appositi riquadri e di collegamenti ipertestuali che rinviano ai provvedimenti emanati dall</w:t>
      </w:r>
      <w:r w:rsidR="00514434">
        <w:rPr>
          <w:rFonts w:ascii="Trebuchet MS" w:eastAsia="Times New Roman" w:hAnsi="Trebuchet MS" w:cs="Times New Roman"/>
          <w:sz w:val="20"/>
          <w:szCs w:val="20"/>
        </w:rPr>
        <w:t>’</w:t>
      </w:r>
      <w:r w:rsidRPr="00B1764C">
        <w:rPr>
          <w:rFonts w:ascii="Trebuchet MS" w:eastAsia="Times New Roman" w:hAnsi="Trebuchet MS" w:cs="Times New Roman"/>
          <w:sz w:val="20"/>
          <w:szCs w:val="20"/>
        </w:rPr>
        <w:t>Autorità nel corso degli anni e ancora vigenti. Le delibere ANAC citate nel documento devono intendersi come integrative delle indicazioni fornite con il documento stesso.</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La Parte generale (e relativi n. 4 allegati</w:t>
      </w:r>
      <w:r w:rsidRPr="00B1764C">
        <w:rPr>
          <w:rFonts w:ascii="Trebuchet MS" w:eastAsia="Calibri" w:hAnsi="Trebuchet MS" w:cs="Times New Roman"/>
          <w:sz w:val="20"/>
          <w:szCs w:val="20"/>
          <w:vertAlign w:val="superscript"/>
        </w:rPr>
        <w:footnoteReference w:id="5"/>
      </w:r>
      <w:r w:rsidRPr="00B1764C">
        <w:rPr>
          <w:rFonts w:ascii="Trebuchet MS" w:eastAsia="Calibri" w:hAnsi="Trebuchet MS" w:cs="Times New Roman"/>
          <w:sz w:val="20"/>
          <w:szCs w:val="20"/>
        </w:rPr>
        <w:t>) è volta a sostenere le amministrazioni pubbliche nella pianificazione e nel monitoraggio delle misure di prevenzione della corruzione e della trasparenza e i Responsabili della prevenzione della corruzione e della trasparenza (RPCT) nel loro importante ruolo di coordinatori del sistema previsto dalla legge n. 190/2012, alla luce delle modifiche introdotte dal citato decreto-legge n. 80/2021 e nella logica di semplificare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attività degli enti di minori dimensioni.</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bCs/>
          <w:sz w:val="20"/>
          <w:szCs w:val="20"/>
        </w:rPr>
        <w:t>I contenuti di questa sezione del PNA 2022 della Parte generale, oltre che innovare, ove necessario, le indicazioni già fornite dall</w:t>
      </w:r>
      <w:r w:rsidR="00514434">
        <w:rPr>
          <w:rFonts w:ascii="Trebuchet MS" w:eastAsia="Calibri" w:hAnsi="Trebuchet MS" w:cs="Times New Roman"/>
          <w:bCs/>
          <w:sz w:val="20"/>
          <w:szCs w:val="20"/>
        </w:rPr>
        <w:t>’</w:t>
      </w:r>
      <w:r w:rsidRPr="00B1764C">
        <w:rPr>
          <w:rFonts w:ascii="Trebuchet MS" w:eastAsia="Calibri" w:hAnsi="Trebuchet MS" w:cs="Times New Roman"/>
          <w:bCs/>
          <w:sz w:val="20"/>
          <w:szCs w:val="20"/>
        </w:rPr>
        <w:t>Autorità con i propri atti di regolazione, tengono conto anche del documento</w:t>
      </w:r>
      <w:r w:rsidRPr="00B1764C">
        <w:rPr>
          <w:rFonts w:ascii="Trebuchet MS" w:eastAsia="Calibri" w:hAnsi="Trebuchet MS" w:cs="Times New Roman"/>
          <w:bCs/>
          <w:i/>
          <w:sz w:val="20"/>
          <w:szCs w:val="20"/>
        </w:rPr>
        <w:t xml:space="preserve"> “</w:t>
      </w:r>
      <w:r w:rsidRPr="00B1764C">
        <w:rPr>
          <w:rFonts w:ascii="Trebuchet MS" w:eastAsia="Calibri" w:hAnsi="Trebuchet MS" w:cs="Times New Roman"/>
          <w:i/>
          <w:sz w:val="20"/>
          <w:szCs w:val="20"/>
        </w:rPr>
        <w:t>Orientamenti per la pianificazione Anticorruzione e Trasparenza 2022”</w:t>
      </w:r>
      <w:r w:rsidRPr="00B1764C">
        <w:rPr>
          <w:rFonts w:ascii="Trebuchet MS" w:eastAsia="Calibri" w:hAnsi="Trebuchet MS" w:cs="Times New Roman"/>
          <w:sz w:val="20"/>
          <w:szCs w:val="20"/>
        </w:rPr>
        <w:t>, approvato dal Consiglio nel febbraio 2022, e presentato in occasione dell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evento organizzato dall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Autorità “</w:t>
      </w:r>
      <w:r w:rsidRPr="00B1764C">
        <w:rPr>
          <w:rFonts w:ascii="Trebuchet MS" w:eastAsia="Calibri" w:hAnsi="Trebuchet MS" w:cs="Times New Roman"/>
          <w:i/>
          <w:sz w:val="20"/>
          <w:szCs w:val="20"/>
        </w:rPr>
        <w:t>Sull</w:t>
      </w:r>
      <w:r w:rsidR="00514434">
        <w:rPr>
          <w:rFonts w:ascii="Trebuchet MS" w:eastAsia="Calibri" w:hAnsi="Trebuchet MS" w:cs="Times New Roman"/>
          <w:i/>
          <w:sz w:val="20"/>
          <w:szCs w:val="20"/>
        </w:rPr>
        <w:t>’</w:t>
      </w:r>
      <w:r w:rsidRPr="00B1764C">
        <w:rPr>
          <w:rFonts w:ascii="Trebuchet MS" w:eastAsia="Calibri" w:hAnsi="Trebuchet MS" w:cs="Times New Roman"/>
          <w:i/>
          <w:sz w:val="20"/>
          <w:szCs w:val="20"/>
        </w:rPr>
        <w:t>onda della semplificazione e della trasparenza</w:t>
      </w:r>
      <w:r w:rsidRPr="00B1764C">
        <w:rPr>
          <w:rFonts w:ascii="Trebuchet MS" w:eastAsia="Calibri" w:hAnsi="Trebuchet MS" w:cs="Times New Roman"/>
          <w:sz w:val="20"/>
          <w:szCs w:val="20"/>
        </w:rPr>
        <w:t>”, in cui, tra le altre, sono state fornite indicazioni per una corretta nomina del RPCT, per la pianificazione delle misure di prevenzione della corruzione, per trattare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area a rischio contratti pubblici.</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 xml:space="preserve">Autorità è inoltre tornata ad affrontare il tema del </w:t>
      </w:r>
      <w:r w:rsidRPr="00B1764C">
        <w:rPr>
          <w:rFonts w:ascii="Trebuchet MS" w:eastAsia="Calibri" w:hAnsi="Trebuchet MS" w:cs="Times New Roman"/>
          <w:i/>
          <w:sz w:val="20"/>
          <w:szCs w:val="20"/>
        </w:rPr>
        <w:t>pantouflage</w:t>
      </w:r>
      <w:r w:rsidRPr="00B1764C">
        <w:rPr>
          <w:rFonts w:ascii="Trebuchet MS" w:eastAsia="Calibri" w:hAnsi="Trebuchet MS" w:cs="Times New Roman"/>
          <w:sz w:val="20"/>
          <w:szCs w:val="20"/>
        </w:rPr>
        <w:t xml:space="preserve">, che verrà trattato diffusamente </w:t>
      </w:r>
      <w:r w:rsidRPr="00B1764C">
        <w:rPr>
          <w:rFonts w:ascii="Trebuchet MS" w:eastAsia="Calibri" w:hAnsi="Trebuchet MS" w:cs="Times New Roman"/>
          <w:i/>
          <w:sz w:val="20"/>
          <w:szCs w:val="20"/>
        </w:rPr>
        <w:t>infra</w:t>
      </w:r>
      <w:r w:rsidRPr="00B1764C">
        <w:rPr>
          <w:rFonts w:ascii="Trebuchet MS" w:eastAsia="Calibri" w:hAnsi="Trebuchet MS" w:cs="Times New Roman"/>
          <w:sz w:val="20"/>
          <w:szCs w:val="20"/>
        </w:rPr>
        <w:t>, al fine di fornire chiarimenti e soluzioni operative in merito agli aspetti sostanziali della relativa disciplina, rinviando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approfondimento degli aspetti procedurali a successivi atti di regolazione.</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t>La Parte speciale (e relativi 7 allegati</w:t>
      </w:r>
      <w:r w:rsidRPr="00B1764C">
        <w:rPr>
          <w:rFonts w:ascii="Trebuchet MS" w:eastAsia="Calibri" w:hAnsi="Trebuchet MS" w:cs="Times New Roman"/>
          <w:sz w:val="20"/>
          <w:szCs w:val="20"/>
          <w:vertAlign w:val="superscript"/>
        </w:rPr>
        <w:footnoteReference w:id="6"/>
      </w:r>
      <w:r w:rsidRPr="00B1764C">
        <w:rPr>
          <w:rFonts w:ascii="Trebuchet MS" w:eastAsia="Calibri" w:hAnsi="Trebuchet MS" w:cs="Times New Roman"/>
          <w:sz w:val="20"/>
          <w:szCs w:val="20"/>
        </w:rPr>
        <w:t>)</w:t>
      </w:r>
      <w:r>
        <w:rPr>
          <w:rFonts w:ascii="Trebuchet MS" w:eastAsia="Calibri" w:hAnsi="Trebuchet MS" w:cs="Times New Roman"/>
          <w:sz w:val="20"/>
          <w:szCs w:val="20"/>
        </w:rPr>
        <w:t xml:space="preserve"> </w:t>
      </w:r>
      <w:r w:rsidRPr="00B1764C">
        <w:rPr>
          <w:rFonts w:ascii="Trebuchet MS" w:eastAsia="Calibri" w:hAnsi="Trebuchet MS" w:cs="Times New Roman"/>
          <w:sz w:val="20"/>
          <w:szCs w:val="20"/>
        </w:rPr>
        <w:t>si concentra invece sui contratti pubblici, ambito in cui l</w:t>
      </w:r>
      <w:r w:rsidR="00514434">
        <w:rPr>
          <w:rFonts w:ascii="Trebuchet MS" w:eastAsia="Calibri" w:hAnsi="Trebuchet MS" w:cs="Times New Roman"/>
          <w:sz w:val="20"/>
          <w:szCs w:val="20"/>
        </w:rPr>
        <w:t>’</w:t>
      </w:r>
      <w:r w:rsidRPr="00B1764C">
        <w:rPr>
          <w:rFonts w:ascii="Trebuchet MS" w:eastAsia="Calibri" w:hAnsi="Trebuchet MS" w:cs="Times New Roman"/>
          <w:sz w:val="20"/>
          <w:szCs w:val="20"/>
        </w:rPr>
        <w:t xml:space="preserve">Autorità riveste un ruolo di primario rilievo e a cui lo stesso PNRR dedica cruciali riforme. </w:t>
      </w:r>
    </w:p>
    <w:p w:rsidR="00E340A1" w:rsidRPr="00B1764C" w:rsidRDefault="00E340A1" w:rsidP="00E340A1">
      <w:pPr>
        <w:spacing w:after="120" w:line="276" w:lineRule="auto"/>
        <w:jc w:val="both"/>
        <w:rPr>
          <w:rFonts w:ascii="Trebuchet MS" w:eastAsia="Calibri" w:hAnsi="Trebuchet MS" w:cs="Times New Roman"/>
          <w:sz w:val="20"/>
          <w:szCs w:val="20"/>
        </w:rPr>
      </w:pPr>
      <w:r w:rsidRPr="00B1764C">
        <w:rPr>
          <w:rFonts w:ascii="Trebuchet MS" w:eastAsia="Calibri" w:hAnsi="Trebuchet MS" w:cs="Times New Roman"/>
          <w:sz w:val="20"/>
          <w:szCs w:val="20"/>
        </w:rPr>
        <w:lastRenderedPageBreak/>
        <w:t>ANAC si è soffermata su diversi profili di analisi dei contratti pubblici e in particolar modo sulla disciplina derogatoria introdotta dal legislatore per semplificare e velocizzare gli affidamenti, sulla gestione dei conflitti di interesse nella materia dei contratti pubblici (con previsioni che superano le indicazioni sul punto fornite nel PNA 2019), sulla trasparenza delle procedure, sulle gestioni commissariali.</w:t>
      </w:r>
    </w:p>
    <w:p w:rsidR="0080474E" w:rsidRDefault="0080474E" w:rsidP="00E340A1">
      <w:pPr>
        <w:spacing w:after="120" w:line="276" w:lineRule="auto"/>
        <w:ind w:right="-1"/>
        <w:jc w:val="both"/>
        <w:rPr>
          <w:rFonts w:ascii="Trebuchet MS" w:hAnsi="Trebuchet MS"/>
          <w:sz w:val="20"/>
          <w:szCs w:val="20"/>
        </w:rPr>
      </w:pPr>
    </w:p>
    <w:p w:rsidR="00E340A1" w:rsidRPr="00EE5EE5" w:rsidRDefault="00E340A1" w:rsidP="00EE5EE5">
      <w:pPr>
        <w:pStyle w:val="PARAGRAFORELAZIONE"/>
      </w:pPr>
      <w:bookmarkStart w:id="5" w:name="_Toc134808534"/>
      <w:r w:rsidRPr="00376C1C">
        <w:rPr>
          <w:rStyle w:val="ANACNUMEROCAPITOLOCarattere"/>
          <w:rFonts w:eastAsiaTheme="majorEastAsia"/>
          <w:sz w:val="24"/>
          <w:szCs w:val="24"/>
        </w:rPr>
        <w:t>2. L</w:t>
      </w:r>
      <w:r w:rsidR="00514434">
        <w:rPr>
          <w:rStyle w:val="ANACNUMEROCAPITOLOCarattere"/>
          <w:rFonts w:eastAsiaTheme="majorEastAsia"/>
          <w:sz w:val="24"/>
          <w:szCs w:val="24"/>
        </w:rPr>
        <w:t>’</w:t>
      </w:r>
      <w:r w:rsidRPr="00376C1C">
        <w:rPr>
          <w:rStyle w:val="ANACNUMEROCAPITOLOCarattere"/>
          <w:rFonts w:eastAsiaTheme="majorEastAsia"/>
          <w:sz w:val="24"/>
          <w:szCs w:val="24"/>
        </w:rPr>
        <w:t>attività di regolazione</w:t>
      </w:r>
      <w:bookmarkEnd w:id="5"/>
    </w:p>
    <w:p w:rsidR="00E340A1" w:rsidRPr="00A25BEC" w:rsidRDefault="00E340A1" w:rsidP="00E340A1">
      <w:pPr>
        <w:spacing w:after="120" w:line="276" w:lineRule="auto"/>
        <w:ind w:right="-1"/>
        <w:jc w:val="both"/>
        <w:rPr>
          <w:rFonts w:ascii="Trebuchet MS" w:eastAsia="Calibri" w:hAnsi="Trebuchet MS" w:cstheme="minorHAnsi"/>
          <w:bCs/>
          <w:sz w:val="20"/>
          <w:szCs w:val="20"/>
          <w:lang w:eastAsia="it-IT"/>
        </w:rPr>
      </w:pPr>
      <w:r w:rsidRPr="00A25BEC">
        <w:rPr>
          <w:rFonts w:ascii="Trebuchet MS" w:eastAsia="Calibri" w:hAnsi="Trebuchet MS" w:cstheme="minorHAnsi"/>
          <w:bCs/>
          <w:sz w:val="20"/>
          <w:szCs w:val="20"/>
          <w:lang w:eastAsia="it-IT"/>
        </w:rPr>
        <w:t>Nello svolgimento dell</w:t>
      </w:r>
      <w:r w:rsidR="00514434">
        <w:rPr>
          <w:rFonts w:ascii="Trebuchet MS" w:eastAsia="Calibri" w:hAnsi="Trebuchet MS" w:cstheme="minorHAnsi"/>
          <w:bCs/>
          <w:sz w:val="20"/>
          <w:szCs w:val="20"/>
          <w:lang w:eastAsia="it-IT"/>
        </w:rPr>
        <w:t>’</w:t>
      </w:r>
      <w:r w:rsidRPr="00A25BEC">
        <w:rPr>
          <w:rFonts w:ascii="Trebuchet MS" w:eastAsia="Calibri" w:hAnsi="Trebuchet MS" w:cstheme="minorHAnsi"/>
          <w:bCs/>
          <w:sz w:val="20"/>
          <w:szCs w:val="20"/>
          <w:lang w:eastAsia="it-IT"/>
        </w:rPr>
        <w:t>attività di regolazione l</w:t>
      </w:r>
      <w:r w:rsidR="00514434">
        <w:rPr>
          <w:rFonts w:ascii="Trebuchet MS" w:eastAsia="Calibri" w:hAnsi="Trebuchet MS" w:cstheme="minorHAnsi"/>
          <w:bCs/>
          <w:sz w:val="20"/>
          <w:szCs w:val="20"/>
          <w:lang w:eastAsia="it-IT"/>
        </w:rPr>
        <w:t>’</w:t>
      </w:r>
      <w:r w:rsidRPr="00A25BEC">
        <w:rPr>
          <w:rFonts w:ascii="Trebuchet MS" w:eastAsia="Calibri" w:hAnsi="Trebuchet MS" w:cstheme="minorHAnsi"/>
          <w:bCs/>
          <w:sz w:val="20"/>
          <w:szCs w:val="20"/>
          <w:lang w:eastAsia="it-IT"/>
        </w:rPr>
        <w:t>Autorità ha poi trattato alcune questioni relative, tra l</w:t>
      </w:r>
      <w:r w:rsidR="00514434">
        <w:rPr>
          <w:rFonts w:ascii="Trebuchet MS" w:eastAsia="Calibri" w:hAnsi="Trebuchet MS" w:cstheme="minorHAnsi"/>
          <w:bCs/>
          <w:sz w:val="20"/>
          <w:szCs w:val="20"/>
          <w:lang w:eastAsia="it-IT"/>
        </w:rPr>
        <w:t>’</w:t>
      </w:r>
      <w:r w:rsidRPr="00A25BEC">
        <w:rPr>
          <w:rFonts w:ascii="Trebuchet MS" w:eastAsia="Calibri" w:hAnsi="Trebuchet MS" w:cstheme="minorHAnsi"/>
          <w:bCs/>
          <w:sz w:val="20"/>
          <w:szCs w:val="20"/>
          <w:lang w:eastAsia="it-IT"/>
        </w:rPr>
        <w:t>altro, all</w:t>
      </w:r>
      <w:r w:rsidR="00514434">
        <w:rPr>
          <w:rFonts w:ascii="Trebuchet MS" w:eastAsia="Calibri" w:hAnsi="Trebuchet MS" w:cstheme="minorHAnsi"/>
          <w:bCs/>
          <w:sz w:val="20"/>
          <w:szCs w:val="20"/>
          <w:lang w:eastAsia="it-IT"/>
        </w:rPr>
        <w:t>’</w:t>
      </w:r>
      <w:r w:rsidRPr="00A25BEC">
        <w:rPr>
          <w:rFonts w:ascii="Trebuchet MS" w:eastAsia="Calibri" w:hAnsi="Trebuchet MS" w:cstheme="minorHAnsi"/>
          <w:bCs/>
          <w:sz w:val="20"/>
          <w:szCs w:val="20"/>
          <w:lang w:eastAsia="it-IT"/>
        </w:rPr>
        <w:t xml:space="preserve">interpretazione e alla corretta applicazione della normativa in materia di trasparenza di cui al </w:t>
      </w:r>
      <w:r>
        <w:rPr>
          <w:rFonts w:ascii="Trebuchet MS" w:eastAsia="Calibri" w:hAnsi="Trebuchet MS" w:cstheme="minorHAnsi"/>
          <w:bCs/>
          <w:sz w:val="20"/>
          <w:szCs w:val="20"/>
          <w:lang w:eastAsia="it-IT"/>
        </w:rPr>
        <w:t>d.lgs. n. 33/2013</w:t>
      </w:r>
      <w:r w:rsidRPr="00A25BEC">
        <w:rPr>
          <w:rFonts w:ascii="Trebuchet MS" w:eastAsia="Calibri" w:hAnsi="Trebuchet MS" w:cstheme="minorHAnsi"/>
          <w:bCs/>
          <w:sz w:val="20"/>
          <w:szCs w:val="20"/>
          <w:lang w:eastAsia="it-IT"/>
        </w:rPr>
        <w:t>, confluite in alcuni casi, per la rilevanza delle tematiche, in specifiche delibere adottate dal Consiglio e pubblicate sul sito istituzionale.</w:t>
      </w:r>
    </w:p>
    <w:p w:rsidR="00E340A1" w:rsidRPr="00DF75D2" w:rsidRDefault="00E340A1" w:rsidP="00E340A1">
      <w:pPr>
        <w:spacing w:after="120" w:line="276" w:lineRule="auto"/>
        <w:jc w:val="both"/>
        <w:rPr>
          <w:rFonts w:ascii="Trebuchet MS" w:hAnsi="Trebuchet MS"/>
          <w:sz w:val="20"/>
          <w:szCs w:val="20"/>
        </w:rPr>
      </w:pPr>
      <w:r w:rsidRPr="00DF75D2">
        <w:rPr>
          <w:rFonts w:ascii="Trebuchet MS" w:hAnsi="Trebuchet MS"/>
          <w:sz w:val="20"/>
          <w:szCs w:val="20"/>
        </w:rPr>
        <w:t>Gli approfondimenti sono stati volti</w:t>
      </w:r>
      <w:r>
        <w:rPr>
          <w:rFonts w:ascii="Trebuchet MS" w:hAnsi="Trebuchet MS"/>
          <w:sz w:val="20"/>
          <w:szCs w:val="20"/>
        </w:rPr>
        <w:t>, in particolare,</w:t>
      </w:r>
      <w:r w:rsidRPr="00DF75D2">
        <w:rPr>
          <w:rFonts w:ascii="Trebuchet MS" w:hAnsi="Trebuchet MS"/>
          <w:sz w:val="20"/>
          <w:szCs w:val="20"/>
        </w:rPr>
        <w:t xml:space="preserve"> a definire l</w:t>
      </w:r>
      <w:r w:rsidR="00514434">
        <w:rPr>
          <w:rFonts w:ascii="Trebuchet MS" w:hAnsi="Trebuchet MS"/>
          <w:sz w:val="20"/>
          <w:szCs w:val="20"/>
        </w:rPr>
        <w:t>’</w:t>
      </w:r>
      <w:r w:rsidRPr="00DF75D2">
        <w:rPr>
          <w:rFonts w:ascii="Trebuchet MS" w:hAnsi="Trebuchet MS"/>
          <w:sz w:val="20"/>
          <w:szCs w:val="20"/>
        </w:rPr>
        <w:t>ambito soggettivo di applicazione delle disposizioni e ad orientare l</w:t>
      </w:r>
      <w:r w:rsidR="00514434">
        <w:rPr>
          <w:rFonts w:ascii="Trebuchet MS" w:hAnsi="Trebuchet MS"/>
          <w:sz w:val="20"/>
          <w:szCs w:val="20"/>
        </w:rPr>
        <w:t>’</w:t>
      </w:r>
      <w:r w:rsidRPr="00DF75D2">
        <w:rPr>
          <w:rFonts w:ascii="Trebuchet MS" w:hAnsi="Trebuchet MS"/>
          <w:sz w:val="20"/>
          <w:szCs w:val="20"/>
        </w:rPr>
        <w:t xml:space="preserve">attuazione </w:t>
      </w:r>
      <w:r>
        <w:rPr>
          <w:rFonts w:ascii="Trebuchet MS" w:hAnsi="Trebuchet MS"/>
          <w:sz w:val="20"/>
          <w:szCs w:val="20"/>
        </w:rPr>
        <w:t>della normativa</w:t>
      </w:r>
      <w:r w:rsidRPr="00DF75D2">
        <w:rPr>
          <w:rFonts w:ascii="Trebuchet MS" w:hAnsi="Trebuchet MS"/>
          <w:sz w:val="20"/>
          <w:szCs w:val="20"/>
        </w:rPr>
        <w:t>.</w:t>
      </w:r>
    </w:p>
    <w:p w:rsidR="00E340A1" w:rsidRPr="00DF75D2" w:rsidRDefault="00E340A1" w:rsidP="00E340A1">
      <w:pPr>
        <w:spacing w:after="120" w:line="276" w:lineRule="auto"/>
        <w:jc w:val="both"/>
        <w:rPr>
          <w:rFonts w:ascii="Trebuchet MS" w:hAnsi="Trebuchet MS"/>
          <w:sz w:val="20"/>
          <w:szCs w:val="20"/>
        </w:rPr>
      </w:pPr>
      <w:r w:rsidRPr="00741450">
        <w:rPr>
          <w:rFonts w:ascii="Trebuchet MS" w:hAnsi="Trebuchet MS"/>
          <w:sz w:val="20"/>
          <w:szCs w:val="20"/>
        </w:rPr>
        <w:t>Nel dettaglio</w:t>
      </w:r>
      <w:r>
        <w:rPr>
          <w:rFonts w:ascii="Trebuchet MS" w:hAnsi="Trebuchet MS"/>
          <w:sz w:val="20"/>
          <w:szCs w:val="20"/>
        </w:rPr>
        <w:t>, l</w:t>
      </w:r>
      <w:r w:rsidR="00514434">
        <w:rPr>
          <w:rFonts w:ascii="Trebuchet MS" w:hAnsi="Trebuchet MS"/>
          <w:sz w:val="20"/>
          <w:szCs w:val="20"/>
        </w:rPr>
        <w:t>’</w:t>
      </w:r>
      <w:r w:rsidRPr="00DF75D2">
        <w:rPr>
          <w:rFonts w:ascii="Trebuchet MS" w:hAnsi="Trebuchet MS"/>
          <w:sz w:val="20"/>
          <w:szCs w:val="20"/>
        </w:rPr>
        <w:t>Autorità con la</w:t>
      </w:r>
      <w:r>
        <w:rPr>
          <w:rFonts w:ascii="Trebuchet MS" w:hAnsi="Trebuchet MS"/>
          <w:sz w:val="20"/>
          <w:szCs w:val="20"/>
        </w:rPr>
        <w:t xml:space="preserve"> delibera n. 77 del 16 febbraio 2022</w:t>
      </w:r>
      <w:r w:rsidRPr="00DF75D2">
        <w:rPr>
          <w:rFonts w:ascii="Trebuchet MS" w:hAnsi="Trebuchet MS"/>
          <w:sz w:val="20"/>
          <w:szCs w:val="20"/>
        </w:rPr>
        <w:t xml:space="preserve"> ha fornito un orientamento alle amministrazioni in merit</w:t>
      </w:r>
      <w:r>
        <w:rPr>
          <w:rFonts w:ascii="Trebuchet MS" w:hAnsi="Trebuchet MS"/>
          <w:sz w:val="20"/>
          <w:szCs w:val="20"/>
        </w:rPr>
        <w:t xml:space="preserve">o alle modalità di assolvimento </w:t>
      </w:r>
      <w:r w:rsidRPr="00DF75D2">
        <w:rPr>
          <w:rFonts w:ascii="Trebuchet MS" w:hAnsi="Trebuchet MS"/>
          <w:sz w:val="20"/>
          <w:szCs w:val="20"/>
        </w:rPr>
        <w:t>dell</w:t>
      </w:r>
      <w:r w:rsidR="00514434">
        <w:rPr>
          <w:rFonts w:ascii="Trebuchet MS" w:hAnsi="Trebuchet MS"/>
          <w:sz w:val="20"/>
          <w:szCs w:val="20"/>
        </w:rPr>
        <w:t>’</w:t>
      </w:r>
      <w:r w:rsidRPr="00DF75D2">
        <w:rPr>
          <w:rFonts w:ascii="Trebuchet MS" w:hAnsi="Trebuchet MS"/>
          <w:sz w:val="20"/>
          <w:szCs w:val="20"/>
        </w:rPr>
        <w:t>obbligo di pubblicazione per i pagamenti informatic</w:t>
      </w:r>
      <w:r>
        <w:rPr>
          <w:rFonts w:ascii="Trebuchet MS" w:hAnsi="Trebuchet MS"/>
          <w:sz w:val="20"/>
          <w:szCs w:val="20"/>
        </w:rPr>
        <w:t>i di cui all</w:t>
      </w:r>
      <w:r w:rsidR="00514434">
        <w:rPr>
          <w:rFonts w:ascii="Trebuchet MS" w:hAnsi="Trebuchet MS"/>
          <w:sz w:val="20"/>
          <w:szCs w:val="20"/>
        </w:rPr>
        <w:t>’</w:t>
      </w:r>
      <w:r>
        <w:rPr>
          <w:rFonts w:ascii="Trebuchet MS" w:hAnsi="Trebuchet MS"/>
          <w:sz w:val="20"/>
          <w:szCs w:val="20"/>
        </w:rPr>
        <w:t xml:space="preserve">articolo 36 del d.lgs. n. </w:t>
      </w:r>
      <w:r w:rsidRPr="00DF75D2">
        <w:rPr>
          <w:rFonts w:ascii="Trebuchet MS" w:hAnsi="Trebuchet MS"/>
          <w:sz w:val="20"/>
          <w:szCs w:val="20"/>
        </w:rPr>
        <w:t xml:space="preserve">33/2013. Ciò alla luce del rinvio operato da tale </w:t>
      </w:r>
      <w:r>
        <w:rPr>
          <w:rFonts w:ascii="Trebuchet MS" w:hAnsi="Trebuchet MS"/>
          <w:sz w:val="20"/>
          <w:szCs w:val="20"/>
        </w:rPr>
        <w:t xml:space="preserve">ultima </w:t>
      </w:r>
      <w:r w:rsidRPr="00DF75D2">
        <w:rPr>
          <w:rFonts w:ascii="Trebuchet MS" w:hAnsi="Trebuchet MS"/>
          <w:sz w:val="20"/>
          <w:szCs w:val="20"/>
        </w:rPr>
        <w:t>disposizione all</w:t>
      </w:r>
      <w:r w:rsidR="00514434">
        <w:rPr>
          <w:rFonts w:ascii="Trebuchet MS" w:hAnsi="Trebuchet MS"/>
          <w:sz w:val="20"/>
          <w:szCs w:val="20"/>
        </w:rPr>
        <w:t>’</w:t>
      </w:r>
      <w:r w:rsidRPr="00DF75D2">
        <w:rPr>
          <w:rFonts w:ascii="Trebuchet MS" w:hAnsi="Trebuchet MS"/>
          <w:sz w:val="20"/>
          <w:szCs w:val="20"/>
        </w:rPr>
        <w:t>art</w:t>
      </w:r>
      <w:r>
        <w:rPr>
          <w:rFonts w:ascii="Trebuchet MS" w:hAnsi="Trebuchet MS"/>
          <w:sz w:val="20"/>
          <w:szCs w:val="20"/>
        </w:rPr>
        <w:t>icolo</w:t>
      </w:r>
      <w:r w:rsidRPr="00DF75D2">
        <w:rPr>
          <w:rFonts w:ascii="Trebuchet MS" w:hAnsi="Trebuchet MS"/>
          <w:sz w:val="20"/>
          <w:szCs w:val="20"/>
        </w:rPr>
        <w:t xml:space="preserve"> 5 del</w:t>
      </w:r>
      <w:r>
        <w:rPr>
          <w:rFonts w:ascii="Trebuchet MS" w:hAnsi="Trebuchet MS"/>
          <w:sz w:val="20"/>
          <w:szCs w:val="20"/>
        </w:rPr>
        <w:t xml:space="preserve"> decreto legislativo n. 82/2002</w:t>
      </w:r>
      <w:r>
        <w:rPr>
          <w:rStyle w:val="Rimandonotaapidipagina"/>
          <w:rFonts w:ascii="Trebuchet MS" w:hAnsi="Trebuchet MS"/>
        </w:rPr>
        <w:footnoteReference w:id="7"/>
      </w:r>
      <w:r>
        <w:rPr>
          <w:rFonts w:ascii="Trebuchet MS" w:hAnsi="Trebuchet MS"/>
          <w:sz w:val="20"/>
          <w:szCs w:val="20"/>
        </w:rPr>
        <w:t xml:space="preserve"> </w:t>
      </w:r>
      <w:r w:rsidRPr="00DF75D2">
        <w:rPr>
          <w:rFonts w:ascii="Trebuchet MS" w:hAnsi="Trebuchet MS"/>
          <w:sz w:val="20"/>
          <w:szCs w:val="20"/>
        </w:rPr>
        <w:t>(</w:t>
      </w:r>
      <w:r>
        <w:rPr>
          <w:rFonts w:ascii="Trebuchet MS" w:hAnsi="Trebuchet MS"/>
          <w:sz w:val="20"/>
          <w:szCs w:val="20"/>
        </w:rPr>
        <w:t xml:space="preserve">di seguito anche </w:t>
      </w:r>
      <w:r w:rsidRPr="00DF75D2">
        <w:rPr>
          <w:rFonts w:ascii="Trebuchet MS" w:hAnsi="Trebuchet MS"/>
          <w:sz w:val="20"/>
          <w:szCs w:val="20"/>
        </w:rPr>
        <w:t>CAD)</w:t>
      </w:r>
      <w:r>
        <w:rPr>
          <w:rFonts w:ascii="Trebuchet MS" w:hAnsi="Trebuchet MS"/>
          <w:sz w:val="20"/>
          <w:szCs w:val="20"/>
        </w:rPr>
        <w:t>,</w:t>
      </w:r>
      <w:r w:rsidRPr="00DF75D2">
        <w:rPr>
          <w:rFonts w:ascii="Trebuchet MS" w:hAnsi="Trebuchet MS"/>
          <w:sz w:val="20"/>
          <w:szCs w:val="20"/>
        </w:rPr>
        <w:t xml:space="preserve"> oggetto di diversi interventi normativi che hanno previsto, tra </w:t>
      </w:r>
      <w:r>
        <w:rPr>
          <w:rFonts w:ascii="Trebuchet MS" w:hAnsi="Trebuchet MS"/>
          <w:sz w:val="20"/>
          <w:szCs w:val="20"/>
        </w:rPr>
        <w:t>l</w:t>
      </w:r>
      <w:r w:rsidR="00514434">
        <w:rPr>
          <w:rFonts w:ascii="Trebuchet MS" w:hAnsi="Trebuchet MS"/>
          <w:sz w:val="20"/>
          <w:szCs w:val="20"/>
        </w:rPr>
        <w:t>’</w:t>
      </w:r>
      <w:r>
        <w:rPr>
          <w:rFonts w:ascii="Trebuchet MS" w:hAnsi="Trebuchet MS"/>
          <w:sz w:val="20"/>
          <w:szCs w:val="20"/>
        </w:rPr>
        <w:t>altro, l</w:t>
      </w:r>
      <w:r w:rsidR="00514434">
        <w:rPr>
          <w:rFonts w:ascii="Trebuchet MS" w:hAnsi="Trebuchet MS"/>
          <w:sz w:val="20"/>
          <w:szCs w:val="20"/>
        </w:rPr>
        <w:t>’</w:t>
      </w:r>
      <w:r>
        <w:rPr>
          <w:rFonts w:ascii="Trebuchet MS" w:hAnsi="Trebuchet MS"/>
          <w:sz w:val="20"/>
          <w:szCs w:val="20"/>
        </w:rPr>
        <w:t>introduzione di una P</w:t>
      </w:r>
      <w:r w:rsidRPr="00DF75D2">
        <w:rPr>
          <w:rFonts w:ascii="Trebuchet MS" w:hAnsi="Trebuchet MS"/>
          <w:sz w:val="20"/>
          <w:szCs w:val="20"/>
        </w:rPr>
        <w:t>iattaforma elettronica per effettuare pagamenti verso la Pubblica Amministrazione ed altri soggetti che forniscono servizi al cittadino (c</w:t>
      </w:r>
      <w:r>
        <w:rPr>
          <w:rFonts w:ascii="Trebuchet MS" w:hAnsi="Trebuchet MS"/>
          <w:sz w:val="20"/>
          <w:szCs w:val="20"/>
        </w:rPr>
        <w:t>.</w:t>
      </w:r>
      <w:r w:rsidRPr="00DF75D2">
        <w:rPr>
          <w:rFonts w:ascii="Trebuchet MS" w:hAnsi="Trebuchet MS"/>
          <w:sz w:val="20"/>
          <w:szCs w:val="20"/>
        </w:rPr>
        <w:t xml:space="preserve">d. sistema pagoPA). </w:t>
      </w:r>
      <w:r>
        <w:rPr>
          <w:rFonts w:ascii="Trebuchet MS" w:hAnsi="Trebuchet MS"/>
          <w:sz w:val="20"/>
          <w:szCs w:val="20"/>
        </w:rPr>
        <w:t>Più nel</w:t>
      </w:r>
      <w:r w:rsidRPr="00DF75D2">
        <w:rPr>
          <w:rFonts w:ascii="Trebuchet MS" w:hAnsi="Trebuchet MS"/>
          <w:sz w:val="20"/>
          <w:szCs w:val="20"/>
        </w:rPr>
        <w:t xml:space="preserve"> dettaglio, nella delibera, una volta definito l</w:t>
      </w:r>
      <w:r w:rsidR="00514434">
        <w:rPr>
          <w:rFonts w:ascii="Trebuchet MS" w:hAnsi="Trebuchet MS"/>
          <w:sz w:val="20"/>
          <w:szCs w:val="20"/>
        </w:rPr>
        <w:t>’</w:t>
      </w:r>
      <w:r w:rsidRPr="00DF75D2">
        <w:rPr>
          <w:rFonts w:ascii="Trebuchet MS" w:hAnsi="Trebuchet MS"/>
          <w:sz w:val="20"/>
          <w:szCs w:val="20"/>
        </w:rPr>
        <w:t>ambito oggettivo e soggettivo di applicazione delle disposizioni di cui all</w:t>
      </w:r>
      <w:r w:rsidR="00514434">
        <w:rPr>
          <w:rFonts w:ascii="Trebuchet MS" w:hAnsi="Trebuchet MS"/>
          <w:sz w:val="20"/>
          <w:szCs w:val="20"/>
        </w:rPr>
        <w:t>’</w:t>
      </w:r>
      <w:r w:rsidRPr="00DF75D2">
        <w:rPr>
          <w:rFonts w:ascii="Trebuchet MS" w:hAnsi="Trebuchet MS"/>
          <w:sz w:val="20"/>
          <w:szCs w:val="20"/>
        </w:rPr>
        <w:t>art</w:t>
      </w:r>
      <w:r>
        <w:rPr>
          <w:rFonts w:ascii="Trebuchet MS" w:hAnsi="Trebuchet MS"/>
          <w:sz w:val="20"/>
          <w:szCs w:val="20"/>
        </w:rPr>
        <w:t>.</w:t>
      </w:r>
      <w:r w:rsidRPr="00DF75D2">
        <w:rPr>
          <w:rFonts w:ascii="Trebuchet MS" w:hAnsi="Trebuchet MS"/>
          <w:sz w:val="20"/>
          <w:szCs w:val="20"/>
        </w:rPr>
        <w:t xml:space="preserve"> 36 del </w:t>
      </w:r>
      <w:r>
        <w:rPr>
          <w:rFonts w:ascii="Trebuchet MS" w:hAnsi="Trebuchet MS"/>
          <w:sz w:val="20"/>
          <w:szCs w:val="20"/>
        </w:rPr>
        <w:t>d.lgs.</w:t>
      </w:r>
      <w:r w:rsidRPr="00DF75D2">
        <w:rPr>
          <w:rFonts w:ascii="Trebuchet MS" w:hAnsi="Trebuchet MS"/>
          <w:sz w:val="20"/>
          <w:szCs w:val="20"/>
        </w:rPr>
        <w:t xml:space="preserve"> </w:t>
      </w:r>
      <w:r>
        <w:rPr>
          <w:rFonts w:ascii="Trebuchet MS" w:hAnsi="Trebuchet MS"/>
          <w:sz w:val="20"/>
          <w:szCs w:val="20"/>
        </w:rPr>
        <w:t xml:space="preserve">n. </w:t>
      </w:r>
      <w:r w:rsidRPr="00DF75D2">
        <w:rPr>
          <w:rFonts w:ascii="Trebuchet MS" w:hAnsi="Trebuchet MS"/>
          <w:sz w:val="20"/>
          <w:szCs w:val="20"/>
        </w:rPr>
        <w:t>33/2013 e all</w:t>
      </w:r>
      <w:r w:rsidR="00514434">
        <w:rPr>
          <w:rFonts w:ascii="Trebuchet MS" w:hAnsi="Trebuchet MS"/>
          <w:sz w:val="20"/>
          <w:szCs w:val="20"/>
        </w:rPr>
        <w:t>’</w:t>
      </w:r>
      <w:r w:rsidRPr="00DF75D2">
        <w:rPr>
          <w:rFonts w:ascii="Trebuchet MS" w:hAnsi="Trebuchet MS"/>
          <w:sz w:val="20"/>
          <w:szCs w:val="20"/>
        </w:rPr>
        <w:t>art</w:t>
      </w:r>
      <w:r>
        <w:rPr>
          <w:rFonts w:ascii="Trebuchet MS" w:hAnsi="Trebuchet MS"/>
          <w:sz w:val="20"/>
          <w:szCs w:val="20"/>
        </w:rPr>
        <w:t>.</w:t>
      </w:r>
      <w:r w:rsidRPr="00DF75D2">
        <w:rPr>
          <w:rFonts w:ascii="Trebuchet MS" w:hAnsi="Trebuchet MS"/>
          <w:sz w:val="20"/>
          <w:szCs w:val="20"/>
        </w:rPr>
        <w:t xml:space="preserve"> 5 del CAD, ANAC ha chiarito</w:t>
      </w:r>
      <w:r>
        <w:rPr>
          <w:rFonts w:ascii="Trebuchet MS" w:hAnsi="Trebuchet MS"/>
          <w:sz w:val="20"/>
          <w:szCs w:val="20"/>
        </w:rPr>
        <w:t xml:space="preserve"> </w:t>
      </w:r>
      <w:r w:rsidRPr="00741450">
        <w:rPr>
          <w:rFonts w:ascii="Trebuchet MS" w:hAnsi="Trebuchet MS"/>
          <w:sz w:val="20"/>
          <w:szCs w:val="20"/>
        </w:rPr>
        <w:t>quanto segue.</w:t>
      </w:r>
    </w:p>
    <w:p w:rsidR="00E340A1" w:rsidRPr="00DF75D2" w:rsidRDefault="00E340A1" w:rsidP="00E340A1">
      <w:pPr>
        <w:spacing w:after="120" w:line="276" w:lineRule="auto"/>
        <w:jc w:val="both"/>
        <w:rPr>
          <w:rFonts w:ascii="Trebuchet MS" w:hAnsi="Trebuchet MS"/>
          <w:sz w:val="20"/>
          <w:szCs w:val="20"/>
        </w:rPr>
      </w:pPr>
      <w:r>
        <w:rPr>
          <w:rFonts w:ascii="Trebuchet MS" w:hAnsi="Trebuchet MS"/>
          <w:sz w:val="20"/>
          <w:szCs w:val="20"/>
        </w:rPr>
        <w:t>I</w:t>
      </w:r>
      <w:r w:rsidRPr="00DF75D2">
        <w:rPr>
          <w:rFonts w:ascii="Trebuchet MS" w:hAnsi="Trebuchet MS"/>
          <w:sz w:val="20"/>
          <w:szCs w:val="20"/>
        </w:rPr>
        <w:t xml:space="preserve"> soggetti tenuti all</w:t>
      </w:r>
      <w:r w:rsidR="00514434">
        <w:rPr>
          <w:rFonts w:ascii="Trebuchet MS" w:hAnsi="Trebuchet MS"/>
          <w:sz w:val="20"/>
          <w:szCs w:val="20"/>
        </w:rPr>
        <w:t>’</w:t>
      </w:r>
      <w:r w:rsidRPr="00DF75D2">
        <w:rPr>
          <w:rFonts w:ascii="Trebuchet MS" w:hAnsi="Trebuchet MS"/>
          <w:sz w:val="20"/>
          <w:szCs w:val="20"/>
        </w:rPr>
        <w:t>obbligo di utilizzo esclusivo del sistema pagoPA di cui all</w:t>
      </w:r>
      <w:r w:rsidR="00514434">
        <w:rPr>
          <w:rFonts w:ascii="Trebuchet MS" w:hAnsi="Trebuchet MS"/>
          <w:sz w:val="20"/>
          <w:szCs w:val="20"/>
        </w:rPr>
        <w:t>’</w:t>
      </w:r>
      <w:r w:rsidRPr="00DF75D2">
        <w:rPr>
          <w:rFonts w:ascii="Trebuchet MS" w:hAnsi="Trebuchet MS"/>
          <w:sz w:val="20"/>
          <w:szCs w:val="20"/>
        </w:rPr>
        <w:t>art</w:t>
      </w:r>
      <w:r>
        <w:rPr>
          <w:rFonts w:ascii="Trebuchet MS" w:hAnsi="Trebuchet MS"/>
          <w:sz w:val="20"/>
          <w:szCs w:val="20"/>
        </w:rPr>
        <w:t>icolo</w:t>
      </w:r>
      <w:r w:rsidR="0080474E">
        <w:rPr>
          <w:rFonts w:ascii="Trebuchet MS" w:hAnsi="Trebuchet MS"/>
          <w:sz w:val="20"/>
          <w:szCs w:val="20"/>
        </w:rPr>
        <w:t xml:space="preserve"> 5 del CAD</w:t>
      </w:r>
      <w:r w:rsidRPr="00DF75D2">
        <w:rPr>
          <w:rFonts w:ascii="Trebuchet MS" w:hAnsi="Trebuchet MS"/>
          <w:sz w:val="20"/>
          <w:szCs w:val="20"/>
        </w:rPr>
        <w:t xml:space="preserve"> pubblicano, sui propri siti istituzionali, nella sezione “</w:t>
      </w:r>
      <w:r w:rsidRPr="00DF75D2">
        <w:rPr>
          <w:rFonts w:ascii="Trebuchet MS" w:hAnsi="Trebuchet MS"/>
          <w:i/>
          <w:sz w:val="20"/>
          <w:szCs w:val="20"/>
        </w:rPr>
        <w:t>Amministrazione trasparente</w:t>
      </w:r>
      <w:r w:rsidRPr="00DF75D2">
        <w:rPr>
          <w:rFonts w:ascii="Trebuchet MS" w:hAnsi="Trebuchet MS"/>
          <w:sz w:val="20"/>
          <w:szCs w:val="20"/>
        </w:rPr>
        <w:t>”, sottosezione “</w:t>
      </w:r>
      <w:r w:rsidRPr="00DF75D2">
        <w:rPr>
          <w:rFonts w:ascii="Trebuchet MS" w:hAnsi="Trebuchet MS"/>
          <w:i/>
          <w:sz w:val="20"/>
          <w:szCs w:val="20"/>
        </w:rPr>
        <w:t>IBAN e pagamenti informatici</w:t>
      </w:r>
      <w:r>
        <w:rPr>
          <w:rFonts w:ascii="Trebuchet MS" w:hAnsi="Trebuchet MS"/>
          <w:sz w:val="20"/>
          <w:szCs w:val="20"/>
        </w:rPr>
        <w:t>”: la data di adesione alla P</w:t>
      </w:r>
      <w:r w:rsidRPr="00DF75D2">
        <w:rPr>
          <w:rFonts w:ascii="Trebuchet MS" w:hAnsi="Trebuchet MS"/>
          <w:sz w:val="20"/>
          <w:szCs w:val="20"/>
        </w:rPr>
        <w:t xml:space="preserve">iattaforma pagoPA, nonché, ove utilizzati, gli altri metodi di </w:t>
      </w:r>
      <w:r>
        <w:rPr>
          <w:rFonts w:ascii="Trebuchet MS" w:hAnsi="Trebuchet MS"/>
          <w:sz w:val="20"/>
          <w:szCs w:val="20"/>
        </w:rPr>
        <w:t>pagamento non integrati con la P</w:t>
      </w:r>
      <w:r w:rsidRPr="00DF75D2">
        <w:rPr>
          <w:rFonts w:ascii="Trebuchet MS" w:hAnsi="Trebuchet MS"/>
          <w:sz w:val="20"/>
          <w:szCs w:val="20"/>
        </w:rPr>
        <w:t>iattaforma pagoPA previ</w:t>
      </w:r>
      <w:r>
        <w:rPr>
          <w:rFonts w:ascii="Trebuchet MS" w:hAnsi="Trebuchet MS"/>
          <w:sz w:val="20"/>
          <w:szCs w:val="20"/>
        </w:rPr>
        <w:t>sti al § 5 delle Linee guida AgID</w:t>
      </w:r>
      <w:r w:rsidRPr="00DF75D2">
        <w:rPr>
          <w:rFonts w:ascii="Trebuchet MS" w:hAnsi="Trebuchet MS"/>
          <w:sz w:val="20"/>
          <w:szCs w:val="20"/>
        </w:rPr>
        <w:t xml:space="preserve"> del 2018 “</w:t>
      </w:r>
      <w:r w:rsidRPr="00DF75D2">
        <w:rPr>
          <w:rFonts w:ascii="Trebuchet MS" w:hAnsi="Trebuchet MS"/>
          <w:i/>
          <w:sz w:val="20"/>
          <w:szCs w:val="20"/>
        </w:rPr>
        <w:t>sull</w:t>
      </w:r>
      <w:r w:rsidR="00514434">
        <w:rPr>
          <w:rFonts w:ascii="Trebuchet MS" w:hAnsi="Trebuchet MS"/>
          <w:i/>
          <w:sz w:val="20"/>
          <w:szCs w:val="20"/>
        </w:rPr>
        <w:t>’</w:t>
      </w:r>
      <w:r w:rsidRPr="00DF75D2">
        <w:rPr>
          <w:rFonts w:ascii="Trebuchet MS" w:hAnsi="Trebuchet MS"/>
          <w:i/>
          <w:sz w:val="20"/>
          <w:szCs w:val="20"/>
        </w:rPr>
        <w:t>effettuazione dei pagamenti elettronici a favore delle pubbliche amministrazioni e dei gestori di pubblici servizi</w:t>
      </w:r>
      <w:r w:rsidRPr="00DF75D2">
        <w:rPr>
          <w:rFonts w:ascii="Trebuchet MS" w:hAnsi="Trebuchet MS"/>
          <w:sz w:val="20"/>
          <w:szCs w:val="20"/>
        </w:rPr>
        <w:t>”, secondo le indicazioni di PagoPA S.p.A. Qualora tali soggetti siano in attesa dell</w:t>
      </w:r>
      <w:r w:rsidR="00514434">
        <w:rPr>
          <w:rFonts w:ascii="Trebuchet MS" w:hAnsi="Trebuchet MS"/>
          <w:sz w:val="20"/>
          <w:szCs w:val="20"/>
        </w:rPr>
        <w:t>’</w:t>
      </w:r>
      <w:r w:rsidRPr="00DF75D2">
        <w:rPr>
          <w:rFonts w:ascii="Trebuchet MS" w:hAnsi="Trebuchet MS"/>
          <w:sz w:val="20"/>
          <w:szCs w:val="20"/>
        </w:rPr>
        <w:t>integrazione centralizzata con il sistema pagoPA attraverso il servizio di tesoreria della Banca d</w:t>
      </w:r>
      <w:r w:rsidR="00514434">
        <w:rPr>
          <w:rFonts w:ascii="Trebuchet MS" w:hAnsi="Trebuchet MS"/>
          <w:sz w:val="20"/>
          <w:szCs w:val="20"/>
        </w:rPr>
        <w:t>’</w:t>
      </w:r>
      <w:r w:rsidRPr="00DF75D2">
        <w:rPr>
          <w:rFonts w:ascii="Trebuchet MS" w:hAnsi="Trebuchet MS"/>
          <w:sz w:val="20"/>
          <w:szCs w:val="20"/>
        </w:rPr>
        <w:t>Italia e della Ragioneria dello Stato, in via residuale e temporanea, pubblicano i codici IBAN del loro conto corrente per la</w:t>
      </w:r>
      <w:r>
        <w:rPr>
          <w:rFonts w:ascii="Trebuchet MS" w:hAnsi="Trebuchet MS"/>
          <w:sz w:val="20"/>
          <w:szCs w:val="20"/>
        </w:rPr>
        <w:t xml:space="preserve"> gestione delle proprie entrate.</w:t>
      </w:r>
    </w:p>
    <w:p w:rsidR="00E340A1" w:rsidRPr="00DF75D2" w:rsidRDefault="00E340A1" w:rsidP="00E340A1">
      <w:pPr>
        <w:spacing w:after="120" w:line="276" w:lineRule="auto"/>
        <w:jc w:val="both"/>
        <w:rPr>
          <w:rFonts w:ascii="Trebuchet MS" w:hAnsi="Trebuchet MS"/>
          <w:sz w:val="20"/>
          <w:szCs w:val="20"/>
        </w:rPr>
      </w:pPr>
      <w:r>
        <w:rPr>
          <w:rFonts w:ascii="Trebuchet MS" w:hAnsi="Trebuchet MS"/>
          <w:sz w:val="20"/>
          <w:szCs w:val="20"/>
        </w:rPr>
        <w:t>I</w:t>
      </w:r>
      <w:r w:rsidRPr="00DF75D2">
        <w:rPr>
          <w:rFonts w:ascii="Trebuchet MS" w:hAnsi="Trebuchet MS"/>
          <w:sz w:val="20"/>
          <w:szCs w:val="20"/>
        </w:rPr>
        <w:t xml:space="preserve"> soggetti che, invece, non hanno l</w:t>
      </w:r>
      <w:r w:rsidR="00514434">
        <w:rPr>
          <w:rFonts w:ascii="Trebuchet MS" w:hAnsi="Trebuchet MS"/>
          <w:sz w:val="20"/>
          <w:szCs w:val="20"/>
        </w:rPr>
        <w:t>’</w:t>
      </w:r>
      <w:r w:rsidRPr="00DF75D2">
        <w:rPr>
          <w:rFonts w:ascii="Trebuchet MS" w:hAnsi="Trebuchet MS"/>
          <w:sz w:val="20"/>
          <w:szCs w:val="20"/>
        </w:rPr>
        <w:t>obbligo di uso esclusivo del sistema pagoPA, pubbl</w:t>
      </w:r>
      <w:r>
        <w:rPr>
          <w:rFonts w:ascii="Trebuchet MS" w:hAnsi="Trebuchet MS"/>
          <w:sz w:val="20"/>
          <w:szCs w:val="20"/>
        </w:rPr>
        <w:t>icano la data di adesione alla P</w:t>
      </w:r>
      <w:r w:rsidRPr="00DF75D2">
        <w:rPr>
          <w:rFonts w:ascii="Trebuchet MS" w:hAnsi="Trebuchet MS"/>
          <w:sz w:val="20"/>
          <w:szCs w:val="20"/>
        </w:rPr>
        <w:t>iattaforma pagoPA e, ove utilizzati, altri metodi di pagamento n</w:t>
      </w:r>
      <w:r>
        <w:rPr>
          <w:rFonts w:ascii="Trebuchet MS" w:hAnsi="Trebuchet MS"/>
          <w:sz w:val="20"/>
          <w:szCs w:val="20"/>
        </w:rPr>
        <w:t xml:space="preserve">on integrati con la Piattaforma, </w:t>
      </w:r>
      <w:r w:rsidRPr="008D7A45">
        <w:rPr>
          <w:rFonts w:ascii="Trebuchet MS" w:hAnsi="Trebuchet MS"/>
          <w:sz w:val="20"/>
          <w:szCs w:val="20"/>
        </w:rPr>
        <w:t>secondo</w:t>
      </w:r>
      <w:r>
        <w:rPr>
          <w:rFonts w:ascii="Trebuchet MS" w:hAnsi="Trebuchet MS"/>
          <w:sz w:val="20"/>
          <w:szCs w:val="20"/>
        </w:rPr>
        <w:t xml:space="preserve"> le indicazioni di PagoPA S.p.A.</w:t>
      </w:r>
    </w:p>
    <w:p w:rsidR="00E340A1" w:rsidRPr="00B1764C" w:rsidRDefault="00E340A1" w:rsidP="00E340A1">
      <w:pPr>
        <w:spacing w:after="120" w:line="276" w:lineRule="auto"/>
        <w:jc w:val="both"/>
        <w:rPr>
          <w:rFonts w:ascii="Trebuchet MS" w:hAnsi="Trebuchet MS"/>
          <w:sz w:val="20"/>
          <w:szCs w:val="20"/>
        </w:rPr>
      </w:pPr>
      <w:r>
        <w:rPr>
          <w:rFonts w:ascii="Trebuchet MS" w:hAnsi="Trebuchet MS"/>
          <w:sz w:val="20"/>
          <w:szCs w:val="20"/>
        </w:rPr>
        <w:t>I</w:t>
      </w:r>
      <w:r w:rsidRPr="00DF75D2">
        <w:rPr>
          <w:rFonts w:ascii="Trebuchet MS" w:hAnsi="Trebuchet MS"/>
          <w:sz w:val="20"/>
          <w:szCs w:val="20"/>
        </w:rPr>
        <w:t xml:space="preserve"> soggetti non destinatari delle disposizioni del CAD sono comunque tenuti al rispetto dell</w:t>
      </w:r>
      <w:r w:rsidR="00514434">
        <w:rPr>
          <w:rFonts w:ascii="Trebuchet MS" w:hAnsi="Trebuchet MS"/>
          <w:sz w:val="20"/>
          <w:szCs w:val="20"/>
        </w:rPr>
        <w:t>’</w:t>
      </w:r>
      <w:r w:rsidRPr="00DF75D2">
        <w:rPr>
          <w:rFonts w:ascii="Trebuchet MS" w:hAnsi="Trebuchet MS"/>
          <w:sz w:val="20"/>
          <w:szCs w:val="20"/>
        </w:rPr>
        <w:t>obbligo di trasparenza di cui all</w:t>
      </w:r>
      <w:r w:rsidR="00514434">
        <w:rPr>
          <w:rFonts w:ascii="Trebuchet MS" w:hAnsi="Trebuchet MS"/>
          <w:sz w:val="20"/>
          <w:szCs w:val="20"/>
        </w:rPr>
        <w:t>’</w:t>
      </w:r>
      <w:r w:rsidRPr="00DF75D2">
        <w:rPr>
          <w:rFonts w:ascii="Trebuchet MS" w:hAnsi="Trebuchet MS"/>
          <w:sz w:val="20"/>
          <w:szCs w:val="20"/>
        </w:rPr>
        <w:t>art</w:t>
      </w:r>
      <w:r>
        <w:rPr>
          <w:rFonts w:ascii="Trebuchet MS" w:hAnsi="Trebuchet MS"/>
          <w:sz w:val="20"/>
          <w:szCs w:val="20"/>
        </w:rPr>
        <w:t>.</w:t>
      </w:r>
      <w:r w:rsidRPr="00DF75D2">
        <w:rPr>
          <w:rFonts w:ascii="Trebuchet MS" w:hAnsi="Trebuchet MS"/>
          <w:sz w:val="20"/>
          <w:szCs w:val="20"/>
        </w:rPr>
        <w:t xml:space="preserve"> 36</w:t>
      </w:r>
      <w:r>
        <w:rPr>
          <w:rFonts w:ascii="Trebuchet MS" w:hAnsi="Trebuchet MS"/>
          <w:sz w:val="20"/>
          <w:szCs w:val="20"/>
        </w:rPr>
        <w:t xml:space="preserve"> del d.lgs. n. 33/2013</w:t>
      </w:r>
      <w:r w:rsidRPr="00DF75D2">
        <w:rPr>
          <w:rFonts w:ascii="Trebuchet MS" w:hAnsi="Trebuchet MS"/>
          <w:sz w:val="20"/>
          <w:szCs w:val="20"/>
        </w:rPr>
        <w:t>, secondo quanto già indicato nell</w:t>
      </w:r>
      <w:r w:rsidR="00514434">
        <w:rPr>
          <w:rFonts w:ascii="Trebuchet MS" w:hAnsi="Trebuchet MS"/>
          <w:sz w:val="20"/>
          <w:szCs w:val="20"/>
        </w:rPr>
        <w:t>’</w:t>
      </w:r>
      <w:r w:rsidRPr="00DF75D2">
        <w:rPr>
          <w:rFonts w:ascii="Trebuchet MS" w:hAnsi="Trebuchet MS"/>
          <w:sz w:val="20"/>
          <w:szCs w:val="20"/>
        </w:rPr>
        <w:t xml:space="preserve">Allegato 1 alla delibera ANAC </w:t>
      </w:r>
      <w:r>
        <w:rPr>
          <w:rFonts w:ascii="Trebuchet MS" w:hAnsi="Trebuchet MS"/>
          <w:sz w:val="20"/>
          <w:szCs w:val="20"/>
        </w:rPr>
        <w:t xml:space="preserve">n. </w:t>
      </w:r>
      <w:r w:rsidRPr="00DF75D2">
        <w:rPr>
          <w:rFonts w:ascii="Trebuchet MS" w:hAnsi="Trebuchet MS"/>
          <w:sz w:val="20"/>
          <w:szCs w:val="20"/>
        </w:rPr>
        <w:t>1134/2017.</w:t>
      </w:r>
    </w:p>
    <w:p w:rsidR="00E340A1" w:rsidRPr="00E9356C" w:rsidRDefault="00E340A1" w:rsidP="00E340A1">
      <w:pPr>
        <w:spacing w:after="120" w:line="276" w:lineRule="auto"/>
        <w:jc w:val="both"/>
        <w:rPr>
          <w:rFonts w:ascii="Trebuchet MS" w:hAnsi="Trebuchet MS"/>
          <w:color w:val="0070C0"/>
          <w:sz w:val="18"/>
          <w:szCs w:val="18"/>
        </w:rPr>
      </w:pPr>
    </w:p>
    <w:p w:rsidR="00E340A1" w:rsidRPr="00EE5EE5" w:rsidRDefault="00E340A1" w:rsidP="00EE5EE5">
      <w:pPr>
        <w:pStyle w:val="PARAGRAFORELAZIONE"/>
      </w:pPr>
      <w:bookmarkStart w:id="6" w:name="_Toc134808535"/>
      <w:r w:rsidRPr="00376C1C">
        <w:rPr>
          <w:rStyle w:val="ANACNUMEROCAPITOLOCarattere"/>
          <w:rFonts w:eastAsiaTheme="majorEastAsia"/>
          <w:sz w:val="24"/>
          <w:szCs w:val="24"/>
        </w:rPr>
        <w:t>3. L</w:t>
      </w:r>
      <w:r w:rsidR="00514434">
        <w:rPr>
          <w:rStyle w:val="ANACNUMEROCAPITOLOCarattere"/>
          <w:rFonts w:eastAsiaTheme="majorEastAsia"/>
          <w:sz w:val="24"/>
          <w:szCs w:val="24"/>
        </w:rPr>
        <w:t>’</w:t>
      </w:r>
      <w:r w:rsidRPr="00376C1C">
        <w:rPr>
          <w:rStyle w:val="ANACNUMEROCAPITOLOCarattere"/>
          <w:rFonts w:eastAsiaTheme="majorEastAsia"/>
          <w:sz w:val="24"/>
          <w:szCs w:val="24"/>
        </w:rPr>
        <w:t>attività consultiva</w:t>
      </w:r>
      <w:bookmarkEnd w:id="6"/>
    </w:p>
    <w:p w:rsidR="00E340A1" w:rsidRPr="00376C1C" w:rsidRDefault="00E340A1" w:rsidP="00376C1C">
      <w:pPr>
        <w:pStyle w:val="SOTTOPARAGRAFORELAZIONE"/>
      </w:pPr>
      <w:bookmarkStart w:id="7" w:name="_Toc134808536"/>
      <w:r w:rsidRPr="00822952">
        <w:t>3.1. L</w:t>
      </w:r>
      <w:r w:rsidR="00514434">
        <w:t>’</w:t>
      </w:r>
      <w:r w:rsidRPr="00822952">
        <w:t>attività consultiva in materia di trasparenza</w:t>
      </w:r>
      <w:bookmarkEnd w:id="7"/>
    </w:p>
    <w:p w:rsidR="00E340A1" w:rsidRDefault="00E340A1" w:rsidP="00E340A1">
      <w:pPr>
        <w:spacing w:after="120" w:line="276" w:lineRule="auto"/>
        <w:jc w:val="both"/>
        <w:rPr>
          <w:rFonts w:ascii="Trebuchet MS" w:hAnsi="Trebuchet MS"/>
          <w:sz w:val="20"/>
          <w:szCs w:val="20"/>
        </w:rPr>
      </w:pPr>
      <w:r w:rsidRPr="00A25BEC">
        <w:rPr>
          <w:rFonts w:ascii="Trebuchet MS" w:hAnsi="Trebuchet MS"/>
          <w:sz w:val="20"/>
          <w:szCs w:val="20"/>
        </w:rPr>
        <w:t>Nel corso del 2022 si è reso necessario, sia sulla base di numerose e specifiche richieste provenienti dalle amministrazioni, sia in esito alla attività di vigilanza svolta dall</w:t>
      </w:r>
      <w:r w:rsidR="00514434">
        <w:rPr>
          <w:rFonts w:ascii="Trebuchet MS" w:hAnsi="Trebuchet MS"/>
          <w:sz w:val="20"/>
          <w:szCs w:val="20"/>
        </w:rPr>
        <w:t>’</w:t>
      </w:r>
      <w:r w:rsidRPr="00A25BEC">
        <w:rPr>
          <w:rFonts w:ascii="Trebuchet MS" w:hAnsi="Trebuchet MS"/>
          <w:sz w:val="20"/>
          <w:szCs w:val="20"/>
        </w:rPr>
        <w:t>Autorità, approfondire alcuni specifici temi in materia di trasparenza.</w:t>
      </w:r>
    </w:p>
    <w:p w:rsidR="00E340A1" w:rsidRDefault="00E340A1" w:rsidP="00E340A1">
      <w:pPr>
        <w:spacing w:after="120" w:line="276" w:lineRule="auto"/>
        <w:jc w:val="both"/>
        <w:rPr>
          <w:rFonts w:ascii="Trebuchet MS" w:hAnsi="Trebuchet MS"/>
          <w:sz w:val="20"/>
          <w:szCs w:val="20"/>
        </w:rPr>
      </w:pPr>
    </w:p>
    <w:p w:rsidR="00E340A1" w:rsidRPr="00F07C53" w:rsidRDefault="00E340A1" w:rsidP="00F07C53">
      <w:pPr>
        <w:pStyle w:val="TERZOLIVELLORELAZIONE"/>
        <w:rPr>
          <w:lang w:val="it-IT"/>
        </w:rPr>
      </w:pPr>
      <w:bookmarkStart w:id="8" w:name="_Toc134808537"/>
      <w:r w:rsidRPr="00F07C53">
        <w:rPr>
          <w:lang w:val="it-IT"/>
        </w:rPr>
        <w:lastRenderedPageBreak/>
        <w:t>3.1.1. Titolari di incarichi politici</w:t>
      </w:r>
      <w:bookmarkEnd w:id="8"/>
    </w:p>
    <w:p w:rsidR="00E340A1" w:rsidRPr="00446FF5" w:rsidRDefault="00E340A1" w:rsidP="00E340A1">
      <w:pPr>
        <w:spacing w:after="120" w:line="276" w:lineRule="auto"/>
        <w:jc w:val="both"/>
        <w:rPr>
          <w:rFonts w:ascii="Trebuchet MS" w:hAnsi="Trebuchet MS"/>
          <w:sz w:val="20"/>
          <w:szCs w:val="20"/>
        </w:rPr>
      </w:pPr>
      <w:r w:rsidRPr="00A25BEC">
        <w:rPr>
          <w:rFonts w:ascii="Trebuchet MS" w:hAnsi="Trebuchet MS"/>
          <w:sz w:val="20"/>
          <w:szCs w:val="20"/>
        </w:rPr>
        <w:t>Un primo tema che è stato oggetto di approfondimenti e chiarimenti da parte dell</w:t>
      </w:r>
      <w:r w:rsidR="00514434">
        <w:rPr>
          <w:rFonts w:ascii="Trebuchet MS" w:hAnsi="Trebuchet MS"/>
          <w:sz w:val="20"/>
          <w:szCs w:val="20"/>
        </w:rPr>
        <w:t>’</w:t>
      </w:r>
      <w:r w:rsidRPr="00A25BEC">
        <w:rPr>
          <w:rFonts w:ascii="Trebuchet MS" w:hAnsi="Trebuchet MS"/>
          <w:sz w:val="20"/>
          <w:szCs w:val="20"/>
        </w:rPr>
        <w:t>Autorità è quello relativo agli obblighi di pubblicazione di cui all</w:t>
      </w:r>
      <w:r w:rsidR="00514434">
        <w:rPr>
          <w:rFonts w:ascii="Trebuchet MS" w:hAnsi="Trebuchet MS"/>
          <w:sz w:val="20"/>
          <w:szCs w:val="20"/>
        </w:rPr>
        <w:t>’</w:t>
      </w:r>
      <w:r w:rsidRPr="00A25BEC">
        <w:rPr>
          <w:rFonts w:ascii="Trebuchet MS" w:hAnsi="Trebuchet MS"/>
          <w:sz w:val="20"/>
          <w:szCs w:val="20"/>
        </w:rPr>
        <w:t>art</w:t>
      </w:r>
      <w:r>
        <w:rPr>
          <w:rFonts w:ascii="Trebuchet MS" w:hAnsi="Trebuchet MS"/>
          <w:sz w:val="20"/>
          <w:szCs w:val="20"/>
        </w:rPr>
        <w:t>icolo</w:t>
      </w:r>
      <w:r w:rsidRPr="00A25BEC">
        <w:rPr>
          <w:rFonts w:ascii="Trebuchet MS" w:hAnsi="Trebuchet MS"/>
          <w:sz w:val="20"/>
          <w:szCs w:val="20"/>
        </w:rPr>
        <w:t xml:space="preserve"> 14 del d.lgs. </w:t>
      </w:r>
      <w:r>
        <w:rPr>
          <w:rFonts w:ascii="Trebuchet MS" w:hAnsi="Trebuchet MS"/>
          <w:sz w:val="20"/>
          <w:szCs w:val="20"/>
        </w:rPr>
        <w:t xml:space="preserve">n. </w:t>
      </w:r>
      <w:r w:rsidRPr="00A25BEC">
        <w:rPr>
          <w:rFonts w:ascii="Trebuchet MS" w:hAnsi="Trebuchet MS"/>
          <w:sz w:val="20"/>
          <w:szCs w:val="20"/>
        </w:rPr>
        <w:t>33/2013</w:t>
      </w:r>
      <w:r>
        <w:rPr>
          <w:rFonts w:ascii="Trebuchet MS" w:hAnsi="Trebuchet MS"/>
          <w:sz w:val="20"/>
          <w:szCs w:val="20"/>
        </w:rPr>
        <w:t>, dedicato agli</w:t>
      </w:r>
      <w:r w:rsidRPr="00A25BEC">
        <w:rPr>
          <w:rFonts w:ascii="Trebuchet MS" w:hAnsi="Trebuchet MS"/>
          <w:sz w:val="20"/>
          <w:szCs w:val="20"/>
        </w:rPr>
        <w:t xml:space="preserve"> “</w:t>
      </w:r>
      <w:r w:rsidRPr="00A25BEC">
        <w:rPr>
          <w:rFonts w:ascii="Trebuchet MS" w:hAnsi="Trebuchet MS"/>
          <w:i/>
          <w:sz w:val="20"/>
          <w:szCs w:val="20"/>
        </w:rPr>
        <w:t xml:space="preserve">Obblighi di pubblicazione concernenti i </w:t>
      </w:r>
      <w:r w:rsidRPr="00446FF5">
        <w:rPr>
          <w:rFonts w:ascii="Trebuchet MS" w:hAnsi="Trebuchet MS"/>
          <w:i/>
          <w:sz w:val="20"/>
          <w:szCs w:val="20"/>
        </w:rPr>
        <w:t>titolari di incarichi politici, di amministrazione, di direzione o di governo e i titolari di incarichi dirigenziali</w:t>
      </w:r>
      <w:r w:rsidRPr="00446FF5">
        <w:rPr>
          <w:rFonts w:ascii="Trebuchet MS" w:hAnsi="Trebuchet MS"/>
          <w:sz w:val="20"/>
          <w:szCs w:val="20"/>
        </w:rPr>
        <w:t>”</w:t>
      </w:r>
      <w:r>
        <w:rPr>
          <w:rFonts w:ascii="Trebuchet MS" w:hAnsi="Trebuchet MS"/>
          <w:sz w:val="20"/>
          <w:szCs w:val="20"/>
        </w:rPr>
        <w:t>,</w:t>
      </w:r>
      <w:r w:rsidRPr="00446FF5">
        <w:rPr>
          <w:rFonts w:ascii="Trebuchet MS" w:hAnsi="Trebuchet MS"/>
          <w:sz w:val="20"/>
          <w:szCs w:val="20"/>
        </w:rPr>
        <w:t xml:space="preserve"> nella cui attuazione le amministrazioni</w:t>
      </w:r>
      <w:r>
        <w:rPr>
          <w:rFonts w:ascii="Trebuchet MS" w:hAnsi="Trebuchet MS"/>
          <w:sz w:val="20"/>
          <w:szCs w:val="20"/>
        </w:rPr>
        <w:t>/enti</w:t>
      </w:r>
      <w:r w:rsidRPr="00446FF5">
        <w:rPr>
          <w:rFonts w:ascii="Trebuchet MS" w:hAnsi="Trebuchet MS"/>
          <w:sz w:val="20"/>
          <w:szCs w:val="20"/>
        </w:rPr>
        <w:t xml:space="preserve"> continuano ad incontrare alcune criticità.</w:t>
      </w:r>
    </w:p>
    <w:p w:rsidR="00E340A1" w:rsidRPr="00446FF5"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Una richiesta di parere ha riguardato la corretta interpretazione delle lettere d), e), f) del comma 1 dell</w:t>
      </w:r>
      <w:r w:rsidR="00514434">
        <w:rPr>
          <w:rFonts w:ascii="Trebuchet MS" w:hAnsi="Trebuchet MS"/>
          <w:sz w:val="20"/>
          <w:szCs w:val="20"/>
        </w:rPr>
        <w:t>’</w:t>
      </w:r>
      <w:r w:rsidRPr="00446FF5">
        <w:rPr>
          <w:rFonts w:ascii="Trebuchet MS" w:hAnsi="Trebuchet MS"/>
          <w:sz w:val="20"/>
          <w:szCs w:val="20"/>
        </w:rPr>
        <w:t>art</w:t>
      </w:r>
      <w:r>
        <w:rPr>
          <w:rFonts w:ascii="Trebuchet MS" w:hAnsi="Trebuchet MS"/>
          <w:sz w:val="20"/>
          <w:szCs w:val="20"/>
        </w:rPr>
        <w:t>icolo</w:t>
      </w:r>
      <w:r w:rsidRPr="00446FF5">
        <w:rPr>
          <w:rFonts w:ascii="Trebuchet MS" w:hAnsi="Trebuchet MS"/>
          <w:sz w:val="20"/>
          <w:szCs w:val="20"/>
        </w:rPr>
        <w:t xml:space="preserve"> 14 del d.lgs. </w:t>
      </w:r>
      <w:r>
        <w:rPr>
          <w:rFonts w:ascii="Trebuchet MS" w:hAnsi="Trebuchet MS"/>
          <w:sz w:val="20"/>
          <w:szCs w:val="20"/>
        </w:rPr>
        <w:t xml:space="preserve">n. </w:t>
      </w:r>
      <w:r w:rsidRPr="00446FF5">
        <w:rPr>
          <w:rFonts w:ascii="Trebuchet MS" w:hAnsi="Trebuchet MS"/>
          <w:sz w:val="20"/>
          <w:szCs w:val="20"/>
        </w:rPr>
        <w:t>33/2013</w:t>
      </w:r>
      <w:r>
        <w:rPr>
          <w:rFonts w:ascii="Trebuchet MS" w:hAnsi="Trebuchet MS"/>
          <w:sz w:val="20"/>
          <w:szCs w:val="20"/>
        </w:rPr>
        <w:t>,</w:t>
      </w:r>
      <w:r w:rsidRPr="00446FF5">
        <w:rPr>
          <w:rFonts w:ascii="Trebuchet MS" w:hAnsi="Trebuchet MS"/>
          <w:sz w:val="20"/>
          <w:szCs w:val="20"/>
        </w:rPr>
        <w:t xml:space="preserve"> con riferimento ai titolari di incarichi politici insediatisi a seguito delle ultime consultazioni elettorali e alle prime dichiarazioni </w:t>
      </w:r>
      <w:r>
        <w:rPr>
          <w:rFonts w:ascii="Trebuchet MS" w:hAnsi="Trebuchet MS"/>
          <w:sz w:val="20"/>
          <w:szCs w:val="20"/>
        </w:rPr>
        <w:t xml:space="preserve">che, in base a tale disposizione, </w:t>
      </w:r>
      <w:r w:rsidRPr="00446FF5">
        <w:rPr>
          <w:rFonts w:ascii="Trebuchet MS" w:hAnsi="Trebuchet MS"/>
          <w:sz w:val="20"/>
          <w:szCs w:val="20"/>
        </w:rPr>
        <w:t xml:space="preserve">questi </w:t>
      </w:r>
      <w:r>
        <w:rPr>
          <w:rFonts w:ascii="Trebuchet MS" w:hAnsi="Trebuchet MS"/>
          <w:sz w:val="20"/>
          <w:szCs w:val="20"/>
        </w:rPr>
        <w:t>soggetti sono tenuti a</w:t>
      </w:r>
      <w:r w:rsidRPr="00446FF5">
        <w:rPr>
          <w:rFonts w:ascii="Trebuchet MS" w:hAnsi="Trebuchet MS"/>
          <w:sz w:val="20"/>
          <w:szCs w:val="20"/>
        </w:rPr>
        <w:t xml:space="preserve"> rilasciare.</w:t>
      </w:r>
    </w:p>
    <w:p w:rsidR="00E340A1" w:rsidRPr="00446FF5"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Quanto alle dichiarazioni di cui all</w:t>
      </w:r>
      <w:r>
        <w:rPr>
          <w:rFonts w:ascii="Trebuchet MS" w:hAnsi="Trebuchet MS"/>
          <w:sz w:val="20"/>
          <w:szCs w:val="20"/>
        </w:rPr>
        <w:t>e</w:t>
      </w:r>
      <w:r w:rsidRPr="00446FF5">
        <w:rPr>
          <w:rFonts w:ascii="Trebuchet MS" w:hAnsi="Trebuchet MS"/>
          <w:sz w:val="20"/>
          <w:szCs w:val="20"/>
        </w:rPr>
        <w:t xml:space="preserve"> letter</w:t>
      </w:r>
      <w:r>
        <w:rPr>
          <w:rFonts w:ascii="Trebuchet MS" w:hAnsi="Trebuchet MS"/>
          <w:sz w:val="20"/>
          <w:szCs w:val="20"/>
        </w:rPr>
        <w:t>e</w:t>
      </w:r>
      <w:r w:rsidRPr="00446FF5">
        <w:rPr>
          <w:rFonts w:ascii="Trebuchet MS" w:hAnsi="Trebuchet MS"/>
          <w:sz w:val="20"/>
          <w:szCs w:val="20"/>
        </w:rPr>
        <w:t xml:space="preserve"> d)</w:t>
      </w:r>
      <w:r>
        <w:rPr>
          <w:rFonts w:ascii="Trebuchet MS" w:hAnsi="Trebuchet MS"/>
          <w:sz w:val="20"/>
          <w:szCs w:val="20"/>
        </w:rPr>
        <w:t xml:space="preserve"> - inerenti </w:t>
      </w:r>
      <w:r w:rsidRPr="00446FF5">
        <w:rPr>
          <w:rFonts w:ascii="Trebuchet MS" w:hAnsi="Trebuchet MS"/>
          <w:sz w:val="20"/>
          <w:szCs w:val="20"/>
        </w:rPr>
        <w:t>l</w:t>
      </w:r>
      <w:r w:rsidR="00514434">
        <w:rPr>
          <w:rFonts w:ascii="Trebuchet MS" w:hAnsi="Trebuchet MS"/>
          <w:sz w:val="20"/>
          <w:szCs w:val="20"/>
        </w:rPr>
        <w:t>’</w:t>
      </w:r>
      <w:r w:rsidRPr="00446FF5">
        <w:rPr>
          <w:rFonts w:ascii="Trebuchet MS" w:hAnsi="Trebuchet MS"/>
          <w:sz w:val="20"/>
          <w:szCs w:val="20"/>
        </w:rPr>
        <w:t>assunzione di altre cariche e relativi compensi</w:t>
      </w:r>
      <w:r>
        <w:rPr>
          <w:rFonts w:ascii="Trebuchet MS" w:hAnsi="Trebuchet MS"/>
          <w:sz w:val="20"/>
          <w:szCs w:val="20"/>
        </w:rPr>
        <w:t xml:space="preserve"> -</w:t>
      </w:r>
      <w:r w:rsidRPr="00446FF5">
        <w:rPr>
          <w:rFonts w:ascii="Trebuchet MS" w:hAnsi="Trebuchet MS"/>
          <w:sz w:val="20"/>
          <w:szCs w:val="20"/>
        </w:rPr>
        <w:t xml:space="preserve"> ed e)</w:t>
      </w:r>
      <w:r>
        <w:rPr>
          <w:rFonts w:ascii="Trebuchet MS" w:hAnsi="Trebuchet MS"/>
          <w:sz w:val="20"/>
          <w:szCs w:val="20"/>
        </w:rPr>
        <w:t xml:space="preserve"> - riguardanti</w:t>
      </w:r>
      <w:r w:rsidRPr="00446FF5">
        <w:rPr>
          <w:rFonts w:ascii="Trebuchet MS" w:hAnsi="Trebuchet MS"/>
          <w:sz w:val="20"/>
          <w:szCs w:val="20"/>
        </w:rPr>
        <w:t xml:space="preserve"> eventuali incarichi con oneri a carico della finanza pubblica e relativi compensi</w:t>
      </w:r>
      <w:r>
        <w:rPr>
          <w:rFonts w:ascii="Trebuchet MS" w:hAnsi="Trebuchet MS"/>
          <w:sz w:val="20"/>
          <w:szCs w:val="20"/>
        </w:rPr>
        <w:t xml:space="preserve"> -</w:t>
      </w:r>
      <w:r w:rsidRPr="00446FF5">
        <w:rPr>
          <w:rFonts w:ascii="Trebuchet MS" w:hAnsi="Trebuchet MS"/>
          <w:sz w:val="20"/>
          <w:szCs w:val="20"/>
        </w:rPr>
        <w:t>, permaneva l</w:t>
      </w:r>
      <w:r w:rsidR="00514434">
        <w:rPr>
          <w:rFonts w:ascii="Trebuchet MS" w:hAnsi="Trebuchet MS"/>
          <w:sz w:val="20"/>
          <w:szCs w:val="20"/>
        </w:rPr>
        <w:t>’</w:t>
      </w:r>
      <w:r w:rsidRPr="00446FF5">
        <w:rPr>
          <w:rFonts w:ascii="Trebuchet MS" w:hAnsi="Trebuchet MS"/>
          <w:sz w:val="20"/>
          <w:szCs w:val="20"/>
        </w:rPr>
        <w:t xml:space="preserve">incertezza se dovessero essere riferite al momento in cui </w:t>
      </w:r>
      <w:r>
        <w:rPr>
          <w:rFonts w:ascii="Trebuchet MS" w:hAnsi="Trebuchet MS"/>
          <w:sz w:val="20"/>
          <w:szCs w:val="20"/>
        </w:rPr>
        <w:t>tali dichiarazioni</w:t>
      </w:r>
      <w:r w:rsidRPr="00446FF5">
        <w:rPr>
          <w:rFonts w:ascii="Trebuchet MS" w:hAnsi="Trebuchet MS"/>
          <w:sz w:val="20"/>
          <w:szCs w:val="20"/>
        </w:rPr>
        <w:t xml:space="preserve"> sono rilasciate o</w:t>
      </w:r>
      <w:r>
        <w:rPr>
          <w:rFonts w:ascii="Trebuchet MS" w:hAnsi="Trebuchet MS"/>
          <w:sz w:val="20"/>
          <w:szCs w:val="20"/>
        </w:rPr>
        <w:t>ppure</w:t>
      </w:r>
      <w:r w:rsidRPr="00446FF5">
        <w:rPr>
          <w:rFonts w:ascii="Trebuchet MS" w:hAnsi="Trebuchet MS"/>
          <w:sz w:val="20"/>
          <w:szCs w:val="20"/>
        </w:rPr>
        <w:t xml:space="preserve"> a quello della proclamazione/nomina</w:t>
      </w:r>
      <w:r>
        <w:rPr>
          <w:rFonts w:ascii="Trebuchet MS" w:hAnsi="Trebuchet MS"/>
          <w:sz w:val="20"/>
          <w:szCs w:val="20"/>
        </w:rPr>
        <w:t xml:space="preserve">. Allo stesso modo ci si è chiesti </w:t>
      </w:r>
      <w:r w:rsidRPr="00446FF5">
        <w:rPr>
          <w:rFonts w:ascii="Trebuchet MS" w:hAnsi="Trebuchet MS"/>
          <w:sz w:val="20"/>
          <w:szCs w:val="20"/>
        </w:rPr>
        <w:t>se la dichiarazione dei redditi</w:t>
      </w:r>
      <w:r>
        <w:rPr>
          <w:rFonts w:ascii="Trebuchet MS" w:hAnsi="Trebuchet MS"/>
          <w:sz w:val="20"/>
          <w:szCs w:val="20"/>
        </w:rPr>
        <w:t>,</w:t>
      </w:r>
      <w:r w:rsidRPr="00446FF5">
        <w:rPr>
          <w:rFonts w:ascii="Trebuchet MS" w:hAnsi="Trebuchet MS"/>
          <w:sz w:val="20"/>
          <w:szCs w:val="20"/>
        </w:rPr>
        <w:t xml:space="preserve"> cui fa riferimento la lettera f), fosse da intendersi come quella dell</w:t>
      </w:r>
      <w:r w:rsidR="00514434">
        <w:rPr>
          <w:rFonts w:ascii="Trebuchet MS" w:hAnsi="Trebuchet MS"/>
          <w:sz w:val="20"/>
          <w:szCs w:val="20"/>
        </w:rPr>
        <w:t>’</w:t>
      </w:r>
      <w:r w:rsidRPr="00446FF5">
        <w:rPr>
          <w:rFonts w:ascii="Trebuchet MS" w:hAnsi="Trebuchet MS"/>
          <w:sz w:val="20"/>
          <w:szCs w:val="20"/>
        </w:rPr>
        <w:t xml:space="preserve">anno nel corso del quale si rilascia </w:t>
      </w:r>
      <w:r>
        <w:rPr>
          <w:rFonts w:ascii="Trebuchet MS" w:hAnsi="Trebuchet MS"/>
          <w:sz w:val="20"/>
          <w:szCs w:val="20"/>
        </w:rPr>
        <w:t>la</w:t>
      </w:r>
      <w:r w:rsidRPr="00446FF5">
        <w:rPr>
          <w:rFonts w:ascii="Trebuchet MS" w:hAnsi="Trebuchet MS"/>
          <w:sz w:val="20"/>
          <w:szCs w:val="20"/>
        </w:rPr>
        <w:t xml:space="preserve"> dichiarazione </w:t>
      </w:r>
      <w:r w:rsidR="00B44C1C">
        <w:rPr>
          <w:rFonts w:ascii="Trebuchet MS" w:hAnsi="Trebuchet MS"/>
          <w:sz w:val="20"/>
          <w:szCs w:val="20"/>
        </w:rPr>
        <w:t>o piuttosto quella dell</w:t>
      </w:r>
      <w:r w:rsidR="00514434">
        <w:rPr>
          <w:rFonts w:ascii="Trebuchet MS" w:hAnsi="Trebuchet MS"/>
          <w:sz w:val="20"/>
          <w:szCs w:val="20"/>
        </w:rPr>
        <w:t>’</w:t>
      </w:r>
      <w:r w:rsidR="00B44C1C">
        <w:rPr>
          <w:rFonts w:ascii="Trebuchet MS" w:hAnsi="Trebuchet MS"/>
          <w:sz w:val="20"/>
          <w:szCs w:val="20"/>
        </w:rPr>
        <w:t>anno</w:t>
      </w:r>
      <w:r w:rsidRPr="00446FF5">
        <w:rPr>
          <w:rFonts w:ascii="Trebuchet MS" w:hAnsi="Trebuchet MS"/>
          <w:sz w:val="20"/>
          <w:szCs w:val="20"/>
        </w:rPr>
        <w:t xml:space="preserve"> precedente.</w:t>
      </w:r>
    </w:p>
    <w:p w:rsidR="00E340A1" w:rsidRPr="00446FF5"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 xml:space="preserve">È stato quindi precisato </w:t>
      </w:r>
      <w:r>
        <w:rPr>
          <w:rFonts w:ascii="Trebuchet MS" w:hAnsi="Trebuchet MS"/>
          <w:sz w:val="20"/>
          <w:szCs w:val="20"/>
        </w:rPr>
        <w:t>che le dichiarazioni di cui alle</w:t>
      </w:r>
      <w:r w:rsidRPr="00446FF5">
        <w:rPr>
          <w:rFonts w:ascii="Trebuchet MS" w:hAnsi="Trebuchet MS"/>
          <w:sz w:val="20"/>
          <w:szCs w:val="20"/>
        </w:rPr>
        <w:t xml:space="preserve"> lett</w:t>
      </w:r>
      <w:r>
        <w:rPr>
          <w:rFonts w:ascii="Trebuchet MS" w:hAnsi="Trebuchet MS"/>
          <w:sz w:val="20"/>
          <w:szCs w:val="20"/>
        </w:rPr>
        <w:t>ere</w:t>
      </w:r>
      <w:r w:rsidRPr="00446FF5">
        <w:rPr>
          <w:rFonts w:ascii="Trebuchet MS" w:hAnsi="Trebuchet MS"/>
          <w:sz w:val="20"/>
          <w:szCs w:val="20"/>
        </w:rPr>
        <w:t xml:space="preserve"> d) ed e) debbono essere riferite al momento dell</w:t>
      </w:r>
      <w:r w:rsidR="00514434">
        <w:rPr>
          <w:rFonts w:ascii="Trebuchet MS" w:hAnsi="Trebuchet MS"/>
          <w:sz w:val="20"/>
          <w:szCs w:val="20"/>
        </w:rPr>
        <w:t>’</w:t>
      </w:r>
      <w:r w:rsidRPr="00446FF5">
        <w:rPr>
          <w:rFonts w:ascii="Trebuchet MS" w:hAnsi="Trebuchet MS"/>
          <w:sz w:val="20"/>
          <w:szCs w:val="20"/>
        </w:rPr>
        <w:t>assunzione in carica</w:t>
      </w:r>
      <w:r>
        <w:rPr>
          <w:rFonts w:ascii="Trebuchet MS" w:hAnsi="Trebuchet MS"/>
          <w:sz w:val="20"/>
          <w:szCs w:val="20"/>
        </w:rPr>
        <w:t>,</w:t>
      </w:r>
      <w:r w:rsidRPr="00446FF5">
        <w:rPr>
          <w:rFonts w:ascii="Trebuchet MS" w:hAnsi="Trebuchet MS"/>
          <w:sz w:val="20"/>
          <w:szCs w:val="20"/>
        </w:rPr>
        <w:t xml:space="preserve"> cioè all</w:t>
      </w:r>
      <w:r w:rsidR="00514434">
        <w:rPr>
          <w:rFonts w:ascii="Trebuchet MS" w:hAnsi="Trebuchet MS"/>
          <w:sz w:val="20"/>
          <w:szCs w:val="20"/>
        </w:rPr>
        <w:t>’</w:t>
      </w:r>
      <w:r w:rsidRPr="00446FF5">
        <w:rPr>
          <w:rFonts w:ascii="Trebuchet MS" w:hAnsi="Trebuchet MS"/>
          <w:sz w:val="20"/>
          <w:szCs w:val="20"/>
        </w:rPr>
        <w:t xml:space="preserve">atto di proclamazione </w:t>
      </w:r>
      <w:r>
        <w:rPr>
          <w:rFonts w:ascii="Trebuchet MS" w:hAnsi="Trebuchet MS"/>
          <w:sz w:val="20"/>
          <w:szCs w:val="20"/>
        </w:rPr>
        <w:t>successivo</w:t>
      </w:r>
      <w:r w:rsidRPr="00446FF5">
        <w:rPr>
          <w:rFonts w:ascii="Trebuchet MS" w:hAnsi="Trebuchet MS"/>
          <w:sz w:val="20"/>
          <w:szCs w:val="20"/>
        </w:rPr>
        <w:t xml:space="preserve"> all</w:t>
      </w:r>
      <w:r w:rsidR="00514434">
        <w:rPr>
          <w:rFonts w:ascii="Trebuchet MS" w:hAnsi="Trebuchet MS"/>
          <w:sz w:val="20"/>
          <w:szCs w:val="20"/>
        </w:rPr>
        <w:t>’</w:t>
      </w:r>
      <w:r w:rsidRPr="00446FF5">
        <w:rPr>
          <w:rFonts w:ascii="Trebuchet MS" w:hAnsi="Trebuchet MS"/>
          <w:sz w:val="20"/>
          <w:szCs w:val="20"/>
        </w:rPr>
        <w:t>elezione o all</w:t>
      </w:r>
      <w:r w:rsidR="00514434">
        <w:rPr>
          <w:rFonts w:ascii="Trebuchet MS" w:hAnsi="Trebuchet MS"/>
          <w:sz w:val="20"/>
          <w:szCs w:val="20"/>
        </w:rPr>
        <w:t>’</w:t>
      </w:r>
      <w:r w:rsidRPr="00446FF5">
        <w:rPr>
          <w:rFonts w:ascii="Trebuchet MS" w:hAnsi="Trebuchet MS"/>
          <w:sz w:val="20"/>
          <w:szCs w:val="20"/>
        </w:rPr>
        <w:t>atto di nomina, salvo poi chiederne l</w:t>
      </w:r>
      <w:r w:rsidR="00514434">
        <w:rPr>
          <w:rFonts w:ascii="Trebuchet MS" w:hAnsi="Trebuchet MS"/>
          <w:sz w:val="20"/>
          <w:szCs w:val="20"/>
        </w:rPr>
        <w:t>’</w:t>
      </w:r>
      <w:r w:rsidRPr="00446FF5">
        <w:rPr>
          <w:rFonts w:ascii="Trebuchet MS" w:hAnsi="Trebuchet MS"/>
          <w:sz w:val="20"/>
          <w:szCs w:val="20"/>
        </w:rPr>
        <w:t xml:space="preserve">aggiornamento alla propria amministrazione, qualora nei tre mesi, </w:t>
      </w:r>
      <w:r>
        <w:rPr>
          <w:rFonts w:ascii="Trebuchet MS" w:hAnsi="Trebuchet MS"/>
          <w:sz w:val="20"/>
          <w:szCs w:val="20"/>
        </w:rPr>
        <w:t xml:space="preserve">successivi al </w:t>
      </w:r>
      <w:r w:rsidRPr="00446FF5">
        <w:rPr>
          <w:rFonts w:ascii="Trebuchet MS" w:hAnsi="Trebuchet MS"/>
          <w:sz w:val="20"/>
          <w:szCs w:val="20"/>
        </w:rPr>
        <w:t>termine previsto per la pu</w:t>
      </w:r>
      <w:r w:rsidR="00B44C1C">
        <w:rPr>
          <w:rFonts w:ascii="Trebuchet MS" w:hAnsi="Trebuchet MS"/>
          <w:sz w:val="20"/>
          <w:szCs w:val="20"/>
        </w:rPr>
        <w:t>bblicazione, si siano verificate</w:t>
      </w:r>
      <w:r w:rsidRPr="00446FF5">
        <w:rPr>
          <w:rFonts w:ascii="Trebuchet MS" w:hAnsi="Trebuchet MS"/>
          <w:sz w:val="20"/>
          <w:szCs w:val="20"/>
        </w:rPr>
        <w:t xml:space="preserve"> situazioni ulteriori da menzionare nella dichiarazione.</w:t>
      </w:r>
    </w:p>
    <w:p w:rsidR="00E340A1" w:rsidRPr="00446FF5" w:rsidRDefault="00E340A1" w:rsidP="00E340A1">
      <w:pPr>
        <w:spacing w:after="120" w:line="276" w:lineRule="auto"/>
        <w:jc w:val="both"/>
        <w:rPr>
          <w:rFonts w:ascii="Trebuchet MS" w:hAnsi="Trebuchet MS"/>
          <w:sz w:val="20"/>
          <w:szCs w:val="20"/>
        </w:rPr>
      </w:pPr>
      <w:r>
        <w:rPr>
          <w:rFonts w:ascii="Trebuchet MS" w:hAnsi="Trebuchet MS"/>
          <w:sz w:val="20"/>
          <w:szCs w:val="20"/>
        </w:rPr>
        <w:t>Nello specifico, tale interpretazione è</w:t>
      </w:r>
      <w:r w:rsidRPr="00446FF5">
        <w:rPr>
          <w:rFonts w:ascii="Trebuchet MS" w:hAnsi="Trebuchet MS"/>
          <w:sz w:val="20"/>
          <w:szCs w:val="20"/>
        </w:rPr>
        <w:t xml:space="preserve"> in linea con l</w:t>
      </w:r>
      <w:r w:rsidR="00514434">
        <w:rPr>
          <w:rFonts w:ascii="Trebuchet MS" w:hAnsi="Trebuchet MS"/>
          <w:sz w:val="20"/>
          <w:szCs w:val="20"/>
        </w:rPr>
        <w:t>’</w:t>
      </w:r>
      <w:r w:rsidRPr="00446FF5">
        <w:rPr>
          <w:rFonts w:ascii="Trebuchet MS" w:hAnsi="Trebuchet MS"/>
          <w:sz w:val="20"/>
          <w:szCs w:val="20"/>
        </w:rPr>
        <w:t>intento del legislatore di rafforzare il regime di trasparenza nei confronti di figure che</w:t>
      </w:r>
      <w:r>
        <w:rPr>
          <w:rFonts w:ascii="Trebuchet MS" w:hAnsi="Trebuchet MS"/>
          <w:sz w:val="20"/>
          <w:szCs w:val="20"/>
        </w:rPr>
        <w:t>,</w:t>
      </w:r>
      <w:r w:rsidRPr="00446FF5">
        <w:rPr>
          <w:rFonts w:ascii="Trebuchet MS" w:hAnsi="Trebuchet MS"/>
          <w:sz w:val="20"/>
          <w:szCs w:val="20"/>
        </w:rPr>
        <w:t xml:space="preserve"> a vario titolo</w:t>
      </w:r>
      <w:r>
        <w:rPr>
          <w:rFonts w:ascii="Trebuchet MS" w:hAnsi="Trebuchet MS"/>
          <w:sz w:val="20"/>
          <w:szCs w:val="20"/>
        </w:rPr>
        <w:t>,</w:t>
      </w:r>
      <w:r w:rsidRPr="00446FF5">
        <w:rPr>
          <w:rFonts w:ascii="Trebuchet MS" w:hAnsi="Trebuchet MS"/>
          <w:sz w:val="20"/>
          <w:szCs w:val="20"/>
        </w:rPr>
        <w:t xml:space="preserve"> ricoprono “ruoli di vertice” </w:t>
      </w:r>
      <w:r>
        <w:rPr>
          <w:rFonts w:ascii="Trebuchet MS" w:hAnsi="Trebuchet MS"/>
          <w:sz w:val="20"/>
          <w:szCs w:val="20"/>
        </w:rPr>
        <w:t xml:space="preserve">e a </w:t>
      </w:r>
      <w:r w:rsidRPr="00446FF5">
        <w:rPr>
          <w:rFonts w:ascii="Trebuchet MS" w:hAnsi="Trebuchet MS"/>
          <w:sz w:val="20"/>
          <w:szCs w:val="20"/>
        </w:rPr>
        <w:t>cui sono attribuite competenze di indirizzo generale, politico-amministrativo o di gestione e di amministrazione attiva</w:t>
      </w:r>
      <w:r>
        <w:rPr>
          <w:rFonts w:ascii="Trebuchet MS" w:hAnsi="Trebuchet MS"/>
          <w:sz w:val="20"/>
          <w:szCs w:val="20"/>
        </w:rPr>
        <w:t xml:space="preserve">. </w:t>
      </w:r>
      <w:r w:rsidRPr="00741450">
        <w:rPr>
          <w:rFonts w:ascii="Trebuchet MS" w:hAnsi="Trebuchet MS"/>
          <w:sz w:val="20"/>
          <w:szCs w:val="20"/>
        </w:rPr>
        <w:t xml:space="preserve">Inoltre, </w:t>
      </w:r>
      <w:r w:rsidRPr="00446FF5">
        <w:rPr>
          <w:rFonts w:ascii="Trebuchet MS" w:hAnsi="Trebuchet MS"/>
          <w:sz w:val="20"/>
          <w:szCs w:val="20"/>
        </w:rPr>
        <w:t>consente di cristallizzare la situazione degli incarichi/cariche rivestite al momento della proclamazione/nomina e di individuare</w:t>
      </w:r>
      <w:r>
        <w:rPr>
          <w:rFonts w:ascii="Trebuchet MS" w:hAnsi="Trebuchet MS"/>
          <w:sz w:val="20"/>
          <w:szCs w:val="20"/>
        </w:rPr>
        <w:t>,</w:t>
      </w:r>
      <w:r w:rsidRPr="00446FF5">
        <w:rPr>
          <w:rFonts w:ascii="Trebuchet MS" w:hAnsi="Trebuchet MS"/>
          <w:sz w:val="20"/>
          <w:szCs w:val="20"/>
        </w:rPr>
        <w:t xml:space="preserve"> di fatto</w:t>
      </w:r>
      <w:r>
        <w:rPr>
          <w:rFonts w:ascii="Trebuchet MS" w:hAnsi="Trebuchet MS"/>
          <w:sz w:val="20"/>
          <w:szCs w:val="20"/>
        </w:rPr>
        <w:t>,</w:t>
      </w:r>
      <w:r w:rsidRPr="00446FF5">
        <w:rPr>
          <w:rFonts w:ascii="Trebuchet MS" w:hAnsi="Trebuchet MS"/>
          <w:sz w:val="20"/>
          <w:szCs w:val="20"/>
        </w:rPr>
        <w:t xml:space="preserve"> un unico parametro temporale di riferimento per le suddette dichiarazioni che possa assicurare certezza e uniformità per tutte le </w:t>
      </w:r>
      <w:r>
        <w:rPr>
          <w:rFonts w:ascii="Trebuchet MS" w:hAnsi="Trebuchet MS"/>
          <w:sz w:val="20"/>
          <w:szCs w:val="20"/>
        </w:rPr>
        <w:t>pubbliche amministrazioni</w:t>
      </w:r>
      <w:r w:rsidRPr="00446FF5">
        <w:rPr>
          <w:rFonts w:ascii="Trebuchet MS" w:hAnsi="Trebuchet MS"/>
          <w:sz w:val="20"/>
          <w:szCs w:val="20"/>
        </w:rPr>
        <w:t xml:space="preserve"> interessate ed evitare così disparità di trattamento nell</w:t>
      </w:r>
      <w:r w:rsidR="00514434">
        <w:rPr>
          <w:rFonts w:ascii="Trebuchet MS" w:hAnsi="Trebuchet MS"/>
          <w:sz w:val="20"/>
          <w:szCs w:val="20"/>
        </w:rPr>
        <w:t>’</w:t>
      </w:r>
      <w:r w:rsidRPr="00446FF5">
        <w:rPr>
          <w:rFonts w:ascii="Trebuchet MS" w:hAnsi="Trebuchet MS"/>
          <w:sz w:val="20"/>
          <w:szCs w:val="20"/>
        </w:rPr>
        <w:t>applicazione della norma. Suddetto orientamento trova</w:t>
      </w:r>
      <w:r>
        <w:rPr>
          <w:rFonts w:ascii="Trebuchet MS" w:hAnsi="Trebuchet MS"/>
          <w:sz w:val="20"/>
          <w:szCs w:val="20"/>
        </w:rPr>
        <w:t>,</w:t>
      </w:r>
      <w:r w:rsidRPr="00446FF5">
        <w:rPr>
          <w:rFonts w:ascii="Trebuchet MS" w:hAnsi="Trebuchet MS"/>
          <w:sz w:val="20"/>
          <w:szCs w:val="20"/>
        </w:rPr>
        <w:t xml:space="preserve"> </w:t>
      </w:r>
      <w:r>
        <w:rPr>
          <w:rFonts w:ascii="Trebuchet MS" w:hAnsi="Trebuchet MS"/>
          <w:sz w:val="20"/>
          <w:szCs w:val="20"/>
        </w:rPr>
        <w:t xml:space="preserve">peraltro, </w:t>
      </w:r>
      <w:r w:rsidRPr="00446FF5">
        <w:rPr>
          <w:rFonts w:ascii="Trebuchet MS" w:hAnsi="Trebuchet MS"/>
          <w:sz w:val="20"/>
          <w:szCs w:val="20"/>
        </w:rPr>
        <w:t>conferma nell</w:t>
      </w:r>
      <w:r w:rsidR="00514434">
        <w:rPr>
          <w:rFonts w:ascii="Trebuchet MS" w:hAnsi="Trebuchet MS"/>
          <w:sz w:val="20"/>
          <w:szCs w:val="20"/>
        </w:rPr>
        <w:t>’</w:t>
      </w:r>
      <w:r w:rsidRPr="00446FF5">
        <w:rPr>
          <w:rFonts w:ascii="Trebuchet MS" w:hAnsi="Trebuchet MS"/>
          <w:sz w:val="20"/>
          <w:szCs w:val="20"/>
        </w:rPr>
        <w:t>art</w:t>
      </w:r>
      <w:r>
        <w:rPr>
          <w:rFonts w:ascii="Trebuchet MS" w:hAnsi="Trebuchet MS"/>
          <w:sz w:val="20"/>
          <w:szCs w:val="20"/>
        </w:rPr>
        <w:t>icolo</w:t>
      </w:r>
      <w:r w:rsidRPr="00446FF5">
        <w:rPr>
          <w:rFonts w:ascii="Trebuchet MS" w:hAnsi="Trebuchet MS"/>
          <w:sz w:val="20"/>
          <w:szCs w:val="20"/>
        </w:rPr>
        <w:t xml:space="preserve"> 47</w:t>
      </w:r>
      <w:r>
        <w:rPr>
          <w:rFonts w:ascii="Trebuchet MS" w:hAnsi="Trebuchet MS"/>
          <w:sz w:val="20"/>
          <w:szCs w:val="20"/>
        </w:rPr>
        <w:t>,</w:t>
      </w:r>
      <w:r w:rsidRPr="00446FF5">
        <w:rPr>
          <w:rFonts w:ascii="Trebuchet MS" w:hAnsi="Trebuchet MS"/>
          <w:sz w:val="20"/>
          <w:szCs w:val="20"/>
        </w:rPr>
        <w:t xml:space="preserve"> co</w:t>
      </w:r>
      <w:r>
        <w:rPr>
          <w:rFonts w:ascii="Trebuchet MS" w:hAnsi="Trebuchet MS"/>
          <w:sz w:val="20"/>
          <w:szCs w:val="20"/>
        </w:rPr>
        <w:t>mma</w:t>
      </w:r>
      <w:r w:rsidRPr="00446FF5">
        <w:rPr>
          <w:rFonts w:ascii="Trebuchet MS" w:hAnsi="Trebuchet MS"/>
          <w:sz w:val="20"/>
          <w:szCs w:val="20"/>
        </w:rPr>
        <w:t xml:space="preserve"> 1</w:t>
      </w:r>
      <w:r>
        <w:rPr>
          <w:rFonts w:ascii="Trebuchet MS" w:hAnsi="Trebuchet MS"/>
          <w:sz w:val="20"/>
          <w:szCs w:val="20"/>
        </w:rPr>
        <w:t>,</w:t>
      </w:r>
      <w:r w:rsidRPr="00446FF5">
        <w:rPr>
          <w:rFonts w:ascii="Trebuchet MS" w:hAnsi="Trebuchet MS"/>
          <w:sz w:val="20"/>
          <w:szCs w:val="20"/>
        </w:rPr>
        <w:t xml:space="preserve"> d.lgs. </w:t>
      </w:r>
      <w:r>
        <w:rPr>
          <w:rFonts w:ascii="Trebuchet MS" w:hAnsi="Trebuchet MS"/>
          <w:sz w:val="20"/>
          <w:szCs w:val="20"/>
        </w:rPr>
        <w:t xml:space="preserve">n. </w:t>
      </w:r>
      <w:r w:rsidRPr="00446FF5">
        <w:rPr>
          <w:rFonts w:ascii="Trebuchet MS" w:hAnsi="Trebuchet MS"/>
          <w:sz w:val="20"/>
          <w:szCs w:val="20"/>
        </w:rPr>
        <w:t>33/2013</w:t>
      </w:r>
      <w:r>
        <w:rPr>
          <w:rFonts w:ascii="Trebuchet MS" w:hAnsi="Trebuchet MS"/>
          <w:sz w:val="20"/>
          <w:szCs w:val="20"/>
        </w:rPr>
        <w:t>,</w:t>
      </w:r>
      <w:r w:rsidRPr="00446FF5">
        <w:rPr>
          <w:rFonts w:ascii="Trebuchet MS" w:hAnsi="Trebuchet MS"/>
          <w:sz w:val="20"/>
          <w:szCs w:val="20"/>
        </w:rPr>
        <w:t xml:space="preserve"> che sanziona la mancata o incompleta comunicazione delle informazioni e dei dati di cui all</w:t>
      </w:r>
      <w:r w:rsidR="00514434">
        <w:rPr>
          <w:rFonts w:ascii="Trebuchet MS" w:hAnsi="Trebuchet MS"/>
          <w:sz w:val="20"/>
          <w:szCs w:val="20"/>
        </w:rPr>
        <w:t>’</w:t>
      </w:r>
      <w:r w:rsidRPr="00446FF5">
        <w:rPr>
          <w:rFonts w:ascii="Trebuchet MS" w:hAnsi="Trebuchet MS"/>
          <w:sz w:val="20"/>
          <w:szCs w:val="20"/>
        </w:rPr>
        <w:t>articolo 14, concernenti la situazione patrimoniale complessiva del titolare dell</w:t>
      </w:r>
      <w:r w:rsidR="00514434">
        <w:rPr>
          <w:rFonts w:ascii="Trebuchet MS" w:hAnsi="Trebuchet MS"/>
          <w:sz w:val="20"/>
          <w:szCs w:val="20"/>
        </w:rPr>
        <w:t>’</w:t>
      </w:r>
      <w:r w:rsidRPr="00446FF5">
        <w:rPr>
          <w:rFonts w:ascii="Trebuchet MS" w:hAnsi="Trebuchet MS"/>
          <w:sz w:val="20"/>
          <w:szCs w:val="20"/>
        </w:rPr>
        <w:t>incarico al momento dell</w:t>
      </w:r>
      <w:r w:rsidR="00514434">
        <w:rPr>
          <w:rFonts w:ascii="Trebuchet MS" w:hAnsi="Trebuchet MS"/>
          <w:sz w:val="20"/>
          <w:szCs w:val="20"/>
        </w:rPr>
        <w:t>’</w:t>
      </w:r>
      <w:r w:rsidRPr="00446FF5">
        <w:rPr>
          <w:rFonts w:ascii="Trebuchet MS" w:hAnsi="Trebuchet MS"/>
          <w:sz w:val="20"/>
          <w:szCs w:val="20"/>
        </w:rPr>
        <w:t>assunzione in carica.</w:t>
      </w:r>
    </w:p>
    <w:p w:rsidR="00E340A1"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Con riferimento</w:t>
      </w:r>
      <w:r>
        <w:rPr>
          <w:rFonts w:ascii="Trebuchet MS" w:hAnsi="Trebuchet MS"/>
          <w:sz w:val="20"/>
          <w:szCs w:val="20"/>
        </w:rPr>
        <w:t>,</w:t>
      </w:r>
      <w:r w:rsidRPr="00446FF5">
        <w:rPr>
          <w:rFonts w:ascii="Trebuchet MS" w:hAnsi="Trebuchet MS"/>
          <w:sz w:val="20"/>
          <w:szCs w:val="20"/>
        </w:rPr>
        <w:t xml:space="preserve"> invece</w:t>
      </w:r>
      <w:r>
        <w:rPr>
          <w:rFonts w:ascii="Trebuchet MS" w:hAnsi="Trebuchet MS"/>
          <w:sz w:val="20"/>
          <w:szCs w:val="20"/>
        </w:rPr>
        <w:t>,</w:t>
      </w:r>
      <w:r w:rsidRPr="00446FF5">
        <w:rPr>
          <w:rFonts w:ascii="Trebuchet MS" w:hAnsi="Trebuchet MS"/>
          <w:sz w:val="20"/>
          <w:szCs w:val="20"/>
        </w:rPr>
        <w:t xml:space="preserve"> alla dichiarazione dei redditi di cui alla lett</w:t>
      </w:r>
      <w:r>
        <w:rPr>
          <w:rFonts w:ascii="Trebuchet MS" w:hAnsi="Trebuchet MS"/>
          <w:sz w:val="20"/>
          <w:szCs w:val="20"/>
        </w:rPr>
        <w:t>era</w:t>
      </w:r>
      <w:r w:rsidRPr="00446FF5">
        <w:rPr>
          <w:rFonts w:ascii="Trebuchet MS" w:hAnsi="Trebuchet MS"/>
          <w:sz w:val="20"/>
          <w:szCs w:val="20"/>
        </w:rPr>
        <w:t xml:space="preserve"> f) è stato precisato che – in </w:t>
      </w:r>
      <w:r>
        <w:rPr>
          <w:rFonts w:ascii="Trebuchet MS" w:hAnsi="Trebuchet MS"/>
          <w:sz w:val="20"/>
          <w:szCs w:val="20"/>
        </w:rPr>
        <w:t xml:space="preserve">conformità a </w:t>
      </w:r>
      <w:r w:rsidRPr="00446FF5">
        <w:rPr>
          <w:rFonts w:ascii="Trebuchet MS" w:hAnsi="Trebuchet MS"/>
          <w:sz w:val="20"/>
          <w:szCs w:val="20"/>
        </w:rPr>
        <w:t xml:space="preserve">quanto previsto nella delibera ANAC </w:t>
      </w:r>
      <w:r>
        <w:rPr>
          <w:rFonts w:ascii="Trebuchet MS" w:hAnsi="Trebuchet MS"/>
          <w:sz w:val="20"/>
          <w:szCs w:val="20"/>
        </w:rPr>
        <w:t xml:space="preserve">n. </w:t>
      </w:r>
      <w:r w:rsidRPr="00446FF5">
        <w:rPr>
          <w:rFonts w:ascii="Trebuchet MS" w:hAnsi="Trebuchet MS"/>
          <w:sz w:val="20"/>
          <w:szCs w:val="20"/>
        </w:rPr>
        <w:t xml:space="preserve">241/2017 al </w:t>
      </w:r>
      <w:r>
        <w:rPr>
          <w:rFonts w:ascii="Trebuchet MS" w:hAnsi="Trebuchet MS"/>
          <w:sz w:val="20"/>
          <w:szCs w:val="20"/>
        </w:rPr>
        <w:t>paragrafo</w:t>
      </w:r>
      <w:r w:rsidRPr="00446FF5">
        <w:rPr>
          <w:rFonts w:ascii="Trebuchet MS" w:hAnsi="Trebuchet MS"/>
          <w:sz w:val="20"/>
          <w:szCs w:val="20"/>
        </w:rPr>
        <w:t xml:space="preserve"> 6 -  è da pubblicarsi l</w:t>
      </w:r>
      <w:r w:rsidR="00514434">
        <w:rPr>
          <w:rFonts w:ascii="Trebuchet MS" w:hAnsi="Trebuchet MS"/>
          <w:sz w:val="20"/>
          <w:szCs w:val="20"/>
        </w:rPr>
        <w:t>’</w:t>
      </w:r>
      <w:r w:rsidRPr="00446FF5">
        <w:rPr>
          <w:rFonts w:ascii="Trebuchet MS" w:hAnsi="Trebuchet MS"/>
          <w:sz w:val="20"/>
          <w:szCs w:val="20"/>
        </w:rPr>
        <w:t xml:space="preserve">ultima dichiarazione dei redditi disponibile. </w:t>
      </w:r>
    </w:p>
    <w:p w:rsidR="00E340A1" w:rsidRPr="00446FF5" w:rsidRDefault="00E340A1" w:rsidP="00E340A1">
      <w:pPr>
        <w:spacing w:after="120" w:line="276" w:lineRule="auto"/>
        <w:jc w:val="both"/>
        <w:rPr>
          <w:rFonts w:ascii="Trebuchet MS" w:hAnsi="Trebuchet MS"/>
          <w:sz w:val="20"/>
          <w:szCs w:val="20"/>
        </w:rPr>
      </w:pPr>
    </w:p>
    <w:p w:rsidR="00E340A1" w:rsidRPr="00F07C53" w:rsidRDefault="00E340A1" w:rsidP="00F07C53">
      <w:pPr>
        <w:pStyle w:val="TERZOLIVELLORELAZIONE"/>
        <w:rPr>
          <w:lang w:val="it-IT"/>
        </w:rPr>
      </w:pPr>
      <w:bookmarkStart w:id="9" w:name="_Toc134808538"/>
      <w:r w:rsidRPr="00F07C53">
        <w:rPr>
          <w:lang w:val="it-IT"/>
        </w:rPr>
        <w:t>3.1.2. Commissario liquidatore di unione di Comuni</w:t>
      </w:r>
      <w:bookmarkEnd w:id="9"/>
    </w:p>
    <w:p w:rsidR="00E340A1" w:rsidRPr="00446FF5"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Un</w:t>
      </w:r>
      <w:r>
        <w:rPr>
          <w:rFonts w:ascii="Trebuchet MS" w:hAnsi="Trebuchet MS"/>
          <w:sz w:val="20"/>
          <w:szCs w:val="20"/>
        </w:rPr>
        <w:t xml:space="preserve"> altro tema affrontato è stato quello relativo a</w:t>
      </w:r>
      <w:r w:rsidRPr="00446FF5">
        <w:rPr>
          <w:rFonts w:ascii="Trebuchet MS" w:hAnsi="Trebuchet MS"/>
          <w:sz w:val="20"/>
          <w:szCs w:val="20"/>
        </w:rPr>
        <w:t>i dati da pubblicare ai sensi dell</w:t>
      </w:r>
      <w:r w:rsidR="00514434">
        <w:rPr>
          <w:rFonts w:ascii="Trebuchet MS" w:hAnsi="Trebuchet MS"/>
          <w:sz w:val="20"/>
          <w:szCs w:val="20"/>
        </w:rPr>
        <w:t>’</w:t>
      </w:r>
      <w:r w:rsidRPr="00446FF5">
        <w:rPr>
          <w:rFonts w:ascii="Trebuchet MS" w:hAnsi="Trebuchet MS"/>
          <w:sz w:val="20"/>
          <w:szCs w:val="20"/>
        </w:rPr>
        <w:t xml:space="preserve">art. 14 del d.lgs. </w:t>
      </w:r>
      <w:r>
        <w:rPr>
          <w:rFonts w:ascii="Trebuchet MS" w:hAnsi="Trebuchet MS"/>
          <w:sz w:val="20"/>
          <w:szCs w:val="20"/>
        </w:rPr>
        <w:t xml:space="preserve">n. </w:t>
      </w:r>
      <w:r w:rsidRPr="00446FF5">
        <w:rPr>
          <w:rFonts w:ascii="Trebuchet MS" w:hAnsi="Trebuchet MS"/>
          <w:sz w:val="20"/>
          <w:szCs w:val="20"/>
        </w:rPr>
        <w:t xml:space="preserve">33/2013 </w:t>
      </w:r>
      <w:r>
        <w:rPr>
          <w:rFonts w:ascii="Trebuchet MS" w:hAnsi="Trebuchet MS"/>
          <w:sz w:val="20"/>
          <w:szCs w:val="20"/>
        </w:rPr>
        <w:t>nell</w:t>
      </w:r>
      <w:r w:rsidR="00514434">
        <w:rPr>
          <w:rFonts w:ascii="Trebuchet MS" w:hAnsi="Trebuchet MS"/>
          <w:sz w:val="20"/>
          <w:szCs w:val="20"/>
        </w:rPr>
        <w:t>’</w:t>
      </w:r>
      <w:r>
        <w:rPr>
          <w:rFonts w:ascii="Trebuchet MS" w:hAnsi="Trebuchet MS"/>
          <w:sz w:val="20"/>
          <w:szCs w:val="20"/>
        </w:rPr>
        <w:t>ipotesi di</w:t>
      </w:r>
      <w:r w:rsidRPr="00446FF5">
        <w:rPr>
          <w:rFonts w:ascii="Trebuchet MS" w:hAnsi="Trebuchet MS"/>
          <w:sz w:val="20"/>
          <w:szCs w:val="20"/>
        </w:rPr>
        <w:t xml:space="preserve"> </w:t>
      </w:r>
      <w:r>
        <w:rPr>
          <w:rFonts w:ascii="Trebuchet MS" w:hAnsi="Trebuchet MS"/>
          <w:sz w:val="20"/>
          <w:szCs w:val="20"/>
        </w:rPr>
        <w:t>Commissario liquidatore di una unione di C</w:t>
      </w:r>
      <w:r w:rsidRPr="00446FF5">
        <w:rPr>
          <w:rFonts w:ascii="Trebuchet MS" w:hAnsi="Trebuchet MS"/>
          <w:sz w:val="20"/>
          <w:szCs w:val="20"/>
        </w:rPr>
        <w:t xml:space="preserve">omuni. Il quesito ha </w:t>
      </w:r>
      <w:r>
        <w:rPr>
          <w:rFonts w:ascii="Trebuchet MS" w:hAnsi="Trebuchet MS"/>
          <w:sz w:val="20"/>
          <w:szCs w:val="20"/>
        </w:rPr>
        <w:t xml:space="preserve">reso necessaria </w:t>
      </w:r>
      <w:r w:rsidRPr="00446FF5">
        <w:rPr>
          <w:rFonts w:ascii="Trebuchet MS" w:hAnsi="Trebuchet MS"/>
          <w:sz w:val="20"/>
          <w:szCs w:val="20"/>
        </w:rPr>
        <w:t>una previa valutazione sulla natura del ruolo ricoperto</w:t>
      </w:r>
      <w:r>
        <w:rPr>
          <w:rFonts w:ascii="Trebuchet MS" w:hAnsi="Trebuchet MS"/>
          <w:sz w:val="20"/>
          <w:szCs w:val="20"/>
        </w:rPr>
        <w:t xml:space="preserve"> da tale Commissario</w:t>
      </w:r>
      <w:r w:rsidRPr="00446FF5">
        <w:rPr>
          <w:rFonts w:ascii="Trebuchet MS" w:hAnsi="Trebuchet MS"/>
          <w:sz w:val="20"/>
          <w:szCs w:val="20"/>
        </w:rPr>
        <w:t>: se incarico politico (comma 1 dell</w:t>
      </w:r>
      <w:r w:rsidR="00514434">
        <w:rPr>
          <w:rFonts w:ascii="Trebuchet MS" w:hAnsi="Trebuchet MS"/>
          <w:sz w:val="20"/>
          <w:szCs w:val="20"/>
        </w:rPr>
        <w:t>’</w:t>
      </w:r>
      <w:r w:rsidRPr="00446FF5">
        <w:rPr>
          <w:rFonts w:ascii="Trebuchet MS" w:hAnsi="Trebuchet MS"/>
          <w:sz w:val="20"/>
          <w:szCs w:val="20"/>
        </w:rPr>
        <w:t>art. 14) o incarico o carica di amministrazione, di direzione o di governo (comma 1-</w:t>
      </w:r>
      <w:r w:rsidRPr="005F7732">
        <w:rPr>
          <w:rFonts w:ascii="Trebuchet MS" w:hAnsi="Trebuchet MS"/>
          <w:i/>
          <w:sz w:val="20"/>
          <w:szCs w:val="20"/>
        </w:rPr>
        <w:t>bis</w:t>
      </w:r>
      <w:r w:rsidRPr="00446FF5">
        <w:rPr>
          <w:rFonts w:ascii="Trebuchet MS" w:hAnsi="Trebuchet MS"/>
          <w:sz w:val="20"/>
          <w:szCs w:val="20"/>
        </w:rPr>
        <w:t xml:space="preserve"> del medesimo art. 14).</w:t>
      </w:r>
    </w:p>
    <w:p w:rsidR="00E340A1" w:rsidRPr="00446FF5"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 xml:space="preserve">A tal riguardo, richiamando la delibera ANAC </w:t>
      </w:r>
      <w:r>
        <w:rPr>
          <w:rFonts w:ascii="Trebuchet MS" w:hAnsi="Trebuchet MS"/>
          <w:sz w:val="20"/>
          <w:szCs w:val="20"/>
        </w:rPr>
        <w:t xml:space="preserve">n. </w:t>
      </w:r>
      <w:r w:rsidRPr="00446FF5">
        <w:rPr>
          <w:rFonts w:ascii="Trebuchet MS" w:hAnsi="Trebuchet MS"/>
          <w:sz w:val="20"/>
          <w:szCs w:val="20"/>
        </w:rPr>
        <w:t xml:space="preserve">241/2017 </w:t>
      </w:r>
      <w:r>
        <w:rPr>
          <w:rFonts w:ascii="Trebuchet MS" w:hAnsi="Trebuchet MS"/>
          <w:sz w:val="20"/>
          <w:szCs w:val="20"/>
        </w:rPr>
        <w:t xml:space="preserve">per </w:t>
      </w:r>
      <w:r w:rsidRPr="00446FF5">
        <w:rPr>
          <w:rFonts w:ascii="Trebuchet MS" w:hAnsi="Trebuchet MS"/>
          <w:sz w:val="20"/>
          <w:szCs w:val="20"/>
        </w:rPr>
        <w:t>l</w:t>
      </w:r>
      <w:r w:rsidR="00514434">
        <w:rPr>
          <w:rFonts w:ascii="Trebuchet MS" w:hAnsi="Trebuchet MS"/>
          <w:sz w:val="20"/>
          <w:szCs w:val="20"/>
        </w:rPr>
        <w:t>’</w:t>
      </w:r>
      <w:r w:rsidRPr="00446FF5">
        <w:rPr>
          <w:rFonts w:ascii="Trebuchet MS" w:hAnsi="Trebuchet MS"/>
          <w:sz w:val="20"/>
          <w:szCs w:val="20"/>
        </w:rPr>
        <w:t xml:space="preserve">ipotesi di enti in liquidazione e le apposite FAQ </w:t>
      </w:r>
      <w:r>
        <w:rPr>
          <w:rFonts w:ascii="Trebuchet MS" w:hAnsi="Trebuchet MS"/>
          <w:sz w:val="20"/>
          <w:szCs w:val="20"/>
        </w:rPr>
        <w:t xml:space="preserve">in materia di </w:t>
      </w:r>
      <w:r w:rsidRPr="00446FF5">
        <w:rPr>
          <w:rFonts w:ascii="Trebuchet MS" w:hAnsi="Trebuchet MS"/>
          <w:sz w:val="20"/>
          <w:szCs w:val="20"/>
        </w:rPr>
        <w:t>trasparenza, ANAC ha chiarito che</w:t>
      </w:r>
      <w:r>
        <w:rPr>
          <w:rFonts w:ascii="Trebuchet MS" w:hAnsi="Trebuchet MS"/>
          <w:sz w:val="20"/>
          <w:szCs w:val="20"/>
        </w:rPr>
        <w:t>,</w:t>
      </w:r>
      <w:r w:rsidRPr="00446FF5">
        <w:rPr>
          <w:rFonts w:ascii="Trebuchet MS" w:hAnsi="Trebuchet MS"/>
          <w:sz w:val="20"/>
          <w:szCs w:val="20"/>
        </w:rPr>
        <w:t xml:space="preserve"> in caso di liquidazione di enti pubblici</w:t>
      </w:r>
      <w:r>
        <w:rPr>
          <w:rFonts w:ascii="Trebuchet MS" w:hAnsi="Trebuchet MS"/>
          <w:sz w:val="20"/>
          <w:szCs w:val="20"/>
        </w:rPr>
        <w:t>,</w:t>
      </w:r>
      <w:r w:rsidRPr="00446FF5">
        <w:rPr>
          <w:rFonts w:ascii="Trebuchet MS" w:hAnsi="Trebuchet MS"/>
          <w:sz w:val="20"/>
          <w:szCs w:val="20"/>
        </w:rPr>
        <w:t xml:space="preserve"> i soggetti incaricati della liquidazione sono tenuti al rispetto degli obblighi di trasparenza di cui all</w:t>
      </w:r>
      <w:r w:rsidR="00514434">
        <w:rPr>
          <w:rFonts w:ascii="Trebuchet MS" w:hAnsi="Trebuchet MS"/>
          <w:sz w:val="20"/>
          <w:szCs w:val="20"/>
        </w:rPr>
        <w:t>’</w:t>
      </w:r>
      <w:r w:rsidRPr="00446FF5">
        <w:rPr>
          <w:rFonts w:ascii="Trebuchet MS" w:hAnsi="Trebuchet MS"/>
          <w:sz w:val="20"/>
          <w:szCs w:val="20"/>
        </w:rPr>
        <w:t>art. 14,</w:t>
      </w:r>
      <w:r w:rsidRPr="00265B72">
        <w:rPr>
          <w:rFonts w:ascii="Trebuchet MS" w:hAnsi="Trebuchet MS"/>
          <w:sz w:val="20"/>
          <w:szCs w:val="20"/>
        </w:rPr>
        <w:t xml:space="preserve"> qualora svolgano le funzioni dei titolari di incarichi o cariche di amministrazione, di direzione o di governo,</w:t>
      </w:r>
      <w:r w:rsidRPr="00446FF5">
        <w:rPr>
          <w:rFonts w:ascii="Trebuchet MS" w:hAnsi="Trebuchet MS"/>
          <w:sz w:val="20"/>
          <w:szCs w:val="20"/>
        </w:rPr>
        <w:t xml:space="preserve"> salvo i casi di gratuità degli incarichi.</w:t>
      </w:r>
    </w:p>
    <w:p w:rsidR="00E340A1" w:rsidRPr="00446FF5"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 xml:space="preserve">Le funzioni del Commissario incaricato della liquidazione sono state </w:t>
      </w:r>
      <w:r>
        <w:rPr>
          <w:rFonts w:ascii="Trebuchet MS" w:hAnsi="Trebuchet MS"/>
          <w:sz w:val="20"/>
          <w:szCs w:val="20"/>
        </w:rPr>
        <w:t>considerate come</w:t>
      </w:r>
      <w:r w:rsidRPr="00446FF5">
        <w:rPr>
          <w:rFonts w:ascii="Trebuchet MS" w:hAnsi="Trebuchet MS"/>
          <w:sz w:val="20"/>
          <w:szCs w:val="20"/>
        </w:rPr>
        <w:t xml:space="preserve"> quelle tipiche dei titolari di una carica di amministrazione nell</w:t>
      </w:r>
      <w:r w:rsidR="00514434">
        <w:rPr>
          <w:rFonts w:ascii="Trebuchet MS" w:hAnsi="Trebuchet MS"/>
          <w:sz w:val="20"/>
          <w:szCs w:val="20"/>
        </w:rPr>
        <w:t>’</w:t>
      </w:r>
      <w:r w:rsidRPr="00446FF5">
        <w:rPr>
          <w:rFonts w:ascii="Trebuchet MS" w:hAnsi="Trebuchet MS"/>
          <w:sz w:val="20"/>
          <w:szCs w:val="20"/>
        </w:rPr>
        <w:t>ente disciolto.</w:t>
      </w:r>
      <w:r>
        <w:rPr>
          <w:rFonts w:ascii="Trebuchet MS" w:hAnsi="Trebuchet MS"/>
          <w:sz w:val="20"/>
          <w:szCs w:val="20"/>
        </w:rPr>
        <w:t xml:space="preserve"> Il Commissario liquidatore,</w:t>
      </w:r>
      <w:r w:rsidRPr="00265B72">
        <w:rPr>
          <w:rFonts w:ascii="Trebuchet MS" w:hAnsi="Trebuchet MS"/>
          <w:sz w:val="20"/>
          <w:szCs w:val="20"/>
        </w:rPr>
        <w:t xml:space="preserve"> dopo lo scioglimento dell</w:t>
      </w:r>
      <w:r w:rsidR="00514434">
        <w:rPr>
          <w:rFonts w:ascii="Trebuchet MS" w:hAnsi="Trebuchet MS"/>
          <w:sz w:val="20"/>
          <w:szCs w:val="20"/>
        </w:rPr>
        <w:t>’</w:t>
      </w:r>
      <w:r w:rsidRPr="00265B72">
        <w:rPr>
          <w:rFonts w:ascii="Trebuchet MS" w:hAnsi="Trebuchet MS"/>
          <w:sz w:val="20"/>
          <w:szCs w:val="20"/>
        </w:rPr>
        <w:t>ente e fino alla definitiva estinzione dello stesso</w:t>
      </w:r>
      <w:r>
        <w:rPr>
          <w:rFonts w:ascii="Trebuchet MS" w:hAnsi="Trebuchet MS"/>
          <w:sz w:val="20"/>
          <w:szCs w:val="20"/>
        </w:rPr>
        <w:t xml:space="preserve">, </w:t>
      </w:r>
      <w:r w:rsidRPr="00446FF5">
        <w:rPr>
          <w:rFonts w:ascii="Trebuchet MS" w:hAnsi="Trebuchet MS"/>
          <w:sz w:val="20"/>
          <w:szCs w:val="20"/>
        </w:rPr>
        <w:t>svolge</w:t>
      </w:r>
      <w:r>
        <w:rPr>
          <w:rFonts w:ascii="Trebuchet MS" w:hAnsi="Trebuchet MS"/>
          <w:sz w:val="20"/>
          <w:szCs w:val="20"/>
        </w:rPr>
        <w:t>,</w:t>
      </w:r>
      <w:r w:rsidRPr="00446FF5">
        <w:rPr>
          <w:rFonts w:ascii="Trebuchet MS" w:hAnsi="Trebuchet MS"/>
          <w:sz w:val="20"/>
          <w:szCs w:val="20"/>
        </w:rPr>
        <w:t xml:space="preserve"> infatti, una attività limitata ai soli aspetti </w:t>
      </w:r>
      <w:r w:rsidRPr="00446FF5">
        <w:rPr>
          <w:rFonts w:ascii="Trebuchet MS" w:hAnsi="Trebuchet MS"/>
          <w:sz w:val="20"/>
          <w:szCs w:val="20"/>
        </w:rPr>
        <w:lastRenderedPageBreak/>
        <w:t>liquidatori delle attività e passività della pregressa gestione ordinaria. Ciò lo rende equiparabile agli amministratori, almeno sotto il profilo della responsabilità.</w:t>
      </w:r>
    </w:p>
    <w:p w:rsidR="00E340A1" w:rsidRDefault="00E340A1" w:rsidP="00E340A1">
      <w:pPr>
        <w:spacing w:after="120" w:line="276" w:lineRule="auto"/>
        <w:jc w:val="both"/>
        <w:rPr>
          <w:rFonts w:ascii="Trebuchet MS" w:hAnsi="Trebuchet MS"/>
          <w:sz w:val="20"/>
          <w:szCs w:val="20"/>
        </w:rPr>
      </w:pPr>
      <w:r w:rsidRPr="00446FF5">
        <w:rPr>
          <w:rFonts w:ascii="Trebuchet MS" w:hAnsi="Trebuchet MS"/>
          <w:sz w:val="20"/>
          <w:szCs w:val="20"/>
        </w:rPr>
        <w:t>Da qui</w:t>
      </w:r>
      <w:r>
        <w:rPr>
          <w:rFonts w:ascii="Trebuchet MS" w:hAnsi="Trebuchet MS"/>
          <w:sz w:val="20"/>
          <w:szCs w:val="20"/>
        </w:rPr>
        <w:t xml:space="preserve"> la riconducibilità del C</w:t>
      </w:r>
      <w:r w:rsidRPr="00446FF5">
        <w:rPr>
          <w:rFonts w:ascii="Trebuchet MS" w:hAnsi="Trebuchet MS"/>
          <w:sz w:val="20"/>
          <w:szCs w:val="20"/>
        </w:rPr>
        <w:t>ommissario liquidatore ai titolari di incarichi o cariche di amministrazione, di direzione o di governo di un ente pubblico di cui all</w:t>
      </w:r>
      <w:r w:rsidR="00514434">
        <w:rPr>
          <w:rFonts w:ascii="Trebuchet MS" w:hAnsi="Trebuchet MS"/>
          <w:sz w:val="20"/>
          <w:szCs w:val="20"/>
        </w:rPr>
        <w:t>’</w:t>
      </w:r>
      <w:r w:rsidRPr="00446FF5">
        <w:rPr>
          <w:rFonts w:ascii="Trebuchet MS" w:hAnsi="Trebuchet MS"/>
          <w:sz w:val="20"/>
          <w:szCs w:val="20"/>
        </w:rPr>
        <w:t>art</w:t>
      </w:r>
      <w:r>
        <w:rPr>
          <w:rFonts w:ascii="Trebuchet MS" w:hAnsi="Trebuchet MS"/>
          <w:sz w:val="20"/>
          <w:szCs w:val="20"/>
        </w:rPr>
        <w:t>icolo</w:t>
      </w:r>
      <w:r w:rsidRPr="00446FF5">
        <w:rPr>
          <w:rFonts w:ascii="Trebuchet MS" w:hAnsi="Trebuchet MS"/>
          <w:sz w:val="20"/>
          <w:szCs w:val="20"/>
        </w:rPr>
        <w:t xml:space="preserve"> 14, co</w:t>
      </w:r>
      <w:r>
        <w:rPr>
          <w:rFonts w:ascii="Trebuchet MS" w:hAnsi="Trebuchet MS"/>
          <w:sz w:val="20"/>
          <w:szCs w:val="20"/>
        </w:rPr>
        <w:t>mma</w:t>
      </w:r>
      <w:r w:rsidRPr="00446FF5">
        <w:rPr>
          <w:rFonts w:ascii="Trebuchet MS" w:hAnsi="Trebuchet MS"/>
          <w:sz w:val="20"/>
          <w:szCs w:val="20"/>
        </w:rPr>
        <w:t xml:space="preserve"> 1-</w:t>
      </w:r>
      <w:r w:rsidRPr="005F7732">
        <w:rPr>
          <w:rFonts w:ascii="Trebuchet MS" w:hAnsi="Trebuchet MS"/>
          <w:i/>
          <w:sz w:val="20"/>
          <w:szCs w:val="20"/>
        </w:rPr>
        <w:t>bis</w:t>
      </w:r>
      <w:r>
        <w:rPr>
          <w:rFonts w:ascii="Trebuchet MS" w:hAnsi="Trebuchet MS"/>
          <w:sz w:val="20"/>
          <w:szCs w:val="20"/>
        </w:rPr>
        <w:t>, d.lgs. n. 33/2013</w:t>
      </w:r>
      <w:r w:rsidR="00F82B13">
        <w:rPr>
          <w:rFonts w:ascii="Trebuchet MS" w:hAnsi="Trebuchet MS"/>
          <w:sz w:val="20"/>
          <w:szCs w:val="20"/>
        </w:rPr>
        <w:t xml:space="preserve"> e </w:t>
      </w:r>
      <w:r w:rsidRPr="00446FF5">
        <w:rPr>
          <w:rFonts w:ascii="Trebuchet MS" w:hAnsi="Trebuchet MS"/>
          <w:sz w:val="20"/>
          <w:szCs w:val="20"/>
        </w:rPr>
        <w:t xml:space="preserve">la sua sottoposizione agli obblighi </w:t>
      </w:r>
      <w:r>
        <w:rPr>
          <w:rFonts w:ascii="Trebuchet MS" w:hAnsi="Trebuchet MS"/>
          <w:sz w:val="20"/>
          <w:szCs w:val="20"/>
        </w:rPr>
        <w:t xml:space="preserve">ivi </w:t>
      </w:r>
      <w:r w:rsidRPr="00446FF5">
        <w:rPr>
          <w:rFonts w:ascii="Trebuchet MS" w:hAnsi="Trebuchet MS"/>
          <w:sz w:val="20"/>
          <w:szCs w:val="20"/>
        </w:rPr>
        <w:t>previsti.</w:t>
      </w:r>
    </w:p>
    <w:p w:rsidR="00E340A1" w:rsidRPr="00446FF5" w:rsidRDefault="00E340A1" w:rsidP="00E340A1">
      <w:pPr>
        <w:spacing w:after="120" w:line="276" w:lineRule="auto"/>
        <w:jc w:val="both"/>
        <w:rPr>
          <w:rFonts w:ascii="Trebuchet MS" w:hAnsi="Trebuchet MS"/>
          <w:sz w:val="20"/>
          <w:szCs w:val="20"/>
        </w:rPr>
      </w:pPr>
    </w:p>
    <w:p w:rsidR="00E340A1" w:rsidRPr="00376C1C" w:rsidRDefault="00E340A1" w:rsidP="00376C1C">
      <w:pPr>
        <w:pStyle w:val="SOTTOPARAGRAFORELAZIONE"/>
      </w:pPr>
      <w:bookmarkStart w:id="10" w:name="_Toc134808562"/>
      <w:r w:rsidRPr="00A60975">
        <w:t>6.2. L</w:t>
      </w:r>
      <w:r w:rsidR="00514434">
        <w:t>’</w:t>
      </w:r>
      <w:r w:rsidRPr="00A60975">
        <w:t>analisi dei dati acquisiti con la Piattaforma dei PTPCT</w:t>
      </w:r>
      <w:bookmarkEnd w:id="10"/>
      <w:r w:rsidRPr="00A60975">
        <w:t xml:space="preserve">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Tra i compiti di ANAC vi è quello di verificare e monitorare l</w:t>
      </w:r>
      <w:r w:rsidR="00514434">
        <w:rPr>
          <w:rFonts w:ascii="Trebuchet MS" w:hAnsi="Trebuchet MS" w:cs="Trebuchet MS"/>
          <w:sz w:val="20"/>
          <w:szCs w:val="20"/>
        </w:rPr>
        <w:t>’</w:t>
      </w:r>
      <w:r w:rsidRPr="0082080F">
        <w:rPr>
          <w:rFonts w:ascii="Trebuchet MS" w:hAnsi="Trebuchet MS" w:cs="Trebuchet MS"/>
          <w:sz w:val="20"/>
          <w:szCs w:val="20"/>
        </w:rPr>
        <w:t>attuazione della normativa da parte delle amministrazioni e degli enti tenuti ad adempiervi, con particolare riferimento all</w:t>
      </w:r>
      <w:r w:rsidR="00514434">
        <w:rPr>
          <w:rFonts w:ascii="Trebuchet MS" w:hAnsi="Trebuchet MS" w:cs="Trebuchet MS"/>
          <w:sz w:val="20"/>
          <w:szCs w:val="20"/>
        </w:rPr>
        <w:t>’</w:t>
      </w:r>
      <w:r w:rsidRPr="0082080F">
        <w:rPr>
          <w:rFonts w:ascii="Trebuchet MS" w:hAnsi="Trebuchet MS" w:cs="Trebuchet MS"/>
          <w:sz w:val="20"/>
          <w:szCs w:val="20"/>
        </w:rPr>
        <w:t>adozione di un idoneo PTPCT e al rispetto delle misure in esso contenute.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È utile ricordare che tale attività si è esplicata non solo attraverso la vigilanza, ma anche attraverso un</w:t>
      </w:r>
      <w:r w:rsidR="00514434">
        <w:rPr>
          <w:rFonts w:ascii="Trebuchet MS" w:hAnsi="Trebuchet MS" w:cs="Trebuchet MS"/>
          <w:sz w:val="20"/>
          <w:szCs w:val="20"/>
        </w:rPr>
        <w:t>’</w:t>
      </w:r>
      <w:r w:rsidRPr="0082080F">
        <w:rPr>
          <w:rFonts w:ascii="Trebuchet MS" w:hAnsi="Trebuchet MS" w:cs="Trebuchet MS"/>
          <w:sz w:val="20"/>
          <w:szCs w:val="20"/>
        </w:rPr>
        <w:t>attività di monitoraggio sui Piani delle amministrazioni e degli enti svolto su un campione rappresentativo di amministrazioni, tramite l</w:t>
      </w:r>
      <w:r w:rsidR="00514434">
        <w:rPr>
          <w:rFonts w:ascii="Trebuchet MS" w:hAnsi="Trebuchet MS" w:cs="Trebuchet MS"/>
          <w:sz w:val="20"/>
          <w:szCs w:val="20"/>
        </w:rPr>
        <w:t>’</w:t>
      </w:r>
      <w:r w:rsidRPr="0082080F">
        <w:rPr>
          <w:rFonts w:ascii="Trebuchet MS" w:hAnsi="Trebuchet MS" w:cs="Trebuchet MS"/>
          <w:sz w:val="20"/>
          <w:szCs w:val="20"/>
        </w:rPr>
        <w:t xml:space="preserve">utilizzo di </w:t>
      </w:r>
      <w:r w:rsidRPr="0082080F">
        <w:rPr>
          <w:rFonts w:ascii="Trebuchet MS" w:hAnsi="Trebuchet MS" w:cs="Trebuchet MS"/>
          <w:i/>
          <w:sz w:val="20"/>
          <w:szCs w:val="20"/>
        </w:rPr>
        <w:t>check-list</w:t>
      </w:r>
      <w:r w:rsidRPr="0082080F">
        <w:rPr>
          <w:rFonts w:ascii="Trebuchet MS" w:hAnsi="Trebuchet MS" w:cs="Trebuchet MS"/>
          <w:sz w:val="20"/>
          <w:szCs w:val="20"/>
        </w:rPr>
        <w:t>.</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Poiché con tale sistema non si riusciva a coprire, ovviamente, il monitoraggio su tutte le amministrazioni, è stata realizzata un</w:t>
      </w:r>
      <w:r w:rsidR="00514434">
        <w:rPr>
          <w:rFonts w:ascii="Trebuchet MS" w:hAnsi="Trebuchet MS" w:cs="Trebuchet MS"/>
          <w:sz w:val="20"/>
          <w:szCs w:val="20"/>
        </w:rPr>
        <w:t>’</w:t>
      </w:r>
      <w:r w:rsidRPr="0082080F">
        <w:rPr>
          <w:rFonts w:ascii="Trebuchet MS" w:hAnsi="Trebuchet MS" w:cs="Trebuchet MS"/>
          <w:sz w:val="20"/>
          <w:szCs w:val="20"/>
        </w:rPr>
        <w:t xml:space="preserve">apposita piattaforma, la </w:t>
      </w:r>
      <w:r w:rsidRPr="0082080F">
        <w:rPr>
          <w:rFonts w:ascii="Trebuchet MS" w:hAnsi="Trebuchet MS" w:cs="Trebuchet MS"/>
          <w:i/>
          <w:sz w:val="20"/>
          <w:szCs w:val="20"/>
        </w:rPr>
        <w:t>“Piattaforma di acquisizione e monitoraggio dei Piani Triennali e delle misure di prevenzione della corruzione e tutela della trasparenza”</w:t>
      </w:r>
      <w:r w:rsidRPr="0082080F">
        <w:rPr>
          <w:rFonts w:ascii="Trebuchet MS" w:hAnsi="Trebuchet MS" w:cs="Trebuchet MS"/>
          <w:sz w:val="20"/>
          <w:szCs w:val="20"/>
        </w:rPr>
        <w:t>, con l</w:t>
      </w:r>
      <w:r w:rsidR="00514434">
        <w:rPr>
          <w:rFonts w:ascii="Trebuchet MS" w:hAnsi="Trebuchet MS" w:cs="Trebuchet MS"/>
          <w:sz w:val="20"/>
          <w:szCs w:val="20"/>
        </w:rPr>
        <w:t>’</w:t>
      </w:r>
      <w:r w:rsidRPr="0082080F">
        <w:rPr>
          <w:rFonts w:ascii="Trebuchet MS" w:hAnsi="Trebuchet MS" w:cs="Trebuchet MS"/>
          <w:sz w:val="20"/>
          <w:szCs w:val="20"/>
        </w:rPr>
        <w:t>obiettivo di raccogliere, in modo sistematico, tutte le informazioni aventi ad oggetto: la pianificazione, la programmazione delle misure e l</w:t>
      </w:r>
      <w:r w:rsidR="00514434">
        <w:rPr>
          <w:rFonts w:ascii="Trebuchet MS" w:hAnsi="Trebuchet MS" w:cs="Trebuchet MS"/>
          <w:sz w:val="20"/>
          <w:szCs w:val="20"/>
        </w:rPr>
        <w:t>’</w:t>
      </w:r>
      <w:r w:rsidRPr="0082080F">
        <w:rPr>
          <w:rFonts w:ascii="Trebuchet MS" w:hAnsi="Trebuchet MS" w:cs="Trebuchet MS"/>
          <w:sz w:val="20"/>
          <w:szCs w:val="20"/>
        </w:rPr>
        <w:t>attuazione delle stesse.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Alla luce degli interessanti spunti tratti in passato dall</w:t>
      </w:r>
      <w:r w:rsidR="00514434">
        <w:rPr>
          <w:rFonts w:ascii="Trebuchet MS" w:hAnsi="Trebuchet MS" w:cs="Trebuchet MS"/>
          <w:sz w:val="20"/>
          <w:szCs w:val="20"/>
        </w:rPr>
        <w:t>’</w:t>
      </w:r>
      <w:r w:rsidRPr="0082080F">
        <w:rPr>
          <w:rFonts w:ascii="Trebuchet MS" w:hAnsi="Trebuchet MS" w:cs="Trebuchet MS"/>
          <w:sz w:val="20"/>
          <w:szCs w:val="20"/>
        </w:rPr>
        <w:t>analisi dei dati così acquisiti</w:t>
      </w:r>
      <w:r w:rsidRPr="0082080F">
        <w:rPr>
          <w:rFonts w:ascii="Trebuchet MS" w:hAnsi="Trebuchet MS" w:cs="Trebuchet MS"/>
          <w:sz w:val="20"/>
          <w:szCs w:val="20"/>
          <w:vertAlign w:val="superscript"/>
        </w:rPr>
        <w:footnoteReference w:id="8"/>
      </w:r>
      <w:r w:rsidRPr="0082080F">
        <w:rPr>
          <w:rFonts w:ascii="Trebuchet MS" w:hAnsi="Trebuchet MS" w:cs="Trebuchet MS"/>
          <w:sz w:val="20"/>
          <w:szCs w:val="20"/>
        </w:rPr>
        <w:t>, anche nel 2022 ANAC ha svolto la medesima analisi in relazione ai dati inseriti, su base volontaria, alla data del 15 marzo 2022 nell</w:t>
      </w:r>
      <w:r w:rsidR="00514434">
        <w:rPr>
          <w:rFonts w:ascii="Trebuchet MS" w:hAnsi="Trebuchet MS" w:cs="Trebuchet MS"/>
          <w:sz w:val="20"/>
          <w:szCs w:val="20"/>
        </w:rPr>
        <w:t>’</w:t>
      </w:r>
      <w:r w:rsidRPr="0082080F">
        <w:rPr>
          <w:rFonts w:ascii="Trebuchet MS" w:hAnsi="Trebuchet MS" w:cs="Trebuchet MS"/>
          <w:sz w:val="20"/>
          <w:szCs w:val="20"/>
        </w:rPr>
        <w:t>apposita piattaforma di ANAC</w:t>
      </w:r>
      <w:r w:rsidRPr="0082080F">
        <w:rPr>
          <w:rFonts w:ascii="Trebuchet MS" w:hAnsi="Trebuchet MS" w:cs="Trebuchet MS"/>
          <w:sz w:val="20"/>
          <w:szCs w:val="20"/>
          <w:vertAlign w:val="superscript"/>
        </w:rPr>
        <w:footnoteReference w:id="9"/>
      </w:r>
      <w:r w:rsidRPr="0082080F">
        <w:rPr>
          <w:rFonts w:ascii="Trebuchet MS" w:hAnsi="Trebuchet MS" w:cs="Trebuchet MS"/>
          <w:sz w:val="20"/>
          <w:szCs w:val="20"/>
        </w:rPr>
        <w:t>. Sono stati, quindi, considerati i dati relativi a n. 1</w:t>
      </w:r>
      <w:r w:rsidR="007F0A1E">
        <w:rPr>
          <w:rFonts w:ascii="Trebuchet MS" w:hAnsi="Trebuchet MS" w:cs="Trebuchet MS"/>
          <w:sz w:val="20"/>
          <w:szCs w:val="20"/>
        </w:rPr>
        <w:t>.</w:t>
      </w:r>
      <w:r w:rsidRPr="0082080F">
        <w:rPr>
          <w:rFonts w:ascii="Trebuchet MS" w:hAnsi="Trebuchet MS" w:cs="Trebuchet MS"/>
          <w:sz w:val="20"/>
          <w:szCs w:val="20"/>
        </w:rPr>
        <w:t>154 amministrazioni pubbliche e quelli relativi a n. 294 società/enti diritto privato ed enti ad essi assimilati, tenuti all</w:t>
      </w:r>
      <w:r w:rsidR="00514434">
        <w:rPr>
          <w:rFonts w:ascii="Trebuchet MS" w:hAnsi="Trebuchet MS" w:cs="Trebuchet MS"/>
          <w:sz w:val="20"/>
          <w:szCs w:val="20"/>
        </w:rPr>
        <w:t>’</w:t>
      </w:r>
      <w:r w:rsidRPr="0082080F">
        <w:rPr>
          <w:rFonts w:ascii="Trebuchet MS" w:hAnsi="Trebuchet MS" w:cs="Trebuchet MS"/>
          <w:sz w:val="20"/>
          <w:szCs w:val="20"/>
        </w:rPr>
        <w:t>applicazione della legge n. 190/2012 solo relativamente alla figura del RPCT e alla struttura di supporto.</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L</w:t>
      </w:r>
      <w:r w:rsidR="00514434">
        <w:rPr>
          <w:rFonts w:ascii="Trebuchet MS" w:hAnsi="Trebuchet MS" w:cs="Trebuchet MS"/>
          <w:sz w:val="20"/>
          <w:szCs w:val="20"/>
        </w:rPr>
        <w:t>’</w:t>
      </w:r>
      <w:r w:rsidRPr="0082080F">
        <w:rPr>
          <w:rFonts w:ascii="Trebuchet MS" w:hAnsi="Trebuchet MS" w:cs="Trebuchet MS"/>
          <w:sz w:val="20"/>
          <w:szCs w:val="20"/>
        </w:rPr>
        <w:t>analisi di questi dati ha consentito, tra l</w:t>
      </w:r>
      <w:r w:rsidR="00514434">
        <w:rPr>
          <w:rFonts w:ascii="Trebuchet MS" w:hAnsi="Trebuchet MS" w:cs="Trebuchet MS"/>
          <w:sz w:val="20"/>
          <w:szCs w:val="20"/>
        </w:rPr>
        <w:t>’</w:t>
      </w:r>
      <w:r w:rsidRPr="0082080F">
        <w:rPr>
          <w:rFonts w:ascii="Trebuchet MS" w:hAnsi="Trebuchet MS" w:cs="Trebuchet MS"/>
          <w:sz w:val="20"/>
          <w:szCs w:val="20"/>
        </w:rPr>
        <w:t>altro, di individuare punti di forza o di debolezza che le amministrazioni incontrano nel programmare le misure di contenimento dei rischi corruttivi e nel darvi attuazione e di elaborare, di conseguenza, indirizzi per superare le fragilità riscontrate ovvero per valorizzare le migliori pratiche.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3.1 – Amministrazioni ed Enti che hanno utilizzato la Piattaforma ANAC</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516DA5E4" wp14:editId="7681F0B8">
            <wp:extent cx="6120130" cy="723265"/>
            <wp:effectExtent l="0" t="0" r="0" b="63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23265"/>
                    </a:xfrm>
                    <a:prstGeom prst="rect">
                      <a:avLst/>
                    </a:prstGeom>
                    <a:noFill/>
                    <a:ln>
                      <a:noFill/>
                    </a:ln>
                  </pic:spPr>
                </pic:pic>
              </a:graphicData>
            </a:graphic>
          </wp:inline>
        </w:drawing>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i/>
          <w:iCs/>
          <w:color w:val="0070C0"/>
          <w:sz w:val="16"/>
          <w:szCs w:val="16"/>
        </w:rPr>
      </w:pPr>
    </w:p>
    <w:p w:rsidR="00957A3B" w:rsidRDefault="00957A3B"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i/>
          <w:iCs/>
          <w:color w:val="0070C0"/>
          <w:sz w:val="16"/>
          <w:szCs w:val="16"/>
        </w:rPr>
      </w:pPr>
    </w:p>
    <w:p w:rsidR="00957A3B" w:rsidRDefault="00957A3B"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i/>
          <w:iCs/>
          <w:color w:val="0070C0"/>
          <w:sz w:val="16"/>
          <w:szCs w:val="16"/>
        </w:rPr>
      </w:pPr>
    </w:p>
    <w:p w:rsidR="00957A3B" w:rsidRDefault="00957A3B"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i/>
          <w:iCs/>
          <w:color w:val="0070C0"/>
          <w:sz w:val="16"/>
          <w:szCs w:val="16"/>
        </w:rPr>
      </w:pPr>
    </w:p>
    <w:p w:rsidR="00957A3B" w:rsidRPr="0082080F" w:rsidRDefault="00957A3B"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i/>
          <w:iCs/>
          <w:color w:val="0070C0"/>
          <w:sz w:val="16"/>
          <w:szCs w:val="16"/>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3.2 – Tipologia di Amministrazioni che hanno utilizzato la Piattaforma ANAC</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lastRenderedPageBreak/>
        <w:drawing>
          <wp:inline distT="0" distB="0" distL="0" distR="0" wp14:anchorId="71FCBB53" wp14:editId="07AB625B">
            <wp:extent cx="6119210" cy="39624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989" cy="3970027"/>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i/>
          <w:iCs/>
          <w:color w:val="0070C0"/>
          <w:sz w:val="16"/>
          <w:szCs w:val="16"/>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3.3 – Tipologia di Società/Enti che hanno utilizzato la Piattaforma ANAC</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54E8F2A2" wp14:editId="07B105D3">
            <wp:extent cx="6116320" cy="1171575"/>
            <wp:effectExtent l="0" t="0" r="0" b="952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990" cy="1172661"/>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Con riferimento alle pubbliche ammi</w:t>
      </w:r>
      <w:r w:rsidR="00810FD0">
        <w:rPr>
          <w:rFonts w:ascii="Trebuchet MS" w:hAnsi="Trebuchet MS" w:cs="Trebuchet MS"/>
          <w:sz w:val="20"/>
          <w:szCs w:val="20"/>
        </w:rPr>
        <w:t>nistrazioni, una prima verifica</w:t>
      </w:r>
      <w:r w:rsidRPr="0082080F">
        <w:rPr>
          <w:rFonts w:ascii="Trebuchet MS" w:hAnsi="Trebuchet MS" w:cs="Trebuchet MS"/>
          <w:sz w:val="20"/>
          <w:szCs w:val="20"/>
        </w:rPr>
        <w:t xml:space="preserve"> ha riguardato le fasi che connotano il processo di gestione del rischio,</w:t>
      </w:r>
      <w:r w:rsidRPr="0082080F">
        <w:rPr>
          <w:rFonts w:ascii="Trebuchet MS" w:hAnsi="Trebuchet MS" w:cs="Trebuchet MS"/>
          <w:b/>
          <w:sz w:val="20"/>
          <w:szCs w:val="20"/>
        </w:rPr>
        <w:t xml:space="preserve"> </w:t>
      </w:r>
      <w:r w:rsidRPr="0082080F">
        <w:rPr>
          <w:rFonts w:ascii="Trebuchet MS" w:hAnsi="Trebuchet MS" w:cs="Trebuchet MS"/>
          <w:bCs/>
          <w:sz w:val="20"/>
          <w:szCs w:val="20"/>
        </w:rPr>
        <w:t>con particolare riguardo all</w:t>
      </w:r>
      <w:r w:rsidR="00514434">
        <w:rPr>
          <w:rFonts w:ascii="Trebuchet MS" w:hAnsi="Trebuchet MS" w:cs="Trebuchet MS"/>
          <w:bCs/>
          <w:sz w:val="20"/>
          <w:szCs w:val="20"/>
        </w:rPr>
        <w:t>’</w:t>
      </w:r>
      <w:r w:rsidRPr="0082080F">
        <w:rPr>
          <w:rFonts w:ascii="Trebuchet MS" w:hAnsi="Trebuchet MS" w:cs="Trebuchet MS"/>
          <w:bCs/>
          <w:sz w:val="20"/>
          <w:szCs w:val="20"/>
        </w:rPr>
        <w:t>analisi del contesto (interno ed esterno), alla valutazione del rischio e al monitoraggio.</w:t>
      </w:r>
      <w:r w:rsidRPr="0082080F">
        <w:rPr>
          <w:rFonts w:ascii="Trebuchet MS" w:hAnsi="Trebuchet MS" w:cs="Trebuchet MS"/>
          <w:sz w:val="20"/>
          <w:szCs w:val="20"/>
        </w:rPr>
        <w:t xml:space="preserve"> Ci si è soffermati anche ad analizzare i dati relativi all</w:t>
      </w:r>
      <w:r w:rsidR="00514434">
        <w:rPr>
          <w:rFonts w:ascii="Trebuchet MS" w:hAnsi="Trebuchet MS" w:cs="Trebuchet MS"/>
          <w:sz w:val="20"/>
          <w:szCs w:val="20"/>
        </w:rPr>
        <w:t>’</w:t>
      </w:r>
      <w:r w:rsidRPr="0082080F">
        <w:rPr>
          <w:rFonts w:ascii="Trebuchet MS" w:hAnsi="Trebuchet MS" w:cs="Trebuchet MS"/>
          <w:sz w:val="20"/>
          <w:szCs w:val="20"/>
        </w:rPr>
        <w:t>area specifica dei contratti pubblici e al coordinamento tra PTPCT e altri strumenti di programmazione dell</w:t>
      </w:r>
      <w:r w:rsidR="00514434">
        <w:rPr>
          <w:rFonts w:ascii="Trebuchet MS" w:hAnsi="Trebuchet MS" w:cs="Trebuchet MS"/>
          <w:sz w:val="20"/>
          <w:szCs w:val="20"/>
        </w:rPr>
        <w:t>’</w:t>
      </w:r>
      <w:r w:rsidRPr="0082080F">
        <w:rPr>
          <w:rFonts w:ascii="Trebuchet MS" w:hAnsi="Trebuchet MS" w:cs="Trebuchet MS"/>
          <w:sz w:val="20"/>
          <w:szCs w:val="20"/>
        </w:rPr>
        <w:t xml:space="preserve">ente.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Una seconda analisi ha riguardato, invece, le autovalutazioni espresse dai RPCT</w:t>
      </w:r>
      <w:r w:rsidRPr="0082080F">
        <w:rPr>
          <w:rFonts w:ascii="Trebuchet MS" w:hAnsi="Trebuchet MS" w:cs="Trebuchet MS"/>
          <w:b/>
          <w:sz w:val="20"/>
          <w:szCs w:val="20"/>
        </w:rPr>
        <w:t xml:space="preserve"> </w:t>
      </w:r>
      <w:r w:rsidRPr="0082080F">
        <w:rPr>
          <w:rFonts w:ascii="Trebuchet MS" w:hAnsi="Trebuchet MS" w:cs="Trebuchet MS"/>
          <w:sz w:val="20"/>
          <w:szCs w:val="20"/>
        </w:rPr>
        <w:t>di quelle amministrazioni che, tra le sopra citate, oltre ad aver inserito i dati relativi ai contenuti dei PTPCT nella piattaforma, hanno anche inserito le schede che riguardano il monitoraggio; si tratta di n. 896 pubbliche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L</w:t>
      </w:r>
      <w:r w:rsidR="00514434">
        <w:rPr>
          <w:rFonts w:ascii="Trebuchet MS" w:hAnsi="Trebuchet MS" w:cs="Trebuchet MS"/>
          <w:sz w:val="20"/>
          <w:szCs w:val="20"/>
        </w:rPr>
        <w:t>’</w:t>
      </w:r>
      <w:r w:rsidRPr="0082080F">
        <w:rPr>
          <w:rFonts w:ascii="Trebuchet MS" w:hAnsi="Trebuchet MS" w:cs="Trebuchet MS"/>
          <w:sz w:val="20"/>
          <w:szCs w:val="20"/>
        </w:rPr>
        <w:t>obiettivo di questa seconda indagine è stato quello di individuare le criticità e le buone pratiche riscontrate nell</w:t>
      </w:r>
      <w:r w:rsidR="00514434">
        <w:rPr>
          <w:rFonts w:ascii="Trebuchet MS" w:hAnsi="Trebuchet MS" w:cs="Trebuchet MS"/>
          <w:sz w:val="20"/>
          <w:szCs w:val="20"/>
        </w:rPr>
        <w:t>’</w:t>
      </w:r>
      <w:r w:rsidRPr="0082080F">
        <w:rPr>
          <w:rFonts w:ascii="Trebuchet MS" w:hAnsi="Trebuchet MS" w:cs="Trebuchet MS"/>
          <w:sz w:val="20"/>
          <w:szCs w:val="20"/>
        </w:rPr>
        <w:t>attività di monitoraggio dei piani e delle misure di prevenzione della corruzione e della trasparenza ivi previste, anche al fine di valutare l</w:t>
      </w:r>
      <w:r w:rsidR="00514434">
        <w:rPr>
          <w:rFonts w:ascii="Trebuchet MS" w:hAnsi="Trebuchet MS" w:cs="Trebuchet MS"/>
          <w:sz w:val="20"/>
          <w:szCs w:val="20"/>
        </w:rPr>
        <w:t>’</w:t>
      </w:r>
      <w:r w:rsidRPr="0082080F">
        <w:rPr>
          <w:rFonts w:ascii="Trebuchet MS" w:hAnsi="Trebuchet MS" w:cs="Trebuchet MS"/>
          <w:sz w:val="20"/>
          <w:szCs w:val="20"/>
        </w:rPr>
        <w:t xml:space="preserve">opportunità di interventi di ANAC a supporto delle amministrazioni per il miglioramento delle strategie di prevenzione.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Un terzo ambito di approfondimento ha riguardato i dati sui RPCT e sulla struttura di supporto al fine di mettere a fuoco l</w:t>
      </w:r>
      <w:r w:rsidR="00514434">
        <w:rPr>
          <w:rFonts w:ascii="Trebuchet MS" w:hAnsi="Trebuchet MS" w:cs="Trebuchet MS"/>
          <w:sz w:val="20"/>
          <w:szCs w:val="20"/>
        </w:rPr>
        <w:t>’</w:t>
      </w:r>
      <w:r w:rsidRPr="0082080F">
        <w:rPr>
          <w:rFonts w:ascii="Trebuchet MS" w:hAnsi="Trebuchet MS" w:cs="Trebuchet MS"/>
          <w:i/>
          <w:sz w:val="20"/>
          <w:szCs w:val="20"/>
        </w:rPr>
        <w:t xml:space="preserve">identikit </w:t>
      </w:r>
      <w:r w:rsidRPr="0082080F">
        <w:rPr>
          <w:rFonts w:ascii="Trebuchet MS" w:hAnsi="Trebuchet MS" w:cs="Trebuchet MS"/>
          <w:sz w:val="20"/>
          <w:szCs w:val="20"/>
        </w:rPr>
        <w:t xml:space="preserve">dei RPCT ed il ruolo da essi effettivamente svolto.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lastRenderedPageBreak/>
        <w:t>In particolare, sono state analizzate le informazioni relative a n. 898 RPCT</w:t>
      </w:r>
      <w:r w:rsidRPr="0082080F">
        <w:rPr>
          <w:rFonts w:ascii="Trebuchet MS" w:hAnsi="Trebuchet MS" w:cs="Trebuchet MS"/>
          <w:sz w:val="20"/>
          <w:szCs w:val="20"/>
          <w:vertAlign w:val="superscript"/>
        </w:rPr>
        <w:footnoteReference w:id="10"/>
      </w:r>
      <w:r w:rsidRPr="0082080F">
        <w:rPr>
          <w:rFonts w:ascii="Trebuchet MS" w:hAnsi="Trebuchet MS" w:cs="Trebuchet MS"/>
          <w:sz w:val="20"/>
          <w:szCs w:val="20"/>
        </w:rPr>
        <w:t xml:space="preserve"> che si sono registrati sulla piattaforma e che svolgono il proprio ruolo di responsabile presso una (o più) delle n. 1154 amministrazioni pubbliche che hanno inserito i dati sul Piano.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Analoga indagine è stata svolta con riguardo ai n. 290 RPCT</w:t>
      </w:r>
      <w:r w:rsidRPr="0082080F">
        <w:rPr>
          <w:rFonts w:ascii="Trebuchet MS" w:hAnsi="Trebuchet MS" w:cs="Trebuchet MS"/>
          <w:sz w:val="20"/>
          <w:szCs w:val="20"/>
          <w:vertAlign w:val="superscript"/>
        </w:rPr>
        <w:footnoteReference w:id="11"/>
      </w:r>
      <w:r w:rsidRPr="0082080F">
        <w:rPr>
          <w:rFonts w:ascii="Trebuchet MS" w:hAnsi="Trebuchet MS" w:cs="Trebuchet MS"/>
          <w:sz w:val="20"/>
          <w:szCs w:val="20"/>
        </w:rPr>
        <w:t xml:space="preserve"> di n. 294 società/enti di diritto privato ed enti assimilati che si sono registrati in piattaforma.</w:t>
      </w:r>
    </w:p>
    <w:p w:rsidR="00E340A1" w:rsidRPr="0082080F" w:rsidRDefault="00E340A1" w:rsidP="00E340A1">
      <w:pPr>
        <w:spacing w:after="120" w:line="276" w:lineRule="auto"/>
        <w:jc w:val="both"/>
        <w:rPr>
          <w:rFonts w:ascii="Trebuchet MS" w:hAnsi="Trebuchet MS"/>
          <w:i/>
          <w:color w:val="0070C0"/>
          <w:sz w:val="20"/>
          <w:szCs w:val="20"/>
        </w:rPr>
      </w:pPr>
    </w:p>
    <w:p w:rsidR="00E340A1" w:rsidRPr="00AD3753" w:rsidRDefault="00E340A1" w:rsidP="00AD3753">
      <w:pPr>
        <w:pStyle w:val="TERZOLIVELLORELAZIONE"/>
        <w:rPr>
          <w:lang w:val="it-IT"/>
        </w:rPr>
      </w:pPr>
      <w:bookmarkStart w:id="11" w:name="_Toc134808563"/>
      <w:r w:rsidRPr="00AD3753">
        <w:rPr>
          <w:lang w:val="it-IT"/>
        </w:rPr>
        <w:t>6.2.</w:t>
      </w:r>
      <w:r w:rsidR="00AD3753">
        <w:rPr>
          <w:lang w:val="it-IT"/>
        </w:rPr>
        <w:t>1</w:t>
      </w:r>
      <w:r w:rsidRPr="00AD3753">
        <w:rPr>
          <w:lang w:val="it-IT"/>
        </w:rPr>
        <w:t>. Il processo di gestione del rischio</w:t>
      </w:r>
      <w:bookmarkEnd w:id="11"/>
    </w:p>
    <w:p w:rsidR="00E340A1" w:rsidRPr="0082080F" w:rsidRDefault="00E340A1" w:rsidP="00E340A1">
      <w:pPr>
        <w:spacing w:after="120" w:line="276" w:lineRule="auto"/>
        <w:jc w:val="both"/>
        <w:rPr>
          <w:rFonts w:ascii="Trebuchet MS" w:hAnsi="Trebuchet MS"/>
          <w:i/>
          <w:sz w:val="20"/>
          <w:szCs w:val="20"/>
          <w:u w:val="single"/>
        </w:rPr>
      </w:pPr>
      <w:r w:rsidRPr="0082080F">
        <w:rPr>
          <w:rFonts w:ascii="Trebuchet MS" w:hAnsi="Trebuchet MS"/>
          <w:i/>
          <w:sz w:val="20"/>
          <w:szCs w:val="20"/>
          <w:u w:val="single"/>
        </w:rPr>
        <w:t>Analisi del contesto esterno ed interno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b/>
          <w:sz w:val="20"/>
          <w:szCs w:val="20"/>
        </w:rPr>
      </w:pPr>
      <w:r w:rsidRPr="0082080F">
        <w:rPr>
          <w:rFonts w:ascii="Trebuchet MS" w:hAnsi="Trebuchet MS" w:cs="Trebuchet MS"/>
          <w:sz w:val="20"/>
          <w:szCs w:val="20"/>
        </w:rPr>
        <w:t>Una prima analisi ha riguardato i dati sull</w:t>
      </w:r>
      <w:r w:rsidR="00514434">
        <w:rPr>
          <w:rFonts w:ascii="Trebuchet MS" w:hAnsi="Trebuchet MS" w:cs="Trebuchet MS"/>
          <w:sz w:val="20"/>
          <w:szCs w:val="20"/>
        </w:rPr>
        <w:t>’</w:t>
      </w:r>
      <w:r w:rsidRPr="0082080F">
        <w:rPr>
          <w:rFonts w:ascii="Trebuchet MS" w:hAnsi="Trebuchet MS" w:cs="Trebuchet MS"/>
          <w:sz w:val="20"/>
          <w:szCs w:val="20"/>
        </w:rPr>
        <w:t>analisi del contesto, esterno ed interno.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La quasi totalità delle amministrazioni (86,2%) ha svolto l</w:t>
      </w:r>
      <w:r w:rsidR="00514434">
        <w:rPr>
          <w:rFonts w:ascii="Trebuchet MS" w:hAnsi="Trebuchet MS" w:cs="Trebuchet MS"/>
          <w:sz w:val="20"/>
          <w:szCs w:val="20"/>
        </w:rPr>
        <w:t>’</w:t>
      </w:r>
      <w:r w:rsidRPr="0082080F">
        <w:rPr>
          <w:rFonts w:ascii="Trebuchet MS" w:hAnsi="Trebuchet MS" w:cs="Trebuchet MS"/>
          <w:sz w:val="20"/>
          <w:szCs w:val="20"/>
        </w:rPr>
        <w:t>analisi del contesto esterno, ovvero individuato le caratteristiche dell</w:t>
      </w:r>
      <w:r w:rsidR="00514434">
        <w:rPr>
          <w:rFonts w:ascii="Trebuchet MS" w:hAnsi="Trebuchet MS" w:cs="Trebuchet MS"/>
          <w:sz w:val="20"/>
          <w:szCs w:val="20"/>
        </w:rPr>
        <w:t>’</w:t>
      </w:r>
      <w:r w:rsidRPr="0082080F">
        <w:rPr>
          <w:rFonts w:ascii="Trebuchet MS" w:hAnsi="Trebuchet MS" w:cs="Trebuchet MS"/>
          <w:sz w:val="20"/>
          <w:szCs w:val="20"/>
        </w:rPr>
        <w:t>ambiente nel quale l</w:t>
      </w:r>
      <w:r w:rsidR="00514434">
        <w:rPr>
          <w:rFonts w:ascii="Trebuchet MS" w:hAnsi="Trebuchet MS" w:cs="Trebuchet MS"/>
          <w:sz w:val="20"/>
          <w:szCs w:val="20"/>
        </w:rPr>
        <w:t>’</w:t>
      </w:r>
      <w:r w:rsidRPr="0082080F">
        <w:rPr>
          <w:rFonts w:ascii="Trebuchet MS" w:hAnsi="Trebuchet MS" w:cs="Trebuchet MS"/>
          <w:sz w:val="20"/>
          <w:szCs w:val="20"/>
        </w:rPr>
        <w:t>amministrazione si trova ad operare e che possono o meno condizionare il verificarsi di fenomeni corruttivi.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Si registra il tendenziale incremento dello svolgimento dell</w:t>
      </w:r>
      <w:r w:rsidR="00514434">
        <w:rPr>
          <w:rFonts w:ascii="Trebuchet MS" w:hAnsi="Trebuchet MS" w:cs="Trebuchet MS"/>
          <w:sz w:val="20"/>
          <w:szCs w:val="20"/>
        </w:rPr>
        <w:t>’</w:t>
      </w:r>
      <w:r w:rsidRPr="0082080F">
        <w:rPr>
          <w:rFonts w:ascii="Trebuchet MS" w:hAnsi="Trebuchet MS" w:cs="Trebuchet MS"/>
          <w:sz w:val="20"/>
          <w:szCs w:val="20"/>
        </w:rPr>
        <w:t>analisi del contesto esterno con l</w:t>
      </w:r>
      <w:r w:rsidR="00514434">
        <w:rPr>
          <w:rFonts w:ascii="Trebuchet MS" w:hAnsi="Trebuchet MS" w:cs="Trebuchet MS"/>
          <w:sz w:val="20"/>
          <w:szCs w:val="20"/>
        </w:rPr>
        <w:t>’</w:t>
      </w:r>
      <w:r w:rsidRPr="0082080F">
        <w:rPr>
          <w:rFonts w:ascii="Trebuchet MS" w:hAnsi="Trebuchet MS" w:cs="Trebuchet MS"/>
          <w:sz w:val="20"/>
          <w:szCs w:val="20"/>
        </w:rPr>
        <w:t xml:space="preserve">aumentare delle dimensioni delle amministrazioni, in termini di personale. Un dato è esemplificativo di questo </w:t>
      </w:r>
      <w:r w:rsidRPr="0082080F">
        <w:rPr>
          <w:rFonts w:ascii="Trebuchet MS" w:hAnsi="Trebuchet MS" w:cs="Trebuchet MS"/>
          <w:i/>
          <w:sz w:val="20"/>
          <w:szCs w:val="20"/>
        </w:rPr>
        <w:t>trend</w:t>
      </w:r>
      <w:r w:rsidRPr="0082080F">
        <w:rPr>
          <w:rFonts w:ascii="Trebuchet MS" w:hAnsi="Trebuchet MS" w:cs="Trebuchet MS"/>
          <w:sz w:val="20"/>
          <w:szCs w:val="20"/>
        </w:rPr>
        <w:t>: si passa dal 79% negli</w:t>
      </w:r>
      <w:r w:rsidR="00D8574A">
        <w:rPr>
          <w:rFonts w:ascii="Trebuchet MS" w:hAnsi="Trebuchet MS" w:cs="Trebuchet MS"/>
          <w:sz w:val="20"/>
          <w:szCs w:val="20"/>
        </w:rPr>
        <w:t xml:space="preserve"> enti con meno di 10 dipendenti</w:t>
      </w:r>
      <w:r w:rsidRPr="0082080F">
        <w:rPr>
          <w:rFonts w:ascii="Trebuchet MS" w:hAnsi="Trebuchet MS" w:cs="Trebuchet MS"/>
          <w:sz w:val="20"/>
          <w:szCs w:val="20"/>
        </w:rPr>
        <w:t xml:space="preserve"> al 92% negli enti da 20 a 49</w:t>
      </w:r>
      <w:r w:rsidR="00D8574A">
        <w:rPr>
          <w:rFonts w:ascii="Trebuchet MS" w:hAnsi="Trebuchet MS" w:cs="Trebuchet MS"/>
          <w:sz w:val="20"/>
          <w:szCs w:val="20"/>
        </w:rPr>
        <w:t>,</w:t>
      </w:r>
      <w:r w:rsidRPr="0082080F">
        <w:rPr>
          <w:rFonts w:ascii="Trebuchet MS" w:hAnsi="Trebuchet MS" w:cs="Trebuchet MS"/>
          <w:sz w:val="20"/>
          <w:szCs w:val="20"/>
        </w:rPr>
        <w:t xml:space="preserve"> fino al 95,7% negli enti da 50 a 499 unità di personale. </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In ogni caso, le amministrazioni che non svolgono ancora l</w:t>
      </w:r>
      <w:r w:rsidR="00514434">
        <w:rPr>
          <w:rFonts w:ascii="Trebuchet MS" w:hAnsi="Trebuchet MS" w:cs="Trebuchet MS"/>
          <w:sz w:val="20"/>
          <w:szCs w:val="20"/>
        </w:rPr>
        <w:t>’</w:t>
      </w:r>
      <w:r w:rsidRPr="0082080F">
        <w:rPr>
          <w:rFonts w:ascii="Trebuchet MS" w:hAnsi="Trebuchet MS" w:cs="Trebuchet MS"/>
          <w:sz w:val="20"/>
          <w:szCs w:val="20"/>
        </w:rPr>
        <w:t>analisi del contesto esterno, sono soprattutto quelle che si connotano per l</w:t>
      </w:r>
      <w:r w:rsidR="00514434">
        <w:rPr>
          <w:rFonts w:ascii="Trebuchet MS" w:hAnsi="Trebuchet MS" w:cs="Trebuchet MS"/>
          <w:sz w:val="20"/>
          <w:szCs w:val="20"/>
        </w:rPr>
        <w:t>’</w:t>
      </w:r>
      <w:r w:rsidRPr="0082080F">
        <w:rPr>
          <w:rFonts w:ascii="Trebuchet MS" w:hAnsi="Trebuchet MS" w:cs="Trebuchet MS"/>
          <w:sz w:val="20"/>
          <w:szCs w:val="20"/>
        </w:rPr>
        <w:t>assenza o carenza di personale. Risulta, tuttavia, singolare che vi sia un 5% di amministrazioni con più</w:t>
      </w:r>
      <w:r w:rsidR="00D8574A">
        <w:rPr>
          <w:rFonts w:ascii="Trebuchet MS" w:hAnsi="Trebuchet MS" w:cs="Trebuchet MS"/>
          <w:sz w:val="20"/>
          <w:szCs w:val="20"/>
        </w:rPr>
        <w:t xml:space="preserve"> di</w:t>
      </w:r>
      <w:r w:rsidRPr="0082080F">
        <w:rPr>
          <w:rFonts w:ascii="Trebuchet MS" w:hAnsi="Trebuchet MS" w:cs="Trebuchet MS"/>
          <w:sz w:val="20"/>
          <w:szCs w:val="20"/>
        </w:rPr>
        <w:t xml:space="preserve"> 499 dipendenti che non svolge tali analisi.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3.4 – Analisi del contesto esterno: distribuzione in base alla dimensione dell</w:t>
      </w:r>
      <w:r w:rsidR="00514434">
        <w:rPr>
          <w:rFonts w:ascii="Trebuchet MS" w:hAnsi="Trebuchet MS" w:cs="Trebuchet MS"/>
          <w:b/>
          <w:iCs/>
          <w:sz w:val="16"/>
          <w:szCs w:val="16"/>
        </w:rPr>
        <w:t>’</w:t>
      </w:r>
      <w:r w:rsidRPr="006F57A8">
        <w:rPr>
          <w:rFonts w:ascii="Trebuchet MS" w:hAnsi="Trebuchet MS" w:cs="Trebuchet MS"/>
          <w:b/>
          <w:iCs/>
          <w:sz w:val="16"/>
          <w:szCs w:val="16"/>
        </w:rPr>
        <w:t>amministrazione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2D392261" wp14:editId="03E8BBF5">
            <wp:extent cx="6120130" cy="1367155"/>
            <wp:effectExtent l="0" t="0" r="0" b="4445"/>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367155"/>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Il 94,5% delle amministrazioni ha svolto l</w:t>
      </w:r>
      <w:r w:rsidR="00514434">
        <w:rPr>
          <w:rFonts w:ascii="Trebuchet MS" w:hAnsi="Trebuchet MS" w:cs="Trebuchet MS"/>
          <w:sz w:val="20"/>
          <w:szCs w:val="20"/>
        </w:rPr>
        <w:t>’</w:t>
      </w:r>
      <w:r w:rsidRPr="0082080F">
        <w:rPr>
          <w:rFonts w:ascii="Trebuchet MS" w:hAnsi="Trebuchet MS" w:cs="Trebuchet MS"/>
          <w:sz w:val="20"/>
          <w:szCs w:val="20"/>
        </w:rPr>
        <w:t>analisi del contesto interno. Il restante numero (pari al 5,5%) delle amministrazioni che - al contrario - non hanno svolto tale analisi è, per lo più, concentrato negli enti di piccole dimensioni (ad es. i comuni fino a 5.000 abitanti e gli ordini professionali). Ciò è confermato anche avendo riguardo al numero del personale dell</w:t>
      </w:r>
      <w:r w:rsidR="00514434">
        <w:rPr>
          <w:rFonts w:ascii="Trebuchet MS" w:hAnsi="Trebuchet MS" w:cs="Trebuchet MS"/>
          <w:sz w:val="20"/>
          <w:szCs w:val="20"/>
        </w:rPr>
        <w:t>’</w:t>
      </w:r>
      <w:r w:rsidRPr="0082080F">
        <w:rPr>
          <w:rFonts w:ascii="Trebuchet MS" w:hAnsi="Trebuchet MS" w:cs="Trebuchet MS"/>
          <w:sz w:val="20"/>
          <w:szCs w:val="20"/>
        </w:rPr>
        <w:t>amministrazione. I dati mostrano, infatti, che il mancato svolgimento di tale analisi si riduce progressivamente all</w:t>
      </w:r>
      <w:r w:rsidR="00514434">
        <w:rPr>
          <w:rFonts w:ascii="Trebuchet MS" w:hAnsi="Trebuchet MS" w:cs="Trebuchet MS"/>
          <w:sz w:val="20"/>
          <w:szCs w:val="20"/>
        </w:rPr>
        <w:t>’</w:t>
      </w:r>
      <w:r w:rsidRPr="0082080F">
        <w:rPr>
          <w:rFonts w:ascii="Trebuchet MS" w:hAnsi="Trebuchet MS" w:cs="Trebuchet MS"/>
          <w:sz w:val="20"/>
          <w:szCs w:val="20"/>
        </w:rPr>
        <w:t>aumentare delle unità di cui è composta la struttura organizzativa dell</w:t>
      </w:r>
      <w:r w:rsidR="00514434">
        <w:rPr>
          <w:rFonts w:ascii="Trebuchet MS" w:hAnsi="Trebuchet MS" w:cs="Trebuchet MS"/>
          <w:sz w:val="20"/>
          <w:szCs w:val="20"/>
        </w:rPr>
        <w:t>’</w:t>
      </w:r>
      <w:r w:rsidRPr="0082080F">
        <w:rPr>
          <w:rFonts w:ascii="Trebuchet MS" w:hAnsi="Trebuchet MS" w:cs="Trebuchet MS"/>
          <w:sz w:val="20"/>
          <w:szCs w:val="20"/>
        </w:rPr>
        <w:t>ente.</w:t>
      </w:r>
    </w:p>
    <w:p w:rsidR="006E2AD4" w:rsidRDefault="006E2AD4"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6E2AD4" w:rsidRDefault="006E2AD4"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6E2AD4" w:rsidRDefault="006E2AD4"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6E2AD4" w:rsidRDefault="006E2AD4"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lastRenderedPageBreak/>
        <w:t>Tabella 3.5 – Analisi del contesto interno: distribuzione per dimensione dell</w:t>
      </w:r>
      <w:r w:rsidR="00514434">
        <w:rPr>
          <w:rFonts w:ascii="Trebuchet MS" w:hAnsi="Trebuchet MS" w:cs="Trebuchet MS"/>
          <w:b/>
          <w:iCs/>
          <w:sz w:val="16"/>
          <w:szCs w:val="16"/>
        </w:rPr>
        <w:t>’</w:t>
      </w:r>
      <w:r w:rsidRPr="006F57A8">
        <w:rPr>
          <w:rFonts w:ascii="Trebuchet MS" w:hAnsi="Trebuchet MS" w:cs="Trebuchet MS"/>
          <w:b/>
          <w:iCs/>
          <w:sz w:val="16"/>
          <w:szCs w:val="16"/>
        </w:rPr>
        <w:t>amministrazione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127F5BE1" wp14:editId="3AF49138">
            <wp:extent cx="6120130" cy="1360170"/>
            <wp:effectExtent l="0" t="0" r="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0170"/>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La quasi totalità delle amministrazioni (circa il 92%) ha svolto anche una mappatura dei processi. In particolare, il 51,8% ha realizzato una mappatura completa, il 40% solo una parziale.</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Un dato singolare è che vi sono ancora enti di grandi dimensioni in cui la mappatura dei processi è parziale (ad es. il 35% delle Province, il 33% dei Consigli regionali o Consigli delle Province autonome, una Giunta regionale o della Provincia autonoma e un Ministero) o, addirittura, assente come nel caso di un altro Ministero.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3.6 – Mappatura dei processi: distribuzione per tipologia di amministrazione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5373D9F3" wp14:editId="1E7D197E">
            <wp:extent cx="6120130" cy="3528060"/>
            <wp:effectExtent l="0" t="0" r="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528060"/>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Pr="0082080F"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lastRenderedPageBreak/>
        <w:t>Figura 3.11 – Metodologia utilizzata per valutare l</w:t>
      </w:r>
      <w:r w:rsidR="00514434">
        <w:rPr>
          <w:rFonts w:ascii="Trebuchet MS" w:hAnsi="Trebuchet MS" w:cs="Trebuchet MS"/>
          <w:b/>
          <w:iCs/>
          <w:sz w:val="16"/>
          <w:szCs w:val="16"/>
        </w:rPr>
        <w:t>’</w:t>
      </w:r>
      <w:r w:rsidRPr="006F57A8">
        <w:rPr>
          <w:rFonts w:ascii="Trebuchet MS" w:hAnsi="Trebuchet MS" w:cs="Trebuchet MS"/>
          <w:b/>
          <w:iCs/>
          <w:sz w:val="16"/>
          <w:szCs w:val="16"/>
        </w:rPr>
        <w:t>esposizione al rischio nelle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82080F">
        <w:rPr>
          <w:rFonts w:ascii="Trebuchet MS" w:hAnsi="Trebuchet MS" w:cs="Trebuchet MS"/>
          <w:b/>
          <w:bCs/>
          <w:noProof/>
          <w:sz w:val="18"/>
          <w:szCs w:val="18"/>
          <w:lang w:eastAsia="it-IT"/>
        </w:rPr>
        <w:drawing>
          <wp:inline distT="0" distB="0" distL="0" distR="0" wp14:anchorId="277EB6E8" wp14:editId="433BA68B">
            <wp:extent cx="6120130" cy="3995871"/>
            <wp:effectExtent l="0" t="0" r="0" b="5080"/>
            <wp:docPr id="234" name="Immagine 234" descr="Immagine che contiene grafico, grafico a to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magine 234" descr="Immagine che contiene grafico, grafico a tort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995871"/>
                    </a:xfrm>
                    <a:prstGeom prst="rect">
                      <a:avLst/>
                    </a:prstGeom>
                    <a:noFill/>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La metodologia “qualitativa” trova maggiore applicazione tra le Province, le Università e Autorità amministrative indipendenti, mentre incontra una minor diffusione negli ordini e collegi professionali e nei Ministeri.</w:t>
      </w:r>
    </w:p>
    <w:p w:rsidR="00E340A1" w:rsidRPr="0082080F" w:rsidRDefault="00F767A8"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Pr>
          <w:rFonts w:ascii="Trebuchet MS" w:hAnsi="Trebuchet MS" w:cs="Trebuchet MS"/>
          <w:sz w:val="20"/>
          <w:szCs w:val="20"/>
        </w:rPr>
        <w:t>Diversamente, se si guarda ai C</w:t>
      </w:r>
      <w:r w:rsidR="00E340A1" w:rsidRPr="0082080F">
        <w:rPr>
          <w:rFonts w:ascii="Trebuchet MS" w:hAnsi="Trebuchet MS" w:cs="Trebuchet MS"/>
          <w:sz w:val="20"/>
          <w:szCs w:val="20"/>
        </w:rPr>
        <w:t>omuni, si evince che, in media, il 64% di essi ha preferito un approccio “qualitativo” ad uno “quantitativo”. Il dato non muta all</w:t>
      </w:r>
      <w:r w:rsidR="00514434">
        <w:rPr>
          <w:rFonts w:ascii="Trebuchet MS" w:hAnsi="Trebuchet MS" w:cs="Trebuchet MS"/>
          <w:sz w:val="20"/>
          <w:szCs w:val="20"/>
        </w:rPr>
        <w:t>’</w:t>
      </w:r>
      <w:r w:rsidR="00E340A1" w:rsidRPr="0082080F">
        <w:rPr>
          <w:rFonts w:ascii="Trebuchet MS" w:hAnsi="Trebuchet MS" w:cs="Trebuchet MS"/>
          <w:sz w:val="20"/>
          <w:szCs w:val="20"/>
        </w:rPr>
        <w:t>aumentare della dimensione dell</w:t>
      </w:r>
      <w:r w:rsidR="00514434">
        <w:rPr>
          <w:rFonts w:ascii="Trebuchet MS" w:hAnsi="Trebuchet MS" w:cs="Trebuchet MS"/>
          <w:sz w:val="20"/>
          <w:szCs w:val="20"/>
        </w:rPr>
        <w:t>’</w:t>
      </w:r>
      <w:r w:rsidR="00E340A1" w:rsidRPr="0082080F">
        <w:rPr>
          <w:rFonts w:ascii="Trebuchet MS" w:hAnsi="Trebuchet MS" w:cs="Trebuchet MS"/>
          <w:sz w:val="20"/>
          <w:szCs w:val="20"/>
        </w:rPr>
        <w:t>ente in t</w:t>
      </w:r>
      <w:r>
        <w:rPr>
          <w:rFonts w:ascii="Trebuchet MS" w:hAnsi="Trebuchet MS" w:cs="Trebuchet MS"/>
          <w:sz w:val="20"/>
          <w:szCs w:val="20"/>
        </w:rPr>
        <w:t>ermini di popolazione. Anzi, i C</w:t>
      </w:r>
      <w:r w:rsidR="00E340A1" w:rsidRPr="0082080F">
        <w:rPr>
          <w:rFonts w:ascii="Trebuchet MS" w:hAnsi="Trebuchet MS" w:cs="Trebuchet MS"/>
          <w:sz w:val="20"/>
          <w:szCs w:val="20"/>
        </w:rPr>
        <w:t>omuni con popolazione superiore ai 15.000 abitanti fanno in media un ricorso alla metodologia “qualitativa” leggermente minore di quelli di fascia intermedia (5.000 -</w:t>
      </w:r>
      <w:r>
        <w:rPr>
          <w:rFonts w:ascii="Trebuchet MS" w:hAnsi="Trebuchet MS" w:cs="Trebuchet MS"/>
          <w:sz w:val="20"/>
          <w:szCs w:val="20"/>
        </w:rPr>
        <w:t xml:space="preserve"> </w:t>
      </w:r>
      <w:r w:rsidR="00E340A1" w:rsidRPr="0082080F">
        <w:rPr>
          <w:rFonts w:ascii="Trebuchet MS" w:hAnsi="Trebuchet MS" w:cs="Trebuchet MS"/>
          <w:sz w:val="20"/>
          <w:szCs w:val="20"/>
        </w:rPr>
        <w:t xml:space="preserve">15.000).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Si riscontra, poi, un tendenziale ricorso alla metodologia “qualitativa” all</w:t>
      </w:r>
      <w:r w:rsidR="00514434">
        <w:rPr>
          <w:rFonts w:ascii="Trebuchet MS" w:hAnsi="Trebuchet MS" w:cs="Trebuchet MS"/>
          <w:sz w:val="20"/>
          <w:szCs w:val="20"/>
        </w:rPr>
        <w:t>’</w:t>
      </w:r>
      <w:r w:rsidRPr="0082080F">
        <w:rPr>
          <w:rFonts w:ascii="Trebuchet MS" w:hAnsi="Trebuchet MS" w:cs="Trebuchet MS"/>
          <w:sz w:val="20"/>
          <w:szCs w:val="20"/>
        </w:rPr>
        <w:t>aumentare delle dimensioni dell</w:t>
      </w:r>
      <w:r w:rsidR="00514434">
        <w:rPr>
          <w:rFonts w:ascii="Trebuchet MS" w:hAnsi="Trebuchet MS" w:cs="Trebuchet MS"/>
          <w:sz w:val="20"/>
          <w:szCs w:val="20"/>
        </w:rPr>
        <w:t>’</w:t>
      </w:r>
      <w:r w:rsidRPr="0082080F">
        <w:rPr>
          <w:rFonts w:ascii="Trebuchet MS" w:hAnsi="Trebuchet MS" w:cs="Trebuchet MS"/>
          <w:sz w:val="20"/>
          <w:szCs w:val="20"/>
        </w:rPr>
        <w:t>amministrazione, in termini di personale impiegato. Ciò considerando, ad esempio, che ha dichiarato di fare ricorso all</w:t>
      </w:r>
      <w:r w:rsidR="00514434">
        <w:rPr>
          <w:rFonts w:ascii="Trebuchet MS" w:hAnsi="Trebuchet MS" w:cs="Trebuchet MS"/>
          <w:sz w:val="20"/>
          <w:szCs w:val="20"/>
        </w:rPr>
        <w:t>’</w:t>
      </w:r>
      <w:r w:rsidRPr="0082080F">
        <w:rPr>
          <w:rFonts w:ascii="Trebuchet MS" w:hAnsi="Trebuchet MS" w:cs="Trebuchet MS"/>
          <w:sz w:val="20"/>
          <w:szCs w:val="20"/>
        </w:rPr>
        <w:t xml:space="preserve">approccio “qualitativo” il 52% delle amministrazioni da n. 1 a n. 9 dipendenti, dato che raggiunge il 62%, o poco più, in quelle con personale da n. 10 a n. 19 e il 65% circa in quelle da n. 50 a n. 499 dipendenti.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Un</w:t>
      </w:r>
      <w:r w:rsidR="00514434">
        <w:rPr>
          <w:rFonts w:ascii="Trebuchet MS" w:hAnsi="Trebuchet MS" w:cs="Trebuchet MS"/>
          <w:sz w:val="20"/>
          <w:szCs w:val="20"/>
        </w:rPr>
        <w:t>’</w:t>
      </w:r>
      <w:r w:rsidRPr="0082080F">
        <w:rPr>
          <w:rFonts w:ascii="Trebuchet MS" w:hAnsi="Trebuchet MS" w:cs="Trebuchet MS"/>
          <w:sz w:val="20"/>
          <w:szCs w:val="20"/>
        </w:rPr>
        <w:t>eccezione è ravvisata nelle amministrazioni con più di 499 dipendenti, ove solo il 51% aderisce ad una metodologia di tipo qualitativo (solo 1 su 2 quindi).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i/>
          <w:iCs/>
          <w:sz w:val="20"/>
          <w:szCs w:val="20"/>
          <w:u w:val="single"/>
        </w:rPr>
      </w:pPr>
      <w:r w:rsidRPr="0082080F">
        <w:rPr>
          <w:rFonts w:ascii="Trebuchet MS" w:hAnsi="Trebuchet MS" w:cs="Trebuchet MS"/>
          <w:i/>
          <w:iCs/>
          <w:sz w:val="20"/>
          <w:szCs w:val="20"/>
          <w:u w:val="single"/>
        </w:rPr>
        <w:t>Criteri per la valutazione: indicatori di rischio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Si è poi voluto verificare quali siano gli indicatori di rischio (</w:t>
      </w:r>
      <w:r w:rsidRPr="0082080F">
        <w:rPr>
          <w:rFonts w:ascii="Trebuchet MS" w:hAnsi="Trebuchet MS" w:cs="Trebuchet MS"/>
          <w:i/>
          <w:sz w:val="20"/>
          <w:szCs w:val="20"/>
        </w:rPr>
        <w:t>key risk indicators</w:t>
      </w:r>
      <w:r w:rsidRPr="0082080F">
        <w:rPr>
          <w:rFonts w:ascii="Trebuchet MS" w:hAnsi="Trebuchet MS" w:cs="Trebuchet MS"/>
          <w:sz w:val="20"/>
          <w:szCs w:val="20"/>
        </w:rPr>
        <w:t>) cui più spesso le amministrazioni hanno fatto ricorso al fine di acquisire informazioni sul livello di esposizione al rischio del processo o delle attività.</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L</w:t>
      </w:r>
      <w:r w:rsidR="00514434">
        <w:rPr>
          <w:rFonts w:ascii="Trebuchet MS" w:hAnsi="Trebuchet MS" w:cs="Trebuchet MS"/>
          <w:sz w:val="20"/>
          <w:szCs w:val="20"/>
        </w:rPr>
        <w:t>’</w:t>
      </w:r>
      <w:r w:rsidRPr="0082080F">
        <w:rPr>
          <w:rFonts w:ascii="Trebuchet MS" w:hAnsi="Trebuchet MS" w:cs="Trebuchet MS"/>
          <w:sz w:val="20"/>
          <w:szCs w:val="20"/>
        </w:rPr>
        <w:t>indicatore maggiormente utilizzato (93%) è quello relativo al “Grado di discrezionalità del decisore interno alla pubblica amministrazione” – ovvero la presenza di un processo decisionale altamente discrezionale che determina un incremento del rischio rispetto ad un processo decisionale altamente vincolato.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lastRenderedPageBreak/>
        <w:t>Successivamente (84%) si osserva l</w:t>
      </w:r>
      <w:r w:rsidR="00514434">
        <w:rPr>
          <w:rFonts w:ascii="Trebuchet MS" w:hAnsi="Trebuchet MS" w:cs="Trebuchet MS"/>
          <w:sz w:val="20"/>
          <w:szCs w:val="20"/>
        </w:rPr>
        <w:t>’</w:t>
      </w:r>
      <w:r w:rsidRPr="0082080F">
        <w:rPr>
          <w:rFonts w:ascii="Trebuchet MS" w:hAnsi="Trebuchet MS" w:cs="Trebuchet MS"/>
          <w:sz w:val="20"/>
          <w:szCs w:val="20"/>
        </w:rPr>
        <w:t>indicatore “Livello di interesse esterno” (ossia “la presenza di interessi, anche economici, rilevanti e di benefici per i destinatari del processo che determina un incremento del rischio”).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Anche l</w:t>
      </w:r>
      <w:r w:rsidR="00514434">
        <w:rPr>
          <w:rFonts w:ascii="Trebuchet MS" w:hAnsi="Trebuchet MS" w:cs="Trebuchet MS"/>
          <w:sz w:val="20"/>
          <w:szCs w:val="20"/>
        </w:rPr>
        <w:t>’</w:t>
      </w:r>
      <w:r w:rsidRPr="0082080F">
        <w:rPr>
          <w:rFonts w:ascii="Trebuchet MS" w:hAnsi="Trebuchet MS" w:cs="Trebuchet MS"/>
          <w:sz w:val="20"/>
          <w:szCs w:val="20"/>
        </w:rPr>
        <w:t>indicatore “Manifestazione di eventi corruttivi in passato nel processo/attività esaminata” – attività già oggetto di eventi corruttivi in passato nell</w:t>
      </w:r>
      <w:r w:rsidR="00514434">
        <w:rPr>
          <w:rFonts w:ascii="Trebuchet MS" w:hAnsi="Trebuchet MS" w:cs="Trebuchet MS"/>
          <w:sz w:val="20"/>
          <w:szCs w:val="20"/>
        </w:rPr>
        <w:t>’</w:t>
      </w:r>
      <w:r w:rsidRPr="0082080F">
        <w:rPr>
          <w:rFonts w:ascii="Trebuchet MS" w:hAnsi="Trebuchet MS" w:cs="Trebuchet MS"/>
          <w:sz w:val="20"/>
          <w:szCs w:val="20"/>
        </w:rPr>
        <w:t>amministrazione o in altre realtà simili tale da far aumentare il rischio corruttivo - sembra piuttosto diffuso (72%).</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Al contrario, dall</w:t>
      </w:r>
      <w:r w:rsidR="00514434">
        <w:rPr>
          <w:rFonts w:ascii="Trebuchet MS" w:hAnsi="Trebuchet MS" w:cs="Trebuchet MS"/>
          <w:sz w:val="20"/>
          <w:szCs w:val="20"/>
        </w:rPr>
        <w:t>’</w:t>
      </w:r>
      <w:r w:rsidRPr="0082080F">
        <w:rPr>
          <w:rFonts w:ascii="Trebuchet MS" w:hAnsi="Trebuchet MS" w:cs="Trebuchet MS"/>
          <w:sz w:val="20"/>
          <w:szCs w:val="20"/>
        </w:rPr>
        <w:t>analisi si evince uno scarso utilizzo da parte delle amministrazioni (32%) dei dati disponibili all</w:t>
      </w:r>
      <w:r w:rsidR="00514434">
        <w:rPr>
          <w:rFonts w:ascii="Trebuchet MS" w:hAnsi="Trebuchet MS" w:cs="Trebuchet MS"/>
          <w:sz w:val="20"/>
          <w:szCs w:val="20"/>
        </w:rPr>
        <w:t>’</w:t>
      </w:r>
      <w:r w:rsidRPr="0082080F">
        <w:rPr>
          <w:rFonts w:ascii="Trebuchet MS" w:hAnsi="Trebuchet MS" w:cs="Trebuchet MS"/>
          <w:sz w:val="20"/>
          <w:szCs w:val="20"/>
        </w:rPr>
        <w:t>esito dei controlli delle singole amministrazioni, che quindi andrebbero messi più a sistema e valorizzati.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3.12 – Indicatori utilizzati per valutare l</w:t>
      </w:r>
      <w:r w:rsidR="00514434">
        <w:rPr>
          <w:rFonts w:ascii="Trebuchet MS" w:hAnsi="Trebuchet MS" w:cs="Trebuchet MS"/>
          <w:b/>
          <w:iCs/>
          <w:sz w:val="16"/>
          <w:szCs w:val="16"/>
        </w:rPr>
        <w:t>’</w:t>
      </w:r>
      <w:r w:rsidRPr="006F57A8">
        <w:rPr>
          <w:rFonts w:ascii="Trebuchet MS" w:hAnsi="Trebuchet MS" w:cs="Trebuchet MS"/>
          <w:b/>
          <w:iCs/>
          <w:sz w:val="16"/>
          <w:szCs w:val="16"/>
        </w:rPr>
        <w:t>esposizione al rischio nelle amministrazioni</w:t>
      </w:r>
    </w:p>
    <w:p w:rsidR="0018173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6270E82D" wp14:editId="208803B4">
            <wp:extent cx="6120130" cy="4606290"/>
            <wp:effectExtent l="0" t="0" r="0" b="381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606290"/>
                    </a:xfrm>
                    <a:prstGeom prst="rect">
                      <a:avLst/>
                    </a:prstGeom>
                    <a:noFill/>
                    <a:ln>
                      <a:noFill/>
                    </a:ln>
                  </pic:spPr>
                </pic:pic>
              </a:graphicData>
            </a:graphic>
          </wp:inline>
        </w:drawing>
      </w: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181735" w:rsidRPr="0082080F" w:rsidRDefault="0018173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lastRenderedPageBreak/>
        <w:t>Tabella 3.15 – Programmazione di audit nelle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61C1A318" wp14:editId="5C9AB625">
            <wp:extent cx="6040507" cy="3562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850" cy="3567860"/>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Quanto alla periodicità del monitoraggio, i risultati mostrano, coerentemente al principio guida della “gradualità”, che il 48% delle amministrazioni ha programmato un monitoraggio almeno annuale sull</w:t>
      </w:r>
      <w:r w:rsidR="00514434">
        <w:rPr>
          <w:rFonts w:ascii="Trebuchet MS" w:hAnsi="Trebuchet MS" w:cs="Trebuchet MS"/>
          <w:sz w:val="20"/>
          <w:szCs w:val="20"/>
        </w:rPr>
        <w:t>’</w:t>
      </w:r>
      <w:r w:rsidRPr="0082080F">
        <w:rPr>
          <w:rFonts w:ascii="Trebuchet MS" w:hAnsi="Trebuchet MS" w:cs="Trebuchet MS"/>
          <w:sz w:val="20"/>
          <w:szCs w:val="20"/>
        </w:rPr>
        <w:t xml:space="preserve">attuazione del PTPCT; il 38% circa un monitoraggio semestrale o ancora più frequente, che garantisce certamente un eventuale intervento correttivo più tempestivo. Il 13% delle amministrazioni ha invece dichiarato di non aver indicato nel PTPCT la frequenza del monitoraggio.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Figura 3.16 – Periodicità del monitoraggio del PTPCT nelle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364A8EE5" wp14:editId="6558BEC8">
            <wp:extent cx="4111142" cy="2658450"/>
            <wp:effectExtent l="0" t="0" r="3810" b="8890"/>
            <wp:docPr id="29" name="Immagine 29" descr="Immagine che contiene grafico, grafico a to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grafico, grafico a tort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0316" cy="2670849"/>
                    </a:xfrm>
                    <a:prstGeom prst="rect">
                      <a:avLst/>
                    </a:prstGeom>
                    <a:noFill/>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Nell</w:t>
      </w:r>
      <w:r w:rsidR="00514434">
        <w:rPr>
          <w:rFonts w:ascii="Trebuchet MS" w:hAnsi="Trebuchet MS" w:cs="Trebuchet MS"/>
          <w:sz w:val="20"/>
          <w:szCs w:val="20"/>
        </w:rPr>
        <w:t>’</w:t>
      </w:r>
      <w:r w:rsidRPr="0082080F">
        <w:rPr>
          <w:rFonts w:ascii="Trebuchet MS" w:hAnsi="Trebuchet MS" w:cs="Trebuchet MS"/>
          <w:sz w:val="20"/>
          <w:szCs w:val="20"/>
        </w:rPr>
        <w:t>ambito delle amministrazioni che hanno previsto una frequenza maggiore del mo</w:t>
      </w:r>
      <w:r w:rsidR="001D22EA">
        <w:rPr>
          <w:rFonts w:ascii="Trebuchet MS" w:hAnsi="Trebuchet MS" w:cs="Trebuchet MS"/>
          <w:sz w:val="20"/>
          <w:szCs w:val="20"/>
        </w:rPr>
        <w:t>nitoraggio rientrano: le Città M</w:t>
      </w:r>
      <w:r w:rsidRPr="0082080F">
        <w:rPr>
          <w:rFonts w:ascii="Trebuchet MS" w:hAnsi="Trebuchet MS" w:cs="Trebuchet MS"/>
          <w:sz w:val="20"/>
          <w:szCs w:val="20"/>
        </w:rPr>
        <w:t>etropolitane (100%) e le Autori</w:t>
      </w:r>
      <w:r w:rsidR="001D22EA">
        <w:rPr>
          <w:rFonts w:ascii="Trebuchet MS" w:hAnsi="Trebuchet MS" w:cs="Trebuchet MS"/>
          <w:sz w:val="20"/>
          <w:szCs w:val="20"/>
        </w:rPr>
        <w:t>tà di Sistema P</w:t>
      </w:r>
      <w:r w:rsidRPr="0082080F">
        <w:rPr>
          <w:rFonts w:ascii="Trebuchet MS" w:hAnsi="Trebuchet MS" w:cs="Trebuchet MS"/>
          <w:sz w:val="20"/>
          <w:szCs w:val="20"/>
        </w:rPr>
        <w:t>ortuale (70%).</w:t>
      </w:r>
    </w:p>
    <w:p w:rsidR="00E340A1" w:rsidRPr="0082080F" w:rsidRDefault="00F437B7"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Pr>
          <w:rFonts w:ascii="Trebuchet MS" w:hAnsi="Trebuchet MS" w:cs="Trebuchet MS"/>
          <w:sz w:val="20"/>
          <w:szCs w:val="20"/>
        </w:rPr>
        <w:lastRenderedPageBreak/>
        <w:t>Con riguardo ai C</w:t>
      </w:r>
      <w:r w:rsidR="00E340A1" w:rsidRPr="0082080F">
        <w:rPr>
          <w:rFonts w:ascii="Trebuchet MS" w:hAnsi="Trebuchet MS" w:cs="Trebuchet MS"/>
          <w:sz w:val="20"/>
          <w:szCs w:val="20"/>
        </w:rPr>
        <w:t>omuni, un monitoraggio con frequenza semestrale o più frequente si è riscontrato per lo più in quelli con popolazione superiore a 15.000 abitanti (60%), mentre le percentu</w:t>
      </w:r>
      <w:r>
        <w:rPr>
          <w:rFonts w:ascii="Trebuchet MS" w:hAnsi="Trebuchet MS" w:cs="Trebuchet MS"/>
          <w:sz w:val="20"/>
          <w:szCs w:val="20"/>
        </w:rPr>
        <w:t>ali sono più basse nei piccoli C</w:t>
      </w:r>
      <w:r w:rsidR="00E340A1" w:rsidRPr="0082080F">
        <w:rPr>
          <w:rFonts w:ascii="Trebuchet MS" w:hAnsi="Trebuchet MS" w:cs="Trebuchet MS"/>
          <w:sz w:val="20"/>
          <w:szCs w:val="20"/>
        </w:rPr>
        <w:t>omuni.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i/>
          <w:iCs/>
          <w:sz w:val="20"/>
          <w:szCs w:val="20"/>
          <w:u w:val="single"/>
        </w:rPr>
      </w:pPr>
      <w:r w:rsidRPr="0082080F">
        <w:rPr>
          <w:rFonts w:ascii="Trebuchet MS" w:hAnsi="Trebuchet MS" w:cs="Trebuchet MS"/>
          <w:i/>
          <w:iCs/>
          <w:sz w:val="20"/>
          <w:szCs w:val="20"/>
          <w:u w:val="single"/>
        </w:rPr>
        <w:t xml:space="preserve">Programmazione del monitoraggio sulle misure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bCs/>
          <w:sz w:val="20"/>
          <w:szCs w:val="20"/>
        </w:rPr>
      </w:pPr>
      <w:r w:rsidRPr="0082080F">
        <w:rPr>
          <w:rFonts w:ascii="Trebuchet MS" w:hAnsi="Trebuchet MS" w:cs="Trebuchet MS"/>
          <w:bCs/>
          <w:sz w:val="20"/>
          <w:szCs w:val="20"/>
        </w:rPr>
        <w:t>Rispetto alle n. 1</w:t>
      </w:r>
      <w:r w:rsidR="00F437B7">
        <w:rPr>
          <w:rFonts w:ascii="Trebuchet MS" w:hAnsi="Trebuchet MS" w:cs="Trebuchet MS"/>
          <w:bCs/>
          <w:sz w:val="20"/>
          <w:szCs w:val="20"/>
        </w:rPr>
        <w:t>.</w:t>
      </w:r>
      <w:r w:rsidRPr="0082080F">
        <w:rPr>
          <w:rFonts w:ascii="Trebuchet MS" w:hAnsi="Trebuchet MS" w:cs="Trebuchet MS"/>
          <w:bCs/>
          <w:sz w:val="20"/>
          <w:szCs w:val="20"/>
        </w:rPr>
        <w:t>154 amministrazioni che hanno completato l</w:t>
      </w:r>
      <w:r w:rsidR="00514434">
        <w:rPr>
          <w:rFonts w:ascii="Trebuchet MS" w:hAnsi="Trebuchet MS" w:cs="Trebuchet MS"/>
          <w:bCs/>
          <w:sz w:val="20"/>
          <w:szCs w:val="20"/>
        </w:rPr>
        <w:t>’</w:t>
      </w:r>
      <w:r w:rsidRPr="0082080F">
        <w:rPr>
          <w:rFonts w:ascii="Trebuchet MS" w:hAnsi="Trebuchet MS" w:cs="Trebuchet MS"/>
          <w:bCs/>
          <w:sz w:val="20"/>
          <w:szCs w:val="20"/>
        </w:rPr>
        <w:t>inserimento dei dati sui PTPCT nella Piattaforma, n. 721 amministrazioni (62,5%) hanno pianificato il monitoraggio</w:t>
      </w:r>
      <w:r w:rsidRPr="0082080F">
        <w:rPr>
          <w:rFonts w:ascii="Trebuchet MS" w:hAnsi="Trebuchet MS" w:cs="Trebuchet MS"/>
          <w:sz w:val="20"/>
          <w:szCs w:val="20"/>
        </w:rPr>
        <w:t xml:space="preserve"> </w:t>
      </w:r>
      <w:r w:rsidRPr="0082080F">
        <w:rPr>
          <w:rFonts w:ascii="Trebuchet MS" w:hAnsi="Trebuchet MS" w:cs="Trebuchet MS"/>
          <w:bCs/>
          <w:sz w:val="20"/>
          <w:szCs w:val="20"/>
        </w:rPr>
        <w:t>sull</w:t>
      </w:r>
      <w:r w:rsidR="00514434">
        <w:rPr>
          <w:rFonts w:ascii="Trebuchet MS" w:hAnsi="Trebuchet MS" w:cs="Trebuchet MS"/>
          <w:bCs/>
          <w:sz w:val="20"/>
          <w:szCs w:val="20"/>
        </w:rPr>
        <w:t>’</w:t>
      </w:r>
      <w:r w:rsidRPr="0082080F">
        <w:rPr>
          <w:rFonts w:ascii="Trebuchet MS" w:hAnsi="Trebuchet MS" w:cs="Trebuchet MS"/>
          <w:bCs/>
          <w:sz w:val="20"/>
          <w:szCs w:val="20"/>
        </w:rPr>
        <w:t>attuazione e sull</w:t>
      </w:r>
      <w:r w:rsidR="00514434">
        <w:rPr>
          <w:rFonts w:ascii="Trebuchet MS" w:hAnsi="Trebuchet MS" w:cs="Trebuchet MS"/>
          <w:bCs/>
          <w:sz w:val="20"/>
          <w:szCs w:val="20"/>
        </w:rPr>
        <w:t>’</w:t>
      </w:r>
      <w:r w:rsidRPr="0082080F">
        <w:rPr>
          <w:rFonts w:ascii="Trebuchet MS" w:hAnsi="Trebuchet MS" w:cs="Trebuchet MS"/>
          <w:bCs/>
          <w:sz w:val="20"/>
          <w:szCs w:val="20"/>
        </w:rPr>
        <w:t>idoneità delle misure. Il restante 37% non ha alcuna previsione in tal senso.</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bCs/>
          <w:sz w:val="20"/>
          <w:szCs w:val="20"/>
        </w:rPr>
      </w:pPr>
      <w:r w:rsidRPr="0082080F">
        <w:rPr>
          <w:rFonts w:ascii="Trebuchet MS" w:hAnsi="Trebuchet MS" w:cs="Trebuchet MS"/>
          <w:bCs/>
          <w:sz w:val="20"/>
          <w:szCs w:val="20"/>
        </w:rPr>
        <w:t>La distribuzione del dato di quelle amministrazioni che hanno programmato un sistema di monitoraggio si attesta su percentuali piuttosto alte: tutti i Ministeri considerati e la Presidenza del Consiglio dei Minis</w:t>
      </w:r>
      <w:r w:rsidR="00F437B7">
        <w:rPr>
          <w:rFonts w:ascii="Trebuchet MS" w:hAnsi="Trebuchet MS" w:cs="Trebuchet MS"/>
          <w:bCs/>
          <w:sz w:val="20"/>
          <w:szCs w:val="20"/>
        </w:rPr>
        <w:t>tri e il 90% delle Autorità di Sistema P</w:t>
      </w:r>
      <w:r w:rsidRPr="0082080F">
        <w:rPr>
          <w:rFonts w:ascii="Trebuchet MS" w:hAnsi="Trebuchet MS" w:cs="Trebuchet MS"/>
          <w:bCs/>
          <w:sz w:val="20"/>
          <w:szCs w:val="20"/>
        </w:rPr>
        <w:t xml:space="preserve">ortuale e delle Province. </w:t>
      </w:r>
    </w:p>
    <w:p w:rsidR="00E340A1" w:rsidRPr="0082080F" w:rsidRDefault="00F437B7"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bCs/>
          <w:sz w:val="20"/>
          <w:szCs w:val="20"/>
        </w:rPr>
      </w:pPr>
      <w:r>
        <w:rPr>
          <w:rFonts w:ascii="Trebuchet MS" w:hAnsi="Trebuchet MS" w:cs="Trebuchet MS"/>
          <w:bCs/>
          <w:sz w:val="20"/>
          <w:szCs w:val="20"/>
        </w:rPr>
        <w:t>Nei piccoli C</w:t>
      </w:r>
      <w:r w:rsidR="00E340A1" w:rsidRPr="0082080F">
        <w:rPr>
          <w:rFonts w:ascii="Trebuchet MS" w:hAnsi="Trebuchet MS" w:cs="Trebuchet MS"/>
          <w:bCs/>
          <w:sz w:val="20"/>
          <w:szCs w:val="20"/>
        </w:rPr>
        <w:t xml:space="preserve">omuni, quasi in un caso su due, il monitoraggio sulle misure non viene proprio predisposto. </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bCs/>
          <w:sz w:val="20"/>
          <w:szCs w:val="20"/>
        </w:rPr>
      </w:pPr>
      <w:r w:rsidRPr="0082080F">
        <w:rPr>
          <w:rFonts w:ascii="Trebuchet MS" w:hAnsi="Trebuchet MS" w:cs="Trebuchet MS"/>
          <w:bCs/>
          <w:sz w:val="20"/>
          <w:szCs w:val="20"/>
        </w:rPr>
        <w:t>Se si guarda poi al numero di personale impiegato in una amministrazione o ente, si può notare come al diminuire delle dimensioni organizzative diminuisce anche la percentuale del ricorso al monitoraggio. Viceversa, laddove l</w:t>
      </w:r>
      <w:r w:rsidR="00514434">
        <w:rPr>
          <w:rFonts w:ascii="Trebuchet MS" w:hAnsi="Trebuchet MS" w:cs="Trebuchet MS"/>
          <w:bCs/>
          <w:sz w:val="20"/>
          <w:szCs w:val="20"/>
        </w:rPr>
        <w:t>’</w:t>
      </w:r>
      <w:r w:rsidRPr="0082080F">
        <w:rPr>
          <w:rFonts w:ascii="Trebuchet MS" w:hAnsi="Trebuchet MS" w:cs="Trebuchet MS"/>
          <w:bCs/>
          <w:sz w:val="20"/>
          <w:szCs w:val="20"/>
        </w:rPr>
        <w:t>amministrazione ha a disposizione più personale, maggiore è il ricorso al monitoraggio sull</w:t>
      </w:r>
      <w:r w:rsidR="00514434">
        <w:rPr>
          <w:rFonts w:ascii="Trebuchet MS" w:hAnsi="Trebuchet MS" w:cs="Trebuchet MS"/>
          <w:bCs/>
          <w:sz w:val="20"/>
          <w:szCs w:val="20"/>
        </w:rPr>
        <w:t>’</w:t>
      </w:r>
      <w:r w:rsidRPr="0082080F">
        <w:rPr>
          <w:rFonts w:ascii="Trebuchet MS" w:hAnsi="Trebuchet MS" w:cs="Trebuchet MS"/>
          <w:bCs/>
          <w:sz w:val="20"/>
          <w:szCs w:val="20"/>
        </w:rPr>
        <w:t>attuazione e l</w:t>
      </w:r>
      <w:r w:rsidR="00514434">
        <w:rPr>
          <w:rFonts w:ascii="Trebuchet MS" w:hAnsi="Trebuchet MS" w:cs="Trebuchet MS"/>
          <w:bCs/>
          <w:sz w:val="20"/>
          <w:szCs w:val="20"/>
        </w:rPr>
        <w:t>’</w:t>
      </w:r>
      <w:r w:rsidRPr="0082080F">
        <w:rPr>
          <w:rFonts w:ascii="Trebuchet MS" w:hAnsi="Trebuchet MS" w:cs="Trebuchet MS"/>
          <w:bCs/>
          <w:sz w:val="20"/>
          <w:szCs w:val="20"/>
        </w:rPr>
        <w:t>idoneità delle misure.</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bCs/>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Tabella 3.17 – Monitoraggio sull</w:t>
      </w:r>
      <w:r w:rsidR="00514434">
        <w:rPr>
          <w:rFonts w:ascii="Trebuchet MS" w:hAnsi="Trebuchet MS" w:cs="Trebuchet MS"/>
          <w:b/>
          <w:iCs/>
          <w:sz w:val="16"/>
          <w:szCs w:val="16"/>
        </w:rPr>
        <w:t>’</w:t>
      </w:r>
      <w:r w:rsidRPr="006F57A8">
        <w:rPr>
          <w:rFonts w:ascii="Trebuchet MS" w:hAnsi="Trebuchet MS" w:cs="Trebuchet MS"/>
          <w:b/>
          <w:iCs/>
          <w:sz w:val="16"/>
          <w:szCs w:val="16"/>
        </w:rPr>
        <w:t>attuazione delle misure anticorruzione nelle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82080F">
        <w:rPr>
          <w:rFonts w:ascii="Trebuchet MS" w:hAnsi="Trebuchet MS" w:cs="Trebuchet MS"/>
          <w:noProof/>
          <w:sz w:val="18"/>
          <w:szCs w:val="18"/>
          <w:lang w:eastAsia="it-IT"/>
        </w:rPr>
        <w:drawing>
          <wp:inline distT="0" distB="0" distL="0" distR="0" wp14:anchorId="189BE576" wp14:editId="2FBE9B70">
            <wp:extent cx="6120130" cy="3507162"/>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07162"/>
                    </a:xfrm>
                    <a:prstGeom prst="rect">
                      <a:avLst/>
                    </a:prstGeom>
                    <a:noFill/>
                    <a:ln>
                      <a:noFill/>
                    </a:ln>
                  </pic:spPr>
                </pic:pic>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rPr>
          <w:rFonts w:ascii="Trebuchet MS" w:hAnsi="Trebuchet MS" w:cs="Trebuchet MS"/>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Nell</w:t>
      </w:r>
      <w:r w:rsidR="00514434">
        <w:rPr>
          <w:rFonts w:ascii="Trebuchet MS" w:hAnsi="Trebuchet MS" w:cs="Trebuchet MS"/>
          <w:sz w:val="20"/>
          <w:szCs w:val="20"/>
        </w:rPr>
        <w:t>’</w:t>
      </w:r>
      <w:r w:rsidRPr="0082080F">
        <w:rPr>
          <w:rFonts w:ascii="Trebuchet MS" w:hAnsi="Trebuchet MS" w:cs="Trebuchet MS"/>
          <w:sz w:val="20"/>
          <w:szCs w:val="20"/>
        </w:rPr>
        <w:t>ambito della programmazione del monitoraggio sull</w:t>
      </w:r>
      <w:r w:rsidR="00514434">
        <w:rPr>
          <w:rFonts w:ascii="Trebuchet MS" w:hAnsi="Trebuchet MS" w:cs="Trebuchet MS"/>
          <w:sz w:val="20"/>
          <w:szCs w:val="20"/>
        </w:rPr>
        <w:t>’</w:t>
      </w:r>
      <w:r w:rsidRPr="0082080F">
        <w:rPr>
          <w:rFonts w:ascii="Trebuchet MS" w:hAnsi="Trebuchet MS" w:cs="Trebuchet MS"/>
          <w:sz w:val="20"/>
          <w:szCs w:val="20"/>
        </w:rPr>
        <w:t>attuazione e sull</w:t>
      </w:r>
      <w:r w:rsidR="00514434">
        <w:rPr>
          <w:rFonts w:ascii="Trebuchet MS" w:hAnsi="Trebuchet MS" w:cs="Trebuchet MS"/>
          <w:sz w:val="20"/>
          <w:szCs w:val="20"/>
        </w:rPr>
        <w:t>’</w:t>
      </w:r>
      <w:r w:rsidRPr="0082080F">
        <w:rPr>
          <w:rFonts w:ascii="Trebuchet MS" w:hAnsi="Trebuchet MS" w:cs="Trebuchet MS"/>
          <w:sz w:val="20"/>
          <w:szCs w:val="20"/>
        </w:rPr>
        <w:t>idoneità delle misure, risulta che circa metà delle amministrazioni ha individuato:</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 xml:space="preserve">i responsabili per ogni misura (53%); </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la periodicità del monitoraggio (46,3%);</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gli indicatori specifici di monitoraggio (40,6%).</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82080F">
        <w:rPr>
          <w:rFonts w:ascii="Trebuchet MS" w:hAnsi="Trebuchet MS" w:cs="Trebuchet MS"/>
          <w:sz w:val="20"/>
          <w:szCs w:val="20"/>
        </w:rPr>
        <w:t>Tali valori indicano, tuttavia, che in circa la metà delle amministrazioni considerate sono del tutto carenti elementi che consentirebbero di effettuare una verifica adeguata sull</w:t>
      </w:r>
      <w:r w:rsidR="00514434">
        <w:rPr>
          <w:rFonts w:ascii="Trebuchet MS" w:hAnsi="Trebuchet MS" w:cs="Trebuchet MS"/>
          <w:sz w:val="20"/>
          <w:szCs w:val="20"/>
        </w:rPr>
        <w:t>’</w:t>
      </w:r>
      <w:r w:rsidRPr="0082080F">
        <w:rPr>
          <w:rFonts w:ascii="Trebuchet MS" w:hAnsi="Trebuchet MS" w:cs="Trebuchet MS"/>
          <w:sz w:val="20"/>
          <w:szCs w:val="20"/>
        </w:rPr>
        <w:t>attuazione delle misure programmate.</w:t>
      </w:r>
    </w:p>
    <w:p w:rsidR="00E340A1" w:rsidRPr="00AD3753" w:rsidRDefault="00E340A1" w:rsidP="00AD3753">
      <w:pPr>
        <w:pStyle w:val="TERZOLIVELLORELAZIONE"/>
        <w:rPr>
          <w:lang w:val="it-IT"/>
        </w:rPr>
      </w:pPr>
      <w:bookmarkStart w:id="12" w:name="_Toc134808569"/>
      <w:r w:rsidRPr="00AD3753">
        <w:rPr>
          <w:lang w:val="it-IT"/>
        </w:rPr>
        <w:lastRenderedPageBreak/>
        <w:t>6.2.</w:t>
      </w:r>
      <w:r w:rsidR="00AD3753">
        <w:rPr>
          <w:lang w:val="it-IT"/>
        </w:rPr>
        <w:t>7</w:t>
      </w:r>
      <w:r w:rsidRPr="00AD3753">
        <w:rPr>
          <w:lang w:val="it-IT"/>
        </w:rPr>
        <w:t>. Effetti dell</w:t>
      </w:r>
      <w:r w:rsidR="00514434">
        <w:rPr>
          <w:lang w:val="it-IT"/>
        </w:rPr>
        <w:t>’</w:t>
      </w:r>
      <w:r w:rsidRPr="00AD3753">
        <w:rPr>
          <w:lang w:val="it-IT"/>
        </w:rPr>
        <w:t>attuazione del processo di gestione del rischio</w:t>
      </w:r>
      <w:bookmarkEnd w:id="12"/>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i/>
          <w:sz w:val="20"/>
          <w:szCs w:val="20"/>
          <w:u w:val="single"/>
        </w:rPr>
      </w:pPr>
      <w:r w:rsidRPr="0082080F">
        <w:rPr>
          <w:rFonts w:ascii="Trebuchet MS" w:hAnsi="Trebuchet MS" w:cs="Titillium-Regular"/>
          <w:i/>
          <w:sz w:val="20"/>
          <w:szCs w:val="20"/>
          <w:u w:val="single"/>
        </w:rPr>
        <w:t>Consapevolezza del fenomeno corruttivo</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b/>
          <w:sz w:val="20"/>
          <w:szCs w:val="20"/>
        </w:rPr>
      </w:pPr>
      <w:r w:rsidRPr="0082080F">
        <w:rPr>
          <w:rFonts w:ascii="Trebuchet MS" w:hAnsi="Trebuchet MS" w:cs="Titillium-Regular"/>
          <w:sz w:val="20"/>
          <w:szCs w:val="20"/>
        </w:rPr>
        <w:t>Rispetto all</w:t>
      </w:r>
      <w:r w:rsidR="00514434">
        <w:rPr>
          <w:rFonts w:ascii="Trebuchet MS" w:hAnsi="Trebuchet MS" w:cs="Titillium-Regular"/>
          <w:sz w:val="20"/>
          <w:szCs w:val="20"/>
        </w:rPr>
        <w:t>’</w:t>
      </w:r>
      <w:r w:rsidRPr="0082080F">
        <w:rPr>
          <w:rFonts w:ascii="Trebuchet MS" w:hAnsi="Trebuchet MS" w:cs="Titillium-Regular"/>
          <w:sz w:val="20"/>
          <w:szCs w:val="20"/>
        </w:rPr>
        <w:t>insieme di n. 896 amministrazioni, le valutazioni espresse dalle amministrazioni restituiscono nell</w:t>
      </w:r>
      <w:r w:rsidR="00514434">
        <w:rPr>
          <w:rFonts w:ascii="Trebuchet MS" w:hAnsi="Trebuchet MS" w:cs="Titillium-Regular"/>
          <w:sz w:val="20"/>
          <w:szCs w:val="20"/>
        </w:rPr>
        <w:t>’</w:t>
      </w:r>
      <w:r w:rsidRPr="0082080F">
        <w:rPr>
          <w:rFonts w:ascii="Trebuchet MS" w:hAnsi="Trebuchet MS" w:cs="Titillium-Regular"/>
          <w:sz w:val="20"/>
          <w:szCs w:val="20"/>
        </w:rPr>
        <w:t>insieme un giudizio solo parzialmente positivo nei confronti dell</w:t>
      </w:r>
      <w:r w:rsidR="00514434">
        <w:rPr>
          <w:rFonts w:ascii="Trebuchet MS" w:hAnsi="Trebuchet MS" w:cs="Titillium-Regular"/>
          <w:sz w:val="20"/>
          <w:szCs w:val="20"/>
        </w:rPr>
        <w:t>’</w:t>
      </w:r>
      <w:r w:rsidRPr="0082080F">
        <w:rPr>
          <w:rFonts w:ascii="Trebuchet MS" w:hAnsi="Trebuchet MS" w:cs="Titillium-Regular"/>
          <w:sz w:val="20"/>
          <w:szCs w:val="20"/>
        </w:rPr>
        <w:t xml:space="preserve">incidenza del processo di gestione del rischio sulla consapevolezza del fenomeno corruttivo. Infatti, solo il </w:t>
      </w:r>
      <w:r w:rsidRPr="00A20B9D">
        <w:rPr>
          <w:rFonts w:ascii="Trebuchet MS" w:hAnsi="Trebuchet MS" w:cs="Titillium-Regular"/>
          <w:sz w:val="20"/>
          <w:szCs w:val="20"/>
        </w:rPr>
        <w:t>55%</w:t>
      </w:r>
      <w:r w:rsidRPr="0082080F">
        <w:rPr>
          <w:rFonts w:ascii="Trebuchet MS" w:hAnsi="Trebuchet MS" w:cs="Titillium-Regular"/>
          <w:sz w:val="20"/>
          <w:szCs w:val="20"/>
        </w:rPr>
        <w:t xml:space="preserve"> circa delle amministrazioni (n. 497) dichiara aumentata la consapevolezza del fenomeno corruttivo</w:t>
      </w:r>
      <w:r w:rsidRPr="0082080F">
        <w:rPr>
          <w:rFonts w:ascii="Trebuchet MS" w:hAnsi="Trebuchet MS" w:cs="Titillium-Regular"/>
          <w:b/>
          <w:sz w:val="20"/>
          <w:szCs w:val="20"/>
        </w:rPr>
        <w:t xml:space="preserve"> </w:t>
      </w:r>
      <w:r w:rsidRPr="0082080F">
        <w:rPr>
          <w:rFonts w:ascii="Trebuchet MS" w:hAnsi="Trebuchet MS" w:cs="Titillium-Regular"/>
          <w:sz w:val="20"/>
          <w:szCs w:val="20"/>
        </w:rPr>
        <w:t>a seguito della messa in atto del processo di gestione del rischio; il 44% circa (n. 398) ritiene che tale consapevolezza sia rimasta invariata.</w:t>
      </w:r>
      <w:r w:rsidRPr="0082080F">
        <w:rPr>
          <w:rFonts w:ascii="Trebuchet MS" w:hAnsi="Trebuchet MS" w:cs="Titillium-Regular"/>
          <w:b/>
          <w:sz w:val="20"/>
          <w:szCs w:val="20"/>
        </w:rPr>
        <w:t xml:space="preserve"> </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b/>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t>Figura 3.22 – Effetti dell</w:t>
      </w:r>
      <w:r w:rsidR="00514434">
        <w:rPr>
          <w:rFonts w:ascii="Trebuchet MS" w:hAnsi="Trebuchet MS" w:cs="Trebuchet MS"/>
          <w:b/>
          <w:iCs/>
          <w:sz w:val="16"/>
          <w:szCs w:val="16"/>
        </w:rPr>
        <w:t>’</w:t>
      </w:r>
      <w:r w:rsidRPr="006F57A8">
        <w:rPr>
          <w:rFonts w:ascii="Trebuchet MS" w:hAnsi="Trebuchet MS" w:cs="Trebuchet MS"/>
          <w:b/>
          <w:iCs/>
          <w:sz w:val="16"/>
          <w:szCs w:val="16"/>
        </w:rPr>
        <w:t>attuazione in termini di consapevolezza del fenomeno corruttivo nelle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b/>
          <w:sz w:val="20"/>
          <w:szCs w:val="20"/>
        </w:rPr>
      </w:pPr>
      <w:r w:rsidRPr="0082080F">
        <w:rPr>
          <w:rFonts w:ascii="Trebuchet MS" w:hAnsi="Trebuchet MS" w:cs="Titillium-Regular"/>
          <w:noProof/>
          <w:color w:val="FF0000"/>
          <w:sz w:val="20"/>
          <w:szCs w:val="20"/>
          <w:lang w:eastAsia="it-IT"/>
        </w:rPr>
        <w:drawing>
          <wp:inline distT="0" distB="0" distL="0" distR="0" wp14:anchorId="3BC36A66" wp14:editId="52D59455">
            <wp:extent cx="6120130" cy="1685526"/>
            <wp:effectExtent l="0" t="0" r="13970" b="10160"/>
            <wp:docPr id="63" name="Gra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40A1" w:rsidRPr="0082080F" w:rsidRDefault="00E340A1" w:rsidP="00E340A1">
      <w:pPr>
        <w:tabs>
          <w:tab w:val="left" w:pos="2690"/>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Dati parzialmente diversi si ricavano dall</w:t>
      </w:r>
      <w:r w:rsidR="00514434">
        <w:rPr>
          <w:rFonts w:ascii="Trebuchet MS" w:hAnsi="Trebuchet MS" w:cs="Titillium-Regular"/>
          <w:sz w:val="20"/>
          <w:szCs w:val="20"/>
        </w:rPr>
        <w:t>’</w:t>
      </w:r>
      <w:r w:rsidRPr="0082080F">
        <w:rPr>
          <w:rFonts w:ascii="Trebuchet MS" w:hAnsi="Trebuchet MS" w:cs="Titillium-Regular"/>
          <w:sz w:val="20"/>
          <w:szCs w:val="20"/>
        </w:rPr>
        <w:t>analisi delle motivazioni dei giudizi espressi dal sottoinsieme delle n. 302</w:t>
      </w:r>
      <w:r w:rsidRPr="0082080F">
        <w:rPr>
          <w:rFonts w:ascii="Trebuchet MS" w:hAnsi="Trebuchet MS" w:cs="Titillium-Regular"/>
          <w:b/>
          <w:sz w:val="20"/>
          <w:szCs w:val="20"/>
        </w:rPr>
        <w:t xml:space="preserve"> </w:t>
      </w:r>
      <w:r w:rsidRPr="0082080F">
        <w:rPr>
          <w:rFonts w:ascii="Trebuchet MS" w:hAnsi="Trebuchet MS" w:cs="Titillium-Regular"/>
          <w:sz w:val="20"/>
          <w:szCs w:val="20"/>
        </w:rPr>
        <w:t>amministrazioni. In questo caso è il 61% delle amministrazioni, del sottoinsieme di riferimento, a ritenere che l</w:t>
      </w:r>
      <w:r w:rsidR="00514434">
        <w:rPr>
          <w:rFonts w:ascii="Trebuchet MS" w:hAnsi="Trebuchet MS" w:cs="Titillium-Regular"/>
          <w:sz w:val="20"/>
          <w:szCs w:val="20"/>
        </w:rPr>
        <w:t>’</w:t>
      </w:r>
      <w:r w:rsidRPr="0082080F">
        <w:rPr>
          <w:rFonts w:ascii="Trebuchet MS" w:hAnsi="Trebuchet MS" w:cs="Titillium-Regular"/>
          <w:sz w:val="20"/>
          <w:szCs w:val="20"/>
        </w:rPr>
        <w:t>aver attuato il processo di gestione del rischio abbia accresciuto la consapevolezza nell</w:t>
      </w:r>
      <w:r w:rsidR="00514434">
        <w:rPr>
          <w:rFonts w:ascii="Trebuchet MS" w:hAnsi="Trebuchet MS" w:cs="Titillium-Regular"/>
          <w:sz w:val="20"/>
          <w:szCs w:val="20"/>
        </w:rPr>
        <w:t>’</w:t>
      </w:r>
      <w:r w:rsidRPr="0082080F">
        <w:rPr>
          <w:rFonts w:ascii="Trebuchet MS" w:hAnsi="Trebuchet MS" w:cs="Titillium-Regular"/>
          <w:sz w:val="20"/>
          <w:szCs w:val="20"/>
        </w:rPr>
        <w:t>ente/amministrazione relativamente al fenomeno corruttivo. Il 39% circa ritiene invece che tale consapevolezza sia rimasta invariata.</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Sono considerati fattori di successo:</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 xml:space="preserve">maggiore sensibilità del personale alle tematiche inerenti alla </w:t>
      </w:r>
      <w:r w:rsidR="00A20B9D">
        <w:rPr>
          <w:rFonts w:ascii="Trebuchet MS" w:hAnsi="Trebuchet MS" w:cs="Trebuchet MS"/>
          <w:sz w:val="20"/>
          <w:szCs w:val="20"/>
        </w:rPr>
        <w:t xml:space="preserve">corruzione e conseguentemente </w:t>
      </w:r>
      <w:r w:rsidRPr="0082080F">
        <w:rPr>
          <w:rFonts w:ascii="Trebuchet MS" w:hAnsi="Trebuchet MS" w:cs="Trebuchet MS"/>
          <w:sz w:val="20"/>
          <w:szCs w:val="20"/>
        </w:rPr>
        <w:t>accresciuta percezione dell</w:t>
      </w:r>
      <w:r w:rsidR="00514434">
        <w:rPr>
          <w:rFonts w:ascii="Trebuchet MS" w:hAnsi="Trebuchet MS" w:cs="Trebuchet MS"/>
          <w:sz w:val="20"/>
          <w:szCs w:val="20"/>
        </w:rPr>
        <w:t>’</w:t>
      </w:r>
      <w:r w:rsidRPr="0082080F">
        <w:rPr>
          <w:rFonts w:ascii="Trebuchet MS" w:hAnsi="Trebuchet MS" w:cs="Trebuchet MS"/>
          <w:sz w:val="20"/>
          <w:szCs w:val="20"/>
        </w:rPr>
        <w:t>utilità dei Piani, che non sono più (solo) visti come un adempimento burocratico (60%);</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applicazione della metodologia qualitativa per l</w:t>
      </w:r>
      <w:r w:rsidR="00514434">
        <w:rPr>
          <w:rFonts w:ascii="Trebuchet MS" w:hAnsi="Trebuchet MS" w:cs="Trebuchet MS"/>
          <w:sz w:val="20"/>
          <w:szCs w:val="20"/>
        </w:rPr>
        <w:t>’</w:t>
      </w:r>
      <w:r w:rsidRPr="0082080F">
        <w:rPr>
          <w:rFonts w:ascii="Trebuchet MS" w:hAnsi="Trebuchet MS" w:cs="Trebuchet MS"/>
          <w:sz w:val="20"/>
          <w:szCs w:val="20"/>
        </w:rPr>
        <w:t>individuazione del rischio corruttivo;</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programmazione di iniziative formative sui temi dell</w:t>
      </w:r>
      <w:r w:rsidR="00514434">
        <w:rPr>
          <w:rFonts w:ascii="Trebuchet MS" w:hAnsi="Trebuchet MS" w:cs="Trebuchet MS"/>
          <w:sz w:val="20"/>
          <w:szCs w:val="20"/>
        </w:rPr>
        <w:t>’</w:t>
      </w:r>
      <w:r w:rsidRPr="0082080F">
        <w:rPr>
          <w:rFonts w:ascii="Trebuchet MS" w:hAnsi="Trebuchet MS" w:cs="Trebuchet MS"/>
          <w:sz w:val="20"/>
          <w:szCs w:val="20"/>
        </w:rPr>
        <w:t>anticorruzione per accrescere e diffondere la cultura della prevenzione del rischio corruttivo.</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0" w:line="276" w:lineRule="auto"/>
        <w:jc w:val="both"/>
        <w:rPr>
          <w:rFonts w:ascii="Trebuchet MS" w:hAnsi="Trebuchet MS" w:cs="Titillium-Regular"/>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Sono considerati elementi di criticità ricorrenti nelle valutazioni:</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predisposizione d</w:t>
      </w:r>
      <w:r w:rsidR="00A20B9D">
        <w:rPr>
          <w:rFonts w:ascii="Trebuchet MS" w:hAnsi="Trebuchet MS" w:cs="Trebuchet MS"/>
          <w:sz w:val="20"/>
          <w:szCs w:val="20"/>
        </w:rPr>
        <w:t xml:space="preserve">el Piano e </w:t>
      </w:r>
      <w:r w:rsidRPr="0082080F">
        <w:rPr>
          <w:rFonts w:ascii="Trebuchet MS" w:hAnsi="Trebuchet MS" w:cs="Trebuchet MS"/>
          <w:sz w:val="20"/>
          <w:szCs w:val="20"/>
        </w:rPr>
        <w:t>adozione delle conseguenti misure percepite come un adempimento burocratico per il personale;</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scarsa partecipazione del personale alla strategia di gestione del rischio, vista come attività del solo RPCT;</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eccessiva complessità del sistema di prevenzione della corruzione e della normativa in materia.</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18"/>
          <w:szCs w:val="18"/>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i/>
          <w:iCs/>
          <w:sz w:val="20"/>
          <w:szCs w:val="20"/>
          <w:u w:val="single"/>
        </w:rPr>
      </w:pPr>
      <w:r w:rsidRPr="0082080F">
        <w:rPr>
          <w:rFonts w:ascii="Trebuchet MS" w:hAnsi="Trebuchet MS" w:cs="Titillium-Regular"/>
          <w:i/>
          <w:iCs/>
          <w:sz w:val="20"/>
          <w:szCs w:val="20"/>
          <w:u w:val="single"/>
        </w:rPr>
        <w:t>Capacità di scoprire fenomeni corruttivi</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Il 52% del totale di n. 896 amministrazioni (ovvero n. 467), ritiene che la capacità di scoprire fenomeni corruttivi all</w:t>
      </w:r>
      <w:r w:rsidR="00514434">
        <w:rPr>
          <w:rFonts w:ascii="Trebuchet MS" w:hAnsi="Trebuchet MS" w:cs="Titillium-Regular"/>
          <w:sz w:val="20"/>
          <w:szCs w:val="20"/>
        </w:rPr>
        <w:t>’</w:t>
      </w:r>
      <w:r w:rsidRPr="0082080F">
        <w:rPr>
          <w:rFonts w:ascii="Trebuchet MS" w:hAnsi="Trebuchet MS" w:cs="Titillium-Regular"/>
          <w:sz w:val="20"/>
          <w:szCs w:val="20"/>
        </w:rPr>
        <w:t>interno dell</w:t>
      </w:r>
      <w:r w:rsidR="00514434">
        <w:rPr>
          <w:rFonts w:ascii="Trebuchet MS" w:hAnsi="Trebuchet MS" w:cs="Titillium-Regular"/>
          <w:sz w:val="20"/>
          <w:szCs w:val="20"/>
        </w:rPr>
        <w:t>’</w:t>
      </w:r>
      <w:r w:rsidRPr="0082080F">
        <w:rPr>
          <w:rFonts w:ascii="Trebuchet MS" w:hAnsi="Trebuchet MS" w:cs="Titillium-Regular"/>
          <w:sz w:val="20"/>
          <w:szCs w:val="20"/>
        </w:rPr>
        <w:t>ente a seguito dell</w:t>
      </w:r>
      <w:r w:rsidR="00514434">
        <w:rPr>
          <w:rFonts w:ascii="Trebuchet MS" w:hAnsi="Trebuchet MS" w:cs="Titillium-Regular"/>
          <w:sz w:val="20"/>
          <w:szCs w:val="20"/>
        </w:rPr>
        <w:t>’</w:t>
      </w:r>
      <w:r w:rsidRPr="0082080F">
        <w:rPr>
          <w:rFonts w:ascii="Trebuchet MS" w:hAnsi="Trebuchet MS" w:cs="Titillium-Regular"/>
          <w:sz w:val="20"/>
          <w:szCs w:val="20"/>
        </w:rPr>
        <w:t>attuazione del processo di gestione del rischio sia rimasta invariata. Il 48% circa delle amministrazioni (428) valuta che tale capacità sia aumentata.</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DF3D24" w:rsidRDefault="00DF3D24"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DF3D24" w:rsidRPr="0082080F" w:rsidRDefault="00DF3D24"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E340A1" w:rsidRPr="006F57A8"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6F57A8">
        <w:rPr>
          <w:rFonts w:ascii="Trebuchet MS" w:hAnsi="Trebuchet MS" w:cs="Trebuchet MS"/>
          <w:b/>
          <w:iCs/>
          <w:sz w:val="16"/>
          <w:szCs w:val="16"/>
        </w:rPr>
        <w:lastRenderedPageBreak/>
        <w:t>Figura 3.23 – Effetti in termini di capacità di scoprire fenomeni corruttivi nelle amministrazioni</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noProof/>
          <w:color w:val="FF0000"/>
          <w:sz w:val="20"/>
          <w:szCs w:val="20"/>
          <w:lang w:eastAsia="it-IT"/>
        </w:rPr>
        <w:drawing>
          <wp:inline distT="0" distB="0" distL="0" distR="0" wp14:anchorId="66A87371" wp14:editId="6761ABD6">
            <wp:extent cx="6074229" cy="1960880"/>
            <wp:effectExtent l="0" t="0" r="3175" b="1270"/>
            <wp:docPr id="1520802304" name="Grafico 1520802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È possibile ricavare le medesime valutazioni anche se si considera il sottoinsieme di riferimento delle n. 302</w:t>
      </w:r>
      <w:r w:rsidRPr="0082080F">
        <w:rPr>
          <w:rFonts w:ascii="Trebuchet MS" w:hAnsi="Trebuchet MS" w:cs="Titillium-Regular"/>
          <w:b/>
          <w:sz w:val="20"/>
          <w:szCs w:val="20"/>
        </w:rPr>
        <w:t xml:space="preserve"> </w:t>
      </w:r>
      <w:r w:rsidRPr="0082080F">
        <w:rPr>
          <w:rFonts w:ascii="Trebuchet MS" w:hAnsi="Trebuchet MS" w:cs="Titillium-Regular"/>
          <w:sz w:val="20"/>
          <w:szCs w:val="20"/>
        </w:rPr>
        <w:t>amministrazioni. Infatti, il 48% delle amministrazioni del sottoinsieme ritiene che l</w:t>
      </w:r>
      <w:r w:rsidR="00514434">
        <w:rPr>
          <w:rFonts w:ascii="Trebuchet MS" w:hAnsi="Trebuchet MS" w:cs="Titillium-Regular"/>
          <w:sz w:val="20"/>
          <w:szCs w:val="20"/>
        </w:rPr>
        <w:t>’</w:t>
      </w:r>
      <w:r w:rsidRPr="0082080F">
        <w:rPr>
          <w:rFonts w:ascii="Trebuchet MS" w:hAnsi="Trebuchet MS" w:cs="Titillium-Regular"/>
          <w:sz w:val="20"/>
          <w:szCs w:val="20"/>
        </w:rPr>
        <w:t>aver attuato il processo di gestione del rischio abbia migliorato</w:t>
      </w:r>
      <w:r w:rsidRPr="0082080F">
        <w:rPr>
          <w:rFonts w:ascii="Trebuchet MS" w:hAnsi="Trebuchet MS" w:cs="Titillium-Regular"/>
          <w:sz w:val="20"/>
          <w:szCs w:val="20"/>
          <w:vertAlign w:val="superscript"/>
          <w:lang w:val="en-US"/>
        </w:rPr>
        <w:footnoteReference w:id="12"/>
      </w:r>
      <w:r w:rsidRPr="0082080F">
        <w:rPr>
          <w:rFonts w:ascii="Trebuchet MS" w:hAnsi="Trebuchet MS" w:cs="Titillium-Regular"/>
          <w:sz w:val="20"/>
          <w:szCs w:val="20"/>
        </w:rPr>
        <w:t xml:space="preserve"> la propria capacità di scoprire fenomeni corruttivi all</w:t>
      </w:r>
      <w:r w:rsidR="00514434">
        <w:rPr>
          <w:rFonts w:ascii="Trebuchet MS" w:hAnsi="Trebuchet MS" w:cs="Titillium-Regular"/>
          <w:sz w:val="20"/>
          <w:szCs w:val="20"/>
        </w:rPr>
        <w:t>’</w:t>
      </w:r>
      <w:r w:rsidRPr="0082080F">
        <w:rPr>
          <w:rFonts w:ascii="Trebuchet MS" w:hAnsi="Trebuchet MS" w:cs="Titillium-Regular"/>
          <w:sz w:val="20"/>
          <w:szCs w:val="20"/>
        </w:rPr>
        <w:t>interno dell</w:t>
      </w:r>
      <w:r w:rsidR="00514434">
        <w:rPr>
          <w:rFonts w:ascii="Trebuchet MS" w:hAnsi="Trebuchet MS" w:cs="Titillium-Regular"/>
          <w:sz w:val="20"/>
          <w:szCs w:val="20"/>
        </w:rPr>
        <w:t>’</w:t>
      </w:r>
      <w:r w:rsidRPr="0082080F">
        <w:rPr>
          <w:rFonts w:ascii="Trebuchet MS" w:hAnsi="Trebuchet MS" w:cs="Titillium-Regular"/>
          <w:sz w:val="20"/>
          <w:szCs w:val="20"/>
        </w:rPr>
        <w:t>ente. Anche in questo caso, il 52% ritiene invece che tale capacità sia rimasta invariata.</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Sono considerati fattori di successo:</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aumento dei canali di segnalazione di irregolarità o illeciti che l</w:t>
      </w:r>
      <w:r w:rsidR="00514434">
        <w:rPr>
          <w:rFonts w:ascii="Trebuchet MS" w:hAnsi="Trebuchet MS" w:cs="Trebuchet MS"/>
          <w:sz w:val="20"/>
          <w:szCs w:val="20"/>
        </w:rPr>
        <w:t>’</w:t>
      </w:r>
      <w:r w:rsidRPr="0082080F">
        <w:rPr>
          <w:rFonts w:ascii="Trebuchet MS" w:hAnsi="Trebuchet MS" w:cs="Trebuchet MS"/>
          <w:sz w:val="20"/>
          <w:szCs w:val="20"/>
        </w:rPr>
        <w:t xml:space="preserve">amministrazione riceve (quale quello del </w:t>
      </w:r>
      <w:r w:rsidRPr="0082080F">
        <w:rPr>
          <w:rFonts w:ascii="Trebuchet MS" w:hAnsi="Trebuchet MS" w:cs="Trebuchet MS"/>
          <w:i/>
          <w:sz w:val="20"/>
          <w:szCs w:val="20"/>
        </w:rPr>
        <w:t>whistleblowing</w:t>
      </w:r>
      <w:r w:rsidRPr="0082080F">
        <w:rPr>
          <w:rFonts w:ascii="Trebuchet MS" w:hAnsi="Trebuchet MS" w:cs="Trebuchet MS"/>
          <w:sz w:val="20"/>
          <w:szCs w:val="20"/>
        </w:rPr>
        <w:t>), e innalzamento dell</w:t>
      </w:r>
      <w:r w:rsidR="00514434">
        <w:rPr>
          <w:rFonts w:ascii="Trebuchet MS" w:hAnsi="Trebuchet MS" w:cs="Trebuchet MS"/>
          <w:sz w:val="20"/>
          <w:szCs w:val="20"/>
        </w:rPr>
        <w:t>’</w:t>
      </w:r>
      <w:r w:rsidRPr="0082080F">
        <w:rPr>
          <w:rFonts w:ascii="Trebuchet MS" w:hAnsi="Trebuchet MS" w:cs="Trebuchet MS"/>
          <w:sz w:val="20"/>
          <w:szCs w:val="20"/>
        </w:rPr>
        <w:t>attenzione o della soglia di allerta a seguito di indagini per corruzione avviate dalle autorità giudiziarie;</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iniziative di formazione del personale che hanno consentito di incrementare le capacità di far emergere situazioni di rischio corruttivo al personale delle amministrazioni;</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collaborazione tra le diverse strutture dell</w:t>
      </w:r>
      <w:r w:rsidR="00514434">
        <w:rPr>
          <w:rFonts w:ascii="Trebuchet MS" w:hAnsi="Trebuchet MS" w:cs="Trebuchet MS"/>
          <w:sz w:val="20"/>
          <w:szCs w:val="20"/>
        </w:rPr>
        <w:t>’</w:t>
      </w:r>
      <w:r w:rsidRPr="0082080F">
        <w:rPr>
          <w:rFonts w:ascii="Trebuchet MS" w:hAnsi="Trebuchet MS" w:cs="Trebuchet MS"/>
          <w:sz w:val="20"/>
          <w:szCs w:val="20"/>
        </w:rPr>
        <w:t>ente ai fini anticorruzione.</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0" w:line="276" w:lineRule="auto"/>
        <w:jc w:val="both"/>
        <w:rPr>
          <w:rFonts w:ascii="Trebuchet MS" w:hAnsi="Trebuchet MS" w:cs="Titillium-Regular"/>
          <w:sz w:val="20"/>
          <w:szCs w:val="20"/>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Sono elementi di criticità, ricorrenti nelle valutazioni:</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difficoltà ad effettuare i controlli e/o ad adottare efficacemente le misure a causa di vincoli finanziari;</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carenze organizzative dovute al sottodimensionamento della struttura;</w:t>
      </w:r>
    </w:p>
    <w:p w:rsidR="00E340A1" w:rsidRPr="0082080F" w:rsidRDefault="00E340A1" w:rsidP="00E340A1">
      <w:pPr>
        <w:numPr>
          <w:ilvl w:val="0"/>
          <w:numId w:val="36"/>
        </w:numPr>
        <w:tabs>
          <w:tab w:val="left" w:pos="567"/>
          <w:tab w:val="left" w:pos="708"/>
          <w:tab w:val="left" w:pos="2124"/>
          <w:tab w:val="left" w:pos="3540"/>
          <w:tab w:val="left" w:pos="4248"/>
          <w:tab w:val="left" w:pos="4956"/>
          <w:tab w:val="left" w:pos="5664"/>
          <w:tab w:val="left" w:pos="6265"/>
          <w:tab w:val="right" w:pos="10348"/>
        </w:tabs>
        <w:spacing w:after="120" w:line="276" w:lineRule="auto"/>
        <w:ind w:left="357" w:right="142" w:hanging="357"/>
        <w:contextualSpacing/>
        <w:jc w:val="both"/>
        <w:rPr>
          <w:rFonts w:ascii="Trebuchet MS" w:hAnsi="Trebuchet MS" w:cs="Trebuchet MS"/>
          <w:sz w:val="20"/>
          <w:szCs w:val="20"/>
        </w:rPr>
      </w:pPr>
      <w:r w:rsidRPr="0082080F">
        <w:rPr>
          <w:rFonts w:ascii="Trebuchet MS" w:hAnsi="Trebuchet MS" w:cs="Trebuchet MS"/>
          <w:sz w:val="20"/>
          <w:szCs w:val="20"/>
        </w:rPr>
        <w:t>emergenza sanitaria da Covid-19.</w:t>
      </w: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18"/>
          <w:szCs w:val="18"/>
          <w:lang w:val="en-US"/>
        </w:rPr>
      </w:pPr>
    </w:p>
    <w:p w:rsidR="00E340A1" w:rsidRPr="0082080F"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i/>
          <w:sz w:val="20"/>
          <w:szCs w:val="20"/>
          <w:u w:val="single"/>
        </w:rPr>
      </w:pPr>
      <w:r w:rsidRPr="0082080F">
        <w:rPr>
          <w:rFonts w:ascii="Trebuchet MS" w:hAnsi="Trebuchet MS" w:cs="Titillium-Regular"/>
          <w:i/>
          <w:sz w:val="20"/>
          <w:szCs w:val="20"/>
          <w:u w:val="single"/>
        </w:rPr>
        <w:t>Reputazione dell</w:t>
      </w:r>
      <w:r w:rsidR="00514434">
        <w:rPr>
          <w:rFonts w:ascii="Trebuchet MS" w:hAnsi="Trebuchet MS" w:cs="Titillium-Regular"/>
          <w:i/>
          <w:sz w:val="20"/>
          <w:szCs w:val="20"/>
          <w:u w:val="single"/>
        </w:rPr>
        <w:t>’</w:t>
      </w:r>
      <w:r w:rsidRPr="0082080F">
        <w:rPr>
          <w:rFonts w:ascii="Trebuchet MS" w:hAnsi="Trebuchet MS" w:cs="Titillium-Regular"/>
          <w:i/>
          <w:sz w:val="20"/>
          <w:szCs w:val="20"/>
          <w:u w:val="single"/>
        </w:rPr>
        <w:t>ente</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r w:rsidRPr="0082080F">
        <w:rPr>
          <w:rFonts w:ascii="Trebuchet MS" w:hAnsi="Trebuchet MS" w:cs="Titillium-Regular"/>
          <w:sz w:val="20"/>
          <w:szCs w:val="20"/>
        </w:rPr>
        <w:t>Il 72% delle n. 896 amministrazioni rispondenti (n. 649) ha ritenuto che la messa in atto del processo di gestione del rischio corruttivo non abbia sortito alcun effetto sulla reputazione dell</w:t>
      </w:r>
      <w:r w:rsidR="00514434">
        <w:rPr>
          <w:rFonts w:ascii="Trebuchet MS" w:hAnsi="Trebuchet MS" w:cs="Titillium-Regular"/>
          <w:sz w:val="20"/>
          <w:szCs w:val="20"/>
        </w:rPr>
        <w:t>’</w:t>
      </w:r>
      <w:r w:rsidRPr="0082080F">
        <w:rPr>
          <w:rFonts w:ascii="Trebuchet MS" w:hAnsi="Trebuchet MS" w:cs="Titillium-Regular"/>
          <w:sz w:val="20"/>
          <w:szCs w:val="20"/>
        </w:rPr>
        <w:t>ente, non avendovi inciso né in senso positivo né in senso negativo. Il 27% delle amministrazioni (n. 243) ha valutato, invece, che la propria reputazione sia stata accresciuta. Solo n. 4 amministrazioni (0,4%) hanno, infine, ritenuto che la messa in atto del processo di gestione del rischio abbia addirittura pregiudicato l</w:t>
      </w:r>
      <w:r w:rsidR="00514434">
        <w:rPr>
          <w:rFonts w:ascii="Trebuchet MS" w:hAnsi="Trebuchet MS" w:cs="Titillium-Regular"/>
          <w:sz w:val="20"/>
          <w:szCs w:val="20"/>
        </w:rPr>
        <w:t>’</w:t>
      </w:r>
      <w:r w:rsidRPr="0082080F">
        <w:rPr>
          <w:rFonts w:ascii="Trebuchet MS" w:hAnsi="Trebuchet MS" w:cs="Titillium-Regular"/>
          <w:sz w:val="20"/>
          <w:szCs w:val="20"/>
        </w:rPr>
        <w:t>aspetto reputazionale.</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D0762A" w:rsidRDefault="00D0762A"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D0762A" w:rsidRDefault="00D0762A"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6F57A8" w:rsidRDefault="006F57A8"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6F57A8" w:rsidRPr="0082080F" w:rsidRDefault="006F57A8" w:rsidP="00E340A1">
      <w:p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jc w:val="both"/>
        <w:rPr>
          <w:rFonts w:ascii="Trebuchet MS" w:hAnsi="Trebuchet MS" w:cs="Titillium-Regular"/>
          <w:sz w:val="20"/>
          <w:szCs w:val="20"/>
        </w:rPr>
      </w:pPr>
    </w:p>
    <w:p w:rsidR="00E340A1" w:rsidRPr="00DA49F5" w:rsidRDefault="00E340A1" w:rsidP="00E340A1">
      <w:pPr>
        <w:spacing w:after="120" w:line="276" w:lineRule="auto"/>
        <w:jc w:val="both"/>
        <w:rPr>
          <w:rFonts w:ascii="Trebuchet MS" w:hAnsi="Trebuchet MS" w:cs="Trebuchet MS"/>
          <w:i/>
          <w:sz w:val="20"/>
          <w:szCs w:val="20"/>
          <w:u w:val="single"/>
        </w:rPr>
      </w:pPr>
      <w:r w:rsidRPr="00DA49F5">
        <w:rPr>
          <w:rFonts w:ascii="Trebuchet MS" w:hAnsi="Trebuchet MS" w:cs="Trebuchet MS"/>
          <w:i/>
          <w:sz w:val="20"/>
          <w:szCs w:val="20"/>
          <w:u w:val="single"/>
        </w:rPr>
        <w:t>Indicatori di contesto</w:t>
      </w:r>
    </w:p>
    <w:p w:rsidR="00E340A1" w:rsidRPr="00DA49F5" w:rsidRDefault="00E340A1" w:rsidP="00E340A1">
      <w:pPr>
        <w:spacing w:after="120" w:line="276" w:lineRule="auto"/>
        <w:jc w:val="both"/>
        <w:rPr>
          <w:rFonts w:ascii="Trebuchet MS" w:hAnsi="Trebuchet MS" w:cs="Trebuchet MS"/>
          <w:sz w:val="20"/>
          <w:szCs w:val="20"/>
        </w:rPr>
      </w:pPr>
      <w:r w:rsidRPr="00DA49F5">
        <w:rPr>
          <w:rFonts w:ascii="Trebuchet MS" w:hAnsi="Trebuchet MS" w:cs="Trebuchet MS"/>
          <w:sz w:val="20"/>
          <w:szCs w:val="20"/>
        </w:rPr>
        <w:t>Gli indicatori di contesto forniscono un</w:t>
      </w:r>
      <w:r w:rsidR="00514434">
        <w:rPr>
          <w:rFonts w:ascii="Trebuchet MS" w:hAnsi="Trebuchet MS" w:cs="Trebuchet MS"/>
          <w:sz w:val="20"/>
          <w:szCs w:val="20"/>
        </w:rPr>
        <w:t>’</w:t>
      </w:r>
      <w:r w:rsidRPr="00DA49F5">
        <w:rPr>
          <w:rFonts w:ascii="Trebuchet MS" w:hAnsi="Trebuchet MS" w:cs="Trebuchet MS"/>
          <w:sz w:val="20"/>
          <w:szCs w:val="20"/>
        </w:rPr>
        <w:t>idea del complesso contesto sociale ed economico del territorio in cui è più o meno probabile che si manifesti un rischio di corruzione.</w:t>
      </w:r>
    </w:p>
    <w:p w:rsidR="00E340A1" w:rsidRPr="00DA49F5" w:rsidRDefault="00E340A1" w:rsidP="00E340A1">
      <w:pPr>
        <w:spacing w:after="120" w:line="276" w:lineRule="auto"/>
        <w:jc w:val="both"/>
        <w:rPr>
          <w:rFonts w:ascii="Trebuchet MS" w:hAnsi="Trebuchet MS" w:cs="Trebuchet MS"/>
          <w:sz w:val="20"/>
          <w:szCs w:val="20"/>
        </w:rPr>
      </w:pPr>
      <w:r w:rsidRPr="00DA49F5">
        <w:rPr>
          <w:rFonts w:ascii="Trebuchet MS" w:hAnsi="Trebuchet MS" w:cs="Trebuchet MS"/>
          <w:sz w:val="20"/>
          <w:szCs w:val="20"/>
        </w:rPr>
        <w:t>In particolare, sono stati presi in considerazione diciotto indicatori su base provinciale, raccolti in quattro domini tematici (istruzione, economia, capitale sociale e criminalità). A completamento del quadro sono stati considerati ulteriori venticinque indicatori di contesto non raccolti in domini.</w:t>
      </w:r>
    </w:p>
    <w:p w:rsidR="00E340A1" w:rsidRPr="00DA49F5" w:rsidRDefault="00E340A1" w:rsidP="00E340A1">
      <w:pPr>
        <w:spacing w:after="120" w:line="276" w:lineRule="auto"/>
        <w:jc w:val="both"/>
        <w:rPr>
          <w:rFonts w:ascii="Trebuchet MS" w:hAnsi="Trebuchet MS" w:cs="Trebuchet MS"/>
          <w:sz w:val="20"/>
          <w:szCs w:val="20"/>
        </w:rPr>
      </w:pPr>
      <w:r w:rsidRPr="00DA49F5">
        <w:rPr>
          <w:rFonts w:ascii="Trebuchet MS" w:hAnsi="Trebuchet MS" w:cs="Trebuchet MS"/>
          <w:sz w:val="20"/>
          <w:szCs w:val="20"/>
        </w:rPr>
        <w:t>Sulla base di una metodologia impiegata già da molti anni per la misurazione di fenomeni multidimensionali, ciascun dominio tematico è sintetizzato da un indice composito, in modo da renderne più semplice la lettura, la cui complessità discende dalle numerose dimensioni considerate.</w:t>
      </w:r>
    </w:p>
    <w:p w:rsidR="00E340A1" w:rsidRPr="00DA49F5" w:rsidRDefault="00E340A1" w:rsidP="00E340A1">
      <w:pPr>
        <w:spacing w:after="120" w:line="276" w:lineRule="auto"/>
        <w:jc w:val="both"/>
        <w:rPr>
          <w:rFonts w:ascii="Trebuchet MS" w:hAnsi="Trebuchet MS" w:cs="Trebuchet MS"/>
          <w:sz w:val="20"/>
          <w:szCs w:val="20"/>
        </w:rPr>
      </w:pPr>
      <w:r w:rsidRPr="00DA49F5">
        <w:rPr>
          <w:rFonts w:ascii="Trebuchet MS" w:hAnsi="Trebuchet MS" w:cs="Trebuchet MS"/>
          <w:sz w:val="20"/>
          <w:szCs w:val="20"/>
        </w:rPr>
        <w:t>I quattro indicatori compositi tematici sono a loro volta sintetizzati, combinandoli, in un ulteriore indice composito che fornisce, quindi, una misura sintetica altamente informativa su alcune caratteristiche del fenomeno nel suo insieme.</w:t>
      </w:r>
    </w:p>
    <w:p w:rsidR="00E340A1" w:rsidRPr="00DA49F5" w:rsidRDefault="00E340A1" w:rsidP="00E340A1">
      <w:pPr>
        <w:spacing w:after="120" w:line="276" w:lineRule="auto"/>
        <w:jc w:val="both"/>
        <w:rPr>
          <w:rFonts w:ascii="Trebuchet MS" w:hAnsi="Trebuchet MS" w:cs="Trebuchet MS"/>
          <w:sz w:val="20"/>
          <w:szCs w:val="20"/>
        </w:rPr>
      </w:pPr>
      <w:r w:rsidRPr="00DA49F5">
        <w:rPr>
          <w:rFonts w:ascii="Trebuchet MS" w:hAnsi="Trebuchet MS" w:cs="Trebuchet MS"/>
          <w:sz w:val="20"/>
          <w:szCs w:val="20"/>
        </w:rPr>
        <w:t>Di seguito le mappe riferite all</w:t>
      </w:r>
      <w:r w:rsidR="00514434">
        <w:rPr>
          <w:rFonts w:ascii="Trebuchet MS" w:hAnsi="Trebuchet MS" w:cs="Trebuchet MS"/>
          <w:sz w:val="20"/>
          <w:szCs w:val="20"/>
        </w:rPr>
        <w:t>’</w:t>
      </w:r>
      <w:r w:rsidRPr="00DA49F5">
        <w:rPr>
          <w:rFonts w:ascii="Trebuchet MS" w:hAnsi="Trebuchet MS" w:cs="Trebuchet MS"/>
          <w:sz w:val="20"/>
          <w:szCs w:val="20"/>
        </w:rPr>
        <w:t>anno 2017, relative agli indicatori compositi per ciascun dominio, nonché all</w:t>
      </w:r>
      <w:r w:rsidR="00514434">
        <w:rPr>
          <w:rFonts w:ascii="Trebuchet MS" w:hAnsi="Trebuchet MS" w:cs="Trebuchet MS"/>
          <w:sz w:val="20"/>
          <w:szCs w:val="20"/>
        </w:rPr>
        <w:t>’</w:t>
      </w:r>
      <w:r w:rsidRPr="00DA49F5">
        <w:rPr>
          <w:rFonts w:ascii="Trebuchet MS" w:hAnsi="Trebuchet MS" w:cs="Trebuchet MS"/>
          <w:sz w:val="20"/>
          <w:szCs w:val="20"/>
        </w:rPr>
        <w:t xml:space="preserve">indicatore “composito dei compositi”, che sintetizza il rischio globale di corruzione a livello provinciale. </w:t>
      </w:r>
    </w:p>
    <w:p w:rsidR="00E340A1" w:rsidRPr="00DA49F5" w:rsidRDefault="00E340A1" w:rsidP="00E340A1">
      <w:pPr>
        <w:spacing w:after="120" w:line="276" w:lineRule="auto"/>
        <w:jc w:val="both"/>
        <w:rPr>
          <w:rFonts w:ascii="Trebuchet MS" w:hAnsi="Trebuchet MS" w:cs="Trebuchet MS"/>
          <w:sz w:val="20"/>
          <w:szCs w:val="20"/>
        </w:rPr>
      </w:pPr>
      <w:r w:rsidRPr="00DA49F5">
        <w:rPr>
          <w:rFonts w:ascii="Trebuchet MS" w:hAnsi="Trebuchet MS" w:cs="Trebuchet MS"/>
          <w:sz w:val="20"/>
          <w:szCs w:val="20"/>
        </w:rPr>
        <w:br w:type="page"/>
      </w:r>
    </w:p>
    <w:p w:rsidR="00E340A1" w:rsidRPr="00DA49F5" w:rsidRDefault="001624BB" w:rsidP="001624BB">
      <w:pPr>
        <w:tabs>
          <w:tab w:val="left" w:pos="567"/>
          <w:tab w:val="left" w:pos="708"/>
          <w:tab w:val="left" w:pos="1240"/>
          <w:tab w:val="left" w:pos="2124"/>
          <w:tab w:val="left" w:pos="3540"/>
          <w:tab w:val="left" w:pos="4248"/>
          <w:tab w:val="center" w:pos="4819"/>
          <w:tab w:val="left" w:pos="4956"/>
          <w:tab w:val="left" w:pos="5664"/>
          <w:tab w:val="left" w:pos="6265"/>
          <w:tab w:val="right" w:pos="10348"/>
        </w:tabs>
        <w:spacing w:after="120" w:line="276" w:lineRule="auto"/>
        <w:rPr>
          <w:rFonts w:ascii="Trebuchet MS" w:hAnsi="Trebuchet MS" w:cs="Trebuchet MS"/>
          <w:sz w:val="20"/>
          <w:szCs w:val="20"/>
        </w:rPr>
      </w:pPr>
      <w:r>
        <w:rPr>
          <w:rFonts w:ascii="Trebuchet MS" w:hAnsi="Trebuchet MS" w:cs="Trebuchet MS"/>
          <w:sz w:val="20"/>
          <w:szCs w:val="20"/>
        </w:rPr>
        <w:lastRenderedPageBreak/>
        <w:tab/>
      </w:r>
      <w:r>
        <w:rPr>
          <w:rFonts w:ascii="Trebuchet MS" w:hAnsi="Trebuchet MS" w:cs="Trebuchet MS"/>
          <w:sz w:val="20"/>
          <w:szCs w:val="20"/>
        </w:rPr>
        <w:tab/>
      </w:r>
      <w:r>
        <w:rPr>
          <w:rFonts w:ascii="Trebuchet MS" w:hAnsi="Trebuchet MS" w:cs="Trebuchet MS"/>
          <w:sz w:val="20"/>
          <w:szCs w:val="20"/>
        </w:rPr>
        <w:tab/>
      </w:r>
      <w:r w:rsidR="00B4393D" w:rsidRPr="00B4393D">
        <w:rPr>
          <w:rFonts w:ascii="Trebuchet MS" w:hAnsi="Trebuchet MS" w:cs="Trebuchet MS"/>
          <w:b/>
          <w:iCs/>
          <w:sz w:val="16"/>
          <w:szCs w:val="16"/>
        </w:rPr>
        <w:t>Figura 3.37</w:t>
      </w:r>
      <w:r w:rsidRPr="00B4393D">
        <w:rPr>
          <w:rFonts w:ascii="Trebuchet MS" w:hAnsi="Trebuchet MS" w:cs="Trebuchet MS"/>
          <w:b/>
          <w:iCs/>
          <w:sz w:val="16"/>
          <w:szCs w:val="16"/>
        </w:rPr>
        <w:t xml:space="preserve"> - Composito Istruzione</w:t>
      </w:r>
      <w:r w:rsidRPr="001624BB">
        <w:rPr>
          <w:rFonts w:ascii="Trebuchet MS" w:hAnsi="Trebuchet MS" w:cs="Trebuchet MS"/>
          <w:i/>
          <w:iCs/>
          <w:color w:val="0070C0"/>
          <w:sz w:val="16"/>
          <w:szCs w:val="16"/>
        </w:rPr>
        <w:tab/>
      </w:r>
      <w:r w:rsidR="00E340A1" w:rsidRPr="00DA49F5">
        <w:rPr>
          <w:rFonts w:ascii="Trebuchet MS" w:hAnsi="Trebuchet MS" w:cs="Trebuchet MS"/>
          <w:sz w:val="20"/>
          <w:szCs w:val="20"/>
        </w:rPr>
        <w:tab/>
      </w:r>
      <w:r w:rsidR="00E340A1" w:rsidRPr="00DA49F5">
        <w:rPr>
          <w:rFonts w:ascii="Trebuchet MS" w:hAnsi="Trebuchet MS" w:cs="Trebuchet MS"/>
          <w:sz w:val="20"/>
          <w:szCs w:val="20"/>
        </w:rPr>
        <w:tab/>
      </w:r>
      <w:r w:rsidR="00E340A1" w:rsidRPr="00DA49F5">
        <w:rPr>
          <w:rFonts w:ascii="Trebuchet MS" w:hAnsi="Trebuchet MS" w:cs="Trebuchet MS"/>
          <w:sz w:val="20"/>
          <w:szCs w:val="20"/>
        </w:rPr>
        <w:tab/>
      </w:r>
      <w:r w:rsidR="00E340A1" w:rsidRPr="00DA49F5">
        <w:rPr>
          <w:rFonts w:ascii="Trebuchet MS" w:hAnsi="Trebuchet MS" w:cs="Trebuchet MS"/>
          <w:sz w:val="20"/>
          <w:szCs w:val="20"/>
        </w:rPr>
        <w:tab/>
      </w:r>
      <w:r w:rsidR="00B4393D" w:rsidRPr="00B4393D">
        <w:rPr>
          <w:rFonts w:ascii="Trebuchet MS" w:hAnsi="Trebuchet MS" w:cs="Trebuchet MS"/>
          <w:b/>
          <w:iCs/>
          <w:sz w:val="16"/>
          <w:szCs w:val="16"/>
        </w:rPr>
        <w:t>Figura 3.38</w:t>
      </w:r>
      <w:r w:rsidR="00E340A1" w:rsidRPr="00B4393D">
        <w:rPr>
          <w:rFonts w:ascii="Trebuchet MS" w:hAnsi="Trebuchet MS" w:cs="Trebuchet MS"/>
          <w:b/>
          <w:iCs/>
          <w:sz w:val="16"/>
          <w:szCs w:val="16"/>
        </w:rPr>
        <w:t xml:space="preserve"> - Composito Economia</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DA49F5">
        <w:rPr>
          <w:rFonts w:ascii="Trebuchet MS" w:hAnsi="Trebuchet MS" w:cs="Trebuchet MS"/>
          <w:noProof/>
          <w:sz w:val="20"/>
          <w:szCs w:val="20"/>
          <w:lang w:eastAsia="it-IT"/>
        </w:rPr>
        <w:drawing>
          <wp:inline distT="0" distB="0" distL="0" distR="0" wp14:anchorId="2D7522FB" wp14:editId="01CBD30D">
            <wp:extent cx="2505600" cy="3128400"/>
            <wp:effectExtent l="0" t="0" r="0" b="0"/>
            <wp:docPr id="39" name="Immagine 39" descr="C:\Users\f.sbicca\AppData\Local\Microsoft\Windows\INetCache\Content.MSO\864DE38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f.sbicca\AppData\Local\Microsoft\Windows\INetCache\Content.MSO\864DE38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600" cy="3128400"/>
                    </a:xfrm>
                    <a:prstGeom prst="rect">
                      <a:avLst/>
                    </a:prstGeom>
                    <a:noFill/>
                    <a:ln>
                      <a:noFill/>
                    </a:ln>
                  </pic:spPr>
                </pic:pic>
              </a:graphicData>
            </a:graphic>
          </wp:inline>
        </w:drawing>
      </w:r>
      <w:r w:rsidRPr="00DA49F5">
        <w:rPr>
          <w:rFonts w:ascii="Trebuchet MS" w:hAnsi="Trebuchet MS" w:cs="Trebuchet MS"/>
          <w:noProof/>
          <w:sz w:val="20"/>
          <w:szCs w:val="20"/>
          <w:lang w:eastAsia="it-IT"/>
        </w:rPr>
        <w:drawing>
          <wp:inline distT="0" distB="0" distL="0" distR="0" wp14:anchorId="036C415D" wp14:editId="6B1443A2">
            <wp:extent cx="2505600" cy="3128400"/>
            <wp:effectExtent l="0" t="0" r="0" b="0"/>
            <wp:docPr id="40" name="Immagine 40" descr="C:\Users\f.sbicca\AppData\Local\Microsoft\Windows\INetCache\Content.MSO\EAB290D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f.sbicca\AppData\Local\Microsoft\Windows\INetCache\Content.MSO\EAB290D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600" cy="3128400"/>
                    </a:xfrm>
                    <a:prstGeom prst="rect">
                      <a:avLst/>
                    </a:prstGeom>
                    <a:noFill/>
                    <a:ln>
                      <a:noFill/>
                    </a:ln>
                  </pic:spPr>
                </pic:pic>
              </a:graphicData>
            </a:graphic>
          </wp:inline>
        </w:drawing>
      </w:r>
    </w:p>
    <w:p w:rsidR="00E340A1" w:rsidRPr="00DA49F5" w:rsidRDefault="00B4393D"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B4393D">
        <w:rPr>
          <w:rFonts w:ascii="Trebuchet MS" w:hAnsi="Trebuchet MS" w:cs="Trebuchet MS"/>
          <w:b/>
          <w:iCs/>
          <w:sz w:val="16"/>
          <w:szCs w:val="16"/>
        </w:rPr>
        <w:t>Figura 3.39</w:t>
      </w:r>
      <w:r w:rsidR="00E340A1" w:rsidRPr="00B4393D">
        <w:rPr>
          <w:rFonts w:ascii="Trebuchet MS" w:hAnsi="Trebuchet MS" w:cs="Trebuchet MS"/>
          <w:b/>
          <w:iCs/>
          <w:sz w:val="16"/>
          <w:szCs w:val="16"/>
        </w:rPr>
        <w:t xml:space="preserve"> - Composito Capitale Sociale</w:t>
      </w:r>
      <w:r w:rsidR="00E340A1" w:rsidRPr="00DA49F5">
        <w:rPr>
          <w:rFonts w:ascii="Trebuchet MS" w:hAnsi="Trebuchet MS" w:cs="Trebuchet MS"/>
          <w:sz w:val="20"/>
          <w:szCs w:val="20"/>
        </w:rPr>
        <w:tab/>
      </w:r>
      <w:r w:rsidR="00E340A1" w:rsidRPr="00DA49F5">
        <w:rPr>
          <w:rFonts w:ascii="Trebuchet MS" w:hAnsi="Trebuchet MS" w:cs="Trebuchet MS"/>
          <w:sz w:val="20"/>
          <w:szCs w:val="20"/>
        </w:rPr>
        <w:tab/>
      </w:r>
      <w:r w:rsidR="00E340A1" w:rsidRPr="00DA49F5">
        <w:rPr>
          <w:rFonts w:ascii="Trebuchet MS" w:hAnsi="Trebuchet MS" w:cs="Trebuchet MS"/>
          <w:sz w:val="20"/>
          <w:szCs w:val="20"/>
        </w:rPr>
        <w:tab/>
      </w:r>
      <w:r w:rsidRPr="00B4393D">
        <w:rPr>
          <w:rFonts w:ascii="Trebuchet MS" w:hAnsi="Trebuchet MS" w:cs="Trebuchet MS"/>
          <w:b/>
          <w:iCs/>
          <w:sz w:val="16"/>
          <w:szCs w:val="16"/>
        </w:rPr>
        <w:t>Figura 3.40</w:t>
      </w:r>
      <w:r w:rsidR="00E340A1" w:rsidRPr="00B4393D">
        <w:rPr>
          <w:rFonts w:ascii="Trebuchet MS" w:hAnsi="Trebuchet MS" w:cs="Trebuchet MS"/>
          <w:b/>
          <w:iCs/>
          <w:sz w:val="16"/>
          <w:szCs w:val="16"/>
        </w:rPr>
        <w:t xml:space="preserve"> - Composito Criminalità</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DA49F5">
        <w:rPr>
          <w:rFonts w:ascii="Trebuchet MS" w:hAnsi="Trebuchet MS" w:cs="Trebuchet MS"/>
          <w:noProof/>
          <w:sz w:val="20"/>
          <w:szCs w:val="20"/>
          <w:lang w:eastAsia="it-IT"/>
        </w:rPr>
        <w:drawing>
          <wp:inline distT="0" distB="0" distL="0" distR="0" wp14:anchorId="03738D31" wp14:editId="02FC3200">
            <wp:extent cx="2505600" cy="3128400"/>
            <wp:effectExtent l="0" t="0" r="0" b="0"/>
            <wp:docPr id="41" name="Immagine 41" descr="C:\Users\f.sbicca\AppData\Local\Microsoft\Windows\INetCache\Content.MSO\90BE1C0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f.sbicca\AppData\Local\Microsoft\Windows\INetCache\Content.MSO\90BE1C0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600" cy="3128400"/>
                    </a:xfrm>
                    <a:prstGeom prst="rect">
                      <a:avLst/>
                    </a:prstGeom>
                    <a:noFill/>
                    <a:ln>
                      <a:noFill/>
                    </a:ln>
                  </pic:spPr>
                </pic:pic>
              </a:graphicData>
            </a:graphic>
          </wp:inline>
        </w:drawing>
      </w:r>
      <w:r w:rsidRPr="00DA49F5">
        <w:rPr>
          <w:rFonts w:ascii="Trebuchet MS" w:hAnsi="Trebuchet MS" w:cs="Trebuchet MS"/>
          <w:noProof/>
          <w:sz w:val="20"/>
          <w:szCs w:val="20"/>
          <w:lang w:eastAsia="it-IT"/>
        </w:rPr>
        <w:drawing>
          <wp:inline distT="0" distB="0" distL="0" distR="0" wp14:anchorId="2016C906" wp14:editId="252AA64D">
            <wp:extent cx="2505600" cy="3128400"/>
            <wp:effectExtent l="0" t="0" r="0" b="0"/>
            <wp:docPr id="42" name="Immagine 42" descr="C:\Users\f.sbicca\AppData\Local\Microsoft\Windows\INetCache\Content.MSO\A2346AA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f.sbicca\AppData\Local\Microsoft\Windows\INetCache\Content.MSO\A2346AA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600" cy="3128400"/>
                    </a:xfrm>
                    <a:prstGeom prst="rect">
                      <a:avLst/>
                    </a:prstGeom>
                    <a:noFill/>
                    <a:ln>
                      <a:noFill/>
                    </a:ln>
                  </pic:spPr>
                </pic:pic>
              </a:graphicData>
            </a:graphic>
          </wp:inline>
        </w:drawing>
      </w:r>
    </w:p>
    <w:p w:rsidR="00E340A1" w:rsidRPr="00DA49F5" w:rsidRDefault="00E340A1" w:rsidP="00E340A1">
      <w:pPr>
        <w:spacing w:after="120" w:line="276" w:lineRule="auto"/>
        <w:rPr>
          <w:rFonts w:ascii="Trebuchet MS" w:hAnsi="Trebuchet MS" w:cs="Trebuchet MS"/>
          <w:sz w:val="20"/>
          <w:szCs w:val="20"/>
        </w:rPr>
      </w:pPr>
    </w:p>
    <w:p w:rsidR="00E340A1" w:rsidRPr="00DA49F5" w:rsidRDefault="00E340A1" w:rsidP="00E340A1">
      <w:pPr>
        <w:spacing w:after="120" w:line="276" w:lineRule="auto"/>
        <w:rPr>
          <w:rFonts w:ascii="Trebuchet MS" w:hAnsi="Trebuchet MS" w:cs="Trebuchet MS"/>
          <w:sz w:val="20"/>
          <w:szCs w:val="20"/>
        </w:rPr>
      </w:pPr>
      <w:r w:rsidRPr="00DA49F5">
        <w:rPr>
          <w:rFonts w:ascii="Trebuchet MS" w:hAnsi="Trebuchet MS" w:cs="Trebuchet MS"/>
          <w:sz w:val="20"/>
          <w:szCs w:val="20"/>
        </w:rPr>
        <w:br w:type="page"/>
      </w:r>
    </w:p>
    <w:p w:rsidR="00E340A1" w:rsidRPr="00D36655" w:rsidRDefault="00B4393D"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Pr>
          <w:rFonts w:ascii="Trebuchet MS" w:hAnsi="Trebuchet MS" w:cs="Trebuchet MS"/>
          <w:b/>
          <w:iCs/>
          <w:sz w:val="16"/>
          <w:szCs w:val="16"/>
        </w:rPr>
        <w:lastRenderedPageBreak/>
        <w:t>Figura 3.41</w:t>
      </w:r>
      <w:r w:rsidR="00E340A1" w:rsidRPr="00D36655">
        <w:rPr>
          <w:rFonts w:ascii="Trebuchet MS" w:hAnsi="Trebuchet MS" w:cs="Trebuchet MS"/>
          <w:b/>
          <w:iCs/>
          <w:sz w:val="16"/>
          <w:szCs w:val="16"/>
        </w:rPr>
        <w:t xml:space="preserve"> - Composito dei Compositi</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noProof/>
          <w:sz w:val="20"/>
          <w:szCs w:val="20"/>
          <w:lang w:eastAsia="it-IT"/>
        </w:rPr>
      </w:pP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noProof/>
          <w:sz w:val="20"/>
          <w:szCs w:val="20"/>
          <w:lang w:eastAsia="it-IT"/>
        </w:rPr>
      </w:pPr>
      <w:r w:rsidRPr="00DA49F5">
        <w:rPr>
          <w:rFonts w:ascii="Trebuchet MS" w:hAnsi="Trebuchet MS" w:cs="Trebuchet MS"/>
          <w:noProof/>
          <w:sz w:val="20"/>
          <w:szCs w:val="20"/>
          <w:lang w:eastAsia="it-IT"/>
        </w:rPr>
        <w:drawing>
          <wp:inline distT="0" distB="0" distL="0" distR="0" wp14:anchorId="703AAE83" wp14:editId="1645CFED">
            <wp:extent cx="4095750" cy="5016770"/>
            <wp:effectExtent l="0" t="0" r="0" b="0"/>
            <wp:docPr id="43" name="Immagine 43" descr="C:\Users\f.sbicca\AppData\Local\Microsoft\Windows\INetCache\Content.MSO\886EC5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bicca\AppData\Local\Microsoft\Windows\INetCache\Content.MSO\886EC5E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8682" cy="5032610"/>
                    </a:xfrm>
                    <a:prstGeom prst="rect">
                      <a:avLst/>
                    </a:prstGeom>
                    <a:noFill/>
                    <a:ln>
                      <a:noFill/>
                    </a:ln>
                  </pic:spPr>
                </pic:pic>
              </a:graphicData>
            </a:graphic>
          </wp:inline>
        </w:drawing>
      </w:r>
    </w:p>
    <w:p w:rsidR="00E340A1" w:rsidRPr="00DA49F5" w:rsidRDefault="00E340A1" w:rsidP="00E340A1">
      <w:pPr>
        <w:spacing w:after="120" w:line="276" w:lineRule="auto"/>
        <w:rPr>
          <w:rFonts w:ascii="Trebuchet MS" w:hAnsi="Trebuchet MS" w:cs="Trebuchet MS"/>
          <w:b/>
          <w:sz w:val="20"/>
          <w:szCs w:val="20"/>
        </w:rPr>
      </w:pPr>
    </w:p>
    <w:p w:rsidR="00E340A1" w:rsidRPr="00DA49F5" w:rsidRDefault="00E340A1" w:rsidP="00E340A1">
      <w:pPr>
        <w:spacing w:after="120" w:line="276" w:lineRule="auto"/>
        <w:jc w:val="both"/>
        <w:rPr>
          <w:rFonts w:ascii="Trebuchet MS" w:hAnsi="Trebuchet MS" w:cs="Trebuchet MS"/>
          <w:i/>
          <w:sz w:val="20"/>
          <w:szCs w:val="20"/>
          <w:u w:val="single"/>
        </w:rPr>
      </w:pPr>
      <w:r w:rsidRPr="00DA49F5">
        <w:rPr>
          <w:rFonts w:ascii="Trebuchet MS" w:hAnsi="Trebuchet MS" w:cs="Trebuchet MS"/>
          <w:i/>
          <w:sz w:val="20"/>
          <w:szCs w:val="20"/>
          <w:u w:val="single"/>
        </w:rPr>
        <w:t>Indicatori appalti</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Gli indicatori di rischio corruttivo negli appalti si basano sui dati contenuti nella Banca Dati Nazionale dei Contratti Pubblici (BDNCP), che rappresenta la principale fonte informativa sugli appalti pubblici.</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Si tratta di diciassette indicatori calcolati a livello provinciale e suddivisi per oggetto (lavori, servizi, forniture), settore (ordinario e speciale) e anno di pubblicazione del bando di gara.</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 xml:space="preserve">Per ognuno degli indicatori selezionati viene inoltre attivata una </w:t>
      </w:r>
      <w:r w:rsidRPr="00DA49F5">
        <w:rPr>
          <w:rFonts w:ascii="Trebuchet MS" w:hAnsi="Trebuchet MS" w:cs="Trebuchet MS"/>
          <w:i/>
          <w:sz w:val="20"/>
          <w:szCs w:val="20"/>
        </w:rPr>
        <w:t>red flag</w:t>
      </w:r>
      <w:r w:rsidRPr="00DA49F5">
        <w:rPr>
          <w:rFonts w:ascii="Trebuchet MS" w:hAnsi="Trebuchet MS" w:cs="Trebuchet MS"/>
          <w:sz w:val="20"/>
          <w:szCs w:val="20"/>
        </w:rPr>
        <w:t xml:space="preserve"> in una determinata provincia se il suo valore supera una determinata percentuale delle province con valore meno rischioso, che può essere liberamente scelta dall</w:t>
      </w:r>
      <w:r w:rsidR="00514434">
        <w:rPr>
          <w:rFonts w:ascii="Trebuchet MS" w:hAnsi="Trebuchet MS" w:cs="Trebuchet MS"/>
          <w:sz w:val="20"/>
          <w:szCs w:val="20"/>
        </w:rPr>
        <w:t>’</w:t>
      </w:r>
      <w:r w:rsidRPr="00DA49F5">
        <w:rPr>
          <w:rFonts w:ascii="Trebuchet MS" w:hAnsi="Trebuchet MS" w:cs="Trebuchet MS"/>
          <w:sz w:val="20"/>
          <w:szCs w:val="20"/>
        </w:rPr>
        <w:t xml:space="preserve">utente in base al rischio che si vuole evidenziare e può variare da 0,75 a 0,99. In altri termini, impostando ad esempio il valore a 0,87 si attiveranno le </w:t>
      </w:r>
      <w:r w:rsidRPr="00DA49F5">
        <w:rPr>
          <w:rFonts w:ascii="Trebuchet MS" w:hAnsi="Trebuchet MS" w:cs="Trebuchet MS"/>
          <w:i/>
          <w:sz w:val="20"/>
          <w:szCs w:val="20"/>
        </w:rPr>
        <w:t>red flags</w:t>
      </w:r>
      <w:r w:rsidRPr="00DA49F5">
        <w:rPr>
          <w:rFonts w:ascii="Trebuchet MS" w:hAnsi="Trebuchet MS" w:cs="Trebuchet MS"/>
          <w:sz w:val="20"/>
          <w:szCs w:val="20"/>
        </w:rPr>
        <w:t xml:space="preserve"> per il 13% delle province con il valore più rischioso.</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Il cruscotto permette anche di calcolare un indicatore di sintesi, che misura il rischio di corruzione secondo diverse soglie di rischio, ottenuto condensando le informazioni provenienti da tutti o parte dei 17 indicatori. Questa procedura permette il confronto uniforme tra più indicatori calcolati con diverse scale ed unità di misura mediante l</w:t>
      </w:r>
      <w:r w:rsidR="00514434">
        <w:rPr>
          <w:rFonts w:ascii="Trebuchet MS" w:hAnsi="Trebuchet MS" w:cs="Trebuchet MS"/>
          <w:sz w:val="20"/>
          <w:szCs w:val="20"/>
        </w:rPr>
        <w:t>’</w:t>
      </w:r>
      <w:r w:rsidRPr="00DA49F5">
        <w:rPr>
          <w:rFonts w:ascii="Trebuchet MS" w:hAnsi="Trebuchet MS" w:cs="Trebuchet MS"/>
          <w:sz w:val="20"/>
          <w:szCs w:val="20"/>
        </w:rPr>
        <w:t>attivazione e poi l</w:t>
      </w:r>
      <w:r w:rsidR="00514434">
        <w:rPr>
          <w:rFonts w:ascii="Trebuchet MS" w:hAnsi="Trebuchet MS" w:cs="Trebuchet MS"/>
          <w:sz w:val="20"/>
          <w:szCs w:val="20"/>
        </w:rPr>
        <w:t>’</w:t>
      </w:r>
      <w:r w:rsidRPr="00DA49F5">
        <w:rPr>
          <w:rFonts w:ascii="Trebuchet MS" w:hAnsi="Trebuchet MS" w:cs="Trebuchet MS"/>
          <w:sz w:val="20"/>
          <w:szCs w:val="20"/>
        </w:rPr>
        <w:t xml:space="preserve">aggregazione delle cosiddette </w:t>
      </w:r>
      <w:r w:rsidRPr="00DA49F5">
        <w:rPr>
          <w:rFonts w:ascii="Trebuchet MS" w:hAnsi="Trebuchet MS" w:cs="Trebuchet MS"/>
          <w:i/>
          <w:sz w:val="20"/>
          <w:szCs w:val="20"/>
        </w:rPr>
        <w:t>red flags.</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Di seguito, a livello esemplificativo, le mappe relative ad alcuni indicatori: l</w:t>
      </w:r>
      <w:r w:rsidR="00514434">
        <w:rPr>
          <w:rFonts w:ascii="Trebuchet MS" w:hAnsi="Trebuchet MS" w:cs="Trebuchet MS"/>
          <w:sz w:val="20"/>
          <w:szCs w:val="20"/>
        </w:rPr>
        <w:t>’</w:t>
      </w:r>
      <w:r w:rsidRPr="00DA49F5">
        <w:rPr>
          <w:rFonts w:ascii="Trebuchet MS" w:hAnsi="Trebuchet MS" w:cs="Trebuchet MS"/>
          <w:sz w:val="20"/>
          <w:szCs w:val="20"/>
        </w:rPr>
        <w:t xml:space="preserve">indicatore offerta singola, ossia la proporzione di procedure per le quali è stata presentata una sola offerta, una condizione ad elevato </w:t>
      </w:r>
      <w:r w:rsidRPr="00DA49F5">
        <w:rPr>
          <w:rFonts w:ascii="Trebuchet MS" w:hAnsi="Trebuchet MS" w:cs="Trebuchet MS"/>
          <w:sz w:val="20"/>
          <w:szCs w:val="20"/>
        </w:rPr>
        <w:lastRenderedPageBreak/>
        <w:t xml:space="preserve">rischio di corruzione; le </w:t>
      </w:r>
      <w:r w:rsidRPr="00DA49F5">
        <w:rPr>
          <w:rFonts w:ascii="Trebuchet MS" w:hAnsi="Trebuchet MS" w:cs="Trebuchet MS"/>
          <w:i/>
          <w:sz w:val="20"/>
          <w:szCs w:val="20"/>
        </w:rPr>
        <w:t>red flags</w:t>
      </w:r>
      <w:r w:rsidRPr="00DA49F5">
        <w:rPr>
          <w:rFonts w:ascii="Trebuchet MS" w:hAnsi="Trebuchet MS" w:cs="Trebuchet MS"/>
          <w:sz w:val="20"/>
          <w:szCs w:val="20"/>
        </w:rPr>
        <w:t xml:space="preserve"> con soglia 0,75 relativamente sempre all</w:t>
      </w:r>
      <w:r w:rsidR="00514434">
        <w:rPr>
          <w:rFonts w:ascii="Trebuchet MS" w:hAnsi="Trebuchet MS" w:cs="Trebuchet MS"/>
          <w:sz w:val="20"/>
          <w:szCs w:val="20"/>
        </w:rPr>
        <w:t>’</w:t>
      </w:r>
      <w:r w:rsidRPr="00DA49F5">
        <w:rPr>
          <w:rFonts w:ascii="Trebuchet MS" w:hAnsi="Trebuchet MS" w:cs="Trebuchet MS"/>
          <w:sz w:val="20"/>
          <w:szCs w:val="20"/>
        </w:rPr>
        <w:t xml:space="preserve">indicatore offerta singola; le </w:t>
      </w:r>
      <w:r w:rsidRPr="00DA49F5">
        <w:rPr>
          <w:rFonts w:ascii="Trebuchet MS" w:hAnsi="Trebuchet MS" w:cs="Trebuchet MS"/>
          <w:i/>
          <w:sz w:val="20"/>
          <w:szCs w:val="20"/>
        </w:rPr>
        <w:t xml:space="preserve">red flags </w:t>
      </w:r>
      <w:r w:rsidRPr="00DA49F5">
        <w:rPr>
          <w:rFonts w:ascii="Trebuchet MS" w:hAnsi="Trebuchet MS" w:cs="Trebuchet MS"/>
          <w:sz w:val="20"/>
          <w:szCs w:val="20"/>
        </w:rPr>
        <w:t>con soglia 0,75 relativamente a 5 indicatori esplicativi della riduzione dello spazio concorrenziale, considerati congiuntamente (l</w:t>
      </w:r>
      <w:r w:rsidR="00514434">
        <w:rPr>
          <w:rFonts w:ascii="Trebuchet MS" w:hAnsi="Trebuchet MS" w:cs="Trebuchet MS"/>
          <w:sz w:val="20"/>
          <w:szCs w:val="20"/>
        </w:rPr>
        <w:t>’</w:t>
      </w:r>
      <w:r w:rsidRPr="00DA49F5">
        <w:rPr>
          <w:rFonts w:ascii="Trebuchet MS" w:hAnsi="Trebuchet MS" w:cs="Trebuchet MS"/>
          <w:sz w:val="20"/>
          <w:szCs w:val="20"/>
        </w:rPr>
        <w:t>offerta singola, la proporzione di offerte escluse, l</w:t>
      </w:r>
      <w:r w:rsidR="00514434">
        <w:rPr>
          <w:rFonts w:ascii="Trebuchet MS" w:hAnsi="Trebuchet MS" w:cs="Trebuchet MS"/>
          <w:sz w:val="20"/>
          <w:szCs w:val="20"/>
        </w:rPr>
        <w:t>’</w:t>
      </w:r>
      <w:r w:rsidRPr="00DA49F5">
        <w:rPr>
          <w:rFonts w:ascii="Trebuchet MS" w:hAnsi="Trebuchet MS" w:cs="Trebuchet MS"/>
          <w:sz w:val="20"/>
          <w:szCs w:val="20"/>
        </w:rPr>
        <w:t xml:space="preserve">esclusione di tutte le offerte tranne una, la proporzione di offerte escluse in procedure con tutte le offerte tranne una, la proporzione di contratti aggiudicati alla stessa impresa); ed infine le </w:t>
      </w:r>
      <w:r w:rsidRPr="00DA49F5">
        <w:rPr>
          <w:rFonts w:ascii="Trebuchet MS" w:hAnsi="Trebuchet MS" w:cs="Trebuchet MS"/>
          <w:i/>
          <w:sz w:val="20"/>
          <w:szCs w:val="20"/>
        </w:rPr>
        <w:t>red flags</w:t>
      </w:r>
      <w:r w:rsidRPr="00DA49F5">
        <w:rPr>
          <w:rFonts w:ascii="Trebuchet MS" w:hAnsi="Trebuchet MS" w:cs="Trebuchet MS"/>
          <w:sz w:val="20"/>
          <w:szCs w:val="20"/>
        </w:rPr>
        <w:t xml:space="preserve"> calcolate sempre a 0,75 per tutti i 17 indicatori relativi agli appalti.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36"/>
      </w:tblGrid>
      <w:tr w:rsidR="00E340A1" w:rsidRPr="007E1DC1" w:rsidTr="00F07C53">
        <w:trPr>
          <w:trHeight w:val="440"/>
        </w:trPr>
        <w:tc>
          <w:tcPr>
            <w:tcW w:w="4673" w:type="dxa"/>
          </w:tcPr>
          <w:p w:rsidR="00E340A1" w:rsidRPr="00D36655" w:rsidRDefault="00E340A1" w:rsidP="00B4393D">
            <w:pPr>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t>Figura 3.</w:t>
            </w:r>
            <w:r w:rsidR="00B4393D">
              <w:rPr>
                <w:rFonts w:ascii="Trebuchet MS" w:hAnsi="Trebuchet MS" w:cs="Trebuchet MS"/>
                <w:b/>
                <w:iCs/>
                <w:sz w:val="16"/>
                <w:szCs w:val="16"/>
              </w:rPr>
              <w:t>42</w:t>
            </w:r>
            <w:r w:rsidRPr="00D36655">
              <w:rPr>
                <w:rFonts w:ascii="Trebuchet MS" w:hAnsi="Trebuchet MS" w:cs="Trebuchet MS"/>
                <w:b/>
                <w:iCs/>
                <w:sz w:val="16"/>
                <w:szCs w:val="16"/>
              </w:rPr>
              <w:t xml:space="preserve"> - Indicatore offerta singola</w:t>
            </w:r>
          </w:p>
        </w:tc>
        <w:tc>
          <w:tcPr>
            <w:tcW w:w="4536" w:type="dxa"/>
          </w:tcPr>
          <w:p w:rsidR="00E340A1" w:rsidRPr="00D36655" w:rsidRDefault="00E340A1" w:rsidP="00B4393D">
            <w:pPr>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t>Figura 3.</w:t>
            </w:r>
            <w:r w:rsidR="00B4393D">
              <w:rPr>
                <w:rFonts w:ascii="Trebuchet MS" w:hAnsi="Trebuchet MS" w:cs="Trebuchet MS"/>
                <w:b/>
                <w:iCs/>
                <w:sz w:val="16"/>
                <w:szCs w:val="16"/>
              </w:rPr>
              <w:t>43</w:t>
            </w:r>
            <w:r w:rsidRPr="00D36655">
              <w:rPr>
                <w:rFonts w:ascii="Trebuchet MS" w:hAnsi="Trebuchet MS" w:cs="Trebuchet MS"/>
                <w:b/>
                <w:iCs/>
                <w:sz w:val="16"/>
                <w:szCs w:val="16"/>
              </w:rPr>
              <w:t xml:space="preserve"> - Soglia 0,75 per indicatore offerta singola</w:t>
            </w:r>
          </w:p>
        </w:tc>
      </w:tr>
    </w:tbl>
    <w:p w:rsidR="00E340A1" w:rsidRPr="007E1DC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rPr>
      </w:pPr>
      <w:r w:rsidRPr="007E1DC1">
        <w:rPr>
          <w:rFonts w:ascii="Trebuchet MS" w:hAnsi="Trebuchet MS" w:cs="Trebuchet MS"/>
          <w:b/>
          <w:iCs/>
        </w:rPr>
        <w:tab/>
      </w:r>
      <w:r w:rsidRPr="007E1DC1">
        <w:rPr>
          <w:rFonts w:ascii="Trebuchet MS" w:hAnsi="Trebuchet MS" w:cs="Trebuchet MS"/>
          <w:b/>
          <w:iCs/>
        </w:rPr>
        <w:tab/>
      </w:r>
      <w:r w:rsidRPr="007E1DC1">
        <w:rPr>
          <w:rFonts w:ascii="Trebuchet MS" w:hAnsi="Trebuchet MS" w:cs="Trebuchet MS"/>
          <w:b/>
          <w:iCs/>
        </w:rPr>
        <w:tab/>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DA49F5">
        <w:rPr>
          <w:rFonts w:ascii="Trebuchet MS" w:hAnsi="Trebuchet MS" w:cs="Trebuchet MS"/>
          <w:noProof/>
          <w:sz w:val="20"/>
          <w:szCs w:val="20"/>
          <w:lang w:eastAsia="it-IT"/>
        </w:rPr>
        <w:drawing>
          <wp:inline distT="0" distB="0" distL="0" distR="0" wp14:anchorId="0F468626" wp14:editId="1F952B7C">
            <wp:extent cx="2819400" cy="3143250"/>
            <wp:effectExtent l="0" t="0" r="0" b="0"/>
            <wp:docPr id="44" name="Immagine 1" descr="C:\Users\f.sbicca\AppData\Local\Microsoft\Windows\INetCache\Content.MSO\BF95B0C5.tmp"/>
            <wp:cNvGraphicFramePr/>
            <a:graphic xmlns:a="http://schemas.openxmlformats.org/drawingml/2006/main">
              <a:graphicData uri="http://schemas.openxmlformats.org/drawingml/2006/picture">
                <pic:pic xmlns:pic="http://schemas.openxmlformats.org/drawingml/2006/picture">
                  <pic:nvPicPr>
                    <pic:cNvPr id="2" name="Immagine 1" descr="C:\Users\f.sbicca\AppData\Local\Microsoft\Windows\INetCache\Content.MSO\BF95B0C5.tmp"/>
                    <pic:cNvPicPr/>
                  </pic:nvPicPr>
                  <pic:blipFill rotWithShape="1">
                    <a:blip r:embed="rId26">
                      <a:extLst>
                        <a:ext uri="{28A0092B-C50C-407E-A947-70E740481C1C}">
                          <a14:useLocalDpi xmlns:a14="http://schemas.microsoft.com/office/drawing/2010/main" val="0"/>
                        </a:ext>
                      </a:extLst>
                    </a:blip>
                    <a:srcRect r="31604" b="30382"/>
                    <a:stretch/>
                  </pic:blipFill>
                  <pic:spPr bwMode="auto">
                    <a:xfrm>
                      <a:off x="0" y="0"/>
                      <a:ext cx="2819400" cy="3143250"/>
                    </a:xfrm>
                    <a:prstGeom prst="rect">
                      <a:avLst/>
                    </a:prstGeom>
                    <a:noFill/>
                    <a:ln>
                      <a:noFill/>
                    </a:ln>
                    <a:extLst>
                      <a:ext uri="{53640926-AAD7-44D8-BBD7-CCE9431645EC}">
                        <a14:shadowObscured xmlns:a14="http://schemas.microsoft.com/office/drawing/2010/main"/>
                      </a:ext>
                    </a:extLst>
                  </pic:spPr>
                </pic:pic>
              </a:graphicData>
            </a:graphic>
          </wp:inline>
        </w:drawing>
      </w:r>
      <w:r w:rsidRPr="00DA49F5">
        <w:rPr>
          <w:rFonts w:ascii="Trebuchet MS" w:hAnsi="Trebuchet MS" w:cs="Trebuchet MS"/>
          <w:noProof/>
          <w:sz w:val="20"/>
          <w:szCs w:val="20"/>
          <w:lang w:eastAsia="it-IT"/>
        </w:rPr>
        <w:drawing>
          <wp:inline distT="0" distB="0" distL="0" distR="0" wp14:anchorId="38B1F90E" wp14:editId="1EAC7317">
            <wp:extent cx="2505075" cy="3129896"/>
            <wp:effectExtent l="0" t="0" r="0" b="0"/>
            <wp:docPr id="45" name="Immagine 45" descr="C:\Users\f.sbicca\AppData\Local\Microsoft\Windows\INetCache\Content.MSO\C732F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bicca\AppData\Local\Microsoft\Windows\INetCache\Content.MSO\C732FED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205" cy="3160044"/>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36"/>
      </w:tblGrid>
      <w:tr w:rsidR="00E340A1" w:rsidRPr="007E1DC1" w:rsidTr="00F07C53">
        <w:tc>
          <w:tcPr>
            <w:tcW w:w="4673" w:type="dxa"/>
          </w:tcPr>
          <w:p w:rsidR="00E340A1" w:rsidRPr="00D36655" w:rsidRDefault="00E340A1" w:rsidP="00B4393D">
            <w:pPr>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t>Figura 3.4</w:t>
            </w:r>
            <w:r w:rsidR="00B4393D">
              <w:rPr>
                <w:rFonts w:ascii="Trebuchet MS" w:hAnsi="Trebuchet MS" w:cs="Trebuchet MS"/>
                <w:b/>
                <w:iCs/>
                <w:sz w:val="16"/>
                <w:szCs w:val="16"/>
              </w:rPr>
              <w:t>4</w:t>
            </w:r>
            <w:r w:rsidRPr="00D36655">
              <w:rPr>
                <w:rFonts w:ascii="Trebuchet MS" w:hAnsi="Trebuchet MS" w:cs="Trebuchet MS"/>
                <w:b/>
                <w:iCs/>
                <w:sz w:val="16"/>
                <w:szCs w:val="16"/>
              </w:rPr>
              <w:t xml:space="preserve"> - Soglia 0,75 per 5 indicatori riduzione concorrenza</w:t>
            </w:r>
          </w:p>
        </w:tc>
        <w:tc>
          <w:tcPr>
            <w:tcW w:w="4536" w:type="dxa"/>
          </w:tcPr>
          <w:p w:rsidR="00E340A1" w:rsidRPr="00D36655" w:rsidRDefault="00E340A1" w:rsidP="00B4393D">
            <w:pPr>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t>Figura 3.4</w:t>
            </w:r>
            <w:r w:rsidR="00601BB6">
              <w:rPr>
                <w:rFonts w:ascii="Trebuchet MS" w:hAnsi="Trebuchet MS" w:cs="Trebuchet MS"/>
                <w:b/>
                <w:iCs/>
                <w:sz w:val="16"/>
                <w:szCs w:val="16"/>
              </w:rPr>
              <w:t>5</w:t>
            </w:r>
            <w:r w:rsidRPr="00D36655">
              <w:rPr>
                <w:rFonts w:ascii="Trebuchet MS" w:hAnsi="Trebuchet MS" w:cs="Trebuchet MS"/>
                <w:b/>
                <w:iCs/>
                <w:sz w:val="16"/>
                <w:szCs w:val="16"/>
              </w:rPr>
              <w:t xml:space="preserve"> - Soglia 0,75 per tutti gli indicatori appalti</w:t>
            </w:r>
          </w:p>
        </w:tc>
      </w:tr>
    </w:tbl>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DA49F5">
        <w:rPr>
          <w:rFonts w:ascii="Trebuchet MS" w:hAnsi="Trebuchet MS" w:cs="Trebuchet MS"/>
          <w:noProof/>
          <w:sz w:val="20"/>
          <w:szCs w:val="20"/>
          <w:lang w:eastAsia="it-IT"/>
        </w:rPr>
        <w:drawing>
          <wp:inline distT="0" distB="0" distL="0" distR="0" wp14:anchorId="58C80D80" wp14:editId="0DBAC0AB">
            <wp:extent cx="2952750" cy="3305175"/>
            <wp:effectExtent l="0" t="0" r="0" b="0"/>
            <wp:docPr id="47" name="Immagine 2" descr="C:\Users\f.sbicca\AppData\Local\Microsoft\Windows\INetCache\Content.MSO\BDBDC35C.tmp"/>
            <wp:cNvGraphicFramePr/>
            <a:graphic xmlns:a="http://schemas.openxmlformats.org/drawingml/2006/main">
              <a:graphicData uri="http://schemas.openxmlformats.org/drawingml/2006/picture">
                <pic:pic xmlns:pic="http://schemas.openxmlformats.org/drawingml/2006/picture">
                  <pic:nvPicPr>
                    <pic:cNvPr id="3" name="Immagine 2" descr="C:\Users\f.sbicca\AppData\Local\Microsoft\Windows\INetCache\Content.MSO\BDBDC35C.tmp"/>
                    <pic:cNvPicPr/>
                  </pic:nvPicPr>
                  <pic:blipFill rotWithShape="1">
                    <a:blip r:embed="rId28">
                      <a:extLst>
                        <a:ext uri="{28A0092B-C50C-407E-A947-70E740481C1C}">
                          <a14:useLocalDpi xmlns:a14="http://schemas.microsoft.com/office/drawing/2010/main" val="0"/>
                        </a:ext>
                      </a:extLst>
                    </a:blip>
                    <a:srcRect r="24906" b="34371"/>
                    <a:stretch/>
                  </pic:blipFill>
                  <pic:spPr bwMode="auto">
                    <a:xfrm>
                      <a:off x="0" y="0"/>
                      <a:ext cx="2952750" cy="3305175"/>
                    </a:xfrm>
                    <a:prstGeom prst="rect">
                      <a:avLst/>
                    </a:prstGeom>
                    <a:noFill/>
                    <a:ln>
                      <a:noFill/>
                    </a:ln>
                    <a:extLst>
                      <a:ext uri="{53640926-AAD7-44D8-BBD7-CCE9431645EC}">
                        <a14:shadowObscured xmlns:a14="http://schemas.microsoft.com/office/drawing/2010/main"/>
                      </a:ext>
                    </a:extLst>
                  </pic:spPr>
                </pic:pic>
              </a:graphicData>
            </a:graphic>
          </wp:inline>
        </w:drawing>
      </w:r>
      <w:r w:rsidRPr="00DA49F5">
        <w:rPr>
          <w:rFonts w:ascii="Trebuchet MS" w:hAnsi="Trebuchet MS" w:cs="Trebuchet MS"/>
          <w:noProof/>
          <w:sz w:val="20"/>
          <w:szCs w:val="20"/>
          <w:lang w:eastAsia="it-IT"/>
        </w:rPr>
        <w:drawing>
          <wp:inline distT="0" distB="0" distL="0" distR="0" wp14:anchorId="507E1971" wp14:editId="10A2DC2B">
            <wp:extent cx="2657475" cy="3197860"/>
            <wp:effectExtent l="0" t="0" r="0" b="0"/>
            <wp:docPr id="48" name="Immagine 1"/>
            <wp:cNvGraphicFramePr/>
            <a:graphic xmlns:a="http://schemas.openxmlformats.org/drawingml/2006/main">
              <a:graphicData uri="http://schemas.openxmlformats.org/drawingml/2006/picture">
                <pic:pic xmlns:pic="http://schemas.openxmlformats.org/drawingml/2006/picture">
                  <pic:nvPicPr>
                    <pic:cNvPr id="2" name="Immagine 1"/>
                    <pic:cNvPicPr/>
                  </pic:nvPicPr>
                  <pic:blipFill>
                    <a:blip r:embed="rId29">
                      <a:extLst>
                        <a:ext uri="{28A0092B-C50C-407E-A947-70E740481C1C}">
                          <a14:useLocalDpi xmlns:a14="http://schemas.microsoft.com/office/drawing/2010/main" val="0"/>
                        </a:ext>
                      </a:extLst>
                    </a:blip>
                    <a:stretch>
                      <a:fillRect/>
                    </a:stretch>
                  </pic:blipFill>
                  <pic:spPr>
                    <a:xfrm>
                      <a:off x="0" y="0"/>
                      <a:ext cx="2657475" cy="3197860"/>
                    </a:xfrm>
                    <a:prstGeom prst="rect">
                      <a:avLst/>
                    </a:prstGeom>
                  </pic:spPr>
                </pic:pic>
              </a:graphicData>
            </a:graphic>
          </wp:inline>
        </w:drawing>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DA49F5" w:rsidRDefault="00E340A1" w:rsidP="00E340A1">
      <w:pPr>
        <w:spacing w:after="120" w:line="276" w:lineRule="auto"/>
        <w:jc w:val="both"/>
        <w:rPr>
          <w:rFonts w:ascii="Trebuchet MS" w:hAnsi="Trebuchet MS" w:cs="Trebuchet MS"/>
          <w:i/>
          <w:sz w:val="20"/>
          <w:szCs w:val="20"/>
          <w:u w:val="single"/>
        </w:rPr>
      </w:pPr>
      <w:r w:rsidRPr="00DA49F5">
        <w:rPr>
          <w:rFonts w:ascii="Trebuchet MS" w:hAnsi="Trebuchet MS" w:cs="Trebuchet MS"/>
          <w:i/>
          <w:sz w:val="20"/>
          <w:szCs w:val="20"/>
          <w:u w:val="single"/>
        </w:rPr>
        <w:lastRenderedPageBreak/>
        <w:t>Indicatori comunali</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Gli indicatori di rischio a livello comunale raggruppano possibili variabili o indicatori significativamente associati al verificarsi di episodi di corruzione a livello di singola amministrazione.</w:t>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Si tratta di cinque</w:t>
      </w:r>
      <w:r w:rsidR="00C86042">
        <w:rPr>
          <w:rFonts w:ascii="Trebuchet MS" w:hAnsi="Trebuchet MS" w:cs="Trebuchet MS"/>
          <w:sz w:val="20"/>
          <w:szCs w:val="20"/>
        </w:rPr>
        <w:t xml:space="preserve"> indicatori riferiti ai n. 745 C</w:t>
      </w:r>
      <w:r w:rsidRPr="00DA49F5">
        <w:rPr>
          <w:rFonts w:ascii="Trebuchet MS" w:hAnsi="Trebuchet MS" w:cs="Trebuchet MS"/>
          <w:sz w:val="20"/>
          <w:szCs w:val="20"/>
        </w:rPr>
        <w:t>omuni con popolazione pari o superiore ai 15.000 abitanti. Tali indicatori derivano dall</w:t>
      </w:r>
      <w:r w:rsidR="00514434">
        <w:rPr>
          <w:rFonts w:ascii="Trebuchet MS" w:hAnsi="Trebuchet MS" w:cs="Trebuchet MS"/>
          <w:sz w:val="20"/>
          <w:szCs w:val="20"/>
        </w:rPr>
        <w:t>’</w:t>
      </w:r>
      <w:r w:rsidRPr="00DA49F5">
        <w:rPr>
          <w:rFonts w:ascii="Trebuchet MS" w:hAnsi="Trebuchet MS" w:cs="Trebuchet MS"/>
          <w:sz w:val="20"/>
          <w:szCs w:val="20"/>
        </w:rPr>
        <w:t>analisi delle relazioni esistenti tra indicatori potenzialmente collegabili a fenomeni corruttivi ed episodi di corruzione verificatisi a livello di singola amministrazione, reperiti dalle schede delle relazioni dei RPCT. A livello esemplificativo, di seguito si mostra la mappa di un indicatore che rileva la freque</w:t>
      </w:r>
      <w:r w:rsidR="00C86042">
        <w:rPr>
          <w:rFonts w:ascii="Trebuchet MS" w:hAnsi="Trebuchet MS" w:cs="Trebuchet MS"/>
          <w:sz w:val="20"/>
          <w:szCs w:val="20"/>
        </w:rPr>
        <w:t>nza dei casi di corruzione nei C</w:t>
      </w:r>
      <w:r w:rsidRPr="00DA49F5">
        <w:rPr>
          <w:rFonts w:ascii="Trebuchet MS" w:hAnsi="Trebuchet MS" w:cs="Trebuchet MS"/>
          <w:sz w:val="20"/>
          <w:szCs w:val="20"/>
        </w:rPr>
        <w:t>omuni limi</w:t>
      </w:r>
      <w:r w:rsidR="00C86042">
        <w:rPr>
          <w:rFonts w:ascii="Trebuchet MS" w:hAnsi="Trebuchet MS" w:cs="Trebuchet MS"/>
          <w:sz w:val="20"/>
          <w:szCs w:val="20"/>
        </w:rPr>
        <w:t>trofi appartenenti alla stessa P</w:t>
      </w:r>
      <w:r w:rsidRPr="00DA49F5">
        <w:rPr>
          <w:rFonts w:ascii="Trebuchet MS" w:hAnsi="Trebuchet MS" w:cs="Trebuchet MS"/>
          <w:sz w:val="20"/>
          <w:szCs w:val="20"/>
        </w:rPr>
        <w:t>rovincia, con riferimento all</w:t>
      </w:r>
      <w:r w:rsidR="00514434">
        <w:rPr>
          <w:rFonts w:ascii="Trebuchet MS" w:hAnsi="Trebuchet MS" w:cs="Trebuchet MS"/>
          <w:sz w:val="20"/>
          <w:szCs w:val="20"/>
        </w:rPr>
        <w:t>’</w:t>
      </w:r>
      <w:r w:rsidRPr="00DA49F5">
        <w:rPr>
          <w:rFonts w:ascii="Trebuchet MS" w:hAnsi="Trebuchet MS" w:cs="Trebuchet MS"/>
          <w:sz w:val="20"/>
          <w:szCs w:val="20"/>
        </w:rPr>
        <w:t xml:space="preserve">anno 2019. La teoria di riferimento è quella del c.d. </w:t>
      </w:r>
      <w:r w:rsidRPr="00DA49F5">
        <w:rPr>
          <w:rFonts w:ascii="Trebuchet MS" w:hAnsi="Trebuchet MS" w:cs="Trebuchet MS"/>
          <w:i/>
          <w:sz w:val="20"/>
          <w:szCs w:val="20"/>
        </w:rPr>
        <w:t>contagion-effect</w:t>
      </w:r>
      <w:r w:rsidRPr="00DA49F5">
        <w:rPr>
          <w:rFonts w:ascii="Trebuchet MS" w:hAnsi="Trebuchet MS" w:cs="Trebuchet MS"/>
          <w:sz w:val="20"/>
          <w:szCs w:val="20"/>
        </w:rPr>
        <w:t xml:space="preserve"> secondo la quale un dato fenomeno sociale si diffonde in maniera epidemica in un certo contesto spaziale.</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p>
    <w:p w:rsidR="00E340A1" w:rsidRPr="00D3665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t>Figura 3.4</w:t>
      </w:r>
      <w:r w:rsidR="00601BB6">
        <w:rPr>
          <w:rFonts w:ascii="Trebuchet MS" w:hAnsi="Trebuchet MS" w:cs="Trebuchet MS"/>
          <w:b/>
          <w:iCs/>
          <w:sz w:val="16"/>
          <w:szCs w:val="16"/>
        </w:rPr>
        <w:t>6</w:t>
      </w:r>
      <w:r w:rsidRPr="00D36655">
        <w:rPr>
          <w:rFonts w:ascii="Trebuchet MS" w:hAnsi="Trebuchet MS" w:cs="Trebuchet MS"/>
          <w:b/>
          <w:iCs/>
          <w:sz w:val="16"/>
          <w:szCs w:val="16"/>
        </w:rPr>
        <w:t xml:space="preserve"> - Rischio di contagio</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sz w:val="20"/>
          <w:szCs w:val="20"/>
        </w:rPr>
      </w:pPr>
      <w:r w:rsidRPr="00DA49F5">
        <w:rPr>
          <w:rFonts w:ascii="Trebuchet MS" w:hAnsi="Trebuchet MS" w:cs="Trebuchet MS"/>
          <w:noProof/>
          <w:sz w:val="20"/>
          <w:szCs w:val="20"/>
          <w:lang w:eastAsia="it-IT"/>
        </w:rPr>
        <w:drawing>
          <wp:inline distT="0" distB="0" distL="0" distR="0" wp14:anchorId="52E52879" wp14:editId="3C4E9568">
            <wp:extent cx="4714135" cy="4057650"/>
            <wp:effectExtent l="0" t="0" r="0" b="0"/>
            <wp:docPr id="49" name="Immagine 49" descr="C:\Users\f.sbicca\AppData\Local\Microsoft\Windows\INetCache\Content.MSO\64333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bicca\AppData\Local\Microsoft\Windows\INetCache\Content.MSO\643336A7.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4081" cy="4083426"/>
                    </a:xfrm>
                    <a:prstGeom prst="rect">
                      <a:avLst/>
                    </a:prstGeom>
                    <a:noFill/>
                    <a:ln>
                      <a:noFill/>
                    </a:ln>
                  </pic:spPr>
                </pic:pic>
              </a:graphicData>
            </a:graphic>
          </wp:inline>
        </w:drawing>
      </w:r>
    </w:p>
    <w:p w:rsidR="00E340A1" w:rsidRPr="00EE5EE5" w:rsidRDefault="00E340A1" w:rsidP="00EE5EE5">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bookmarkStart w:id="13" w:name="_Toc31108897"/>
      <w:bookmarkStart w:id="14" w:name="_Toc31109843"/>
      <w:bookmarkStart w:id="15" w:name="_Toc31110253"/>
    </w:p>
    <w:p w:rsidR="00E340A1" w:rsidRPr="00DA49F5" w:rsidRDefault="00E340A1" w:rsidP="00E340A1">
      <w:pPr>
        <w:spacing w:after="120" w:line="276" w:lineRule="auto"/>
        <w:jc w:val="both"/>
        <w:outlineLvl w:val="2"/>
        <w:rPr>
          <w:rFonts w:ascii="Trebuchet MS" w:hAnsi="Trebuchet MS" w:cs="Trebuchet MS"/>
          <w:i/>
          <w:sz w:val="20"/>
          <w:szCs w:val="20"/>
          <w:u w:val="single"/>
        </w:rPr>
      </w:pPr>
      <w:r w:rsidRPr="00DA49F5">
        <w:rPr>
          <w:rFonts w:ascii="Trebuchet MS" w:hAnsi="Trebuchet MS" w:cs="Trebuchet MS"/>
          <w:i/>
          <w:sz w:val="20"/>
          <w:szCs w:val="20"/>
          <w:u w:val="single"/>
        </w:rPr>
        <w:t>Ricostruzione degli interessi economici e dei legami significativi</w:t>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both"/>
        <w:rPr>
          <w:rFonts w:ascii="Trebuchet MS" w:hAnsi="Trebuchet MS" w:cs="Trebuchet MS"/>
          <w:sz w:val="20"/>
          <w:szCs w:val="20"/>
        </w:rPr>
      </w:pPr>
      <w:r w:rsidRPr="00DA49F5">
        <w:rPr>
          <w:rFonts w:ascii="Trebuchet MS" w:hAnsi="Trebuchet MS" w:cs="Trebuchet MS"/>
          <w:sz w:val="20"/>
          <w:szCs w:val="20"/>
        </w:rPr>
        <w:t>Le attività di ricostruzione degli interessi economici e dei legami significativi degli individui soggetti a dichiarazione di assenza di conflitto di interesse prevedono la mappatura di:</w:t>
      </w:r>
    </w:p>
    <w:p w:rsidR="00E340A1" w:rsidRDefault="00E340A1" w:rsidP="00E340A1">
      <w:pPr>
        <w:keepLines/>
        <w:numPr>
          <w:ilvl w:val="0"/>
          <w:numId w:val="41"/>
        </w:num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hanging="357"/>
        <w:contextualSpacing/>
        <w:jc w:val="both"/>
        <w:rPr>
          <w:rFonts w:ascii="Trebuchet MS" w:hAnsi="Trebuchet MS" w:cs="Trebuchet MS"/>
          <w:sz w:val="20"/>
          <w:szCs w:val="20"/>
        </w:rPr>
      </w:pPr>
      <w:r w:rsidRPr="00DA49F5">
        <w:rPr>
          <w:rFonts w:ascii="Trebuchet MS" w:hAnsi="Trebuchet MS" w:cs="Trebuchet MS"/>
          <w:sz w:val="20"/>
          <w:szCs w:val="20"/>
        </w:rPr>
        <w:t>legami diretti e/o ruoli rilevanti in aziende: ricostruzione e rappresentazione degli interessi economici diretti – intesi come partecipazioni dirette o attività di direzione o controllo in imprese italiane o straniere – degli individui soggetti a dichiarazione di assenza di conflitto di interesse.</w:t>
      </w:r>
    </w:p>
    <w:p w:rsidR="00E340A1" w:rsidRDefault="00E340A1" w:rsidP="00E340A1">
      <w:pPr>
        <w:keepLines/>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contextualSpacing/>
        <w:jc w:val="both"/>
        <w:rPr>
          <w:rFonts w:ascii="Trebuchet MS" w:hAnsi="Trebuchet MS" w:cs="Trebuchet MS"/>
          <w:sz w:val="20"/>
          <w:szCs w:val="20"/>
        </w:rPr>
      </w:pPr>
    </w:p>
    <w:p w:rsidR="00E340A1" w:rsidRPr="00DA49F5" w:rsidRDefault="00E340A1" w:rsidP="00E340A1">
      <w:pPr>
        <w:keepLines/>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contextualSpacing/>
        <w:jc w:val="both"/>
        <w:rPr>
          <w:rFonts w:ascii="Trebuchet MS" w:hAnsi="Trebuchet MS" w:cs="Trebuchet MS"/>
          <w:sz w:val="20"/>
          <w:szCs w:val="20"/>
        </w:rPr>
      </w:pPr>
    </w:p>
    <w:p w:rsidR="001624BB" w:rsidRDefault="001624BB"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p>
    <w:p w:rsidR="00EE5EE5" w:rsidRDefault="00EE5EE5"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p>
    <w:p w:rsidR="00E340A1" w:rsidRPr="00D3665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lastRenderedPageBreak/>
        <w:t>Figura 3.4</w:t>
      </w:r>
      <w:r w:rsidR="00601BB6">
        <w:rPr>
          <w:rFonts w:ascii="Trebuchet MS" w:hAnsi="Trebuchet MS" w:cs="Trebuchet MS"/>
          <w:b/>
          <w:iCs/>
          <w:sz w:val="16"/>
          <w:szCs w:val="16"/>
        </w:rPr>
        <w:t>7</w:t>
      </w:r>
      <w:r w:rsidRPr="00D36655">
        <w:rPr>
          <w:rFonts w:ascii="Trebuchet MS" w:hAnsi="Trebuchet MS" w:cs="Trebuchet MS"/>
          <w:b/>
          <w:iCs/>
          <w:sz w:val="16"/>
          <w:szCs w:val="16"/>
        </w:rPr>
        <w:t xml:space="preserve"> - Mappatura dei legami diretti o ruoli rilevanti in aziende</w:t>
      </w:r>
    </w:p>
    <w:p w:rsidR="00E340A1" w:rsidRPr="00DA49F5" w:rsidRDefault="00E340A1" w:rsidP="00E340A1">
      <w:pPr>
        <w:keepLines/>
        <w:autoSpaceDE w:val="0"/>
        <w:autoSpaceDN w:val="0"/>
        <w:adjustRightInd w:val="0"/>
        <w:spacing w:after="120" w:line="276" w:lineRule="auto"/>
        <w:rPr>
          <w:rFonts w:ascii="Trebuchet MS" w:hAnsi="Trebuchet MS" w:cs="Trebuchet MS"/>
          <w:sz w:val="20"/>
          <w:szCs w:val="20"/>
        </w:rPr>
      </w:pPr>
      <w:r w:rsidRPr="00DA49F5">
        <w:rPr>
          <w:rFonts w:ascii="Trebuchet MS" w:hAnsi="Trebuchet MS" w:cs="Trebuchet MS"/>
          <w:noProof/>
          <w:sz w:val="20"/>
          <w:szCs w:val="20"/>
          <w:lang w:eastAsia="it-IT"/>
        </w:rPr>
        <w:drawing>
          <wp:anchor distT="0" distB="0" distL="114300" distR="114300" simplePos="0" relativeHeight="251672576" behindDoc="0" locked="0" layoutInCell="1" allowOverlap="1" wp14:anchorId="2DC67C64" wp14:editId="329ED85A">
            <wp:simplePos x="0" y="0"/>
            <wp:positionH relativeFrom="margin">
              <wp:align>center</wp:align>
            </wp:positionH>
            <wp:positionV relativeFrom="paragraph">
              <wp:posOffset>0</wp:posOffset>
            </wp:positionV>
            <wp:extent cx="1767770" cy="720000"/>
            <wp:effectExtent l="0" t="0" r="4445" b="4445"/>
            <wp:wrapSquare wrapText="bothSides"/>
            <wp:docPr id="50"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7770" cy="720000"/>
                    </a:xfrm>
                    <a:prstGeom prst="rect">
                      <a:avLst/>
                    </a:prstGeom>
                    <a:noFill/>
                  </pic:spPr>
                </pic:pic>
              </a:graphicData>
            </a:graphic>
          </wp:anchor>
        </w:drawing>
      </w:r>
      <w:r w:rsidRPr="00DA49F5">
        <w:rPr>
          <w:rFonts w:ascii="Trebuchet MS" w:hAnsi="Trebuchet MS" w:cs="Trebuchet MS"/>
          <w:sz w:val="20"/>
          <w:szCs w:val="20"/>
        </w:rPr>
        <w:br w:type="textWrapping" w:clear="all"/>
      </w:r>
    </w:p>
    <w:p w:rsidR="00E340A1" w:rsidRDefault="00E340A1" w:rsidP="00E340A1">
      <w:pPr>
        <w:keepLines/>
        <w:numPr>
          <w:ilvl w:val="0"/>
          <w:numId w:val="41"/>
        </w:num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hanging="357"/>
        <w:contextualSpacing/>
        <w:jc w:val="both"/>
        <w:rPr>
          <w:rFonts w:ascii="Trebuchet MS" w:hAnsi="Trebuchet MS" w:cs="Trebuchet MS"/>
          <w:sz w:val="20"/>
          <w:szCs w:val="20"/>
        </w:rPr>
      </w:pPr>
      <w:r w:rsidRPr="00DA49F5">
        <w:rPr>
          <w:rFonts w:ascii="Trebuchet MS" w:hAnsi="Trebuchet MS" w:cs="Trebuchet MS"/>
          <w:sz w:val="20"/>
          <w:szCs w:val="20"/>
        </w:rPr>
        <w:t xml:space="preserve">legami indiretti in aziende: ricostruzione e rappresentazione degli interessi economici indiretti – intesi come partecipazioni delle imprese in cui gli individui soggetti a dichiarazione di assenza di conflitto detengono ruoli diretti (identificate al punto 1). </w:t>
      </w:r>
    </w:p>
    <w:p w:rsidR="001624BB" w:rsidRDefault="001624BB" w:rsidP="001624BB">
      <w:pPr>
        <w:keepLines/>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contextualSpacing/>
        <w:jc w:val="both"/>
        <w:rPr>
          <w:rFonts w:ascii="Trebuchet MS" w:hAnsi="Trebuchet MS" w:cs="Trebuchet MS"/>
          <w:sz w:val="20"/>
          <w:szCs w:val="20"/>
        </w:rPr>
      </w:pPr>
    </w:p>
    <w:p w:rsidR="00E340A1" w:rsidRPr="00DA49F5" w:rsidRDefault="00E340A1" w:rsidP="00E340A1">
      <w:pPr>
        <w:keepLines/>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contextualSpacing/>
        <w:jc w:val="both"/>
        <w:rPr>
          <w:rFonts w:ascii="Trebuchet MS" w:hAnsi="Trebuchet MS" w:cs="Trebuchet MS"/>
          <w:sz w:val="20"/>
          <w:szCs w:val="20"/>
        </w:rPr>
      </w:pPr>
    </w:p>
    <w:p w:rsidR="00E340A1" w:rsidRPr="00D36655" w:rsidRDefault="00E340A1"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sidRPr="00D36655">
        <w:rPr>
          <w:rFonts w:ascii="Trebuchet MS" w:hAnsi="Trebuchet MS" w:cs="Trebuchet MS"/>
          <w:b/>
          <w:iCs/>
          <w:sz w:val="16"/>
          <w:szCs w:val="16"/>
        </w:rPr>
        <w:t>Figura 3.4</w:t>
      </w:r>
      <w:r w:rsidR="00601BB6">
        <w:rPr>
          <w:rFonts w:ascii="Trebuchet MS" w:hAnsi="Trebuchet MS" w:cs="Trebuchet MS"/>
          <w:b/>
          <w:iCs/>
          <w:sz w:val="16"/>
          <w:szCs w:val="16"/>
        </w:rPr>
        <w:t>8</w:t>
      </w:r>
      <w:r w:rsidRPr="00D36655">
        <w:rPr>
          <w:rFonts w:ascii="Trebuchet MS" w:hAnsi="Trebuchet MS" w:cs="Trebuchet MS"/>
          <w:b/>
          <w:iCs/>
          <w:sz w:val="16"/>
          <w:szCs w:val="16"/>
        </w:rPr>
        <w:t xml:space="preserve"> - Mappatura dei legami indiretti in aziende</w:t>
      </w:r>
    </w:p>
    <w:p w:rsidR="00E340A1" w:rsidRPr="00DA49F5" w:rsidRDefault="00E340A1" w:rsidP="00E340A1">
      <w:pPr>
        <w:keepLines/>
        <w:autoSpaceDE w:val="0"/>
        <w:autoSpaceDN w:val="0"/>
        <w:adjustRightInd w:val="0"/>
        <w:spacing w:after="120" w:line="276" w:lineRule="auto"/>
        <w:jc w:val="center"/>
        <w:rPr>
          <w:rFonts w:ascii="Trebuchet MS" w:hAnsi="Trebuchet MS" w:cs="Arial"/>
          <w:noProof/>
          <w:sz w:val="20"/>
          <w:szCs w:val="20"/>
        </w:rPr>
      </w:pPr>
      <w:r w:rsidRPr="00DA49F5">
        <w:rPr>
          <w:rFonts w:ascii="Trebuchet MS" w:hAnsi="Trebuchet MS" w:cs="Arial"/>
          <w:noProof/>
          <w:sz w:val="20"/>
          <w:szCs w:val="20"/>
          <w:lang w:eastAsia="it-IT"/>
        </w:rPr>
        <w:drawing>
          <wp:inline distT="0" distB="0" distL="0" distR="0" wp14:anchorId="12DECE3D" wp14:editId="089AAFF6">
            <wp:extent cx="1552748" cy="1080000"/>
            <wp:effectExtent l="0" t="0" r="0" b="6350"/>
            <wp:docPr id="1520802316" name="Pictur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Immagine che contiene testo&#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748" cy="1080000"/>
                    </a:xfrm>
                    <a:prstGeom prst="rect">
                      <a:avLst/>
                    </a:prstGeom>
                    <a:noFill/>
                  </pic:spPr>
                </pic:pic>
              </a:graphicData>
            </a:graphic>
          </wp:inline>
        </w:drawing>
      </w:r>
    </w:p>
    <w:p w:rsidR="00E340A1" w:rsidRPr="00DA49F5" w:rsidRDefault="00E340A1" w:rsidP="00E340A1">
      <w:pPr>
        <w:tabs>
          <w:tab w:val="left" w:pos="567"/>
          <w:tab w:val="left" w:pos="708"/>
          <w:tab w:val="left" w:pos="2124"/>
          <w:tab w:val="left" w:pos="3540"/>
          <w:tab w:val="left" w:pos="4248"/>
          <w:tab w:val="left" w:pos="4956"/>
          <w:tab w:val="left" w:pos="5664"/>
          <w:tab w:val="left" w:pos="6265"/>
          <w:tab w:val="right" w:pos="10348"/>
        </w:tabs>
        <w:spacing w:after="0" w:line="360" w:lineRule="auto"/>
        <w:ind w:right="142"/>
        <w:rPr>
          <w:rFonts w:ascii="Trebuchet MS" w:hAnsi="Trebuchet MS" w:cs="Trebuchet MS"/>
          <w:sz w:val="18"/>
          <w:szCs w:val="18"/>
        </w:rPr>
      </w:pPr>
    </w:p>
    <w:p w:rsidR="00E340A1" w:rsidRDefault="00E340A1" w:rsidP="00E340A1">
      <w:pPr>
        <w:keepLines/>
        <w:numPr>
          <w:ilvl w:val="0"/>
          <w:numId w:val="41"/>
        </w:num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hanging="357"/>
        <w:contextualSpacing/>
        <w:jc w:val="both"/>
        <w:rPr>
          <w:rFonts w:ascii="Trebuchet MS" w:hAnsi="Trebuchet MS" w:cs="Trebuchet MS"/>
          <w:sz w:val="20"/>
          <w:szCs w:val="20"/>
        </w:rPr>
      </w:pPr>
      <w:r w:rsidRPr="00DA49F5">
        <w:rPr>
          <w:rFonts w:ascii="Trebuchet MS" w:hAnsi="Trebuchet MS" w:cs="Trebuchet MS"/>
          <w:sz w:val="20"/>
          <w:szCs w:val="20"/>
        </w:rPr>
        <w:t>legami societari con persone fisiche: ricostruzione dei legami di natura societaria con persone fisiche che derivano dal congiunto esercizio di ruol</w:t>
      </w:r>
      <w:r w:rsidR="004E240C">
        <w:rPr>
          <w:rFonts w:ascii="Trebuchet MS" w:hAnsi="Trebuchet MS" w:cs="Trebuchet MS"/>
          <w:sz w:val="20"/>
          <w:szCs w:val="20"/>
        </w:rPr>
        <w:t>i di amministrazione, controllo</w:t>
      </w:r>
      <w:r w:rsidRPr="00DA49F5">
        <w:rPr>
          <w:rFonts w:ascii="Trebuchet MS" w:hAnsi="Trebuchet MS" w:cs="Trebuchet MS"/>
          <w:sz w:val="20"/>
          <w:szCs w:val="20"/>
        </w:rPr>
        <w:t xml:space="preserve"> o azionariato presso una stessa impresa (identificate ai punti 1 e 2).  Per gli individui così identificati si mappano i legami diretti e indiretti in imprese italiane o straniere.</w:t>
      </w:r>
    </w:p>
    <w:p w:rsidR="00E340A1" w:rsidRPr="00DA49F5" w:rsidRDefault="00E340A1" w:rsidP="00E340A1">
      <w:pPr>
        <w:keepLines/>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contextualSpacing/>
        <w:jc w:val="both"/>
        <w:rPr>
          <w:rFonts w:ascii="Trebuchet MS" w:hAnsi="Trebuchet MS" w:cs="Trebuchet MS"/>
          <w:sz w:val="20"/>
          <w:szCs w:val="20"/>
        </w:rPr>
      </w:pPr>
    </w:p>
    <w:p w:rsidR="00E340A1" w:rsidRPr="00D36655" w:rsidRDefault="00601BB6"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Pr>
          <w:rFonts w:ascii="Trebuchet MS" w:hAnsi="Trebuchet MS" w:cs="Trebuchet MS"/>
          <w:b/>
          <w:iCs/>
          <w:sz w:val="16"/>
          <w:szCs w:val="16"/>
        </w:rPr>
        <w:t>Figura 3.49</w:t>
      </w:r>
      <w:r w:rsidR="00E340A1" w:rsidRPr="00D36655">
        <w:rPr>
          <w:rFonts w:ascii="Trebuchet MS" w:hAnsi="Trebuchet MS" w:cs="Trebuchet MS"/>
          <w:b/>
          <w:iCs/>
          <w:sz w:val="16"/>
          <w:szCs w:val="16"/>
        </w:rPr>
        <w:t xml:space="preserve"> - Mappatura dei legami societari con persone fisiche</w:t>
      </w:r>
    </w:p>
    <w:p w:rsidR="00E340A1" w:rsidRPr="00DA49F5" w:rsidRDefault="00E340A1" w:rsidP="00E340A1">
      <w:pPr>
        <w:keepLines/>
        <w:autoSpaceDE w:val="0"/>
        <w:autoSpaceDN w:val="0"/>
        <w:adjustRightInd w:val="0"/>
        <w:spacing w:after="120" w:line="276" w:lineRule="auto"/>
        <w:jc w:val="center"/>
        <w:rPr>
          <w:rFonts w:ascii="Trebuchet MS" w:hAnsi="Trebuchet MS" w:cs="Arial"/>
          <w:noProof/>
          <w:sz w:val="20"/>
          <w:szCs w:val="20"/>
        </w:rPr>
      </w:pPr>
      <w:r w:rsidRPr="00DA49F5">
        <w:rPr>
          <w:rFonts w:ascii="Trebuchet MS" w:hAnsi="Trebuchet MS" w:cs="Arial"/>
          <w:noProof/>
          <w:sz w:val="20"/>
          <w:szCs w:val="20"/>
          <w:lang w:eastAsia="it-IT"/>
        </w:rPr>
        <w:drawing>
          <wp:inline distT="0" distB="0" distL="0" distR="0" wp14:anchorId="315D33E1" wp14:editId="5F9C0B77">
            <wp:extent cx="2458281" cy="1080000"/>
            <wp:effectExtent l="0" t="0" r="0" b="63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8281" cy="1080000"/>
                    </a:xfrm>
                    <a:prstGeom prst="rect">
                      <a:avLst/>
                    </a:prstGeom>
                    <a:noFill/>
                  </pic:spPr>
                </pic:pic>
              </a:graphicData>
            </a:graphic>
          </wp:inline>
        </w:drawing>
      </w:r>
    </w:p>
    <w:p w:rsidR="00E340A1" w:rsidRDefault="00E340A1" w:rsidP="00E340A1">
      <w:pPr>
        <w:spacing w:after="120" w:line="276" w:lineRule="auto"/>
        <w:jc w:val="center"/>
        <w:rPr>
          <w:rFonts w:ascii="Trebuchet MS" w:hAnsi="Trebuchet MS" w:cs="Trebuchet MS"/>
          <w:i/>
          <w:iCs/>
          <w:color w:val="0070C0"/>
          <w:sz w:val="16"/>
          <w:szCs w:val="16"/>
        </w:rPr>
      </w:pPr>
    </w:p>
    <w:p w:rsidR="001624BB" w:rsidRDefault="001624BB"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p>
    <w:p w:rsidR="00E340A1" w:rsidRPr="00D36655" w:rsidRDefault="00601BB6"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Pr>
          <w:rFonts w:ascii="Trebuchet MS" w:hAnsi="Trebuchet MS" w:cs="Trebuchet MS"/>
          <w:b/>
          <w:iCs/>
          <w:sz w:val="16"/>
          <w:szCs w:val="16"/>
        </w:rPr>
        <w:t>Figura 3.50</w:t>
      </w:r>
      <w:r w:rsidR="00E340A1" w:rsidRPr="00D36655">
        <w:rPr>
          <w:rFonts w:ascii="Trebuchet MS" w:hAnsi="Trebuchet MS" w:cs="Trebuchet MS"/>
          <w:b/>
          <w:iCs/>
          <w:sz w:val="16"/>
          <w:szCs w:val="16"/>
        </w:rPr>
        <w:t xml:space="preserve"> - Mappatura degli interessi economici dei legami societari con persone fisiche</w:t>
      </w:r>
    </w:p>
    <w:p w:rsidR="00E340A1" w:rsidRPr="00DA49F5" w:rsidRDefault="00E340A1" w:rsidP="00E340A1">
      <w:pPr>
        <w:keepLines/>
        <w:autoSpaceDE w:val="0"/>
        <w:autoSpaceDN w:val="0"/>
        <w:adjustRightInd w:val="0"/>
        <w:spacing w:after="120" w:line="276" w:lineRule="auto"/>
        <w:jc w:val="center"/>
        <w:rPr>
          <w:rFonts w:ascii="Trebuchet MS" w:hAnsi="Trebuchet MS" w:cs="Trebuchet MS"/>
          <w:sz w:val="20"/>
          <w:szCs w:val="20"/>
        </w:rPr>
      </w:pPr>
      <w:r w:rsidRPr="00DA49F5">
        <w:rPr>
          <w:rFonts w:ascii="Trebuchet MS" w:hAnsi="Trebuchet MS" w:cs="Trebuchet MS"/>
          <w:noProof/>
          <w:sz w:val="20"/>
          <w:szCs w:val="20"/>
          <w:lang w:eastAsia="it-IT"/>
        </w:rPr>
        <w:drawing>
          <wp:inline distT="0" distB="0" distL="0" distR="0" wp14:anchorId="0070AE13" wp14:editId="7DD2BA35">
            <wp:extent cx="3051964" cy="1080000"/>
            <wp:effectExtent l="0" t="0" r="0" b="6350"/>
            <wp:docPr id="52" name="Picture 2" descr="Immagine che contiene testo, metro,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magine che contiene testo, metro, dispositivo&#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1964" cy="1080000"/>
                    </a:xfrm>
                    <a:prstGeom prst="rect">
                      <a:avLst/>
                    </a:prstGeom>
                    <a:noFill/>
                  </pic:spPr>
                </pic:pic>
              </a:graphicData>
            </a:graphic>
          </wp:inline>
        </w:drawing>
      </w:r>
    </w:p>
    <w:p w:rsidR="00E340A1" w:rsidRDefault="00E340A1" w:rsidP="00E340A1">
      <w:pPr>
        <w:tabs>
          <w:tab w:val="left" w:pos="567"/>
          <w:tab w:val="left" w:pos="708"/>
          <w:tab w:val="left" w:pos="2124"/>
          <w:tab w:val="left" w:pos="3540"/>
          <w:tab w:val="left" w:pos="4248"/>
          <w:tab w:val="left" w:pos="4956"/>
          <w:tab w:val="left" w:pos="5664"/>
          <w:tab w:val="left" w:pos="6265"/>
          <w:tab w:val="right" w:pos="10348"/>
        </w:tabs>
        <w:spacing w:after="0" w:line="360" w:lineRule="auto"/>
        <w:ind w:right="142"/>
        <w:rPr>
          <w:rFonts w:ascii="Trebuchet MS" w:hAnsi="Trebuchet MS" w:cs="Trebuchet MS"/>
          <w:sz w:val="18"/>
          <w:szCs w:val="18"/>
        </w:rPr>
      </w:pPr>
    </w:p>
    <w:p w:rsidR="001624BB" w:rsidRPr="00DA49F5" w:rsidRDefault="001624BB" w:rsidP="00E340A1">
      <w:pPr>
        <w:tabs>
          <w:tab w:val="left" w:pos="567"/>
          <w:tab w:val="left" w:pos="708"/>
          <w:tab w:val="left" w:pos="2124"/>
          <w:tab w:val="left" w:pos="3540"/>
          <w:tab w:val="left" w:pos="4248"/>
          <w:tab w:val="left" w:pos="4956"/>
          <w:tab w:val="left" w:pos="5664"/>
          <w:tab w:val="left" w:pos="6265"/>
          <w:tab w:val="right" w:pos="10348"/>
        </w:tabs>
        <w:spacing w:after="0" w:line="360" w:lineRule="auto"/>
        <w:ind w:right="142"/>
        <w:rPr>
          <w:rFonts w:ascii="Trebuchet MS" w:hAnsi="Trebuchet MS" w:cs="Trebuchet MS"/>
          <w:sz w:val="18"/>
          <w:szCs w:val="18"/>
        </w:rPr>
      </w:pPr>
    </w:p>
    <w:p w:rsidR="00E340A1" w:rsidRDefault="00E340A1" w:rsidP="00E340A1">
      <w:pPr>
        <w:keepLines/>
        <w:numPr>
          <w:ilvl w:val="0"/>
          <w:numId w:val="41"/>
        </w:numPr>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hanging="357"/>
        <w:contextualSpacing/>
        <w:jc w:val="both"/>
        <w:rPr>
          <w:rFonts w:ascii="Trebuchet MS" w:hAnsi="Trebuchet MS" w:cs="Trebuchet MS"/>
          <w:sz w:val="20"/>
          <w:szCs w:val="20"/>
        </w:rPr>
      </w:pPr>
      <w:r w:rsidRPr="00DA49F5">
        <w:rPr>
          <w:rFonts w:ascii="Trebuchet MS" w:hAnsi="Trebuchet MS" w:cs="Trebuchet MS"/>
          <w:sz w:val="20"/>
          <w:szCs w:val="20"/>
        </w:rPr>
        <w:t>legami catastali: ricostruzione dei legami con altre persone derivanti dalla condivisione del possesso di fabbricati e terreni. Per le persone individuate si mappano i legami diretti e indiretti in aziende italiane e straniere.</w:t>
      </w:r>
    </w:p>
    <w:p w:rsidR="00E340A1" w:rsidRPr="00DA49F5" w:rsidRDefault="00E340A1" w:rsidP="00E340A1">
      <w:pPr>
        <w:keepLines/>
        <w:tabs>
          <w:tab w:val="left" w:pos="567"/>
          <w:tab w:val="left" w:pos="708"/>
          <w:tab w:val="left" w:pos="2124"/>
          <w:tab w:val="left" w:pos="3540"/>
          <w:tab w:val="left" w:pos="4248"/>
          <w:tab w:val="left" w:pos="4956"/>
          <w:tab w:val="left" w:pos="5664"/>
          <w:tab w:val="left" w:pos="6265"/>
          <w:tab w:val="right" w:pos="10348"/>
        </w:tabs>
        <w:autoSpaceDE w:val="0"/>
        <w:autoSpaceDN w:val="0"/>
        <w:adjustRightInd w:val="0"/>
        <w:spacing w:after="120" w:line="276" w:lineRule="auto"/>
        <w:ind w:left="357" w:right="142"/>
        <w:contextualSpacing/>
        <w:jc w:val="both"/>
        <w:rPr>
          <w:rFonts w:ascii="Trebuchet MS" w:hAnsi="Trebuchet MS" w:cs="Trebuchet MS"/>
          <w:sz w:val="20"/>
          <w:szCs w:val="20"/>
        </w:rPr>
      </w:pPr>
    </w:p>
    <w:p w:rsidR="00E340A1" w:rsidRPr="00D36655" w:rsidRDefault="00601BB6" w:rsidP="00E340A1">
      <w:pPr>
        <w:tabs>
          <w:tab w:val="left" w:pos="567"/>
          <w:tab w:val="left" w:pos="708"/>
          <w:tab w:val="left" w:pos="2124"/>
          <w:tab w:val="left" w:pos="3540"/>
          <w:tab w:val="left" w:pos="4248"/>
          <w:tab w:val="left" w:pos="4956"/>
          <w:tab w:val="left" w:pos="5664"/>
          <w:tab w:val="left" w:pos="6265"/>
          <w:tab w:val="right" w:pos="10348"/>
        </w:tabs>
        <w:spacing w:after="120" w:line="276" w:lineRule="auto"/>
        <w:jc w:val="center"/>
        <w:rPr>
          <w:rFonts w:ascii="Trebuchet MS" w:hAnsi="Trebuchet MS" w:cs="Trebuchet MS"/>
          <w:b/>
          <w:iCs/>
          <w:sz w:val="16"/>
          <w:szCs w:val="16"/>
        </w:rPr>
      </w:pPr>
      <w:r>
        <w:rPr>
          <w:rFonts w:ascii="Trebuchet MS" w:hAnsi="Trebuchet MS" w:cs="Trebuchet MS"/>
          <w:b/>
          <w:iCs/>
          <w:sz w:val="16"/>
          <w:szCs w:val="16"/>
        </w:rPr>
        <w:t>Figura 3.51</w:t>
      </w:r>
      <w:r w:rsidR="00E340A1" w:rsidRPr="00D36655">
        <w:rPr>
          <w:rFonts w:ascii="Trebuchet MS" w:hAnsi="Trebuchet MS" w:cs="Trebuchet MS"/>
          <w:b/>
          <w:iCs/>
          <w:sz w:val="16"/>
          <w:szCs w:val="16"/>
        </w:rPr>
        <w:t xml:space="preserve"> - Mappatura dei legami catastali diretti</w:t>
      </w:r>
    </w:p>
    <w:bookmarkEnd w:id="13"/>
    <w:bookmarkEnd w:id="14"/>
    <w:bookmarkEnd w:id="15"/>
    <w:p w:rsidR="002309F7" w:rsidRPr="00F86780" w:rsidRDefault="002309F7" w:rsidP="002309F7">
      <w:pPr>
        <w:spacing w:after="120" w:line="276" w:lineRule="auto"/>
        <w:jc w:val="both"/>
        <w:rPr>
          <w:rFonts w:ascii="Trebuchet MS" w:eastAsia="Calibri" w:hAnsi="Trebuchet MS"/>
          <w:b/>
          <w:i/>
          <w:sz w:val="20"/>
          <w:szCs w:val="20"/>
        </w:rPr>
      </w:pPr>
    </w:p>
    <w:p w:rsidR="008A7411" w:rsidRPr="002309F7" w:rsidRDefault="008A7411" w:rsidP="00750D3F">
      <w:pPr>
        <w:spacing w:after="120" w:line="276" w:lineRule="auto"/>
        <w:jc w:val="center"/>
        <w:rPr>
          <w:rFonts w:ascii="Trebuchet MS" w:eastAsia="Calibri" w:hAnsi="Trebuchet MS"/>
          <w:b/>
          <w:sz w:val="16"/>
          <w:szCs w:val="16"/>
        </w:rPr>
      </w:pPr>
      <w:r w:rsidRPr="002309F7">
        <w:rPr>
          <w:rFonts w:ascii="Trebuchet MS" w:eastAsia="Calibri" w:hAnsi="Trebuchet MS"/>
          <w:b/>
          <w:sz w:val="16"/>
          <w:szCs w:val="16"/>
        </w:rPr>
        <w:t>Figura 5.</w:t>
      </w:r>
      <w:r w:rsidR="00F86780" w:rsidRPr="002309F7">
        <w:rPr>
          <w:rFonts w:ascii="Trebuchet MS" w:eastAsia="Calibri" w:hAnsi="Trebuchet MS"/>
          <w:b/>
          <w:sz w:val="16"/>
          <w:szCs w:val="16"/>
        </w:rPr>
        <w:t>6</w:t>
      </w:r>
      <w:r w:rsidRPr="002309F7">
        <w:rPr>
          <w:rFonts w:ascii="Trebuchet MS" w:eastAsia="Calibri" w:hAnsi="Trebuchet MS"/>
          <w:b/>
          <w:sz w:val="16"/>
          <w:szCs w:val="16"/>
        </w:rPr>
        <w:t xml:space="preserve"> Analisi comparata per categoria di servizi a maggiore impatto nel 2022</w:t>
      </w:r>
    </w:p>
    <w:p w:rsidR="008A7411" w:rsidRPr="003336B2" w:rsidRDefault="008A7411" w:rsidP="00750D3F">
      <w:pPr>
        <w:spacing w:after="120" w:line="276" w:lineRule="auto"/>
        <w:jc w:val="center"/>
        <w:rPr>
          <w:rFonts w:ascii="Trebuchet MS" w:eastAsia="Calibri" w:hAnsi="Trebuchet MS"/>
          <w:i/>
          <w:sz w:val="20"/>
          <w:szCs w:val="20"/>
        </w:rPr>
      </w:pPr>
      <w:r w:rsidRPr="003336B2">
        <w:rPr>
          <w:rFonts w:ascii="Trebuchet MS" w:eastAsia="Calibri" w:hAnsi="Trebuchet MS"/>
          <w:i/>
          <w:noProof/>
          <w:sz w:val="20"/>
          <w:szCs w:val="20"/>
          <w:lang w:eastAsia="it-IT"/>
        </w:rPr>
        <w:drawing>
          <wp:inline distT="0" distB="0" distL="0" distR="0" wp14:anchorId="719CC4CC" wp14:editId="2636B4EE">
            <wp:extent cx="5735266" cy="3881120"/>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0959" cy="3884972"/>
                    </a:xfrm>
                    <a:prstGeom prst="rect">
                      <a:avLst/>
                    </a:prstGeom>
                    <a:noFill/>
                  </pic:spPr>
                </pic:pic>
              </a:graphicData>
            </a:graphic>
          </wp:inline>
        </w:drawing>
      </w:r>
    </w:p>
    <w:p w:rsidR="008A7411" w:rsidRPr="006861DF" w:rsidRDefault="008A7411" w:rsidP="00750D3F">
      <w:pPr>
        <w:spacing w:after="120" w:line="276" w:lineRule="auto"/>
        <w:jc w:val="center"/>
        <w:rPr>
          <w:rFonts w:ascii="Trebuchet MS" w:eastAsia="Calibri" w:hAnsi="Trebuchet MS"/>
          <w:i/>
          <w:sz w:val="16"/>
          <w:szCs w:val="16"/>
        </w:rPr>
      </w:pPr>
      <w:r w:rsidRPr="006861DF">
        <w:rPr>
          <w:rFonts w:ascii="Trebuchet MS" w:eastAsia="Calibri" w:hAnsi="Trebuchet MS"/>
          <w:i/>
          <w:sz w:val="16"/>
          <w:szCs w:val="16"/>
        </w:rPr>
        <w:t>Fonte</w:t>
      </w:r>
      <w:r w:rsidRPr="0064445C">
        <w:rPr>
          <w:rFonts w:ascii="Trebuchet MS" w:eastAsia="Calibri" w:hAnsi="Trebuchet MS"/>
          <w:i/>
          <w:sz w:val="16"/>
          <w:szCs w:val="16"/>
        </w:rPr>
        <w:t>: ANAC</w:t>
      </w:r>
      <w:r>
        <w:rPr>
          <w:rFonts w:ascii="Trebuchet MS" w:eastAsia="Calibri" w:hAnsi="Trebuchet MS"/>
          <w:i/>
          <w:sz w:val="16"/>
          <w:szCs w:val="16"/>
        </w:rPr>
        <w:t xml:space="preserve"> </w:t>
      </w:r>
    </w:p>
    <w:p w:rsidR="008A7411" w:rsidRPr="003336B2" w:rsidRDefault="008A7411" w:rsidP="00750D3F">
      <w:pPr>
        <w:spacing w:after="120" w:line="276" w:lineRule="auto"/>
        <w:jc w:val="both"/>
        <w:rPr>
          <w:rFonts w:ascii="Trebuchet MS" w:eastAsia="Calibri" w:hAnsi="Trebuchet MS"/>
          <w:sz w:val="20"/>
          <w:szCs w:val="20"/>
        </w:rPr>
      </w:pPr>
    </w:p>
    <w:p w:rsidR="008A7411" w:rsidRPr="00F86780" w:rsidRDefault="008A7411" w:rsidP="00750D3F">
      <w:pPr>
        <w:spacing w:after="120" w:line="276" w:lineRule="auto"/>
        <w:jc w:val="both"/>
        <w:rPr>
          <w:rFonts w:ascii="Trebuchet MS" w:eastAsia="Calibri" w:hAnsi="Trebuchet MS"/>
          <w:sz w:val="20"/>
          <w:szCs w:val="20"/>
        </w:rPr>
      </w:pPr>
      <w:r w:rsidRPr="00F86780">
        <w:rPr>
          <w:rFonts w:ascii="Trebuchet MS" w:eastAsia="Calibri" w:hAnsi="Trebuchet MS"/>
          <w:sz w:val="20"/>
          <w:szCs w:val="20"/>
        </w:rPr>
        <w:t>La tabella 5.</w:t>
      </w:r>
      <w:r w:rsidR="00F86780" w:rsidRPr="00F86780">
        <w:rPr>
          <w:rFonts w:ascii="Trebuchet MS" w:eastAsia="Calibri" w:hAnsi="Trebuchet MS"/>
          <w:sz w:val="20"/>
          <w:szCs w:val="20"/>
        </w:rPr>
        <w:t>7</w:t>
      </w:r>
      <w:r w:rsidRPr="00F86780">
        <w:rPr>
          <w:rFonts w:ascii="Trebuchet MS" w:eastAsia="Calibri" w:hAnsi="Trebuchet MS"/>
          <w:sz w:val="20"/>
          <w:szCs w:val="20"/>
        </w:rPr>
        <w:t xml:space="preserve"> evidenzia la distribuzione dei contratti, nei settori ordinari e speciali, per classi di importo.</w:t>
      </w:r>
    </w:p>
    <w:p w:rsidR="001276AF" w:rsidRPr="005426B3" w:rsidRDefault="008A7411" w:rsidP="005426B3">
      <w:pPr>
        <w:spacing w:after="120" w:line="276" w:lineRule="auto"/>
        <w:jc w:val="both"/>
        <w:rPr>
          <w:rFonts w:ascii="Trebuchet MS" w:eastAsia="Calibri" w:hAnsi="Trebuchet MS"/>
          <w:b/>
          <w:sz w:val="20"/>
          <w:szCs w:val="20"/>
        </w:rPr>
      </w:pPr>
      <w:r w:rsidRPr="00F86780">
        <w:rPr>
          <w:rFonts w:ascii="Trebuchet MS" w:eastAsia="Calibri" w:hAnsi="Trebuchet MS"/>
          <w:sz w:val="20"/>
          <w:szCs w:val="20"/>
        </w:rPr>
        <w:t>Rispetto al 2021, per i settori ordinari (in leggero aumento in termini di numerosità di appalti +2,9%) si verifica un aumento in termini di importo (+35,7%). Come mostrano i dati per i settori ordinari, per fascia di importo, si ha, in particolare, un aumento del 61,2% del valore rappresentato dalla fascia di importo più alta (≥ € 25.000.000) ed un aumento del 30,5% per la fascia ≥ € 5.000.000 &lt; € 25.000.000. I contratti nei settori speciali, invece, seppur in lieve diminuzione in termini numerici (-0,4%) rispetto al precedente anno, registrano un rilevante aumento, del 52,5% in termini di importo. Come mostrano i dati per fascia di importo, questo è dovuto ad un incremento dei contratti per la fascia di importo ≥ € 5.000.000 &lt; € 25.000.000 (+18,2%), e per la fascia ≥ € 25.000.000</w:t>
      </w:r>
      <w:r w:rsidR="005426B3">
        <w:rPr>
          <w:rFonts w:ascii="Trebuchet MS" w:eastAsia="Calibri" w:hAnsi="Trebuchet MS"/>
          <w:sz w:val="20"/>
          <w:szCs w:val="20"/>
        </w:rPr>
        <w:t xml:space="preserve"> (+85,3%)</w:t>
      </w:r>
      <w:bookmarkStart w:id="16" w:name="_GoBack"/>
      <w:bookmarkEnd w:id="16"/>
    </w:p>
    <w:sectPr w:rsidR="001276AF" w:rsidRPr="005426B3">
      <w:footerReference w:type="defaul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0AA" w:rsidRDefault="008B10AA" w:rsidP="000A60D9">
      <w:pPr>
        <w:spacing w:after="0" w:line="240" w:lineRule="auto"/>
      </w:pPr>
      <w:r>
        <w:separator/>
      </w:r>
    </w:p>
  </w:endnote>
  <w:endnote w:type="continuationSeparator" w:id="0">
    <w:p w:rsidR="008B10AA" w:rsidRDefault="008B10AA" w:rsidP="000A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illium">
    <w:panose1 w:val="00000500000000000000"/>
    <w:charset w:val="00"/>
    <w:family w:val="modern"/>
    <w:notTrueType/>
    <w:pitch w:val="variable"/>
    <w:sig w:usb0="00000007" w:usb1="00000001" w:usb2="00000000" w:usb3="00000000" w:csb0="00000093" w:csb1="00000000"/>
  </w:font>
  <w:font w:name="Titillium Web">
    <w:altName w:val="Times New Roman"/>
    <w:charset w:val="4D"/>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ource Sans Pro">
    <w:altName w:val="Corbel"/>
    <w:charset w:val="00"/>
    <w:family w:val="swiss"/>
    <w:pitch w:val="variable"/>
    <w:sig w:usb0="00000001" w:usb1="00000001" w:usb2="00000000" w:usb3="00000000" w:csb0="00000193" w:csb1="00000000"/>
  </w:font>
  <w:font w:name="Gotham Book">
    <w:panose1 w:val="00000000000000000000"/>
    <w:charset w:val="00"/>
    <w:family w:val="modern"/>
    <w:notTrueType/>
    <w:pitch w:val="variable"/>
    <w:sig w:usb0="A00000AF"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unga">
    <w:panose1 w:val="00000400000000000000"/>
    <w:charset w:val="01"/>
    <w:family w:val="roman"/>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oncini Garamond">
    <w:altName w:val="Liberation Mono"/>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Gotham Light">
    <w:panose1 w:val="00000000000000000000"/>
    <w:charset w:val="00"/>
    <w:family w:val="modern"/>
    <w:notTrueType/>
    <w:pitch w:val="variable"/>
    <w:sig w:usb0="A00000AF" w:usb1="50000048" w:usb2="00000000" w:usb3="00000000" w:csb0="00000111" w:csb1="00000000"/>
  </w:font>
  <w:font w:name="ArialNarrow">
    <w:altName w:val="Arial"/>
    <w:panose1 w:val="00000000000000000000"/>
    <w:charset w:val="4D"/>
    <w:family w:val="auto"/>
    <w:notTrueType/>
    <w:pitch w:val="default"/>
    <w:sig w:usb0="00000003" w:usb1="00000000" w:usb2="00000000" w:usb3="00000000" w:csb0="00000001" w:csb1="00000000"/>
  </w:font>
  <w:font w:name="Titillium-Regular">
    <w:altName w:val="Yu Gothic"/>
    <w:panose1 w:val="000005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480335"/>
      <w:docPartObj>
        <w:docPartGallery w:val="Page Numbers (Bottom of Page)"/>
        <w:docPartUnique/>
      </w:docPartObj>
    </w:sdtPr>
    <w:sdtEndPr/>
    <w:sdtContent>
      <w:p w:rsidR="001569E5" w:rsidRDefault="001569E5">
        <w:pPr>
          <w:pStyle w:val="Pidipagina"/>
          <w:jc w:val="center"/>
        </w:pPr>
        <w:r>
          <w:fldChar w:fldCharType="begin"/>
        </w:r>
        <w:r>
          <w:instrText>PAGE   \* MERGEFORMAT</w:instrText>
        </w:r>
        <w:r>
          <w:fldChar w:fldCharType="separate"/>
        </w:r>
        <w:r w:rsidR="005426B3">
          <w:rPr>
            <w:noProof/>
          </w:rPr>
          <w:t>21</w:t>
        </w:r>
        <w:r>
          <w:fldChar w:fldCharType="end"/>
        </w:r>
      </w:p>
    </w:sdtContent>
  </w:sdt>
  <w:p w:rsidR="001569E5" w:rsidRDefault="001569E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0AA" w:rsidRDefault="008B10AA" w:rsidP="000A60D9">
      <w:pPr>
        <w:spacing w:after="0" w:line="240" w:lineRule="auto"/>
      </w:pPr>
      <w:r>
        <w:separator/>
      </w:r>
    </w:p>
  </w:footnote>
  <w:footnote w:type="continuationSeparator" w:id="0">
    <w:p w:rsidR="008B10AA" w:rsidRDefault="008B10AA" w:rsidP="000A60D9">
      <w:pPr>
        <w:spacing w:after="0" w:line="240" w:lineRule="auto"/>
      </w:pPr>
      <w:r>
        <w:continuationSeparator/>
      </w:r>
    </w:p>
  </w:footnote>
  <w:footnote w:id="1">
    <w:p w:rsidR="001569E5" w:rsidRPr="00B4393D" w:rsidRDefault="001569E5" w:rsidP="00E340A1">
      <w:pPr>
        <w:pStyle w:val="Testonotaapidipagina"/>
        <w:jc w:val="both"/>
        <w:rPr>
          <w:rFonts w:ascii="Trebuchet MS" w:hAnsi="Trebuchet MS"/>
          <w:sz w:val="16"/>
          <w:szCs w:val="16"/>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Legge 6 novembre 2012, n. 190, </w:t>
      </w:r>
      <w:r w:rsidRPr="00B4393D">
        <w:rPr>
          <w:rFonts w:ascii="Trebuchet MS" w:hAnsi="Trebuchet MS"/>
          <w:i/>
          <w:sz w:val="16"/>
          <w:szCs w:val="16"/>
        </w:rPr>
        <w:t>“Disposizioni per la prevenzione e la repressione della corruzione e dell’illegalità nella pubblica amministrazione”.</w:t>
      </w:r>
    </w:p>
  </w:footnote>
  <w:footnote w:id="2">
    <w:p w:rsidR="001569E5" w:rsidRPr="00A54256" w:rsidRDefault="001569E5" w:rsidP="00E340A1">
      <w:pPr>
        <w:pStyle w:val="Testonotaapidipagina"/>
        <w:jc w:val="both"/>
        <w:rPr>
          <w:rFonts w:ascii="Trebuchet MS" w:hAnsi="Trebuchet MS"/>
          <w:sz w:val="18"/>
          <w:szCs w:val="18"/>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Decreto-legge 9 giugno 2021, n. 80, </w:t>
      </w:r>
      <w:r w:rsidRPr="00B4393D">
        <w:rPr>
          <w:rFonts w:ascii="Trebuchet MS" w:hAnsi="Trebuchet MS"/>
          <w:i/>
          <w:sz w:val="16"/>
          <w:szCs w:val="16"/>
        </w:rPr>
        <w:t>“Misure urgenti per il rafforzamento della capacità amministrativa delle pubbliche amministrazioni funzionale all’attuazione del Piano nazionale di ripresa e resilienza (PNRR) e per l’efficienza della giustizia”</w:t>
      </w:r>
      <w:r w:rsidRPr="00B4393D">
        <w:rPr>
          <w:rFonts w:ascii="Trebuchet MS" w:hAnsi="Trebuchet MS"/>
          <w:sz w:val="16"/>
          <w:szCs w:val="16"/>
        </w:rPr>
        <w:t>, convertito con modificazioni dalla legge 6 agosto 2021, n. 113.</w:t>
      </w:r>
    </w:p>
  </w:footnote>
  <w:footnote w:id="3">
    <w:p w:rsidR="001569E5" w:rsidRPr="00B4393D" w:rsidRDefault="001569E5" w:rsidP="00650FCD">
      <w:pPr>
        <w:pStyle w:val="Testonotaapidipagina"/>
        <w:jc w:val="both"/>
        <w:rPr>
          <w:rFonts w:ascii="Trebuchet MS" w:hAnsi="Trebuchet MS"/>
          <w:sz w:val="16"/>
          <w:szCs w:val="16"/>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Decreto-legge </w:t>
      </w:r>
      <w:r w:rsidRPr="00B4393D">
        <w:rPr>
          <w:rFonts w:ascii="Trebuchet MS" w:hAnsi="Trebuchet MS"/>
          <w:bCs/>
          <w:sz w:val="16"/>
          <w:szCs w:val="16"/>
        </w:rPr>
        <w:t xml:space="preserve">18 aprile 2019, n. 32, </w:t>
      </w:r>
      <w:r w:rsidRPr="00B4393D">
        <w:rPr>
          <w:rFonts w:ascii="Trebuchet MS" w:hAnsi="Trebuchet MS"/>
          <w:bCs/>
          <w:i/>
          <w:sz w:val="16"/>
          <w:szCs w:val="16"/>
        </w:rPr>
        <w:t>“Disposizioni urgenti per il rilancio del settore dei contratti pubblici, per l’accelerazione degli interventi infrastrutturali, di rigenerazione urbana e di ricostruzione a seguito di eventi sismici”</w:t>
      </w:r>
      <w:r w:rsidRPr="00B4393D">
        <w:rPr>
          <w:rFonts w:ascii="Trebuchet MS" w:hAnsi="Trebuchet MS"/>
          <w:bCs/>
          <w:sz w:val="16"/>
          <w:szCs w:val="16"/>
        </w:rPr>
        <w:t>, convertito con modificazioni dalla legge 14 giugno 2019, n. 55.</w:t>
      </w:r>
    </w:p>
  </w:footnote>
  <w:footnote w:id="4">
    <w:p w:rsidR="001569E5" w:rsidRPr="00B4393D" w:rsidRDefault="001569E5" w:rsidP="00E340A1">
      <w:pPr>
        <w:pStyle w:val="Testonotaapidipagina"/>
        <w:jc w:val="both"/>
        <w:rPr>
          <w:rFonts w:ascii="Trebuchet MS" w:hAnsi="Trebuchet MS"/>
          <w:sz w:val="16"/>
          <w:szCs w:val="16"/>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Si tratta nel dettaglio di: n. 2 Ministeri; Conferenza delle Regioni e delle Province autonome; Conferenza dei Presidenti delle Assemblee legislative delle Regioni e delle Province autonome; Associazione Nazionale Comuni Italiani (ANCI); Banca d’Italia Eurosistema – Unità di Informazione Finanziaria (UIF); Agenzia delle Entrate (AdE); Agenzie delle Dogane e dei Monopoli (ADM); n. 10 Regioni, n. 1 Comune; n. 1 Università; Convegno dei Direttori Generali delle Università (CODAU); n. 3 enti ed aziende del Sevizio sanitario; n. 1. dipendente pubblico; n. 1 privato cittadino; n. 3 liberi professionisti; n. 2 Ordini e collegi professionali; n. 1 Autorità di sistema portuale; n. 4 Organizzazioni rappresentative della società civile.</w:t>
      </w:r>
    </w:p>
  </w:footnote>
  <w:footnote w:id="5">
    <w:p w:rsidR="001569E5" w:rsidRPr="00B4393D" w:rsidRDefault="001569E5" w:rsidP="00E340A1">
      <w:pPr>
        <w:pStyle w:val="Testonotaapidipagina"/>
        <w:jc w:val="both"/>
        <w:rPr>
          <w:rFonts w:ascii="Trebuchet MS" w:hAnsi="Trebuchet MS"/>
          <w:sz w:val="16"/>
          <w:szCs w:val="16"/>
        </w:rPr>
      </w:pPr>
      <w:r w:rsidRPr="00B4393D">
        <w:rPr>
          <w:rStyle w:val="Rimandonotaapidipagina"/>
          <w:rFonts w:ascii="Trebuchet MS" w:hAnsi="Trebuchet MS"/>
          <w:sz w:val="16"/>
          <w:szCs w:val="16"/>
        </w:rPr>
        <w:footnoteRef/>
      </w:r>
      <w:r w:rsidRPr="00B4393D">
        <w:rPr>
          <w:rStyle w:val="Rimandonotaapidipagina"/>
          <w:rFonts w:ascii="Trebuchet MS" w:hAnsi="Trebuchet MS"/>
          <w:sz w:val="16"/>
          <w:szCs w:val="16"/>
        </w:rPr>
        <w:t xml:space="preserve"> </w:t>
      </w:r>
      <w:r w:rsidRPr="00B4393D">
        <w:rPr>
          <w:rFonts w:ascii="Trebuchet MS" w:hAnsi="Trebuchet MS"/>
          <w:sz w:val="16"/>
          <w:szCs w:val="16"/>
        </w:rPr>
        <w:t xml:space="preserve">Per la parte generale sono stati predisposti i seguenti allegati: il primo contiene una </w:t>
      </w:r>
      <w:r w:rsidRPr="00B4393D">
        <w:rPr>
          <w:rFonts w:ascii="Trebuchet MS" w:hAnsi="Trebuchet MS"/>
          <w:i/>
          <w:sz w:val="16"/>
          <w:szCs w:val="16"/>
        </w:rPr>
        <w:t>check-list</w:t>
      </w:r>
      <w:r w:rsidRPr="00B4393D">
        <w:rPr>
          <w:rFonts w:ascii="Trebuchet MS" w:hAnsi="Trebuchet MS"/>
          <w:sz w:val="16"/>
          <w:szCs w:val="16"/>
        </w:rPr>
        <w:t xml:space="preserve"> per la predisposizione del PTPCT e della sezione anticorruzione e trasparenza del PIAO; il secondo fornisce un modello per costruire la sezione dedicata alla trasparenza del PTPCT o del PIAO; il terzo attiene al RPCT e alla struttura di supporto; il quarto contiene una ricognizione delle semplificazioni vigenti in materia di prevenzione della corruzione e di trasparenza per i Comuni con popolazione inferiore a 15.000 e 5.000, per le Unioni di Comuni, per le Convenzioni di Comuni.</w:t>
      </w:r>
    </w:p>
  </w:footnote>
  <w:footnote w:id="6">
    <w:p w:rsidR="001569E5" w:rsidRPr="0092206B" w:rsidRDefault="001569E5" w:rsidP="00E340A1">
      <w:pPr>
        <w:pStyle w:val="Testonotaapidipagina"/>
        <w:jc w:val="both"/>
        <w:rPr>
          <w:rFonts w:ascii="Trebuchet MS" w:hAnsi="Trebuchet MS"/>
          <w:sz w:val="18"/>
          <w:szCs w:val="18"/>
        </w:rPr>
      </w:pPr>
      <w:r w:rsidRPr="00B4393D">
        <w:rPr>
          <w:rStyle w:val="Rimandonotaapidipagina"/>
          <w:rFonts w:ascii="Trebuchet MS" w:hAnsi="Trebuchet MS"/>
          <w:sz w:val="16"/>
          <w:szCs w:val="16"/>
        </w:rPr>
        <w:footnoteRef/>
      </w:r>
      <w:r w:rsidRPr="00B4393D">
        <w:rPr>
          <w:rStyle w:val="Rimandonotaapidipagina"/>
          <w:rFonts w:ascii="Trebuchet MS" w:hAnsi="Trebuchet MS"/>
          <w:sz w:val="16"/>
          <w:szCs w:val="16"/>
        </w:rPr>
        <w:t xml:space="preserve"> </w:t>
      </w:r>
      <w:r w:rsidRPr="00B4393D">
        <w:rPr>
          <w:rFonts w:ascii="Trebuchet MS" w:hAnsi="Trebuchet MS"/>
          <w:sz w:val="16"/>
          <w:szCs w:val="16"/>
        </w:rPr>
        <w:t xml:space="preserve">Per la parte speciale dedicata ai contratti pubblici, sono stati invece elaborati i seguenti Allegati: il quinto contiene un indice ragionato delle deroghe e delle modifiche alla disciplina dei contratti pubblici; il sesto è un’appendice normativa sul regime derogatorio dei contratti pubblici; il settimo è dedicato ai contenuti del bando tipo ANAC n. 1/2021; l’ottavo contiene cinque diverse </w:t>
      </w:r>
      <w:r w:rsidRPr="00B4393D">
        <w:rPr>
          <w:rFonts w:ascii="Trebuchet MS" w:hAnsi="Trebuchet MS"/>
          <w:i/>
          <w:sz w:val="16"/>
          <w:szCs w:val="16"/>
        </w:rPr>
        <w:t>check-lis</w:t>
      </w:r>
      <w:r w:rsidRPr="00B4393D">
        <w:rPr>
          <w:rFonts w:ascii="Trebuchet MS" w:hAnsi="Trebuchet MS"/>
          <w:sz w:val="16"/>
          <w:szCs w:val="16"/>
        </w:rPr>
        <w:t xml:space="preserve">t per cinque diverse tipologie di affidamenti che secondo ANAC possono comportare maggiori rischi corruttivi o di </w:t>
      </w:r>
      <w:r w:rsidRPr="00B4393D">
        <w:rPr>
          <w:rFonts w:ascii="Trebuchet MS" w:hAnsi="Trebuchet MS"/>
          <w:i/>
          <w:sz w:val="16"/>
          <w:szCs w:val="16"/>
        </w:rPr>
        <w:t>maladministration</w:t>
      </w:r>
      <w:r w:rsidRPr="00B4393D">
        <w:rPr>
          <w:rFonts w:ascii="Trebuchet MS" w:hAnsi="Trebuchet MS"/>
          <w:sz w:val="16"/>
          <w:szCs w:val="16"/>
        </w:rPr>
        <w:t>: a) affidamento diretto; b) procedura negoziata per i servizi e le forniture; c) procedura negoziata per i lavori; d) procedure in deroga; e) procedure attinenti alla modifica dei contratti e alle varianti in corso d’opera; il nono fornisce l’elenco degli obblighi di pubblicazione nella sezione “Amministrazione trasparente”, sottosezione “Bandi di gara e contratti” sostitutivo dell’allegato 1) delle delibere ANAC n. 1310/2016 e n. 1134/2017, nella parte in cui elenca i dati da pubblicare per i contratti pubblici; il decimo si riferisce ai Commissari straordinari; l’undicesimo dà conto degli esiti sintetici dell’analisi dei dati tratti dalla Piattaforma ANAC sui PTPCT del 2021 inseriti alla data del 15 marzo 2022.</w:t>
      </w:r>
    </w:p>
  </w:footnote>
  <w:footnote w:id="7">
    <w:p w:rsidR="001569E5" w:rsidRPr="00B4393D" w:rsidRDefault="001569E5" w:rsidP="00E340A1">
      <w:pPr>
        <w:pStyle w:val="Testonotaapidipagina"/>
        <w:rPr>
          <w:rFonts w:ascii="Trebuchet MS" w:hAnsi="Trebuchet MS"/>
          <w:sz w:val="16"/>
          <w:szCs w:val="16"/>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Decreto legislativo 7 marzo 2005, n. 82, </w:t>
      </w:r>
      <w:r w:rsidRPr="00B4393D">
        <w:rPr>
          <w:rFonts w:ascii="Trebuchet MS" w:hAnsi="Trebuchet MS"/>
          <w:i/>
          <w:sz w:val="16"/>
          <w:szCs w:val="16"/>
        </w:rPr>
        <w:t>“Codice dell’amministrazione digitale”.</w:t>
      </w:r>
    </w:p>
  </w:footnote>
  <w:footnote w:id="8">
    <w:p w:rsidR="001569E5" w:rsidRPr="00B4393D" w:rsidRDefault="001569E5" w:rsidP="00E340A1">
      <w:pPr>
        <w:pStyle w:val="Testonotaapidipagina"/>
        <w:jc w:val="both"/>
        <w:rPr>
          <w:rFonts w:ascii="Trebuchet MS" w:hAnsi="Trebuchet MS"/>
          <w:sz w:val="16"/>
          <w:szCs w:val="16"/>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Cfr. Documento “</w:t>
      </w:r>
      <w:r w:rsidRPr="00B4393D">
        <w:rPr>
          <w:rFonts w:ascii="Trebuchet MS" w:hAnsi="Trebuchet MS"/>
          <w:i/>
          <w:sz w:val="16"/>
          <w:szCs w:val="16"/>
        </w:rPr>
        <w:t>Orientamenti per la pianificazione Anticorruzione e Trasparenza 2022”</w:t>
      </w:r>
      <w:r w:rsidRPr="00B4393D">
        <w:rPr>
          <w:rFonts w:ascii="Trebuchet MS" w:hAnsi="Trebuchet MS"/>
          <w:sz w:val="16"/>
          <w:szCs w:val="16"/>
        </w:rPr>
        <w:t xml:space="preserve"> presentato il 3 febbraio 2022, durante il </w:t>
      </w:r>
      <w:r w:rsidRPr="00B4393D">
        <w:rPr>
          <w:rFonts w:ascii="Trebuchet MS" w:hAnsi="Trebuchet MS"/>
          <w:i/>
          <w:sz w:val="16"/>
          <w:szCs w:val="16"/>
        </w:rPr>
        <w:t>webinar</w:t>
      </w:r>
      <w:r w:rsidRPr="00B4393D">
        <w:rPr>
          <w:rFonts w:ascii="Trebuchet MS" w:hAnsi="Trebuchet MS"/>
          <w:sz w:val="16"/>
          <w:szCs w:val="16"/>
        </w:rPr>
        <w:t xml:space="preserve"> “</w:t>
      </w:r>
      <w:r w:rsidRPr="00B4393D">
        <w:rPr>
          <w:rFonts w:ascii="Trebuchet MS" w:hAnsi="Trebuchet MS"/>
          <w:i/>
          <w:sz w:val="16"/>
          <w:szCs w:val="16"/>
        </w:rPr>
        <w:t>Sull’onda della semplificazione e della trasparenza</w:t>
      </w:r>
      <w:r w:rsidRPr="00B4393D">
        <w:rPr>
          <w:rFonts w:ascii="Trebuchet MS" w:hAnsi="Trebuchet MS"/>
          <w:sz w:val="16"/>
          <w:szCs w:val="16"/>
        </w:rPr>
        <w:t xml:space="preserve">” disponibile sul sito </w:t>
      </w:r>
      <w:hyperlink r:id="rId1" w:history="1">
        <w:r w:rsidRPr="00B4393D">
          <w:rPr>
            <w:rStyle w:val="Collegamentoipertestuale"/>
            <w:rFonts w:ascii="Trebuchet MS" w:hAnsi="Trebuchet MS"/>
            <w:sz w:val="16"/>
            <w:szCs w:val="16"/>
          </w:rPr>
          <w:t>https://www.anticorruzione.it/-/orientamenti-per-la-pianificazione-anticorruzione-e-trasparenza-2022-1</w:t>
        </w:r>
      </w:hyperlink>
    </w:p>
  </w:footnote>
  <w:footnote w:id="9">
    <w:p w:rsidR="001569E5" w:rsidRPr="00B4393D" w:rsidRDefault="001569E5" w:rsidP="00E340A1">
      <w:pPr>
        <w:pStyle w:val="Testonotaapidipagina"/>
        <w:jc w:val="both"/>
        <w:rPr>
          <w:rFonts w:ascii="Trebuchet MS" w:hAnsi="Trebuchet MS"/>
          <w:sz w:val="16"/>
          <w:szCs w:val="16"/>
        </w:rPr>
      </w:pPr>
      <w:r w:rsidRPr="00B4393D">
        <w:rPr>
          <w:rStyle w:val="Rimandonotaapidipagina"/>
          <w:rFonts w:ascii="Trebuchet MS" w:hAnsi="Trebuchet MS"/>
          <w:sz w:val="16"/>
          <w:szCs w:val="16"/>
        </w:rPr>
        <w:footnoteRef/>
      </w:r>
      <w:r w:rsidRPr="00B4393D">
        <w:rPr>
          <w:rFonts w:ascii="Trebuchet MS" w:hAnsi="Trebuchet MS"/>
          <w:sz w:val="16"/>
          <w:szCs w:val="16"/>
        </w:rPr>
        <w:t xml:space="preserve"> L’acquisizione dei dati è iniziata a luglio 2021 e si è conclusa a marzo 2022: le elaborazioni sono state svolte sui dati acquisiti fino al 15 marzo 2022. Cfr. Allegato 1 al PNA 2019 § 6.1. </w:t>
      </w:r>
      <w:r w:rsidRPr="00B4393D">
        <w:rPr>
          <w:rFonts w:ascii="Trebuchet MS" w:hAnsi="Trebuchet MS"/>
          <w:i/>
          <w:sz w:val="16"/>
          <w:szCs w:val="16"/>
        </w:rPr>
        <w:t xml:space="preserve">“Monitoraggio sull’attuazione delle misure” - </w:t>
      </w:r>
      <w:r w:rsidRPr="00B4393D">
        <w:rPr>
          <w:rFonts w:ascii="Trebuchet MS" w:hAnsi="Trebuchet MS"/>
          <w:sz w:val="16"/>
          <w:szCs w:val="16"/>
        </w:rPr>
        <w:t>box 66 “</w:t>
      </w:r>
      <w:r w:rsidRPr="00B4393D">
        <w:rPr>
          <w:rFonts w:ascii="Trebuchet MS" w:hAnsi="Trebuchet MS"/>
          <w:i/>
          <w:sz w:val="16"/>
          <w:szCs w:val="16"/>
        </w:rPr>
        <w:t>La Piattaforma di acquisizione dei PTPCT</w:t>
      </w:r>
      <w:r w:rsidRPr="00B4393D">
        <w:rPr>
          <w:rFonts w:ascii="Trebuchet MS" w:hAnsi="Trebuchet MS"/>
          <w:sz w:val="16"/>
          <w:szCs w:val="16"/>
        </w:rPr>
        <w:t xml:space="preserve">”, pag. 44. Per tutte le indicazioni relative alla piattaforma e al relativo uso cfr. </w:t>
      </w:r>
      <w:hyperlink r:id="rId2" w:history="1">
        <w:r w:rsidRPr="00B4393D">
          <w:rPr>
            <w:rStyle w:val="Collegamentoipertestuale"/>
            <w:rFonts w:ascii="Trebuchet MS" w:hAnsi="Trebuchet MS"/>
            <w:sz w:val="16"/>
            <w:szCs w:val="16"/>
          </w:rPr>
          <w:t>https://www.anticorruzione.it/-/piattaforma-di-acquisizione-dei-piani-triennali-per-la-prevenzione-della-corruzione-e-della-trasparenza</w:t>
        </w:r>
      </w:hyperlink>
      <w:r w:rsidRPr="00B4393D">
        <w:rPr>
          <w:rFonts w:ascii="Trebuchet MS" w:hAnsi="Trebuchet MS"/>
          <w:sz w:val="16"/>
          <w:szCs w:val="16"/>
        </w:rPr>
        <w:t xml:space="preserve">. </w:t>
      </w:r>
    </w:p>
  </w:footnote>
  <w:footnote w:id="10">
    <w:p w:rsidR="001569E5" w:rsidRPr="00B4393D" w:rsidRDefault="001569E5" w:rsidP="00E340A1">
      <w:pPr>
        <w:pStyle w:val="Testonotaapidipagina"/>
        <w:jc w:val="both"/>
        <w:rPr>
          <w:rFonts w:ascii="Trebuchet MS" w:hAnsi="Trebuchet MS"/>
          <w:sz w:val="16"/>
          <w:szCs w:val="16"/>
        </w:rPr>
      </w:pPr>
      <w:r w:rsidRPr="00B4393D">
        <w:rPr>
          <w:rFonts w:ascii="Trebuchet MS" w:hAnsi="Trebuchet MS"/>
          <w:sz w:val="16"/>
          <w:szCs w:val="16"/>
          <w:vertAlign w:val="superscript"/>
        </w:rPr>
        <w:footnoteRef/>
      </w:r>
      <w:r w:rsidRPr="00B4393D">
        <w:rPr>
          <w:rFonts w:ascii="Trebuchet MS" w:hAnsi="Trebuchet MS"/>
          <w:sz w:val="16"/>
          <w:szCs w:val="16"/>
        </w:rPr>
        <w:t xml:space="preserve"> Di questi n. 898, n. 156 RPCT svolgono il proprio incarico in più di una amministrazione (in particolar modo ciò vale per gli enti locali).</w:t>
      </w:r>
    </w:p>
  </w:footnote>
  <w:footnote w:id="11">
    <w:p w:rsidR="001569E5" w:rsidRPr="006E2AD4" w:rsidRDefault="001569E5" w:rsidP="00E340A1">
      <w:pPr>
        <w:pStyle w:val="Testonotaapidipagina"/>
        <w:jc w:val="both"/>
        <w:rPr>
          <w:rFonts w:ascii="Trebuchet MS" w:hAnsi="Trebuchet MS"/>
          <w:sz w:val="18"/>
          <w:szCs w:val="18"/>
        </w:rPr>
      </w:pPr>
      <w:r w:rsidRPr="00B4393D">
        <w:rPr>
          <w:rStyle w:val="Rimandonotaapidipagina"/>
          <w:rFonts w:ascii="Trebuchet MS" w:hAnsi="Trebuchet MS"/>
          <w:sz w:val="16"/>
          <w:szCs w:val="16"/>
        </w:rPr>
        <w:footnoteRef/>
      </w:r>
      <w:r w:rsidRPr="00B4393D">
        <w:rPr>
          <w:rFonts w:ascii="Trebuchet MS" w:hAnsi="Trebuchet MS"/>
          <w:sz w:val="16"/>
          <w:szCs w:val="16"/>
          <w:vertAlign w:val="superscript"/>
        </w:rPr>
        <w:t xml:space="preserve"> </w:t>
      </w:r>
      <w:r w:rsidRPr="00B4393D">
        <w:rPr>
          <w:rFonts w:ascii="Trebuchet MS" w:hAnsi="Trebuchet MS"/>
          <w:sz w:val="16"/>
          <w:szCs w:val="16"/>
        </w:rPr>
        <w:t>Anche in questo caso, infatti, n. 4 Responsabili svolgono il proprio incarico per più di un ente.</w:t>
      </w:r>
    </w:p>
  </w:footnote>
  <w:footnote w:id="12">
    <w:p w:rsidR="001569E5" w:rsidRPr="00B4393D" w:rsidRDefault="001569E5" w:rsidP="00E340A1">
      <w:pPr>
        <w:pStyle w:val="Testonotaapidipagina"/>
        <w:jc w:val="both"/>
        <w:rPr>
          <w:rFonts w:ascii="Trebuchet MS" w:hAnsi="Trebuchet MS" w:cs="Times New Roman"/>
          <w:sz w:val="16"/>
          <w:szCs w:val="16"/>
        </w:rPr>
      </w:pPr>
      <w:r w:rsidRPr="00B4393D">
        <w:rPr>
          <w:rStyle w:val="Rimandonotaapidipagina"/>
          <w:rFonts w:ascii="Trebuchet MS" w:hAnsi="Trebuchet MS" w:cs="Times New Roman"/>
          <w:sz w:val="16"/>
          <w:szCs w:val="16"/>
        </w:rPr>
        <w:footnoteRef/>
      </w:r>
      <w:r w:rsidRPr="00B4393D">
        <w:rPr>
          <w:rFonts w:ascii="Trebuchet MS" w:hAnsi="Trebuchet MS" w:cs="Times New Roman"/>
          <w:sz w:val="16"/>
          <w:szCs w:val="16"/>
        </w:rPr>
        <w:t xml:space="preserve"> Le valutazioni espresse appaiono, comunque, in linea con la </w:t>
      </w:r>
      <w:r w:rsidRPr="00B4393D">
        <w:rPr>
          <w:rFonts w:ascii="Trebuchet MS" w:hAnsi="Trebuchet MS" w:cs="Times New Roman"/>
          <w:i/>
          <w:sz w:val="16"/>
          <w:szCs w:val="16"/>
        </w:rPr>
        <w:t>ratio</w:t>
      </w:r>
      <w:r w:rsidRPr="00B4393D">
        <w:rPr>
          <w:rFonts w:ascii="Trebuchet MS" w:hAnsi="Trebuchet MS" w:cs="Times New Roman"/>
          <w:sz w:val="16"/>
          <w:szCs w:val="16"/>
        </w:rPr>
        <w:t xml:space="preserve"> del processo di gestione del rischio, come delineato dalla normativa e chiarito dall’Autorità nel PNA. Lo scopo, infatti, delle attività di </w:t>
      </w:r>
      <w:r w:rsidRPr="00B4393D">
        <w:rPr>
          <w:rFonts w:ascii="Trebuchet MS" w:hAnsi="Trebuchet MS" w:cs="Times New Roman"/>
          <w:i/>
          <w:sz w:val="16"/>
          <w:szCs w:val="16"/>
        </w:rPr>
        <w:t>risk management</w:t>
      </w:r>
      <w:r w:rsidRPr="00B4393D">
        <w:rPr>
          <w:rFonts w:ascii="Trebuchet MS" w:hAnsi="Trebuchet MS" w:cs="Times New Roman"/>
          <w:sz w:val="16"/>
          <w:szCs w:val="16"/>
        </w:rPr>
        <w:t xml:space="preserve"> ai sensi della legge n. 190/2012, in conformità a quanto previsto nella Convenzione delle Nazioni Unite contro la corruzione del 2003, è quello di prevenire ed evitare fenomeni di corruzione o di cattiva amministrazione - attraverso idonei presidi individuati dal legislatore. Solo alcune misure, come il </w:t>
      </w:r>
      <w:r w:rsidRPr="00B4393D">
        <w:rPr>
          <w:rFonts w:ascii="Trebuchet MS" w:hAnsi="Trebuchet MS" w:cs="Times New Roman"/>
          <w:i/>
          <w:sz w:val="16"/>
          <w:szCs w:val="16"/>
        </w:rPr>
        <w:t>whistleblowing,</w:t>
      </w:r>
      <w:r w:rsidRPr="00B4393D">
        <w:rPr>
          <w:rFonts w:ascii="Trebuchet MS" w:hAnsi="Trebuchet MS" w:cs="Times New Roman"/>
          <w:sz w:val="16"/>
          <w:szCs w:val="16"/>
        </w:rPr>
        <w:t xml:space="preserve"> sono più specificamente indirizzate a far emergere fenomeni corruttivi anche già verificati. Il risultato sopra riportato appare, dunque, coerente con la finalità di prevenzione della corruzione connessa all’adozione e attuazione dei PTPCT e può essere letto in termini positivi.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6D98"/>
    <w:multiLevelType w:val="hybridMultilevel"/>
    <w:tmpl w:val="EDC8B71A"/>
    <w:lvl w:ilvl="0" w:tplc="04100001">
      <w:start w:val="1"/>
      <w:numFmt w:val="bullet"/>
      <w:lvlText w:val=""/>
      <w:lvlJc w:val="left"/>
      <w:pPr>
        <w:ind w:left="720" w:hanging="360"/>
      </w:pPr>
      <w:rPr>
        <w:rFonts w:ascii="Symbol" w:hAnsi="Symbol" w:hint="default"/>
      </w:rPr>
    </w:lvl>
    <w:lvl w:ilvl="1" w:tplc="16A06592">
      <w:start w:val="4"/>
      <w:numFmt w:val="bullet"/>
      <w:lvlText w:val="•"/>
      <w:lvlJc w:val="left"/>
      <w:pPr>
        <w:ind w:left="1650" w:hanging="570"/>
      </w:pPr>
      <w:rPr>
        <w:rFonts w:ascii="Trebuchet MS" w:eastAsiaTheme="minorHAnsi" w:hAnsi="Trebuchet MS" w:cs="Trebuchet M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BF3392"/>
    <w:multiLevelType w:val="hybridMultilevel"/>
    <w:tmpl w:val="3780A5A0"/>
    <w:lvl w:ilvl="0" w:tplc="8F7AE328">
      <w:numFmt w:val="bullet"/>
      <w:lvlText w:val="-"/>
      <w:lvlJc w:val="left"/>
      <w:pPr>
        <w:ind w:left="1854" w:hanging="360"/>
      </w:pPr>
      <w:rPr>
        <w:rFonts w:ascii="Titillium" w:eastAsiaTheme="minorHAnsi" w:hAnsi="Titillium" w:cs="Titillium Web"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 w15:restartNumberingAfterBreak="0">
    <w:nsid w:val="0B850D38"/>
    <w:multiLevelType w:val="hybridMultilevel"/>
    <w:tmpl w:val="78CCBF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16396A"/>
    <w:multiLevelType w:val="hybridMultilevel"/>
    <w:tmpl w:val="8CA406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053FAA"/>
    <w:multiLevelType w:val="multilevel"/>
    <w:tmpl w:val="29562D8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513B45"/>
    <w:multiLevelType w:val="hybridMultilevel"/>
    <w:tmpl w:val="9162E0A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5C1C68"/>
    <w:multiLevelType w:val="hybridMultilevel"/>
    <w:tmpl w:val="071E4D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D71F00"/>
    <w:multiLevelType w:val="hybridMultilevel"/>
    <w:tmpl w:val="9D6497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A5031DA"/>
    <w:multiLevelType w:val="hybridMultilevel"/>
    <w:tmpl w:val="1270DA1E"/>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 w15:restartNumberingAfterBreak="0">
    <w:nsid w:val="1AA43270"/>
    <w:multiLevelType w:val="hybridMultilevel"/>
    <w:tmpl w:val="6940562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BE5636D"/>
    <w:multiLevelType w:val="hybridMultilevel"/>
    <w:tmpl w:val="1D6E54CA"/>
    <w:lvl w:ilvl="0" w:tplc="DC4E5116">
      <w:start w:val="1"/>
      <w:numFmt w:val="upperLetter"/>
      <w:pStyle w:val="AvVALMED"/>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F4A17AA"/>
    <w:multiLevelType w:val="hybridMultilevel"/>
    <w:tmpl w:val="3C32DB1C"/>
    <w:lvl w:ilvl="0" w:tplc="0410000F">
      <w:start w:val="1"/>
      <w:numFmt w:val="decimal"/>
      <w:lvlText w:val="%1."/>
      <w:lvlJc w:val="left"/>
      <w:pPr>
        <w:ind w:left="786"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0EB0D1E"/>
    <w:multiLevelType w:val="hybridMultilevel"/>
    <w:tmpl w:val="DFA45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33A3C"/>
    <w:multiLevelType w:val="hybridMultilevel"/>
    <w:tmpl w:val="9154D40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462AE9"/>
    <w:multiLevelType w:val="hybridMultilevel"/>
    <w:tmpl w:val="9092D3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EA2DCC"/>
    <w:multiLevelType w:val="hybridMultilevel"/>
    <w:tmpl w:val="20FE0DD8"/>
    <w:lvl w:ilvl="0" w:tplc="0809000F">
      <w:start w:val="1"/>
      <w:numFmt w:val="decimal"/>
      <w:lvlText w:val="%1."/>
      <w:lvlJc w:val="left"/>
      <w:pPr>
        <w:ind w:left="1037" w:hanging="360"/>
      </w:pPr>
    </w:lvl>
    <w:lvl w:ilvl="1" w:tplc="08090019" w:tentative="1">
      <w:start w:val="1"/>
      <w:numFmt w:val="lowerLetter"/>
      <w:lvlText w:val="%2."/>
      <w:lvlJc w:val="left"/>
      <w:pPr>
        <w:ind w:left="1757" w:hanging="360"/>
      </w:p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16" w15:restartNumberingAfterBreak="0">
    <w:nsid w:val="29125AC1"/>
    <w:multiLevelType w:val="hybridMultilevel"/>
    <w:tmpl w:val="F30A5F34"/>
    <w:lvl w:ilvl="0" w:tplc="04100001">
      <w:start w:val="1"/>
      <w:numFmt w:val="bullet"/>
      <w:lvlText w:val=""/>
      <w:lvlJc w:val="left"/>
      <w:pPr>
        <w:ind w:left="1637" w:hanging="360"/>
      </w:pPr>
      <w:rPr>
        <w:rFonts w:ascii="Symbol" w:hAnsi="Symbol" w:hint="default"/>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17" w15:restartNumberingAfterBreak="0">
    <w:nsid w:val="2A3A24D8"/>
    <w:multiLevelType w:val="multilevel"/>
    <w:tmpl w:val="A1AEFC80"/>
    <w:lvl w:ilvl="0">
      <w:start w:val="1"/>
      <w:numFmt w:val="decimal"/>
      <w:pStyle w:val="Paragrafoelenconumeri"/>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5E029E"/>
    <w:multiLevelType w:val="multilevel"/>
    <w:tmpl w:val="4FF846A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744E26"/>
    <w:multiLevelType w:val="hybridMultilevel"/>
    <w:tmpl w:val="6AE076C4"/>
    <w:lvl w:ilvl="0" w:tplc="04100001">
      <w:start w:val="1"/>
      <w:numFmt w:val="bullet"/>
      <w:lvlText w:val=""/>
      <w:lvlJc w:val="left"/>
      <w:pPr>
        <w:ind w:left="1353" w:hanging="360"/>
      </w:pPr>
      <w:rPr>
        <w:rFonts w:ascii="Symbol" w:hAnsi="Symbo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20" w15:restartNumberingAfterBreak="0">
    <w:nsid w:val="2AFD5BE1"/>
    <w:multiLevelType w:val="hybridMultilevel"/>
    <w:tmpl w:val="437C4ADA"/>
    <w:lvl w:ilvl="0" w:tplc="0410000D">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2C707E43"/>
    <w:multiLevelType w:val="hybridMultilevel"/>
    <w:tmpl w:val="FF0AB00E"/>
    <w:lvl w:ilvl="0" w:tplc="E86E450C">
      <w:start w:val="1"/>
      <w:numFmt w:val="decimal"/>
      <w:lvlText w:val="%1."/>
      <w:lvlJc w:val="center"/>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E220E7F"/>
    <w:multiLevelType w:val="hybridMultilevel"/>
    <w:tmpl w:val="C51A1898"/>
    <w:lvl w:ilvl="0" w:tplc="0A7CBB30">
      <w:numFmt w:val="bullet"/>
      <w:lvlText w:val="-"/>
      <w:lvlJc w:val="left"/>
      <w:pPr>
        <w:ind w:left="1507" w:hanging="360"/>
      </w:pPr>
      <w:rPr>
        <w:rFonts w:ascii="Titillium" w:eastAsia="Times New Roman" w:hAnsi="Titillium" w:cs="Tahoma" w:hint="default"/>
      </w:rPr>
    </w:lvl>
    <w:lvl w:ilvl="1" w:tplc="04100003" w:tentative="1">
      <w:start w:val="1"/>
      <w:numFmt w:val="bullet"/>
      <w:lvlText w:val="o"/>
      <w:lvlJc w:val="left"/>
      <w:pPr>
        <w:ind w:left="2227" w:hanging="360"/>
      </w:pPr>
      <w:rPr>
        <w:rFonts w:ascii="Courier New" w:hAnsi="Courier New" w:cs="Courier New" w:hint="default"/>
      </w:rPr>
    </w:lvl>
    <w:lvl w:ilvl="2" w:tplc="04100005" w:tentative="1">
      <w:start w:val="1"/>
      <w:numFmt w:val="bullet"/>
      <w:lvlText w:val=""/>
      <w:lvlJc w:val="left"/>
      <w:pPr>
        <w:ind w:left="2947" w:hanging="360"/>
      </w:pPr>
      <w:rPr>
        <w:rFonts w:ascii="Wingdings" w:hAnsi="Wingdings" w:hint="default"/>
      </w:rPr>
    </w:lvl>
    <w:lvl w:ilvl="3" w:tplc="04100001" w:tentative="1">
      <w:start w:val="1"/>
      <w:numFmt w:val="bullet"/>
      <w:lvlText w:val=""/>
      <w:lvlJc w:val="left"/>
      <w:pPr>
        <w:ind w:left="3667" w:hanging="360"/>
      </w:pPr>
      <w:rPr>
        <w:rFonts w:ascii="Symbol" w:hAnsi="Symbol" w:hint="default"/>
      </w:rPr>
    </w:lvl>
    <w:lvl w:ilvl="4" w:tplc="04100003" w:tentative="1">
      <w:start w:val="1"/>
      <w:numFmt w:val="bullet"/>
      <w:lvlText w:val="o"/>
      <w:lvlJc w:val="left"/>
      <w:pPr>
        <w:ind w:left="4387" w:hanging="360"/>
      </w:pPr>
      <w:rPr>
        <w:rFonts w:ascii="Courier New" w:hAnsi="Courier New" w:cs="Courier New" w:hint="default"/>
      </w:rPr>
    </w:lvl>
    <w:lvl w:ilvl="5" w:tplc="04100005" w:tentative="1">
      <w:start w:val="1"/>
      <w:numFmt w:val="bullet"/>
      <w:lvlText w:val=""/>
      <w:lvlJc w:val="left"/>
      <w:pPr>
        <w:ind w:left="5107" w:hanging="360"/>
      </w:pPr>
      <w:rPr>
        <w:rFonts w:ascii="Wingdings" w:hAnsi="Wingdings" w:hint="default"/>
      </w:rPr>
    </w:lvl>
    <w:lvl w:ilvl="6" w:tplc="04100001" w:tentative="1">
      <w:start w:val="1"/>
      <w:numFmt w:val="bullet"/>
      <w:lvlText w:val=""/>
      <w:lvlJc w:val="left"/>
      <w:pPr>
        <w:ind w:left="5827" w:hanging="360"/>
      </w:pPr>
      <w:rPr>
        <w:rFonts w:ascii="Symbol" w:hAnsi="Symbol" w:hint="default"/>
      </w:rPr>
    </w:lvl>
    <w:lvl w:ilvl="7" w:tplc="04100003" w:tentative="1">
      <w:start w:val="1"/>
      <w:numFmt w:val="bullet"/>
      <w:lvlText w:val="o"/>
      <w:lvlJc w:val="left"/>
      <w:pPr>
        <w:ind w:left="6547" w:hanging="360"/>
      </w:pPr>
      <w:rPr>
        <w:rFonts w:ascii="Courier New" w:hAnsi="Courier New" w:cs="Courier New" w:hint="default"/>
      </w:rPr>
    </w:lvl>
    <w:lvl w:ilvl="8" w:tplc="04100005" w:tentative="1">
      <w:start w:val="1"/>
      <w:numFmt w:val="bullet"/>
      <w:lvlText w:val=""/>
      <w:lvlJc w:val="left"/>
      <w:pPr>
        <w:ind w:left="7267" w:hanging="360"/>
      </w:pPr>
      <w:rPr>
        <w:rFonts w:ascii="Wingdings" w:hAnsi="Wingdings" w:hint="default"/>
      </w:rPr>
    </w:lvl>
  </w:abstractNum>
  <w:abstractNum w:abstractNumId="23" w15:restartNumberingAfterBreak="0">
    <w:nsid w:val="2E286147"/>
    <w:multiLevelType w:val="hybridMultilevel"/>
    <w:tmpl w:val="E4BA560A"/>
    <w:lvl w:ilvl="0" w:tplc="BE986DE2">
      <w:start w:val="3"/>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F811A71"/>
    <w:multiLevelType w:val="hybridMultilevel"/>
    <w:tmpl w:val="2E7E0ED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35D6057F"/>
    <w:multiLevelType w:val="hybridMultilevel"/>
    <w:tmpl w:val="0CFECE72"/>
    <w:lvl w:ilvl="0" w:tplc="0410001B">
      <w:start w:val="1"/>
      <w:numFmt w:val="lowerRoman"/>
      <w:lvlText w:val="%1."/>
      <w:lvlJc w:val="righ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35FB2F1D"/>
    <w:multiLevelType w:val="hybridMultilevel"/>
    <w:tmpl w:val="3586B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9301B62"/>
    <w:multiLevelType w:val="hybridMultilevel"/>
    <w:tmpl w:val="274279B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F05752A"/>
    <w:multiLevelType w:val="hybridMultilevel"/>
    <w:tmpl w:val="88DE53F2"/>
    <w:lvl w:ilvl="0" w:tplc="DFD22E5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5132ECF"/>
    <w:multiLevelType w:val="hybridMultilevel"/>
    <w:tmpl w:val="AAE48F6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71069D2"/>
    <w:multiLevelType w:val="hybridMultilevel"/>
    <w:tmpl w:val="F2D6B8FC"/>
    <w:lvl w:ilvl="0" w:tplc="209ED03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06F01E4"/>
    <w:multiLevelType w:val="hybridMultilevel"/>
    <w:tmpl w:val="C79E8D74"/>
    <w:lvl w:ilvl="0" w:tplc="89E0D674">
      <w:start w:val="30"/>
      <w:numFmt w:val="bullet"/>
      <w:lvlText w:val="-"/>
      <w:lvlJc w:val="left"/>
      <w:pPr>
        <w:ind w:left="720" w:hanging="360"/>
      </w:pPr>
      <w:rPr>
        <w:rFonts w:ascii="Titillium" w:eastAsiaTheme="minorHAnsi" w:hAnsi="Titillium"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866D44"/>
    <w:multiLevelType w:val="hybridMultilevel"/>
    <w:tmpl w:val="4CA48156"/>
    <w:lvl w:ilvl="0" w:tplc="AD840BB0">
      <w:start w:val="1"/>
      <w:numFmt w:val="bullet"/>
      <w:pStyle w:val="Paragrafoelencosecondolivello"/>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3" w15:restartNumberingAfterBreak="0">
    <w:nsid w:val="5A67654A"/>
    <w:multiLevelType w:val="hybridMultilevel"/>
    <w:tmpl w:val="3C4CBFAA"/>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4" w15:restartNumberingAfterBreak="0">
    <w:nsid w:val="5ABD3B1F"/>
    <w:multiLevelType w:val="hybridMultilevel"/>
    <w:tmpl w:val="A6FE0B56"/>
    <w:lvl w:ilvl="0" w:tplc="C76C24BC">
      <w:start w:val="1"/>
      <w:numFmt w:val="bullet"/>
      <w:pStyle w:val="1liv"/>
      <w:lvlText w:val="-"/>
      <w:lvlJc w:val="left"/>
      <w:pPr>
        <w:ind w:left="720" w:hanging="360"/>
      </w:pPr>
      <w:rPr>
        <w:rFonts w:ascii="Garamond" w:hAnsi="Garamond" w:hint="default"/>
        <w:b/>
        <w:i w:val="0"/>
        <w:caps w:val="0"/>
        <w:strike w:val="0"/>
        <w:dstrike w:val="0"/>
        <w:vanish w:val="0"/>
        <w:webHidden w:val="0"/>
        <w:color w:val="auto"/>
        <w:sz w:val="28"/>
        <w:u w:val="none"/>
        <w:effect w:val="none"/>
        <w:vertAlign w:val="baseline"/>
        <w:specVanish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5BF17394"/>
    <w:multiLevelType w:val="hybridMultilevel"/>
    <w:tmpl w:val="5E2E703C"/>
    <w:lvl w:ilvl="0" w:tplc="1036668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2A34A3"/>
    <w:multiLevelType w:val="hybridMultilevel"/>
    <w:tmpl w:val="9D9E34D6"/>
    <w:lvl w:ilvl="0" w:tplc="A1F6FA30">
      <w:start w:val="1"/>
      <w:numFmt w:val="decimal"/>
      <w:pStyle w:val="11liv"/>
      <w:lvlText w:val="%1)"/>
      <w:lvlJc w:val="left"/>
      <w:pPr>
        <w:ind w:left="927" w:hanging="360"/>
      </w:pPr>
      <w:rPr>
        <w:rFonts w:ascii="Times" w:hAnsi="Times" w:cs="Times New Roman" w:hint="default"/>
        <w:b w:val="0"/>
        <w:i w:val="0"/>
        <w:caps w:val="0"/>
        <w:strike w:val="0"/>
        <w:dstrike w:val="0"/>
        <w:vanish w:val="0"/>
        <w:webHidden w:val="0"/>
        <w:color w:val="000000"/>
        <w:sz w:val="26"/>
        <w:u w:val="none"/>
        <w:effect w:val="none"/>
        <w:vertAlign w:val="baseline"/>
        <w:specVanish w:val="0"/>
      </w:r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37" w15:restartNumberingAfterBreak="0">
    <w:nsid w:val="60AC6A65"/>
    <w:multiLevelType w:val="hybridMultilevel"/>
    <w:tmpl w:val="BDA603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333A47"/>
    <w:multiLevelType w:val="multilevel"/>
    <w:tmpl w:val="29562D8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1F581F"/>
    <w:multiLevelType w:val="hybridMultilevel"/>
    <w:tmpl w:val="8E0A77E0"/>
    <w:lvl w:ilvl="0" w:tplc="26B67458">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B75F99"/>
    <w:multiLevelType w:val="hybridMultilevel"/>
    <w:tmpl w:val="910AB65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1" w15:restartNumberingAfterBreak="0">
    <w:nsid w:val="72673757"/>
    <w:multiLevelType w:val="hybridMultilevel"/>
    <w:tmpl w:val="681EC09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7B7037"/>
    <w:multiLevelType w:val="hybridMultilevel"/>
    <w:tmpl w:val="976452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3" w15:restartNumberingAfterBreak="0">
    <w:nsid w:val="75725F00"/>
    <w:multiLevelType w:val="hybridMultilevel"/>
    <w:tmpl w:val="8BE2D6BC"/>
    <w:lvl w:ilvl="0" w:tplc="665AFD10">
      <w:start w:val="1"/>
      <w:numFmt w:val="bullet"/>
      <w:pStyle w:val="Paragrafoelencoterzolivello"/>
      <w:lvlText w:val="›"/>
      <w:lvlJc w:val="left"/>
      <w:pPr>
        <w:ind w:left="720" w:hanging="360"/>
      </w:pPr>
      <w:rPr>
        <w:rFonts w:ascii="Calibri" w:hAnsi="Calibri" w:hint="default"/>
      </w:rPr>
    </w:lvl>
    <w:lvl w:ilvl="1" w:tplc="F776145E">
      <w:start w:val="1"/>
      <w:numFmt w:val="bullet"/>
      <w:lvlText w:val=""/>
      <w:lvlJc w:val="left"/>
      <w:pPr>
        <w:ind w:left="1440" w:hanging="360"/>
      </w:pPr>
      <w:rPr>
        <w:rFonts w:ascii="Symbol" w:hAnsi="Symbol" w:hint="default"/>
      </w:rPr>
    </w:lvl>
    <w:lvl w:ilvl="2" w:tplc="A35448B8">
      <w:start w:val="1"/>
      <w:numFmt w:val="bullet"/>
      <w:lvlText w:val="-"/>
      <w:lvlJc w:val="left"/>
      <w:pPr>
        <w:ind w:left="2160" w:hanging="360"/>
      </w:pPr>
      <w:rPr>
        <w:rFonts w:ascii="Source Sans Pro" w:hAnsi="Source Sans Pro"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8B65E5"/>
    <w:multiLevelType w:val="hybridMultilevel"/>
    <w:tmpl w:val="A380DB3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5"/>
    <w:lvlOverride w:ilvl="0">
      <w:startOverride w:val="1"/>
    </w:lvlOverride>
    <w:lvlOverride w:ilvl="1"/>
    <w:lvlOverride w:ilvl="2"/>
    <w:lvlOverride w:ilvl="3"/>
    <w:lvlOverride w:ilvl="4"/>
    <w:lvlOverride w:ilvl="5"/>
    <w:lvlOverride w:ilvl="6"/>
    <w:lvlOverride w:ilvl="7"/>
    <w:lvlOverride w:ilvl="8"/>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28"/>
  </w:num>
  <w:num w:numId="11">
    <w:abstractNumId w:val="29"/>
  </w:num>
  <w:num w:numId="12">
    <w:abstractNumId w:val="27"/>
  </w:num>
  <w:num w:numId="13">
    <w:abstractNumId w:val="5"/>
  </w:num>
  <w:num w:numId="14">
    <w:abstractNumId w:val="37"/>
  </w:num>
  <w:num w:numId="15">
    <w:abstractNumId w:val="8"/>
  </w:num>
  <w:num w:numId="16">
    <w:abstractNumId w:val="23"/>
  </w:num>
  <w:num w:numId="17">
    <w:abstractNumId w:val="30"/>
  </w:num>
  <w:num w:numId="18">
    <w:abstractNumId w:val="10"/>
  </w:num>
  <w:num w:numId="19">
    <w:abstractNumId w:val="31"/>
  </w:num>
  <w:num w:numId="20">
    <w:abstractNumId w:val="26"/>
  </w:num>
  <w:num w:numId="21">
    <w:abstractNumId w:val="21"/>
  </w:num>
  <w:num w:numId="22">
    <w:abstractNumId w:val="19"/>
  </w:num>
  <w:num w:numId="23">
    <w:abstractNumId w:val="11"/>
  </w:num>
  <w:num w:numId="24">
    <w:abstractNumId w:val="24"/>
  </w:num>
  <w:num w:numId="25">
    <w:abstractNumId w:val="13"/>
  </w:num>
  <w:num w:numId="26">
    <w:abstractNumId w:val="20"/>
  </w:num>
  <w:num w:numId="27">
    <w:abstractNumId w:val="22"/>
  </w:num>
  <w:num w:numId="28">
    <w:abstractNumId w:val="14"/>
  </w:num>
  <w:num w:numId="29">
    <w:abstractNumId w:val="16"/>
  </w:num>
  <w:num w:numId="30">
    <w:abstractNumId w:val="1"/>
  </w:num>
  <w:num w:numId="31">
    <w:abstractNumId w:val="40"/>
  </w:num>
  <w:num w:numId="32">
    <w:abstractNumId w:val="0"/>
  </w:num>
  <w:num w:numId="33">
    <w:abstractNumId w:val="6"/>
  </w:num>
  <w:num w:numId="34">
    <w:abstractNumId w:val="44"/>
  </w:num>
  <w:num w:numId="35">
    <w:abstractNumId w:val="2"/>
  </w:num>
  <w:num w:numId="36">
    <w:abstractNumId w:val="39"/>
  </w:num>
  <w:num w:numId="37">
    <w:abstractNumId w:val="17"/>
  </w:num>
  <w:num w:numId="38">
    <w:abstractNumId w:val="32"/>
  </w:num>
  <w:num w:numId="39">
    <w:abstractNumId w:val="43"/>
  </w:num>
  <w:num w:numId="40">
    <w:abstractNumId w:val="15"/>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41"/>
  </w:num>
  <w:num w:numId="44">
    <w:abstractNumId w:val="12"/>
  </w:num>
  <w:num w:numId="45">
    <w:abstractNumId w:val="4"/>
  </w:num>
  <w:num w:numId="4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78"/>
    <w:rsid w:val="00006846"/>
    <w:rsid w:val="00015A8A"/>
    <w:rsid w:val="00022DAE"/>
    <w:rsid w:val="0002727A"/>
    <w:rsid w:val="00027A4D"/>
    <w:rsid w:val="00035866"/>
    <w:rsid w:val="00035DB7"/>
    <w:rsid w:val="00036FCD"/>
    <w:rsid w:val="000421ED"/>
    <w:rsid w:val="00043DE2"/>
    <w:rsid w:val="00047050"/>
    <w:rsid w:val="00047165"/>
    <w:rsid w:val="000666DD"/>
    <w:rsid w:val="000826E1"/>
    <w:rsid w:val="000845BC"/>
    <w:rsid w:val="0008531C"/>
    <w:rsid w:val="000950E8"/>
    <w:rsid w:val="00097993"/>
    <w:rsid w:val="000A127C"/>
    <w:rsid w:val="000A1AEC"/>
    <w:rsid w:val="000A2F46"/>
    <w:rsid w:val="000A354F"/>
    <w:rsid w:val="000A60D9"/>
    <w:rsid w:val="000B2AB4"/>
    <w:rsid w:val="000C06EE"/>
    <w:rsid w:val="000D0AAE"/>
    <w:rsid w:val="000D5CDE"/>
    <w:rsid w:val="000D7DEC"/>
    <w:rsid w:val="000E26DA"/>
    <w:rsid w:val="000E4CA0"/>
    <w:rsid w:val="000F0A0E"/>
    <w:rsid w:val="000F3F33"/>
    <w:rsid w:val="000F65E0"/>
    <w:rsid w:val="000F7B03"/>
    <w:rsid w:val="00105000"/>
    <w:rsid w:val="00115A9B"/>
    <w:rsid w:val="001179AB"/>
    <w:rsid w:val="0012485E"/>
    <w:rsid w:val="001276AF"/>
    <w:rsid w:val="0013357E"/>
    <w:rsid w:val="001433F2"/>
    <w:rsid w:val="00144425"/>
    <w:rsid w:val="00144CA5"/>
    <w:rsid w:val="0014640F"/>
    <w:rsid w:val="00154A7A"/>
    <w:rsid w:val="001569E5"/>
    <w:rsid w:val="0016010F"/>
    <w:rsid w:val="001624BB"/>
    <w:rsid w:val="00167D21"/>
    <w:rsid w:val="00170724"/>
    <w:rsid w:val="00176840"/>
    <w:rsid w:val="00180C38"/>
    <w:rsid w:val="00181735"/>
    <w:rsid w:val="00181A8B"/>
    <w:rsid w:val="00183A15"/>
    <w:rsid w:val="00184785"/>
    <w:rsid w:val="001860E8"/>
    <w:rsid w:val="0019415F"/>
    <w:rsid w:val="00197C63"/>
    <w:rsid w:val="001A08B1"/>
    <w:rsid w:val="001A3310"/>
    <w:rsid w:val="001A54A6"/>
    <w:rsid w:val="001A587E"/>
    <w:rsid w:val="001B0C12"/>
    <w:rsid w:val="001B431C"/>
    <w:rsid w:val="001C057B"/>
    <w:rsid w:val="001C39E5"/>
    <w:rsid w:val="001C6029"/>
    <w:rsid w:val="001D22EA"/>
    <w:rsid w:val="001D7474"/>
    <w:rsid w:val="001E6FC2"/>
    <w:rsid w:val="001F1D94"/>
    <w:rsid w:val="001F2CE9"/>
    <w:rsid w:val="0021071A"/>
    <w:rsid w:val="0021115F"/>
    <w:rsid w:val="00211CA4"/>
    <w:rsid w:val="002138C6"/>
    <w:rsid w:val="00220EC3"/>
    <w:rsid w:val="00225F6C"/>
    <w:rsid w:val="002309F7"/>
    <w:rsid w:val="002319BF"/>
    <w:rsid w:val="00233045"/>
    <w:rsid w:val="00235447"/>
    <w:rsid w:val="00236C74"/>
    <w:rsid w:val="00236FEF"/>
    <w:rsid w:val="00241821"/>
    <w:rsid w:val="00243EEA"/>
    <w:rsid w:val="00247C21"/>
    <w:rsid w:val="00250E44"/>
    <w:rsid w:val="00251359"/>
    <w:rsid w:val="002525FE"/>
    <w:rsid w:val="00252CA1"/>
    <w:rsid w:val="002613FB"/>
    <w:rsid w:val="00261CDD"/>
    <w:rsid w:val="00264188"/>
    <w:rsid w:val="002721B0"/>
    <w:rsid w:val="00280687"/>
    <w:rsid w:val="00281693"/>
    <w:rsid w:val="00293CD1"/>
    <w:rsid w:val="00294BCA"/>
    <w:rsid w:val="002A2CCF"/>
    <w:rsid w:val="002A50D8"/>
    <w:rsid w:val="002B139D"/>
    <w:rsid w:val="002B6E3A"/>
    <w:rsid w:val="002C1C1A"/>
    <w:rsid w:val="002C2C59"/>
    <w:rsid w:val="002C31E1"/>
    <w:rsid w:val="002D3A3B"/>
    <w:rsid w:val="002D42A0"/>
    <w:rsid w:val="002D5DCD"/>
    <w:rsid w:val="002D6B05"/>
    <w:rsid w:val="002E526C"/>
    <w:rsid w:val="002E69BF"/>
    <w:rsid w:val="002F14E7"/>
    <w:rsid w:val="0031230D"/>
    <w:rsid w:val="003154CA"/>
    <w:rsid w:val="00321108"/>
    <w:rsid w:val="00321204"/>
    <w:rsid w:val="0032680C"/>
    <w:rsid w:val="003273B9"/>
    <w:rsid w:val="00336226"/>
    <w:rsid w:val="003431CF"/>
    <w:rsid w:val="00347D67"/>
    <w:rsid w:val="003540F0"/>
    <w:rsid w:val="003542F8"/>
    <w:rsid w:val="00355D09"/>
    <w:rsid w:val="0035780D"/>
    <w:rsid w:val="00367A84"/>
    <w:rsid w:val="00370201"/>
    <w:rsid w:val="003744C5"/>
    <w:rsid w:val="00375D6F"/>
    <w:rsid w:val="0037688E"/>
    <w:rsid w:val="00376C1C"/>
    <w:rsid w:val="003804CF"/>
    <w:rsid w:val="00380825"/>
    <w:rsid w:val="003816F4"/>
    <w:rsid w:val="00387927"/>
    <w:rsid w:val="00393A7B"/>
    <w:rsid w:val="003975A1"/>
    <w:rsid w:val="003A6471"/>
    <w:rsid w:val="003B03A9"/>
    <w:rsid w:val="003B1516"/>
    <w:rsid w:val="003B2475"/>
    <w:rsid w:val="003D5159"/>
    <w:rsid w:val="00402209"/>
    <w:rsid w:val="00410F03"/>
    <w:rsid w:val="00415DA0"/>
    <w:rsid w:val="00423740"/>
    <w:rsid w:val="004263C4"/>
    <w:rsid w:val="00427CC2"/>
    <w:rsid w:val="004335E0"/>
    <w:rsid w:val="00434678"/>
    <w:rsid w:val="00446210"/>
    <w:rsid w:val="00452245"/>
    <w:rsid w:val="00452F1D"/>
    <w:rsid w:val="00460189"/>
    <w:rsid w:val="00460F63"/>
    <w:rsid w:val="00461AD0"/>
    <w:rsid w:val="00463FE8"/>
    <w:rsid w:val="00471667"/>
    <w:rsid w:val="00484C17"/>
    <w:rsid w:val="00487EB3"/>
    <w:rsid w:val="00490CCD"/>
    <w:rsid w:val="004928B4"/>
    <w:rsid w:val="00495946"/>
    <w:rsid w:val="00496738"/>
    <w:rsid w:val="004A70AB"/>
    <w:rsid w:val="004A7C7D"/>
    <w:rsid w:val="004B0869"/>
    <w:rsid w:val="004B17AA"/>
    <w:rsid w:val="004B1BFC"/>
    <w:rsid w:val="004B49FD"/>
    <w:rsid w:val="004B657A"/>
    <w:rsid w:val="004C2D2B"/>
    <w:rsid w:val="004C48CA"/>
    <w:rsid w:val="004C674E"/>
    <w:rsid w:val="004D254A"/>
    <w:rsid w:val="004D657F"/>
    <w:rsid w:val="004E1D3A"/>
    <w:rsid w:val="004E240C"/>
    <w:rsid w:val="004E7F14"/>
    <w:rsid w:val="004F4266"/>
    <w:rsid w:val="00505D84"/>
    <w:rsid w:val="0051252A"/>
    <w:rsid w:val="00514434"/>
    <w:rsid w:val="00517974"/>
    <w:rsid w:val="00527F73"/>
    <w:rsid w:val="0053133A"/>
    <w:rsid w:val="00533683"/>
    <w:rsid w:val="005351B8"/>
    <w:rsid w:val="00537B8B"/>
    <w:rsid w:val="005426B3"/>
    <w:rsid w:val="005500DA"/>
    <w:rsid w:val="00554B9B"/>
    <w:rsid w:val="005618C3"/>
    <w:rsid w:val="005652E4"/>
    <w:rsid w:val="00565C5C"/>
    <w:rsid w:val="00566BF3"/>
    <w:rsid w:val="0057112C"/>
    <w:rsid w:val="00572EE3"/>
    <w:rsid w:val="0057708B"/>
    <w:rsid w:val="00587A01"/>
    <w:rsid w:val="00592B5D"/>
    <w:rsid w:val="00594D9E"/>
    <w:rsid w:val="00595C78"/>
    <w:rsid w:val="005A08D7"/>
    <w:rsid w:val="005A1A43"/>
    <w:rsid w:val="005A2CE1"/>
    <w:rsid w:val="005A4019"/>
    <w:rsid w:val="005A562F"/>
    <w:rsid w:val="005A5781"/>
    <w:rsid w:val="005A6BF2"/>
    <w:rsid w:val="005B2653"/>
    <w:rsid w:val="005B705A"/>
    <w:rsid w:val="005C0392"/>
    <w:rsid w:val="005C07BC"/>
    <w:rsid w:val="005C193A"/>
    <w:rsid w:val="005C45E8"/>
    <w:rsid w:val="005E59EB"/>
    <w:rsid w:val="005E709B"/>
    <w:rsid w:val="005F0BA3"/>
    <w:rsid w:val="005F4181"/>
    <w:rsid w:val="005F5600"/>
    <w:rsid w:val="005F607C"/>
    <w:rsid w:val="00601BB6"/>
    <w:rsid w:val="00604AA7"/>
    <w:rsid w:val="00605E8C"/>
    <w:rsid w:val="00612C3A"/>
    <w:rsid w:val="006264D2"/>
    <w:rsid w:val="00634772"/>
    <w:rsid w:val="006404ED"/>
    <w:rsid w:val="00643355"/>
    <w:rsid w:val="006442F7"/>
    <w:rsid w:val="00650FCD"/>
    <w:rsid w:val="00652C22"/>
    <w:rsid w:val="006609D6"/>
    <w:rsid w:val="00661A8F"/>
    <w:rsid w:val="00664C6C"/>
    <w:rsid w:val="006672FD"/>
    <w:rsid w:val="00672A06"/>
    <w:rsid w:val="006739A4"/>
    <w:rsid w:val="006748A0"/>
    <w:rsid w:val="00674AF8"/>
    <w:rsid w:val="00684C29"/>
    <w:rsid w:val="006875A6"/>
    <w:rsid w:val="006A3F73"/>
    <w:rsid w:val="006A6E40"/>
    <w:rsid w:val="006B0891"/>
    <w:rsid w:val="006C0137"/>
    <w:rsid w:val="006D7FDB"/>
    <w:rsid w:val="006E15AB"/>
    <w:rsid w:val="006E2AD4"/>
    <w:rsid w:val="006E5298"/>
    <w:rsid w:val="006F06AC"/>
    <w:rsid w:val="006F2F7F"/>
    <w:rsid w:val="006F57A8"/>
    <w:rsid w:val="0071352B"/>
    <w:rsid w:val="00720C6B"/>
    <w:rsid w:val="00730956"/>
    <w:rsid w:val="007310B2"/>
    <w:rsid w:val="00745608"/>
    <w:rsid w:val="00745F70"/>
    <w:rsid w:val="00750D3F"/>
    <w:rsid w:val="0076050F"/>
    <w:rsid w:val="007663AA"/>
    <w:rsid w:val="00770787"/>
    <w:rsid w:val="007806B1"/>
    <w:rsid w:val="00781061"/>
    <w:rsid w:val="00791B49"/>
    <w:rsid w:val="00794164"/>
    <w:rsid w:val="007950B7"/>
    <w:rsid w:val="00795484"/>
    <w:rsid w:val="00795A1D"/>
    <w:rsid w:val="00796A17"/>
    <w:rsid w:val="007A09BE"/>
    <w:rsid w:val="007A4FE7"/>
    <w:rsid w:val="007A5C31"/>
    <w:rsid w:val="007B3588"/>
    <w:rsid w:val="007B4642"/>
    <w:rsid w:val="007B6CC5"/>
    <w:rsid w:val="007B7B30"/>
    <w:rsid w:val="007C5DA9"/>
    <w:rsid w:val="007C72F5"/>
    <w:rsid w:val="007D5567"/>
    <w:rsid w:val="007D5851"/>
    <w:rsid w:val="007E7FAF"/>
    <w:rsid w:val="007F0A1E"/>
    <w:rsid w:val="007F321F"/>
    <w:rsid w:val="007F4A7B"/>
    <w:rsid w:val="007F697F"/>
    <w:rsid w:val="007F6F00"/>
    <w:rsid w:val="0080474E"/>
    <w:rsid w:val="00810FD0"/>
    <w:rsid w:val="008146A7"/>
    <w:rsid w:val="008254C9"/>
    <w:rsid w:val="00832FE7"/>
    <w:rsid w:val="00833DCE"/>
    <w:rsid w:val="00835449"/>
    <w:rsid w:val="00836645"/>
    <w:rsid w:val="008370D5"/>
    <w:rsid w:val="008409C3"/>
    <w:rsid w:val="00845C4B"/>
    <w:rsid w:val="008477CB"/>
    <w:rsid w:val="008478FB"/>
    <w:rsid w:val="0085219F"/>
    <w:rsid w:val="00857A20"/>
    <w:rsid w:val="00857CAE"/>
    <w:rsid w:val="008648AF"/>
    <w:rsid w:val="00864F69"/>
    <w:rsid w:val="0087092C"/>
    <w:rsid w:val="00871A06"/>
    <w:rsid w:val="00873D23"/>
    <w:rsid w:val="00876906"/>
    <w:rsid w:val="00877A2B"/>
    <w:rsid w:val="00887C6E"/>
    <w:rsid w:val="0089537C"/>
    <w:rsid w:val="008A0150"/>
    <w:rsid w:val="008A1BB2"/>
    <w:rsid w:val="008A238A"/>
    <w:rsid w:val="008A4C19"/>
    <w:rsid w:val="008A7411"/>
    <w:rsid w:val="008B02ED"/>
    <w:rsid w:val="008B10AA"/>
    <w:rsid w:val="008B3CDC"/>
    <w:rsid w:val="008B3CEB"/>
    <w:rsid w:val="008B7D06"/>
    <w:rsid w:val="008C0012"/>
    <w:rsid w:val="008C2844"/>
    <w:rsid w:val="008C706F"/>
    <w:rsid w:val="008D5AB6"/>
    <w:rsid w:val="008D6050"/>
    <w:rsid w:val="008D658B"/>
    <w:rsid w:val="008D7E26"/>
    <w:rsid w:val="008E1AAC"/>
    <w:rsid w:val="008E65B9"/>
    <w:rsid w:val="008F64A7"/>
    <w:rsid w:val="0090262E"/>
    <w:rsid w:val="0090455B"/>
    <w:rsid w:val="00904CDA"/>
    <w:rsid w:val="00907E68"/>
    <w:rsid w:val="00910B50"/>
    <w:rsid w:val="00914449"/>
    <w:rsid w:val="0092206B"/>
    <w:rsid w:val="009339C2"/>
    <w:rsid w:val="00934115"/>
    <w:rsid w:val="00937068"/>
    <w:rsid w:val="00937DB2"/>
    <w:rsid w:val="00942578"/>
    <w:rsid w:val="0094551C"/>
    <w:rsid w:val="0095124D"/>
    <w:rsid w:val="00952ADA"/>
    <w:rsid w:val="00957A3B"/>
    <w:rsid w:val="00960201"/>
    <w:rsid w:val="00963197"/>
    <w:rsid w:val="00966344"/>
    <w:rsid w:val="009720A5"/>
    <w:rsid w:val="0098041B"/>
    <w:rsid w:val="00983FF6"/>
    <w:rsid w:val="009846A7"/>
    <w:rsid w:val="00985E4C"/>
    <w:rsid w:val="009871AB"/>
    <w:rsid w:val="00992113"/>
    <w:rsid w:val="00997BEB"/>
    <w:rsid w:val="009A0D98"/>
    <w:rsid w:val="009A7F82"/>
    <w:rsid w:val="009B644D"/>
    <w:rsid w:val="009B763D"/>
    <w:rsid w:val="009D38C8"/>
    <w:rsid w:val="009D5A0A"/>
    <w:rsid w:val="009E3F36"/>
    <w:rsid w:val="009F6FD5"/>
    <w:rsid w:val="00A03050"/>
    <w:rsid w:val="00A044A0"/>
    <w:rsid w:val="00A04899"/>
    <w:rsid w:val="00A1120B"/>
    <w:rsid w:val="00A20B9D"/>
    <w:rsid w:val="00A25AF9"/>
    <w:rsid w:val="00A25D65"/>
    <w:rsid w:val="00A309A1"/>
    <w:rsid w:val="00A34529"/>
    <w:rsid w:val="00A4236E"/>
    <w:rsid w:val="00A42A75"/>
    <w:rsid w:val="00A449F1"/>
    <w:rsid w:val="00A4534B"/>
    <w:rsid w:val="00A51593"/>
    <w:rsid w:val="00A54256"/>
    <w:rsid w:val="00A64C2B"/>
    <w:rsid w:val="00A706D2"/>
    <w:rsid w:val="00A73135"/>
    <w:rsid w:val="00A73FB3"/>
    <w:rsid w:val="00A740F3"/>
    <w:rsid w:val="00A8167D"/>
    <w:rsid w:val="00A82755"/>
    <w:rsid w:val="00A83DBA"/>
    <w:rsid w:val="00A84592"/>
    <w:rsid w:val="00A86803"/>
    <w:rsid w:val="00A93F16"/>
    <w:rsid w:val="00AA0A4C"/>
    <w:rsid w:val="00AA1702"/>
    <w:rsid w:val="00AA3158"/>
    <w:rsid w:val="00AA5335"/>
    <w:rsid w:val="00AB2816"/>
    <w:rsid w:val="00AD3753"/>
    <w:rsid w:val="00AD4442"/>
    <w:rsid w:val="00AD54F4"/>
    <w:rsid w:val="00AD7145"/>
    <w:rsid w:val="00AD750C"/>
    <w:rsid w:val="00AD7F6B"/>
    <w:rsid w:val="00AE4224"/>
    <w:rsid w:val="00AE438C"/>
    <w:rsid w:val="00AE47A2"/>
    <w:rsid w:val="00AE65AB"/>
    <w:rsid w:val="00AE7EC3"/>
    <w:rsid w:val="00AF017E"/>
    <w:rsid w:val="00AF58EA"/>
    <w:rsid w:val="00B033B6"/>
    <w:rsid w:val="00B0787C"/>
    <w:rsid w:val="00B10842"/>
    <w:rsid w:val="00B204A0"/>
    <w:rsid w:val="00B26BE9"/>
    <w:rsid w:val="00B30902"/>
    <w:rsid w:val="00B31C3A"/>
    <w:rsid w:val="00B34515"/>
    <w:rsid w:val="00B42E62"/>
    <w:rsid w:val="00B4393D"/>
    <w:rsid w:val="00B44C1C"/>
    <w:rsid w:val="00B457EE"/>
    <w:rsid w:val="00B46588"/>
    <w:rsid w:val="00B511EE"/>
    <w:rsid w:val="00B51980"/>
    <w:rsid w:val="00B606E2"/>
    <w:rsid w:val="00B61BC6"/>
    <w:rsid w:val="00B67C52"/>
    <w:rsid w:val="00B7093B"/>
    <w:rsid w:val="00B71A02"/>
    <w:rsid w:val="00B731A2"/>
    <w:rsid w:val="00B750F8"/>
    <w:rsid w:val="00B75B74"/>
    <w:rsid w:val="00B80C62"/>
    <w:rsid w:val="00B8345A"/>
    <w:rsid w:val="00B84330"/>
    <w:rsid w:val="00B963A6"/>
    <w:rsid w:val="00BA3AA5"/>
    <w:rsid w:val="00BA5672"/>
    <w:rsid w:val="00BA77BE"/>
    <w:rsid w:val="00BB0A24"/>
    <w:rsid w:val="00BB19E3"/>
    <w:rsid w:val="00BB4586"/>
    <w:rsid w:val="00BB525C"/>
    <w:rsid w:val="00BE1556"/>
    <w:rsid w:val="00BE5684"/>
    <w:rsid w:val="00BF7E46"/>
    <w:rsid w:val="00C06916"/>
    <w:rsid w:val="00C06B68"/>
    <w:rsid w:val="00C154B3"/>
    <w:rsid w:val="00C26DF9"/>
    <w:rsid w:val="00C34308"/>
    <w:rsid w:val="00C36CEA"/>
    <w:rsid w:val="00C36E48"/>
    <w:rsid w:val="00C43E72"/>
    <w:rsid w:val="00C54F21"/>
    <w:rsid w:val="00C57090"/>
    <w:rsid w:val="00C57E0C"/>
    <w:rsid w:val="00C60F5A"/>
    <w:rsid w:val="00C62A03"/>
    <w:rsid w:val="00C72AE4"/>
    <w:rsid w:val="00C75B33"/>
    <w:rsid w:val="00C83798"/>
    <w:rsid w:val="00C86042"/>
    <w:rsid w:val="00C86229"/>
    <w:rsid w:val="00C9180D"/>
    <w:rsid w:val="00C91F8C"/>
    <w:rsid w:val="00C93EA5"/>
    <w:rsid w:val="00CA0720"/>
    <w:rsid w:val="00CA42B5"/>
    <w:rsid w:val="00CA4978"/>
    <w:rsid w:val="00CB50D0"/>
    <w:rsid w:val="00CC774A"/>
    <w:rsid w:val="00CC7D46"/>
    <w:rsid w:val="00CD19A2"/>
    <w:rsid w:val="00CD3437"/>
    <w:rsid w:val="00CD34E4"/>
    <w:rsid w:val="00CD3C3B"/>
    <w:rsid w:val="00CD48C2"/>
    <w:rsid w:val="00CE1F2A"/>
    <w:rsid w:val="00CE3D78"/>
    <w:rsid w:val="00CE697C"/>
    <w:rsid w:val="00D03877"/>
    <w:rsid w:val="00D03C4F"/>
    <w:rsid w:val="00D0451B"/>
    <w:rsid w:val="00D0762A"/>
    <w:rsid w:val="00D20990"/>
    <w:rsid w:val="00D32DBF"/>
    <w:rsid w:val="00D3475E"/>
    <w:rsid w:val="00D35873"/>
    <w:rsid w:val="00D36655"/>
    <w:rsid w:val="00D375C8"/>
    <w:rsid w:val="00D40BEE"/>
    <w:rsid w:val="00D42E08"/>
    <w:rsid w:val="00D44274"/>
    <w:rsid w:val="00D44D75"/>
    <w:rsid w:val="00D45742"/>
    <w:rsid w:val="00D46D12"/>
    <w:rsid w:val="00D60560"/>
    <w:rsid w:val="00D75CBC"/>
    <w:rsid w:val="00D80EF0"/>
    <w:rsid w:val="00D8574A"/>
    <w:rsid w:val="00D957C3"/>
    <w:rsid w:val="00D9764D"/>
    <w:rsid w:val="00DA19FA"/>
    <w:rsid w:val="00DA438C"/>
    <w:rsid w:val="00DB2DB1"/>
    <w:rsid w:val="00DC367D"/>
    <w:rsid w:val="00DC5B61"/>
    <w:rsid w:val="00DD0B9B"/>
    <w:rsid w:val="00DD4348"/>
    <w:rsid w:val="00DE0334"/>
    <w:rsid w:val="00DF2E10"/>
    <w:rsid w:val="00DF3D24"/>
    <w:rsid w:val="00DF666C"/>
    <w:rsid w:val="00E0722F"/>
    <w:rsid w:val="00E11C80"/>
    <w:rsid w:val="00E12C89"/>
    <w:rsid w:val="00E15323"/>
    <w:rsid w:val="00E208C2"/>
    <w:rsid w:val="00E340A1"/>
    <w:rsid w:val="00E35970"/>
    <w:rsid w:val="00E41330"/>
    <w:rsid w:val="00E41ABF"/>
    <w:rsid w:val="00E5088A"/>
    <w:rsid w:val="00E50A08"/>
    <w:rsid w:val="00E520BD"/>
    <w:rsid w:val="00E60DB1"/>
    <w:rsid w:val="00E66FBE"/>
    <w:rsid w:val="00E719DD"/>
    <w:rsid w:val="00E7765C"/>
    <w:rsid w:val="00E804D6"/>
    <w:rsid w:val="00E8075C"/>
    <w:rsid w:val="00E84D16"/>
    <w:rsid w:val="00E919F8"/>
    <w:rsid w:val="00E9356C"/>
    <w:rsid w:val="00E9378C"/>
    <w:rsid w:val="00E95B11"/>
    <w:rsid w:val="00EB323B"/>
    <w:rsid w:val="00EC12C7"/>
    <w:rsid w:val="00EC48D0"/>
    <w:rsid w:val="00EC48D6"/>
    <w:rsid w:val="00EC52EB"/>
    <w:rsid w:val="00EE1895"/>
    <w:rsid w:val="00EE3E01"/>
    <w:rsid w:val="00EE5983"/>
    <w:rsid w:val="00EE5EE5"/>
    <w:rsid w:val="00EF1061"/>
    <w:rsid w:val="00EF110D"/>
    <w:rsid w:val="00EF1BC8"/>
    <w:rsid w:val="00EF24E5"/>
    <w:rsid w:val="00EF2B34"/>
    <w:rsid w:val="00EF3D97"/>
    <w:rsid w:val="00EF49F2"/>
    <w:rsid w:val="00EF761C"/>
    <w:rsid w:val="00F0304B"/>
    <w:rsid w:val="00F04AD8"/>
    <w:rsid w:val="00F07C53"/>
    <w:rsid w:val="00F1554D"/>
    <w:rsid w:val="00F21095"/>
    <w:rsid w:val="00F23CCB"/>
    <w:rsid w:val="00F246A4"/>
    <w:rsid w:val="00F33036"/>
    <w:rsid w:val="00F34EB0"/>
    <w:rsid w:val="00F355E7"/>
    <w:rsid w:val="00F437B7"/>
    <w:rsid w:val="00F477A5"/>
    <w:rsid w:val="00F51901"/>
    <w:rsid w:val="00F60823"/>
    <w:rsid w:val="00F60BEB"/>
    <w:rsid w:val="00F66096"/>
    <w:rsid w:val="00F754B8"/>
    <w:rsid w:val="00F762D6"/>
    <w:rsid w:val="00F767A8"/>
    <w:rsid w:val="00F80CDB"/>
    <w:rsid w:val="00F82B13"/>
    <w:rsid w:val="00F86780"/>
    <w:rsid w:val="00F8708C"/>
    <w:rsid w:val="00F91F71"/>
    <w:rsid w:val="00F97A9A"/>
    <w:rsid w:val="00FA2E13"/>
    <w:rsid w:val="00FA3547"/>
    <w:rsid w:val="00FA4187"/>
    <w:rsid w:val="00FA5F36"/>
    <w:rsid w:val="00FB009D"/>
    <w:rsid w:val="00FB5834"/>
    <w:rsid w:val="00FD4CF4"/>
    <w:rsid w:val="00FD7974"/>
    <w:rsid w:val="00FF02D7"/>
    <w:rsid w:val="00FF3F31"/>
    <w:rsid w:val="00FF69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CAC50"/>
  <w15:chartTrackingRefBased/>
  <w15:docId w15:val="{5B2DC70F-99B7-4C4E-BD31-9CD21DAD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A7411"/>
    <w:pPr>
      <w:keepNext/>
      <w:keepLines/>
      <w:spacing w:before="480" w:after="0" w:line="240" w:lineRule="auto"/>
      <w:jc w:val="both"/>
      <w:outlineLvl w:val="0"/>
    </w:pPr>
    <w:rPr>
      <w:rFonts w:ascii="Gotham Book" w:eastAsiaTheme="majorEastAsia" w:hAnsi="Gotham Book" w:cs="Times New Roman"/>
      <w:bCs/>
      <w:color w:val="31699F"/>
      <w:sz w:val="36"/>
      <w:szCs w:val="36"/>
      <w:lang w:eastAsia="it-IT"/>
    </w:rPr>
  </w:style>
  <w:style w:type="paragraph" w:styleId="Titolo2">
    <w:name w:val="heading 2"/>
    <w:basedOn w:val="Normale"/>
    <w:next w:val="Normale"/>
    <w:link w:val="Titolo2Carattere"/>
    <w:uiPriority w:val="9"/>
    <w:unhideWhenUsed/>
    <w:qFormat/>
    <w:rsid w:val="007456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781061"/>
    <w:pPr>
      <w:keepNext/>
      <w:keepLines/>
      <w:tabs>
        <w:tab w:val="left" w:pos="567"/>
        <w:tab w:val="left" w:pos="708"/>
        <w:tab w:val="left" w:pos="2124"/>
        <w:tab w:val="left" w:pos="3540"/>
        <w:tab w:val="left" w:pos="4248"/>
        <w:tab w:val="left" w:pos="4956"/>
        <w:tab w:val="left" w:pos="5664"/>
        <w:tab w:val="left" w:pos="6265"/>
        <w:tab w:val="right" w:pos="10348"/>
      </w:tabs>
      <w:spacing w:before="40" w:after="0" w:line="360" w:lineRule="auto"/>
      <w:ind w:right="142"/>
      <w:outlineLvl w:val="2"/>
    </w:pPr>
    <w:rPr>
      <w:rFonts w:asciiTheme="majorHAnsi" w:eastAsiaTheme="majorEastAsia" w:hAnsiTheme="majorHAnsi" w:cstheme="majorBidi"/>
      <w:color w:val="1F4D78" w:themeColor="accent1" w:themeShade="7F"/>
      <w:sz w:val="24"/>
      <w:szCs w:val="24"/>
      <w:lang w:val="en-US"/>
    </w:rPr>
  </w:style>
  <w:style w:type="paragraph" w:styleId="Titolo4">
    <w:name w:val="heading 4"/>
    <w:basedOn w:val="Normale"/>
    <w:next w:val="Normale"/>
    <w:link w:val="Titolo4Carattere"/>
    <w:uiPriority w:val="9"/>
    <w:unhideWhenUsed/>
    <w:qFormat/>
    <w:rsid w:val="008A7411"/>
    <w:pPr>
      <w:keepNext/>
      <w:keepLines/>
      <w:spacing w:before="200" w:after="0" w:line="240" w:lineRule="auto"/>
      <w:outlineLvl w:val="3"/>
    </w:pPr>
    <w:rPr>
      <w:rFonts w:ascii="Cambria" w:eastAsia="Times New Roman" w:hAnsi="Cambria" w:cs="Times New Roman"/>
      <w:b/>
      <w:bCs/>
      <w:i/>
      <w:iCs/>
      <w:color w:val="4F81BD"/>
      <w:sz w:val="24"/>
      <w:szCs w:val="24"/>
      <w:lang w:eastAsia="it-IT"/>
    </w:rPr>
  </w:style>
  <w:style w:type="paragraph" w:styleId="Titolo5">
    <w:name w:val="heading 5"/>
    <w:basedOn w:val="Normale"/>
    <w:next w:val="Normale"/>
    <w:link w:val="Titolo5Carattere"/>
    <w:uiPriority w:val="9"/>
    <w:unhideWhenUsed/>
    <w:qFormat/>
    <w:rsid w:val="008A7411"/>
    <w:pPr>
      <w:pBdr>
        <w:bottom w:val="single" w:sz="6" w:space="1" w:color="4F81BD"/>
      </w:pBdr>
      <w:spacing w:before="200" w:after="0" w:line="276" w:lineRule="auto"/>
      <w:outlineLvl w:val="4"/>
    </w:pPr>
    <w:rPr>
      <w:rFonts w:ascii="Calibri" w:eastAsia="Times New Roman" w:hAnsi="Calibri" w:cs="Times New Roman"/>
      <w:caps/>
      <w:color w:val="365F91"/>
      <w:spacing w:val="10"/>
      <w:sz w:val="20"/>
      <w:szCs w:val="20"/>
      <w:lang w:val="en-US"/>
    </w:rPr>
  </w:style>
  <w:style w:type="paragraph" w:styleId="Titolo6">
    <w:name w:val="heading 6"/>
    <w:basedOn w:val="Normale"/>
    <w:next w:val="Normale"/>
    <w:link w:val="Titolo6Carattere"/>
    <w:uiPriority w:val="9"/>
    <w:unhideWhenUsed/>
    <w:qFormat/>
    <w:rsid w:val="008A7411"/>
    <w:pPr>
      <w:pBdr>
        <w:bottom w:val="dotted" w:sz="6" w:space="1" w:color="4F81BD"/>
      </w:pBdr>
      <w:spacing w:before="200" w:after="0" w:line="276" w:lineRule="auto"/>
      <w:outlineLvl w:val="5"/>
    </w:pPr>
    <w:rPr>
      <w:rFonts w:ascii="Calibri" w:eastAsia="Times New Roman" w:hAnsi="Calibri" w:cs="Times New Roman"/>
      <w:caps/>
      <w:color w:val="365F91"/>
      <w:spacing w:val="10"/>
      <w:sz w:val="20"/>
      <w:szCs w:val="20"/>
      <w:lang w:val="en-US"/>
    </w:rPr>
  </w:style>
  <w:style w:type="paragraph" w:styleId="Titolo7">
    <w:name w:val="heading 7"/>
    <w:basedOn w:val="Normale"/>
    <w:next w:val="Normale"/>
    <w:link w:val="Titolo7Carattere"/>
    <w:uiPriority w:val="9"/>
    <w:unhideWhenUsed/>
    <w:qFormat/>
    <w:rsid w:val="008A7411"/>
    <w:pPr>
      <w:spacing w:before="200" w:after="0" w:line="276" w:lineRule="auto"/>
      <w:outlineLvl w:val="6"/>
    </w:pPr>
    <w:rPr>
      <w:rFonts w:ascii="Calibri" w:eastAsia="Times New Roman" w:hAnsi="Calibri" w:cs="Times New Roman"/>
      <w:caps/>
      <w:color w:val="365F91"/>
      <w:spacing w:val="10"/>
      <w:sz w:val="20"/>
      <w:szCs w:val="20"/>
      <w:lang w:val="en-US"/>
    </w:rPr>
  </w:style>
  <w:style w:type="paragraph" w:styleId="Titolo8">
    <w:name w:val="heading 8"/>
    <w:basedOn w:val="Normale"/>
    <w:next w:val="Normale"/>
    <w:link w:val="Titolo8Carattere"/>
    <w:uiPriority w:val="9"/>
    <w:unhideWhenUsed/>
    <w:qFormat/>
    <w:rsid w:val="008A7411"/>
    <w:pPr>
      <w:spacing w:before="200" w:after="0" w:line="276" w:lineRule="auto"/>
      <w:outlineLvl w:val="7"/>
    </w:pPr>
    <w:rPr>
      <w:rFonts w:ascii="Calibri" w:eastAsia="Times New Roman" w:hAnsi="Calibri" w:cs="Times New Roman"/>
      <w:caps/>
      <w:spacing w:val="10"/>
      <w:sz w:val="18"/>
      <w:szCs w:val="18"/>
      <w:lang w:val="en-US"/>
    </w:rPr>
  </w:style>
  <w:style w:type="paragraph" w:styleId="Titolo9">
    <w:name w:val="heading 9"/>
    <w:basedOn w:val="Normale"/>
    <w:next w:val="Normale"/>
    <w:link w:val="Titolo9Carattere"/>
    <w:uiPriority w:val="9"/>
    <w:unhideWhenUsed/>
    <w:qFormat/>
    <w:rsid w:val="008A7411"/>
    <w:pPr>
      <w:spacing w:before="200" w:after="0" w:line="276" w:lineRule="auto"/>
      <w:outlineLvl w:val="8"/>
    </w:pPr>
    <w:rPr>
      <w:rFonts w:ascii="Calibri" w:eastAsia="Times New Roman" w:hAnsi="Calibri" w:cs="Times New Roman"/>
      <w:i/>
      <w:iCs/>
      <w:caps/>
      <w:spacing w:val="10"/>
      <w:sz w:val="18"/>
      <w:szCs w:val="1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Trattino,List Paragraph,Bullet edison,Paragrafo elenco 2,Bullet List,FooterText,numbered,Paragraphe de liste1,Bulletr List Paragraph,列出段落,列出段落1,List Paragraph21,Listeafsnit1,Parágrafo da Lista1,Párrafo de lista1,Elenco Bullet point,lp1"/>
    <w:basedOn w:val="Normale"/>
    <w:link w:val="ParagrafoelencoCarattere"/>
    <w:uiPriority w:val="34"/>
    <w:qFormat/>
    <w:rsid w:val="002F14E7"/>
    <w:pPr>
      <w:ind w:left="720"/>
      <w:contextualSpacing/>
    </w:pPr>
  </w:style>
  <w:style w:type="paragraph" w:styleId="Testofumetto">
    <w:name w:val="Balloon Text"/>
    <w:basedOn w:val="Normale"/>
    <w:link w:val="TestofumettoCarattere"/>
    <w:uiPriority w:val="99"/>
    <w:semiHidden/>
    <w:unhideWhenUsed/>
    <w:rsid w:val="002D3A3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D3A3B"/>
    <w:rPr>
      <w:rFonts w:ascii="Segoe UI" w:hAnsi="Segoe UI" w:cs="Segoe UI"/>
      <w:sz w:val="18"/>
      <w:szCs w:val="18"/>
    </w:rPr>
  </w:style>
  <w:style w:type="paragraph" w:styleId="Testonotaapidipagina">
    <w:name w:val="footnote text"/>
    <w:aliases w:val="Carattere,Testo nota a piè di pagina Carattere Carattere Carattere,Testo nota a piè di pagina Carattere Carattere,Caratt, Carattere,Testo nota a piè di pagina Carattere Carattere Carattere ,Footnote Text Char Char,single space"/>
    <w:basedOn w:val="Normale"/>
    <w:link w:val="TestonotaapidipaginaCarattere"/>
    <w:uiPriority w:val="99"/>
    <w:unhideWhenUsed/>
    <w:qFormat/>
    <w:rsid w:val="000A60D9"/>
    <w:pPr>
      <w:spacing w:after="0" w:line="240" w:lineRule="auto"/>
    </w:pPr>
    <w:rPr>
      <w:sz w:val="20"/>
      <w:szCs w:val="20"/>
    </w:rPr>
  </w:style>
  <w:style w:type="character" w:customStyle="1" w:styleId="TestonotaapidipaginaCarattere">
    <w:name w:val="Testo nota a piè di pagina Carattere"/>
    <w:aliases w:val="Carattere Carattere1,Testo nota a piè di pagina Carattere Carattere Carattere Carattere1,Testo nota a piè di pagina Carattere Carattere Carattere2,Caratt Carattere1, Carattere Carattere1,single space Carattere1"/>
    <w:basedOn w:val="Carpredefinitoparagrafo"/>
    <w:link w:val="Testonotaapidipagina"/>
    <w:uiPriority w:val="99"/>
    <w:rsid w:val="000A60D9"/>
    <w:rPr>
      <w:sz w:val="20"/>
      <w:szCs w:val="20"/>
    </w:rPr>
  </w:style>
  <w:style w:type="character" w:styleId="Rimandonotaapidipagina">
    <w:name w:val="footnote reference"/>
    <w:aliases w:val="SUPERS,EN Footnote Reference,number,Footnote Reference Number,Footnote Reference_LVL6,Footnote Reference_LVL61,Footnote Reference_LVL62,Footnote Reference_LVL63,Footnote Reference_LVL64,ftref,fr,Footnote symbol,normal,Char1"/>
    <w:basedOn w:val="Carpredefinitoparagrafo"/>
    <w:uiPriority w:val="99"/>
    <w:unhideWhenUsed/>
    <w:rsid w:val="000A60D9"/>
    <w:rPr>
      <w:vertAlign w:val="superscript"/>
    </w:rPr>
  </w:style>
  <w:style w:type="character" w:styleId="Collegamentoipertestuale">
    <w:name w:val="Hyperlink"/>
    <w:aliases w:val="Sommario 0"/>
    <w:basedOn w:val="Carpredefinitoparagrafo"/>
    <w:uiPriority w:val="99"/>
    <w:unhideWhenUsed/>
    <w:rsid w:val="00AA3158"/>
    <w:rPr>
      <w:color w:val="0563C1" w:themeColor="hyperlink"/>
      <w:u w:val="single"/>
    </w:rPr>
  </w:style>
  <w:style w:type="character" w:customStyle="1" w:styleId="ANACNUMEROCAPITOLOCarattere">
    <w:name w:val="ANAC_NUMERO CAPITOLO Carattere"/>
    <w:basedOn w:val="Carpredefinitoparagrafo"/>
    <w:link w:val="ANACNUMEROCAPITOLO"/>
    <w:locked/>
    <w:rsid w:val="005C193A"/>
    <w:rPr>
      <w:rFonts w:ascii="Trebuchet MS" w:eastAsia="Times New Roman" w:hAnsi="Trebuchet MS" w:cs="Times New Roman"/>
      <w:color w:val="0070C0"/>
      <w:sz w:val="48"/>
      <w:szCs w:val="36"/>
    </w:rPr>
  </w:style>
  <w:style w:type="paragraph" w:customStyle="1" w:styleId="ANACNUMEROCAPITOLO">
    <w:name w:val="ANAC_NUMERO CAPITOLO"/>
    <w:next w:val="Normale"/>
    <w:link w:val="ANACNUMEROCAPITOLOCarattere"/>
    <w:qFormat/>
    <w:rsid w:val="005C193A"/>
    <w:pPr>
      <w:spacing w:after="0" w:line="240" w:lineRule="auto"/>
      <w:outlineLvl w:val="0"/>
    </w:pPr>
    <w:rPr>
      <w:rFonts w:ascii="Trebuchet MS" w:eastAsia="Times New Roman" w:hAnsi="Trebuchet MS" w:cs="Times New Roman"/>
      <w:color w:val="0070C0"/>
      <w:sz w:val="48"/>
      <w:szCs w:val="36"/>
    </w:rPr>
  </w:style>
  <w:style w:type="character" w:customStyle="1" w:styleId="Titolo2Carattere">
    <w:name w:val="Titolo 2 Carattere"/>
    <w:basedOn w:val="Carpredefinitoparagrafo"/>
    <w:link w:val="Titolo2"/>
    <w:uiPriority w:val="9"/>
    <w:rsid w:val="00745608"/>
    <w:rPr>
      <w:rFonts w:asciiTheme="majorHAnsi" w:eastAsiaTheme="majorEastAsia" w:hAnsiTheme="majorHAnsi" w:cstheme="majorBidi"/>
      <w:color w:val="2E74B5" w:themeColor="accent1" w:themeShade="BF"/>
      <w:sz w:val="26"/>
      <w:szCs w:val="26"/>
    </w:rPr>
  </w:style>
  <w:style w:type="character" w:styleId="Rimandocommento">
    <w:name w:val="annotation reference"/>
    <w:basedOn w:val="Carpredefinitoparagrafo"/>
    <w:uiPriority w:val="99"/>
    <w:semiHidden/>
    <w:unhideWhenUsed/>
    <w:rsid w:val="00745608"/>
    <w:rPr>
      <w:sz w:val="16"/>
      <w:szCs w:val="16"/>
    </w:rPr>
  </w:style>
  <w:style w:type="paragraph" w:styleId="Testocommento">
    <w:name w:val="annotation text"/>
    <w:basedOn w:val="Normale"/>
    <w:link w:val="TestocommentoCarattere"/>
    <w:uiPriority w:val="99"/>
    <w:unhideWhenUsed/>
    <w:rsid w:val="00745608"/>
    <w:pPr>
      <w:spacing w:line="240" w:lineRule="auto"/>
    </w:pPr>
    <w:rPr>
      <w:sz w:val="20"/>
      <w:szCs w:val="20"/>
    </w:rPr>
  </w:style>
  <w:style w:type="character" w:customStyle="1" w:styleId="TestocommentoCarattere">
    <w:name w:val="Testo commento Carattere"/>
    <w:basedOn w:val="Carpredefinitoparagrafo"/>
    <w:link w:val="Testocommento"/>
    <w:uiPriority w:val="99"/>
    <w:rsid w:val="00745608"/>
    <w:rPr>
      <w:sz w:val="20"/>
      <w:szCs w:val="20"/>
    </w:rPr>
  </w:style>
  <w:style w:type="paragraph" w:styleId="Soggettocommento">
    <w:name w:val="annotation subject"/>
    <w:basedOn w:val="Testocommento"/>
    <w:next w:val="Testocommento"/>
    <w:link w:val="SoggettocommentoCarattere"/>
    <w:uiPriority w:val="99"/>
    <w:semiHidden/>
    <w:unhideWhenUsed/>
    <w:rsid w:val="00745608"/>
    <w:rPr>
      <w:b/>
      <w:bCs/>
    </w:rPr>
  </w:style>
  <w:style w:type="character" w:customStyle="1" w:styleId="SoggettocommentoCarattere">
    <w:name w:val="Soggetto commento Carattere"/>
    <w:basedOn w:val="TestocommentoCarattere"/>
    <w:link w:val="Soggettocommento"/>
    <w:uiPriority w:val="99"/>
    <w:semiHidden/>
    <w:rsid w:val="00745608"/>
    <w:rPr>
      <w:b/>
      <w:bCs/>
      <w:sz w:val="20"/>
      <w:szCs w:val="20"/>
    </w:rPr>
  </w:style>
  <w:style w:type="character" w:styleId="Collegamentovisitato">
    <w:name w:val="FollowedHyperlink"/>
    <w:basedOn w:val="Carpredefinitoparagrafo"/>
    <w:uiPriority w:val="99"/>
    <w:semiHidden/>
    <w:unhideWhenUsed/>
    <w:rsid w:val="00745608"/>
    <w:rPr>
      <w:color w:val="954F72" w:themeColor="followedHyperlink"/>
      <w:u w:val="single"/>
    </w:rPr>
  </w:style>
  <w:style w:type="paragraph" w:styleId="Sommario2">
    <w:name w:val="toc 2"/>
    <w:basedOn w:val="Normale"/>
    <w:next w:val="Normale"/>
    <w:autoRedefine/>
    <w:uiPriority w:val="39"/>
    <w:unhideWhenUsed/>
    <w:rsid w:val="00C34308"/>
    <w:pPr>
      <w:spacing w:after="120" w:line="276" w:lineRule="auto"/>
      <w:ind w:left="221"/>
    </w:pPr>
    <w:rPr>
      <w:rFonts w:ascii="Trebuchet MS" w:hAnsi="Trebuchet MS" w:cstheme="minorHAnsi"/>
      <w:b/>
      <w:i/>
      <w:iCs/>
      <w:sz w:val="20"/>
      <w:szCs w:val="20"/>
    </w:rPr>
  </w:style>
  <w:style w:type="paragraph" w:styleId="Sommario1">
    <w:name w:val="toc 1"/>
    <w:basedOn w:val="Normale"/>
    <w:next w:val="Normale"/>
    <w:link w:val="Sommario1Carattere"/>
    <w:autoRedefine/>
    <w:uiPriority w:val="39"/>
    <w:unhideWhenUsed/>
    <w:rsid w:val="00C34308"/>
    <w:pPr>
      <w:spacing w:before="120" w:after="120" w:line="276" w:lineRule="auto"/>
    </w:pPr>
    <w:rPr>
      <w:rFonts w:ascii="Trebuchet MS" w:hAnsi="Trebuchet MS" w:cstheme="minorHAnsi"/>
      <w:b/>
      <w:bCs/>
      <w:color w:val="0070C0"/>
      <w:sz w:val="24"/>
      <w:szCs w:val="20"/>
    </w:rPr>
  </w:style>
  <w:style w:type="paragraph" w:styleId="Intestazione">
    <w:name w:val="header"/>
    <w:basedOn w:val="Normale"/>
    <w:link w:val="IntestazioneCarattere"/>
    <w:uiPriority w:val="99"/>
    <w:unhideWhenUsed/>
    <w:rsid w:val="0074560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45608"/>
  </w:style>
  <w:style w:type="paragraph" w:styleId="Pidipagina">
    <w:name w:val="footer"/>
    <w:basedOn w:val="Normale"/>
    <w:link w:val="PidipaginaCarattere"/>
    <w:uiPriority w:val="99"/>
    <w:unhideWhenUsed/>
    <w:rsid w:val="0074560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45608"/>
  </w:style>
  <w:style w:type="character" w:customStyle="1" w:styleId="Titolo3Carattere">
    <w:name w:val="Titolo 3 Carattere"/>
    <w:basedOn w:val="Carpredefinitoparagrafo"/>
    <w:link w:val="Titolo3"/>
    <w:uiPriority w:val="9"/>
    <w:rsid w:val="00781061"/>
    <w:rPr>
      <w:rFonts w:asciiTheme="majorHAnsi" w:eastAsiaTheme="majorEastAsia" w:hAnsiTheme="majorHAnsi" w:cstheme="majorBidi"/>
      <w:color w:val="1F4D78" w:themeColor="accent1" w:themeShade="7F"/>
      <w:sz w:val="24"/>
      <w:szCs w:val="24"/>
      <w:lang w:val="en-US"/>
    </w:rPr>
  </w:style>
  <w:style w:type="table" w:customStyle="1" w:styleId="TableNormal">
    <w:name w:val="Table Normal"/>
    <w:uiPriority w:val="2"/>
    <w:semiHidden/>
    <w:qFormat/>
    <w:rsid w:val="00781061"/>
    <w:pPr>
      <w:spacing w:before="100" w:after="200" w:line="276" w:lineRule="auto"/>
    </w:pPr>
    <w:rPr>
      <w:rFonts w:ascii="Calibri" w:eastAsia="Times New Roman" w:hAnsi="Calibri" w:cs="Tunga"/>
      <w:sz w:val="20"/>
      <w:szCs w:val="20"/>
      <w:lang w:val="en-US"/>
    </w:rPr>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8A7411"/>
    <w:rPr>
      <w:rFonts w:ascii="Gotham Book" w:eastAsiaTheme="majorEastAsia" w:hAnsi="Gotham Book" w:cs="Times New Roman"/>
      <w:bCs/>
      <w:color w:val="31699F"/>
      <w:sz w:val="36"/>
      <w:szCs w:val="36"/>
      <w:lang w:eastAsia="it-IT"/>
    </w:rPr>
  </w:style>
  <w:style w:type="character" w:customStyle="1" w:styleId="Titolo4Carattere">
    <w:name w:val="Titolo 4 Carattere"/>
    <w:basedOn w:val="Carpredefinitoparagrafo"/>
    <w:link w:val="Titolo4"/>
    <w:uiPriority w:val="9"/>
    <w:rsid w:val="008A7411"/>
    <w:rPr>
      <w:rFonts w:ascii="Cambria" w:eastAsia="Times New Roman" w:hAnsi="Cambria" w:cs="Times New Roman"/>
      <w:b/>
      <w:bCs/>
      <w:i/>
      <w:iCs/>
      <w:color w:val="4F81BD"/>
      <w:sz w:val="24"/>
      <w:szCs w:val="24"/>
      <w:lang w:eastAsia="it-IT"/>
    </w:rPr>
  </w:style>
  <w:style w:type="character" w:customStyle="1" w:styleId="Titolo5Carattere">
    <w:name w:val="Titolo 5 Carattere"/>
    <w:basedOn w:val="Carpredefinitoparagrafo"/>
    <w:link w:val="Titolo5"/>
    <w:uiPriority w:val="9"/>
    <w:rsid w:val="008A7411"/>
    <w:rPr>
      <w:rFonts w:ascii="Calibri" w:eastAsia="Times New Roman" w:hAnsi="Calibri" w:cs="Times New Roman"/>
      <w:caps/>
      <w:color w:val="365F91"/>
      <w:spacing w:val="10"/>
      <w:sz w:val="20"/>
      <w:szCs w:val="20"/>
      <w:lang w:val="en-US"/>
    </w:rPr>
  </w:style>
  <w:style w:type="character" w:customStyle="1" w:styleId="Titolo6Carattere">
    <w:name w:val="Titolo 6 Carattere"/>
    <w:basedOn w:val="Carpredefinitoparagrafo"/>
    <w:link w:val="Titolo6"/>
    <w:uiPriority w:val="9"/>
    <w:rsid w:val="008A7411"/>
    <w:rPr>
      <w:rFonts w:ascii="Calibri" w:eastAsia="Times New Roman" w:hAnsi="Calibri" w:cs="Times New Roman"/>
      <w:caps/>
      <w:color w:val="365F91"/>
      <w:spacing w:val="10"/>
      <w:sz w:val="20"/>
      <w:szCs w:val="20"/>
      <w:lang w:val="en-US"/>
    </w:rPr>
  </w:style>
  <w:style w:type="character" w:customStyle="1" w:styleId="Titolo7Carattere">
    <w:name w:val="Titolo 7 Carattere"/>
    <w:basedOn w:val="Carpredefinitoparagrafo"/>
    <w:link w:val="Titolo7"/>
    <w:uiPriority w:val="9"/>
    <w:rsid w:val="008A7411"/>
    <w:rPr>
      <w:rFonts w:ascii="Calibri" w:eastAsia="Times New Roman" w:hAnsi="Calibri" w:cs="Times New Roman"/>
      <w:caps/>
      <w:color w:val="365F91"/>
      <w:spacing w:val="10"/>
      <w:sz w:val="20"/>
      <w:szCs w:val="20"/>
      <w:lang w:val="en-US"/>
    </w:rPr>
  </w:style>
  <w:style w:type="character" w:customStyle="1" w:styleId="Titolo8Carattere">
    <w:name w:val="Titolo 8 Carattere"/>
    <w:basedOn w:val="Carpredefinitoparagrafo"/>
    <w:link w:val="Titolo8"/>
    <w:uiPriority w:val="9"/>
    <w:rsid w:val="008A7411"/>
    <w:rPr>
      <w:rFonts w:ascii="Calibri" w:eastAsia="Times New Roman" w:hAnsi="Calibri" w:cs="Times New Roman"/>
      <w:caps/>
      <w:spacing w:val="10"/>
      <w:sz w:val="18"/>
      <w:szCs w:val="18"/>
      <w:lang w:val="en-US"/>
    </w:rPr>
  </w:style>
  <w:style w:type="character" w:customStyle="1" w:styleId="Titolo9Carattere">
    <w:name w:val="Titolo 9 Carattere"/>
    <w:basedOn w:val="Carpredefinitoparagrafo"/>
    <w:link w:val="Titolo9"/>
    <w:uiPriority w:val="9"/>
    <w:rsid w:val="008A7411"/>
    <w:rPr>
      <w:rFonts w:ascii="Calibri" w:eastAsia="Times New Roman" w:hAnsi="Calibri" w:cs="Times New Roman"/>
      <w:i/>
      <w:iCs/>
      <w:caps/>
      <w:spacing w:val="10"/>
      <w:sz w:val="18"/>
      <w:szCs w:val="18"/>
      <w:lang w:val="en-US"/>
    </w:rPr>
  </w:style>
  <w:style w:type="paragraph" w:styleId="Titolosommario">
    <w:name w:val="TOC Heading"/>
    <w:basedOn w:val="Titolo1"/>
    <w:next w:val="Normale"/>
    <w:uiPriority w:val="39"/>
    <w:unhideWhenUsed/>
    <w:qFormat/>
    <w:rsid w:val="008A7411"/>
    <w:pPr>
      <w:spacing w:line="276" w:lineRule="auto"/>
      <w:outlineLvl w:val="9"/>
    </w:pPr>
  </w:style>
  <w:style w:type="character" w:customStyle="1" w:styleId="TestonotaapidipaginaCarattere1">
    <w:name w:val="Testo nota a piè di pagina Carattere1"/>
    <w:aliases w:val="Carattere Carattere,Testo nota a piè di pagina Carattere Carattere Carattere Carattere,Testo nota a piè di pagina Carattere Carattere Carattere1,Caratt Carattere, Carattere Carattere,single space Carattere"/>
    <w:basedOn w:val="Carpredefinitoparagrafo"/>
    <w:rsid w:val="008A7411"/>
    <w:rPr>
      <w:rFonts w:ascii="Times New Roman" w:eastAsia="Times New Roman" w:hAnsi="Times New Roman" w:cs="Times New Roman"/>
      <w:sz w:val="20"/>
      <w:szCs w:val="20"/>
      <w:lang w:eastAsia="it-IT"/>
    </w:rPr>
  </w:style>
  <w:style w:type="table" w:styleId="Grigliatabella">
    <w:name w:val="Table Grid"/>
    <w:basedOn w:val="Tabellanormale"/>
    <w:uiPriority w:val="3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taapidipagina1">
    <w:name w:val="Testo nota a piè di pagina1"/>
    <w:basedOn w:val="Normale"/>
    <w:next w:val="Testonotaapidipagina"/>
    <w:uiPriority w:val="99"/>
    <w:semiHidden/>
    <w:unhideWhenUsed/>
    <w:rsid w:val="008A7411"/>
    <w:pPr>
      <w:spacing w:after="0" w:line="240" w:lineRule="auto"/>
    </w:pPr>
    <w:rPr>
      <w:rFonts w:ascii="Times New Roman" w:eastAsia="Times New Roman" w:hAnsi="Times New Roman" w:cs="Times New Roman"/>
      <w:sz w:val="20"/>
      <w:szCs w:val="20"/>
      <w:lang w:eastAsia="it-IT"/>
    </w:rPr>
  </w:style>
  <w:style w:type="paragraph" w:styleId="Sommario3">
    <w:name w:val="toc 3"/>
    <w:basedOn w:val="Normale"/>
    <w:next w:val="Normale"/>
    <w:autoRedefine/>
    <w:uiPriority w:val="39"/>
    <w:unhideWhenUsed/>
    <w:rsid w:val="00C34308"/>
    <w:pPr>
      <w:spacing w:after="120" w:line="276" w:lineRule="auto"/>
      <w:ind w:left="442"/>
    </w:pPr>
    <w:rPr>
      <w:rFonts w:ascii="Trebuchet MS" w:hAnsi="Trebuchet MS" w:cstheme="minorHAnsi"/>
      <w:i/>
      <w:sz w:val="20"/>
      <w:szCs w:val="20"/>
    </w:rPr>
  </w:style>
  <w:style w:type="numbering" w:customStyle="1" w:styleId="Nessunelenco1">
    <w:name w:val="Nessun elenco1"/>
    <w:next w:val="Nessunelenco"/>
    <w:uiPriority w:val="99"/>
    <w:semiHidden/>
    <w:unhideWhenUsed/>
    <w:rsid w:val="008A7411"/>
  </w:style>
  <w:style w:type="table" w:customStyle="1" w:styleId="Grigliamedia1-Colore11">
    <w:name w:val="Griglia media 1 - Colore 11"/>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1-Colore1">
    <w:name w:val="Medium Grid 1 Accent 1"/>
    <w:basedOn w:val="Tabellanormale"/>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qFormat/>
    <w:rsid w:val="008A7411"/>
    <w:pPr>
      <w:autoSpaceDE w:val="0"/>
      <w:autoSpaceDN w:val="0"/>
      <w:adjustRightInd w:val="0"/>
      <w:spacing w:after="0" w:line="240" w:lineRule="auto"/>
    </w:pPr>
    <w:rPr>
      <w:rFonts w:ascii="Calibri" w:eastAsia="Calibri" w:hAnsi="Calibri" w:cs="Calibri"/>
      <w:color w:val="000000"/>
      <w:sz w:val="24"/>
      <w:szCs w:val="24"/>
    </w:rPr>
  </w:style>
  <w:style w:type="paragraph" w:styleId="NormaleWeb">
    <w:name w:val="Normal (Web)"/>
    <w:basedOn w:val="Normale"/>
    <w:uiPriority w:val="99"/>
    <w:unhideWhenUsed/>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Revisione">
    <w:name w:val="Revision"/>
    <w:hidden/>
    <w:uiPriority w:val="99"/>
    <w:semiHidden/>
    <w:rsid w:val="008A7411"/>
    <w:pPr>
      <w:spacing w:after="0" w:line="240" w:lineRule="auto"/>
    </w:pPr>
    <w:rPr>
      <w:rFonts w:ascii="Times New Roman" w:eastAsia="Times New Roman" w:hAnsi="Times New Roman" w:cs="Times New Roman"/>
      <w:sz w:val="24"/>
      <w:szCs w:val="24"/>
      <w:lang w:eastAsia="it-IT"/>
    </w:rPr>
  </w:style>
  <w:style w:type="table" w:customStyle="1" w:styleId="Grigliatabella1">
    <w:name w:val="Griglia tabella1"/>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basedOn w:val="Normale"/>
    <w:uiPriority w:val="99"/>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char">
    <w:name w:val="normal__char"/>
    <w:uiPriority w:val="99"/>
    <w:rsid w:val="008A7411"/>
    <w:rPr>
      <w:rFonts w:cs="Times New Roman"/>
    </w:rPr>
  </w:style>
  <w:style w:type="character" w:customStyle="1" w:styleId="apple-converted-space">
    <w:name w:val="apple-converted-space"/>
    <w:rsid w:val="008A7411"/>
    <w:rPr>
      <w:rFonts w:cs="Times New Roman"/>
    </w:rPr>
  </w:style>
  <w:style w:type="paragraph" w:customStyle="1" w:styleId="list0020paragraph">
    <w:name w:val="list_0020paragraph"/>
    <w:basedOn w:val="Normale"/>
    <w:uiPriority w:val="99"/>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0">
    <w:name w:val="normale1"/>
    <w:basedOn w:val="Normale"/>
    <w:uiPriority w:val="99"/>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charchar">
    <w:name w:val="normal____char__char"/>
    <w:uiPriority w:val="99"/>
    <w:rsid w:val="008A7411"/>
    <w:rPr>
      <w:rFonts w:cs="Times New Roman"/>
    </w:rPr>
  </w:style>
  <w:style w:type="character" w:styleId="Enfasicorsivo">
    <w:name w:val="Emphasis"/>
    <w:uiPriority w:val="20"/>
    <w:qFormat/>
    <w:rsid w:val="008A7411"/>
    <w:rPr>
      <w:i/>
      <w:iCs/>
    </w:rPr>
  </w:style>
  <w:style w:type="character" w:customStyle="1" w:styleId="descrizione">
    <w:name w:val="descrizione"/>
    <w:rsid w:val="008A7411"/>
    <w:rPr>
      <w:b/>
      <w:bCs/>
      <w:color w:val="5B76A0"/>
      <w:sz w:val="28"/>
      <w:szCs w:val="28"/>
    </w:rPr>
  </w:style>
  <w:style w:type="character" w:styleId="Enfasigrassetto">
    <w:name w:val="Strong"/>
    <w:uiPriority w:val="22"/>
    <w:qFormat/>
    <w:rsid w:val="008A7411"/>
    <w:rPr>
      <w:b/>
      <w:bCs/>
    </w:rPr>
  </w:style>
  <w:style w:type="paragraph" w:customStyle="1" w:styleId="Titolo11">
    <w:name w:val="Titolo 11"/>
    <w:basedOn w:val="Normale"/>
    <w:next w:val="Normale"/>
    <w:uiPriority w:val="9"/>
    <w:qFormat/>
    <w:rsid w:val="008A7411"/>
    <w:pPr>
      <w:keepNext/>
      <w:keepLines/>
      <w:spacing w:before="240" w:after="0" w:line="240" w:lineRule="auto"/>
      <w:jc w:val="right"/>
      <w:outlineLvl w:val="0"/>
    </w:pPr>
    <w:rPr>
      <w:rFonts w:ascii="Gotham Book" w:eastAsia="Times New Roman" w:hAnsi="Gotham Book" w:cs="Times New Roman"/>
      <w:bCs/>
      <w:color w:val="FFFFFF" w:themeColor="background1"/>
      <w:sz w:val="40"/>
      <w:szCs w:val="40"/>
    </w:rPr>
  </w:style>
  <w:style w:type="numbering" w:customStyle="1" w:styleId="Nessunelenco11">
    <w:name w:val="Nessun elenco11"/>
    <w:next w:val="Nessunelenco"/>
    <w:uiPriority w:val="99"/>
    <w:semiHidden/>
    <w:unhideWhenUsed/>
    <w:rsid w:val="008A7411"/>
  </w:style>
  <w:style w:type="paragraph" w:customStyle="1" w:styleId="Titolosommario1">
    <w:name w:val="Titolo sommario1"/>
    <w:basedOn w:val="Titolo1"/>
    <w:next w:val="Normale"/>
    <w:uiPriority w:val="39"/>
    <w:unhideWhenUsed/>
    <w:qFormat/>
    <w:rsid w:val="008A7411"/>
    <w:rPr>
      <w:rFonts w:ascii="Cambria" w:eastAsia="Times New Roman" w:hAnsi="Cambria"/>
      <w:b/>
      <w:color w:val="1F497D"/>
      <w:sz w:val="32"/>
      <w:lang w:eastAsia="en-US"/>
    </w:rPr>
  </w:style>
  <w:style w:type="paragraph" w:customStyle="1" w:styleId="Sommario11">
    <w:name w:val="Sommario 11"/>
    <w:basedOn w:val="Normale"/>
    <w:next w:val="Normale"/>
    <w:autoRedefine/>
    <w:uiPriority w:val="39"/>
    <w:unhideWhenUsed/>
    <w:rsid w:val="008A7411"/>
    <w:pPr>
      <w:spacing w:after="100" w:line="276" w:lineRule="auto"/>
    </w:pPr>
    <w:rPr>
      <w:rFonts w:ascii="Calibri" w:eastAsia="Calibri" w:hAnsi="Calibri" w:cs="Times New Roman"/>
    </w:rPr>
  </w:style>
  <w:style w:type="table" w:customStyle="1" w:styleId="Grigliatabella11">
    <w:name w:val="Griglia tabella11"/>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stocommento1">
    <w:name w:val="Testo commento1"/>
    <w:basedOn w:val="Normale"/>
    <w:next w:val="Testocommento"/>
    <w:uiPriority w:val="99"/>
    <w:unhideWhenUsed/>
    <w:rsid w:val="008A7411"/>
    <w:pPr>
      <w:spacing w:after="200" w:line="240" w:lineRule="auto"/>
    </w:pPr>
    <w:rPr>
      <w:rFonts w:ascii="Calibri" w:eastAsia="Calibri" w:hAnsi="Calibri" w:cs="Times New Roman"/>
      <w:sz w:val="20"/>
      <w:szCs w:val="20"/>
    </w:rPr>
  </w:style>
  <w:style w:type="paragraph" w:customStyle="1" w:styleId="Soggettocommento1">
    <w:name w:val="Soggetto commento1"/>
    <w:basedOn w:val="Testocommento"/>
    <w:next w:val="Testocommento"/>
    <w:uiPriority w:val="99"/>
    <w:semiHidden/>
    <w:unhideWhenUsed/>
    <w:rsid w:val="008A7411"/>
    <w:pPr>
      <w:spacing w:after="200"/>
    </w:pPr>
    <w:rPr>
      <w:rFonts w:ascii="Calibri" w:eastAsia="Calibri" w:hAnsi="Calibri" w:cs="Times New Roman"/>
      <w:b/>
      <w:bCs/>
    </w:rPr>
  </w:style>
  <w:style w:type="character" w:customStyle="1" w:styleId="Titolo1Carattere1">
    <w:name w:val="Titolo 1 Carattere1"/>
    <w:uiPriority w:val="9"/>
    <w:rsid w:val="008A7411"/>
    <w:rPr>
      <w:rFonts w:ascii="Cambria" w:eastAsia="Times New Roman" w:hAnsi="Cambria" w:cs="Times New Roman"/>
      <w:b/>
      <w:bCs/>
      <w:color w:val="365F91"/>
      <w:sz w:val="28"/>
      <w:szCs w:val="28"/>
      <w:lang w:eastAsia="it-IT"/>
    </w:rPr>
  </w:style>
  <w:style w:type="character" w:customStyle="1" w:styleId="TestocommentoCarattere1">
    <w:name w:val="Testo commento Carattere1"/>
    <w:uiPriority w:val="99"/>
    <w:semiHidden/>
    <w:rsid w:val="008A7411"/>
    <w:rPr>
      <w:rFonts w:ascii="Times New Roman" w:eastAsia="Times New Roman" w:hAnsi="Times New Roman" w:cs="Times New Roman"/>
      <w:sz w:val="20"/>
      <w:szCs w:val="20"/>
      <w:lang w:eastAsia="it-IT"/>
    </w:rPr>
  </w:style>
  <w:style w:type="character" w:customStyle="1" w:styleId="SoggettocommentoCarattere1">
    <w:name w:val="Soggetto commento Carattere1"/>
    <w:uiPriority w:val="99"/>
    <w:semiHidden/>
    <w:rsid w:val="008A7411"/>
    <w:rPr>
      <w:rFonts w:ascii="Times New Roman" w:eastAsia="Times New Roman" w:hAnsi="Times New Roman" w:cs="Times New Roman"/>
      <w:b/>
      <w:bCs/>
      <w:sz w:val="20"/>
      <w:szCs w:val="20"/>
      <w:lang w:eastAsia="it-IT"/>
    </w:rPr>
  </w:style>
  <w:style w:type="table" w:customStyle="1" w:styleId="Grigliatabella2">
    <w:name w:val="Griglia tabella2"/>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8A7411"/>
    <w:pPr>
      <w:spacing w:after="0"/>
      <w:ind w:left="660"/>
    </w:pPr>
    <w:rPr>
      <w:rFonts w:cstheme="minorHAnsi"/>
      <w:sz w:val="20"/>
      <w:szCs w:val="20"/>
    </w:rPr>
  </w:style>
  <w:style w:type="paragraph" w:styleId="Sommario5">
    <w:name w:val="toc 5"/>
    <w:basedOn w:val="Normale"/>
    <w:next w:val="Normale"/>
    <w:autoRedefine/>
    <w:uiPriority w:val="39"/>
    <w:unhideWhenUsed/>
    <w:rsid w:val="008A7411"/>
    <w:pPr>
      <w:spacing w:after="0"/>
      <w:ind w:left="880"/>
    </w:pPr>
    <w:rPr>
      <w:rFonts w:cstheme="minorHAnsi"/>
      <w:sz w:val="20"/>
      <w:szCs w:val="20"/>
    </w:rPr>
  </w:style>
  <w:style w:type="paragraph" w:styleId="Sommario6">
    <w:name w:val="toc 6"/>
    <w:basedOn w:val="Normale"/>
    <w:next w:val="Normale"/>
    <w:autoRedefine/>
    <w:uiPriority w:val="39"/>
    <w:unhideWhenUsed/>
    <w:rsid w:val="008A7411"/>
    <w:pPr>
      <w:spacing w:after="0"/>
      <w:ind w:left="1100"/>
    </w:pPr>
    <w:rPr>
      <w:rFonts w:cstheme="minorHAnsi"/>
      <w:sz w:val="20"/>
      <w:szCs w:val="20"/>
    </w:rPr>
  </w:style>
  <w:style w:type="paragraph" w:styleId="Sommario7">
    <w:name w:val="toc 7"/>
    <w:basedOn w:val="Normale"/>
    <w:next w:val="Normale"/>
    <w:autoRedefine/>
    <w:uiPriority w:val="39"/>
    <w:unhideWhenUsed/>
    <w:rsid w:val="008A7411"/>
    <w:pPr>
      <w:spacing w:after="0"/>
      <w:ind w:left="1320"/>
    </w:pPr>
    <w:rPr>
      <w:rFonts w:cstheme="minorHAnsi"/>
      <w:sz w:val="20"/>
      <w:szCs w:val="20"/>
    </w:rPr>
  </w:style>
  <w:style w:type="paragraph" w:styleId="Sommario8">
    <w:name w:val="toc 8"/>
    <w:basedOn w:val="Normale"/>
    <w:next w:val="Normale"/>
    <w:autoRedefine/>
    <w:uiPriority w:val="39"/>
    <w:unhideWhenUsed/>
    <w:rsid w:val="008A7411"/>
    <w:pPr>
      <w:spacing w:after="0"/>
      <w:ind w:left="1540"/>
    </w:pPr>
    <w:rPr>
      <w:rFonts w:cstheme="minorHAnsi"/>
      <w:sz w:val="20"/>
      <w:szCs w:val="20"/>
    </w:rPr>
  </w:style>
  <w:style w:type="paragraph" w:styleId="Sommario9">
    <w:name w:val="toc 9"/>
    <w:basedOn w:val="Normale"/>
    <w:next w:val="Normale"/>
    <w:autoRedefine/>
    <w:uiPriority w:val="39"/>
    <w:unhideWhenUsed/>
    <w:rsid w:val="008A7411"/>
    <w:pPr>
      <w:spacing w:after="0"/>
      <w:ind w:left="1760"/>
    </w:pPr>
    <w:rPr>
      <w:rFonts w:cstheme="minorHAnsi"/>
      <w:sz w:val="20"/>
      <w:szCs w:val="20"/>
    </w:rPr>
  </w:style>
  <w:style w:type="paragraph" w:styleId="Nessunaspaziatura">
    <w:name w:val="No Spacing"/>
    <w:link w:val="NessunaspaziaturaCarattere"/>
    <w:uiPriority w:val="1"/>
    <w:qFormat/>
    <w:rsid w:val="008A7411"/>
    <w:pPr>
      <w:spacing w:after="0"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6">
    <w:name w:val="xl66"/>
    <w:basedOn w:val="Normale"/>
    <w:rsid w:val="008A74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7">
    <w:name w:val="xl67"/>
    <w:basedOn w:val="Normale"/>
    <w:rsid w:val="008A741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8">
    <w:name w:val="xl68"/>
    <w:basedOn w:val="Normale"/>
    <w:rsid w:val="008A741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9">
    <w:name w:val="xl69"/>
    <w:basedOn w:val="Normale"/>
    <w:rsid w:val="008A74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0">
    <w:name w:val="xl70"/>
    <w:basedOn w:val="Normale"/>
    <w:rsid w:val="008A741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1">
    <w:name w:val="xl71"/>
    <w:basedOn w:val="Normale"/>
    <w:rsid w:val="008A74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2">
    <w:name w:val="xl72"/>
    <w:basedOn w:val="Normale"/>
    <w:rsid w:val="008A7411"/>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3">
    <w:name w:val="xl73"/>
    <w:basedOn w:val="Normale"/>
    <w:rsid w:val="008A74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4">
    <w:name w:val="xl74"/>
    <w:basedOn w:val="Normale"/>
    <w:rsid w:val="008A7411"/>
    <w:pPr>
      <w:pBdr>
        <w:top w:val="single" w:sz="4" w:space="0" w:color="auto"/>
        <w:left w:val="single" w:sz="4" w:space="0" w:color="auto"/>
        <w:bottom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75">
    <w:name w:val="xl75"/>
    <w:basedOn w:val="Normale"/>
    <w:rsid w:val="008A7411"/>
    <w:pPr>
      <w:pBdr>
        <w:top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76">
    <w:name w:val="xl76"/>
    <w:basedOn w:val="Normale"/>
    <w:rsid w:val="008A74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7">
    <w:name w:val="xl77"/>
    <w:basedOn w:val="Normale"/>
    <w:rsid w:val="008A741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8">
    <w:name w:val="xl78"/>
    <w:basedOn w:val="Normale"/>
    <w:rsid w:val="008A74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9">
    <w:name w:val="xl79"/>
    <w:basedOn w:val="Normale"/>
    <w:rsid w:val="008A74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0">
    <w:name w:val="xl80"/>
    <w:basedOn w:val="Normale"/>
    <w:rsid w:val="008A74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1">
    <w:name w:val="xl81"/>
    <w:basedOn w:val="Normale"/>
    <w:rsid w:val="008A74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2">
    <w:name w:val="xl82"/>
    <w:basedOn w:val="Normale"/>
    <w:rsid w:val="008A74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3">
    <w:name w:val="xl83"/>
    <w:basedOn w:val="Normale"/>
    <w:rsid w:val="008A74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4">
    <w:name w:val="xl84"/>
    <w:basedOn w:val="Normale"/>
    <w:rsid w:val="008A74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5">
    <w:name w:val="xl85"/>
    <w:basedOn w:val="Normale"/>
    <w:rsid w:val="008A74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86">
    <w:name w:val="xl86"/>
    <w:basedOn w:val="Normale"/>
    <w:rsid w:val="008A74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87">
    <w:name w:val="xl87"/>
    <w:basedOn w:val="Normale"/>
    <w:rsid w:val="008A74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88">
    <w:name w:val="xl88"/>
    <w:basedOn w:val="Normale"/>
    <w:rsid w:val="008A74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89">
    <w:name w:val="xl89"/>
    <w:basedOn w:val="Normale"/>
    <w:rsid w:val="008A74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0">
    <w:name w:val="xl90"/>
    <w:basedOn w:val="Normale"/>
    <w:rsid w:val="008A74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1">
    <w:name w:val="xl91"/>
    <w:basedOn w:val="Normale"/>
    <w:rsid w:val="008A74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2">
    <w:name w:val="xl92"/>
    <w:basedOn w:val="Normale"/>
    <w:rsid w:val="008A7411"/>
    <w:pPr>
      <w:pBdr>
        <w:top w:val="single" w:sz="4" w:space="0" w:color="auto"/>
        <w:bottom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table" w:customStyle="1" w:styleId="Elencochiaro-Colore11">
    <w:name w:val="Elenco chiaro - Colore 11"/>
    <w:basedOn w:val="Tabellanormale"/>
    <w:uiPriority w:val="61"/>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1">
    <w:name w:val="Body 1"/>
    <w:rsid w:val="008A7411"/>
    <w:pPr>
      <w:suppressAutoHyphens/>
      <w:spacing w:after="200" w:line="276" w:lineRule="auto"/>
      <w:outlineLvl w:val="0"/>
    </w:pPr>
    <w:rPr>
      <w:rFonts w:ascii="Helvetica" w:eastAsia="Arial Unicode MS" w:hAnsi="Helvetica" w:cs="Times New Roman"/>
      <w:color w:val="000000"/>
      <w:szCs w:val="20"/>
      <w:u w:color="000000"/>
      <w:lang w:eastAsia="it-IT"/>
    </w:rPr>
  </w:style>
  <w:style w:type="paragraph" w:styleId="Sottotitolo">
    <w:name w:val="Subtitle"/>
    <w:basedOn w:val="Normale"/>
    <w:next w:val="Normale"/>
    <w:link w:val="SottotitoloCarattere"/>
    <w:uiPriority w:val="11"/>
    <w:qFormat/>
    <w:rsid w:val="008A7411"/>
    <w:pPr>
      <w:numPr>
        <w:ilvl w:val="1"/>
      </w:numPr>
      <w:spacing w:after="0" w:line="240" w:lineRule="auto"/>
    </w:pPr>
    <w:rPr>
      <w:rFonts w:ascii="Cambria" w:eastAsia="Times New Roman" w:hAnsi="Cambria" w:cs="Times New Roman"/>
      <w:i/>
      <w:iCs/>
      <w:color w:val="4F81BD"/>
      <w:spacing w:val="15"/>
      <w:sz w:val="24"/>
      <w:szCs w:val="24"/>
      <w:lang w:val="en-US"/>
    </w:rPr>
  </w:style>
  <w:style w:type="character" w:customStyle="1" w:styleId="SottotitoloCarattere">
    <w:name w:val="Sottotitolo Carattere"/>
    <w:basedOn w:val="Carpredefinitoparagrafo"/>
    <w:link w:val="Sottotitolo"/>
    <w:uiPriority w:val="11"/>
    <w:rsid w:val="008A7411"/>
    <w:rPr>
      <w:rFonts w:ascii="Cambria" w:eastAsia="Times New Roman" w:hAnsi="Cambria" w:cs="Times New Roman"/>
      <w:i/>
      <w:iCs/>
      <w:color w:val="4F81BD"/>
      <w:spacing w:val="15"/>
      <w:sz w:val="24"/>
      <w:szCs w:val="24"/>
      <w:lang w:val="en-US"/>
    </w:rPr>
  </w:style>
  <w:style w:type="paragraph" w:styleId="Didascalia">
    <w:name w:val="caption"/>
    <w:basedOn w:val="Normale"/>
    <w:next w:val="Normale"/>
    <w:uiPriority w:val="35"/>
    <w:unhideWhenUsed/>
    <w:qFormat/>
    <w:rsid w:val="008A7411"/>
    <w:pPr>
      <w:spacing w:after="200" w:line="240" w:lineRule="auto"/>
    </w:pPr>
    <w:rPr>
      <w:rFonts w:ascii="Calibri" w:eastAsia="Calibri" w:hAnsi="Calibri" w:cs="Times New Roman"/>
      <w:b/>
      <w:bCs/>
      <w:color w:val="4F81BD"/>
      <w:sz w:val="18"/>
      <w:szCs w:val="18"/>
    </w:rPr>
  </w:style>
  <w:style w:type="paragraph" w:styleId="Corpotesto">
    <w:name w:val="Body Text"/>
    <w:basedOn w:val="Normale"/>
    <w:link w:val="CorpotestoCarattere"/>
    <w:rsid w:val="008A7411"/>
    <w:pPr>
      <w:widowControl w:val="0"/>
      <w:spacing w:after="120" w:line="240" w:lineRule="auto"/>
    </w:pPr>
    <w:rPr>
      <w:rFonts w:ascii="Times New Roman" w:eastAsia="Times New Roman" w:hAnsi="Times New Roman" w:cs="Times New Roman"/>
      <w:noProof/>
      <w:color w:val="000000"/>
      <w:sz w:val="24"/>
      <w:szCs w:val="20"/>
      <w:lang w:eastAsia="it-IT"/>
    </w:rPr>
  </w:style>
  <w:style w:type="character" w:customStyle="1" w:styleId="CorpotestoCarattere">
    <w:name w:val="Corpo testo Carattere"/>
    <w:basedOn w:val="Carpredefinitoparagrafo"/>
    <w:link w:val="Corpotesto"/>
    <w:rsid w:val="008A7411"/>
    <w:rPr>
      <w:rFonts w:ascii="Times New Roman" w:eastAsia="Times New Roman" w:hAnsi="Times New Roman" w:cs="Times New Roman"/>
      <w:noProof/>
      <w:color w:val="000000"/>
      <w:sz w:val="24"/>
      <w:szCs w:val="20"/>
      <w:lang w:eastAsia="it-IT"/>
    </w:rPr>
  </w:style>
  <w:style w:type="paragraph" w:customStyle="1" w:styleId="provvr0">
    <w:name w:val="provv_r0"/>
    <w:basedOn w:val="Normale"/>
    <w:rsid w:val="008A7411"/>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8A7411"/>
    <w:pPr>
      <w:spacing w:after="0" w:line="240" w:lineRule="auto"/>
      <w:ind w:left="720"/>
      <w:contextualSpacing/>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Capoverso">
    <w:name w:val="Capoverso"/>
    <w:uiPriority w:val="99"/>
    <w:rsid w:val="008A7411"/>
    <w:pPr>
      <w:widowControl w:val="0"/>
      <w:tabs>
        <w:tab w:val="left" w:pos="360"/>
      </w:tabs>
      <w:spacing w:after="0" w:line="268" w:lineRule="exact"/>
      <w:ind w:firstLine="284"/>
      <w:jc w:val="both"/>
    </w:pPr>
    <w:rPr>
      <w:rFonts w:ascii="Simoncini Garamond" w:eastAsia="Times New Roman" w:hAnsi="Simoncini Garamond" w:cs="Times New Roman"/>
      <w:sz w:val="23"/>
      <w:lang w:eastAsia="it-IT"/>
    </w:rPr>
  </w:style>
  <w:style w:type="paragraph" w:styleId="PreformattatoHTML">
    <w:name w:val="HTML Preformatted"/>
    <w:basedOn w:val="Normale"/>
    <w:link w:val="PreformattatoHTMLCarattere"/>
    <w:uiPriority w:val="99"/>
    <w:unhideWhenUsed/>
    <w:rsid w:val="008A7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8A7411"/>
    <w:rPr>
      <w:rFonts w:ascii="Courier New" w:eastAsia="Times New Roman" w:hAnsi="Courier New" w:cs="Courier New"/>
      <w:sz w:val="20"/>
      <w:szCs w:val="20"/>
      <w:lang w:eastAsia="it-IT"/>
    </w:rPr>
  </w:style>
  <w:style w:type="table" w:styleId="Grigliamedia3-Colore1">
    <w:name w:val="Medium Grid 3 Accent 1"/>
    <w:basedOn w:val="Tabellanormale"/>
    <w:uiPriority w:val="69"/>
    <w:rsid w:val="008A74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Grigliamedia1-Colore113">
    <w:name w:val="Griglia media 1 - Colore 113"/>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14">
    <w:name w:val="Griglia media 1 - Colore 114"/>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ParagrafoelencoCarattere">
    <w:name w:val="Paragrafo elenco Carattere"/>
    <w:aliases w:val="Trattino Carattere,List Paragraph Carattere,Bullet edison Carattere,Paragrafo elenco 2 Carattere,Bullet List Carattere,FooterText Carattere,numbered Carattere,Paragraphe de liste1 Carattere,Bulletr List Paragraph Carattere"/>
    <w:link w:val="Paragrafoelenco"/>
    <w:uiPriority w:val="34"/>
    <w:qFormat/>
    <w:locked/>
    <w:rsid w:val="008A7411"/>
  </w:style>
  <w:style w:type="table" w:customStyle="1" w:styleId="Grigliatabella3">
    <w:name w:val="Griglia tabella3"/>
    <w:basedOn w:val="Tabellanormale"/>
    <w:next w:val="Grigliatabella"/>
    <w:uiPriority w:val="59"/>
    <w:rsid w:val="008A7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media1-Colore111">
    <w:name w:val="Griglia media 1 - Colore 111"/>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2">
    <w:name w:val="Nessun elenco2"/>
    <w:next w:val="Nessunelenco"/>
    <w:uiPriority w:val="99"/>
    <w:semiHidden/>
    <w:unhideWhenUsed/>
    <w:rsid w:val="008A7411"/>
  </w:style>
  <w:style w:type="table" w:customStyle="1" w:styleId="Grigliamedia1-Colore112">
    <w:name w:val="Griglia media 1 - Colore 112"/>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2">
    <w:name w:val="Griglia media 1 - Colore 12"/>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tabella4">
    <w:name w:val="Griglia tabella4"/>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2">
    <w:name w:val="Nessun elenco12"/>
    <w:next w:val="Nessunelenco"/>
    <w:uiPriority w:val="99"/>
    <w:semiHidden/>
    <w:unhideWhenUsed/>
    <w:rsid w:val="008A7411"/>
  </w:style>
  <w:style w:type="table" w:customStyle="1" w:styleId="Grigliatabella12">
    <w:name w:val="Griglia tabella12"/>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1">
    <w:name w:val="Griglia tabella21"/>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111">
    <w:name w:val="Elenco chiaro - Colore 111"/>
    <w:basedOn w:val="Tabellanormale"/>
    <w:uiPriority w:val="61"/>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medio1-Colore11">
    <w:name w:val="Sfondo medio 1 - Colore 11"/>
    <w:basedOn w:val="Tabellanormale"/>
    <w:next w:val="Sfondomedio1-Colore1"/>
    <w:uiPriority w:val="63"/>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provvnumcomma">
    <w:name w:val="provv_numcomma"/>
    <w:basedOn w:val="Carpredefinitoparagrafo"/>
    <w:rsid w:val="008A7411"/>
  </w:style>
  <w:style w:type="paragraph" w:styleId="Testonotadichiusura">
    <w:name w:val="endnote text"/>
    <w:basedOn w:val="Normale"/>
    <w:link w:val="TestonotadichiusuraCarattere"/>
    <w:uiPriority w:val="99"/>
    <w:semiHidden/>
    <w:unhideWhenUsed/>
    <w:rsid w:val="008A7411"/>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8A7411"/>
    <w:rPr>
      <w:rFonts w:ascii="Times New Roman" w:eastAsia="Times New Roman" w:hAnsi="Times New Roman" w:cs="Times New Roman"/>
      <w:sz w:val="20"/>
      <w:szCs w:val="20"/>
      <w:lang w:eastAsia="it-IT"/>
    </w:rPr>
  </w:style>
  <w:style w:type="paragraph" w:styleId="Testonormale">
    <w:name w:val="Plain Text"/>
    <w:basedOn w:val="Normale"/>
    <w:link w:val="TestonormaleCarattere"/>
    <w:uiPriority w:val="99"/>
    <w:unhideWhenUsed/>
    <w:rsid w:val="008A7411"/>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rsid w:val="008A7411"/>
    <w:rPr>
      <w:rFonts w:ascii="Calibri" w:hAnsi="Calibri"/>
      <w:szCs w:val="21"/>
    </w:rPr>
  </w:style>
  <w:style w:type="paragraph" w:customStyle="1" w:styleId="parar1">
    <w:name w:val="parar1"/>
    <w:basedOn w:val="Normale"/>
    <w:rsid w:val="008A7411"/>
    <w:pPr>
      <w:spacing w:after="0" w:line="240" w:lineRule="auto"/>
    </w:pPr>
    <w:rPr>
      <w:rFonts w:ascii="Times New Roman" w:eastAsia="Times New Roman" w:hAnsi="Times New Roman" w:cs="Times New Roman"/>
      <w:sz w:val="24"/>
      <w:szCs w:val="24"/>
      <w:lang w:eastAsia="it-IT"/>
    </w:rPr>
  </w:style>
  <w:style w:type="character" w:customStyle="1" w:styleId="NormrCarattere">
    <w:name w:val="Norm_r Carattere"/>
    <w:basedOn w:val="Carpredefinitoparagrafo"/>
    <w:link w:val="Normr"/>
    <w:locked/>
    <w:rsid w:val="008A7411"/>
    <w:rPr>
      <w:rFonts w:ascii="Garamond" w:eastAsia="Times New Roman" w:hAnsi="Garamond" w:cs="Times New Roman"/>
      <w:sz w:val="24"/>
      <w:szCs w:val="24"/>
      <w:lang w:eastAsia="it-IT"/>
    </w:rPr>
  </w:style>
  <w:style w:type="paragraph" w:customStyle="1" w:styleId="Normr">
    <w:name w:val="Norm_r"/>
    <w:basedOn w:val="Normale"/>
    <w:link w:val="NormrCarattere"/>
    <w:qFormat/>
    <w:rsid w:val="008A7411"/>
    <w:pPr>
      <w:tabs>
        <w:tab w:val="left" w:pos="8789"/>
      </w:tabs>
      <w:spacing w:before="60" w:after="40" w:line="360" w:lineRule="auto"/>
      <w:ind w:left="357"/>
      <w:jc w:val="both"/>
    </w:pPr>
    <w:rPr>
      <w:rFonts w:ascii="Garamond" w:eastAsia="Times New Roman" w:hAnsi="Garamond" w:cs="Times New Roman"/>
      <w:sz w:val="24"/>
      <w:szCs w:val="24"/>
      <w:lang w:eastAsia="it-IT"/>
    </w:rPr>
  </w:style>
  <w:style w:type="character" w:customStyle="1" w:styleId="1livCarattere">
    <w:name w:val="1 liv Carattere"/>
    <w:basedOn w:val="Carpredefinitoparagrafo"/>
    <w:link w:val="1liv"/>
    <w:uiPriority w:val="99"/>
    <w:locked/>
    <w:rsid w:val="008A7411"/>
    <w:rPr>
      <w:rFonts w:ascii="Garamond" w:eastAsia="Times New Roman" w:hAnsi="Garamond" w:cs="Times New Roman"/>
      <w:sz w:val="24"/>
      <w:szCs w:val="24"/>
      <w:lang w:eastAsia="it-IT"/>
    </w:rPr>
  </w:style>
  <w:style w:type="paragraph" w:customStyle="1" w:styleId="1liv">
    <w:name w:val="1 liv"/>
    <w:basedOn w:val="Normale"/>
    <w:link w:val="1livCarattere"/>
    <w:uiPriority w:val="99"/>
    <w:qFormat/>
    <w:rsid w:val="008A7411"/>
    <w:pPr>
      <w:widowControl w:val="0"/>
      <w:numPr>
        <w:numId w:val="7"/>
      </w:numPr>
      <w:tabs>
        <w:tab w:val="left" w:pos="907"/>
        <w:tab w:val="left" w:pos="8789"/>
      </w:tabs>
      <w:suppressAutoHyphens/>
      <w:spacing w:before="80" w:after="0" w:line="360" w:lineRule="auto"/>
      <w:jc w:val="both"/>
    </w:pPr>
    <w:rPr>
      <w:rFonts w:ascii="Garamond" w:eastAsia="Times New Roman" w:hAnsi="Garamond" w:cs="Times New Roman"/>
      <w:sz w:val="24"/>
      <w:szCs w:val="24"/>
      <w:lang w:eastAsia="it-IT"/>
    </w:rPr>
  </w:style>
  <w:style w:type="paragraph" w:customStyle="1" w:styleId="WW-Predefinito">
    <w:name w:val="WW-Predefinito"/>
    <w:rsid w:val="008A7411"/>
    <w:pPr>
      <w:suppressAutoHyphens/>
      <w:spacing w:after="0" w:line="276" w:lineRule="auto"/>
      <w:jc w:val="both"/>
    </w:pPr>
    <w:rPr>
      <w:rFonts w:ascii="Garamond" w:eastAsia="Times New Roman" w:hAnsi="Garamond" w:cs="Times New Roman"/>
      <w:sz w:val="24"/>
      <w:szCs w:val="24"/>
      <w:lang w:eastAsia="ar-SA"/>
    </w:rPr>
  </w:style>
  <w:style w:type="character" w:customStyle="1" w:styleId="tabellarelCarattere">
    <w:name w:val="tabella rel Carattere"/>
    <w:basedOn w:val="Carpredefinitoparagrafo"/>
    <w:link w:val="tabellarel"/>
    <w:locked/>
    <w:rsid w:val="008A7411"/>
    <w:rPr>
      <w:rFonts w:ascii="Arial" w:eastAsia="Calibri" w:hAnsi="Arial" w:cs="Arial"/>
      <w:sz w:val="20"/>
      <w:szCs w:val="25"/>
      <w:lang w:eastAsia="it-IT"/>
    </w:rPr>
  </w:style>
  <w:style w:type="paragraph" w:customStyle="1" w:styleId="tabellarel">
    <w:name w:val="tabella rel"/>
    <w:link w:val="tabellarelCarattere"/>
    <w:qFormat/>
    <w:rsid w:val="008A7411"/>
    <w:pPr>
      <w:spacing w:after="0" w:line="240" w:lineRule="auto"/>
    </w:pPr>
    <w:rPr>
      <w:rFonts w:ascii="Arial" w:eastAsia="Calibri" w:hAnsi="Arial" w:cs="Arial"/>
      <w:sz w:val="20"/>
      <w:szCs w:val="25"/>
      <w:lang w:eastAsia="it-IT"/>
    </w:rPr>
  </w:style>
  <w:style w:type="paragraph" w:customStyle="1" w:styleId="corpooggetto">
    <w:name w:val="corpo oggetto"/>
    <w:basedOn w:val="Normale"/>
    <w:rsid w:val="008A7411"/>
    <w:pPr>
      <w:autoSpaceDE w:val="0"/>
      <w:autoSpaceDN w:val="0"/>
      <w:spacing w:after="0" w:line="280" w:lineRule="exact"/>
      <w:ind w:left="74"/>
      <w:jc w:val="both"/>
    </w:pPr>
    <w:rPr>
      <w:rFonts w:ascii="Times New Roman" w:eastAsia="Times New Roman" w:hAnsi="Times New Roman" w:cs="Times New Roman"/>
      <w:bCs/>
      <w:sz w:val="24"/>
      <w:szCs w:val="20"/>
      <w:lang w:eastAsia="it-IT"/>
    </w:rPr>
  </w:style>
  <w:style w:type="paragraph" w:customStyle="1" w:styleId="yiv7932858008msonormal">
    <w:name w:val="yiv7932858008msonormal"/>
    <w:basedOn w:val="Normale"/>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notadichiusura">
    <w:name w:val="endnote reference"/>
    <w:basedOn w:val="Carpredefinitoparagrafo"/>
    <w:uiPriority w:val="99"/>
    <w:semiHidden/>
    <w:unhideWhenUsed/>
    <w:rsid w:val="008A7411"/>
    <w:rPr>
      <w:vertAlign w:val="superscript"/>
    </w:rPr>
  </w:style>
  <w:style w:type="character" w:customStyle="1" w:styleId="st1">
    <w:name w:val="st1"/>
    <w:basedOn w:val="Carpredefinitoparagrafo"/>
    <w:rsid w:val="008A7411"/>
  </w:style>
  <w:style w:type="table" w:styleId="Sfondochiaro-Colore1">
    <w:name w:val="Light Shading Accent 1"/>
    <w:basedOn w:val="Tabellanormale"/>
    <w:uiPriority w:val="60"/>
    <w:rsid w:val="008A7411"/>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100" w:beforeAutospacing="1" w:afterLines="0" w:after="100" w:afterAutospacing="1"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gliamedia1-Colore13">
    <w:name w:val="Griglia media 1 - Colore 13"/>
    <w:basedOn w:val="Tabellanormale"/>
    <w:uiPriority w:val="67"/>
    <w:rsid w:val="008A7411"/>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4">
    <w:name w:val="Griglia media 1 - Colore 14"/>
    <w:basedOn w:val="Tabellanormale"/>
    <w:uiPriority w:val="67"/>
    <w:rsid w:val="008A7411"/>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fondochiaro-Colore11">
    <w:name w:val="Sfondo chiaro - Colore 11"/>
    <w:basedOn w:val="Tabellanormale"/>
    <w:uiPriority w:val="60"/>
    <w:rsid w:val="008A7411"/>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100" w:beforeAutospacing="1" w:afterLines="0" w:after="100" w:afterAutospacing="1"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gliamedia1-Colore115">
    <w:name w:val="Griglia media 1 - Colore 115"/>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111">
    <w:name w:val="Nessun elenco111"/>
    <w:next w:val="Nessunelenco"/>
    <w:uiPriority w:val="99"/>
    <w:semiHidden/>
    <w:unhideWhenUsed/>
    <w:rsid w:val="008A7411"/>
  </w:style>
  <w:style w:type="table" w:customStyle="1" w:styleId="Grigliamedia1-Colore15">
    <w:name w:val="Griglia media 1 - Colore 15"/>
    <w:basedOn w:val="Tabellanormale"/>
    <w:next w:val="Grigliamedia1-Colore1"/>
    <w:uiPriority w:val="67"/>
    <w:rsid w:val="008A74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Grigliatabella5">
    <w:name w:val="Griglia tabella5"/>
    <w:basedOn w:val="Tabellanormale"/>
    <w:next w:val="Grigliatabella"/>
    <w:uiPriority w:val="59"/>
    <w:rsid w:val="008A7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basedOn w:val="Carpredefinitoparagrafo"/>
    <w:rsid w:val="008A7411"/>
    <w:rPr>
      <w:i/>
      <w:iCs/>
    </w:rPr>
  </w:style>
  <w:style w:type="paragraph" w:customStyle="1" w:styleId="ydpbd4b10fdmsonormal">
    <w:name w:val="ydpbd4b10fdmsonormal"/>
    <w:basedOn w:val="Normale"/>
    <w:rsid w:val="008A7411"/>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Paragraph">
    <w:name w:val="Table Paragraph"/>
    <w:basedOn w:val="Normale"/>
    <w:uiPriority w:val="1"/>
    <w:rsid w:val="008A7411"/>
    <w:pPr>
      <w:spacing w:before="100" w:after="200" w:line="276" w:lineRule="auto"/>
    </w:pPr>
    <w:rPr>
      <w:rFonts w:ascii="Calibri" w:eastAsia="Times New Roman" w:hAnsi="Calibri" w:cs="Times New Roman"/>
      <w:sz w:val="20"/>
      <w:szCs w:val="20"/>
      <w:lang w:val="en-US"/>
    </w:rPr>
  </w:style>
  <w:style w:type="paragraph" w:styleId="Titolo">
    <w:name w:val="Title"/>
    <w:basedOn w:val="Normale"/>
    <w:next w:val="Normale"/>
    <w:link w:val="TitoloCarattere"/>
    <w:uiPriority w:val="10"/>
    <w:qFormat/>
    <w:rsid w:val="008A7411"/>
    <w:pPr>
      <w:spacing w:after="0" w:line="276" w:lineRule="auto"/>
    </w:pPr>
    <w:rPr>
      <w:rFonts w:ascii="Cambria" w:eastAsia="Times New Roman" w:hAnsi="Cambria" w:cs="Times New Roman"/>
      <w:caps/>
      <w:color w:val="4F81BD"/>
      <w:spacing w:val="10"/>
      <w:sz w:val="52"/>
      <w:szCs w:val="52"/>
      <w:lang w:val="en-US"/>
    </w:rPr>
  </w:style>
  <w:style w:type="character" w:customStyle="1" w:styleId="TitoloCarattere">
    <w:name w:val="Titolo Carattere"/>
    <w:basedOn w:val="Carpredefinitoparagrafo"/>
    <w:link w:val="Titolo"/>
    <w:uiPriority w:val="10"/>
    <w:rsid w:val="008A7411"/>
    <w:rPr>
      <w:rFonts w:ascii="Cambria" w:eastAsia="Times New Roman" w:hAnsi="Cambria" w:cs="Times New Roman"/>
      <w:caps/>
      <w:color w:val="4F81BD"/>
      <w:spacing w:val="10"/>
      <w:sz w:val="52"/>
      <w:szCs w:val="52"/>
      <w:lang w:val="en-US"/>
    </w:rPr>
  </w:style>
  <w:style w:type="paragraph" w:styleId="Citazione">
    <w:name w:val="Quote"/>
    <w:basedOn w:val="Normale"/>
    <w:next w:val="Normale"/>
    <w:link w:val="CitazioneCarattere"/>
    <w:uiPriority w:val="29"/>
    <w:qFormat/>
    <w:rsid w:val="008A7411"/>
    <w:pPr>
      <w:spacing w:before="100" w:after="200" w:line="276" w:lineRule="auto"/>
    </w:pPr>
    <w:rPr>
      <w:rFonts w:ascii="Calibri" w:eastAsia="Times New Roman" w:hAnsi="Calibri" w:cs="Times New Roman"/>
      <w:i/>
      <w:iCs/>
      <w:sz w:val="24"/>
      <w:szCs w:val="24"/>
      <w:lang w:val="en-US"/>
    </w:rPr>
  </w:style>
  <w:style w:type="character" w:customStyle="1" w:styleId="CitazioneCarattere">
    <w:name w:val="Citazione Carattere"/>
    <w:basedOn w:val="Carpredefinitoparagrafo"/>
    <w:link w:val="Citazione"/>
    <w:uiPriority w:val="29"/>
    <w:rsid w:val="008A7411"/>
    <w:rPr>
      <w:rFonts w:ascii="Calibri" w:eastAsia="Times New Roman" w:hAnsi="Calibri" w:cs="Times New Roman"/>
      <w:i/>
      <w:iCs/>
      <w:sz w:val="24"/>
      <w:szCs w:val="24"/>
      <w:lang w:val="en-US"/>
    </w:rPr>
  </w:style>
  <w:style w:type="paragraph" w:styleId="Citazioneintensa">
    <w:name w:val="Intense Quote"/>
    <w:basedOn w:val="Normale"/>
    <w:next w:val="Normale"/>
    <w:link w:val="CitazioneintensaCarattere"/>
    <w:uiPriority w:val="30"/>
    <w:qFormat/>
    <w:rsid w:val="008A7411"/>
    <w:pPr>
      <w:spacing w:before="240" w:after="240" w:line="240" w:lineRule="auto"/>
      <w:ind w:left="1080" w:right="1080"/>
      <w:jc w:val="center"/>
    </w:pPr>
    <w:rPr>
      <w:rFonts w:ascii="Calibri" w:eastAsia="Times New Roman" w:hAnsi="Calibri" w:cs="Times New Roman"/>
      <w:color w:val="4F81BD"/>
      <w:sz w:val="24"/>
      <w:szCs w:val="24"/>
      <w:lang w:val="en-US"/>
    </w:rPr>
  </w:style>
  <w:style w:type="character" w:customStyle="1" w:styleId="CitazioneintensaCarattere">
    <w:name w:val="Citazione intensa Carattere"/>
    <w:basedOn w:val="Carpredefinitoparagrafo"/>
    <w:link w:val="Citazioneintensa"/>
    <w:uiPriority w:val="30"/>
    <w:rsid w:val="008A7411"/>
    <w:rPr>
      <w:rFonts w:ascii="Calibri" w:eastAsia="Times New Roman" w:hAnsi="Calibri" w:cs="Times New Roman"/>
      <w:color w:val="4F81BD"/>
      <w:sz w:val="24"/>
      <w:szCs w:val="24"/>
      <w:lang w:val="en-US"/>
    </w:rPr>
  </w:style>
  <w:style w:type="character" w:styleId="Enfasidelicata">
    <w:name w:val="Subtle Emphasis"/>
    <w:uiPriority w:val="19"/>
    <w:qFormat/>
    <w:rsid w:val="008A7411"/>
    <w:rPr>
      <w:i/>
      <w:iCs/>
      <w:color w:val="243F60"/>
    </w:rPr>
  </w:style>
  <w:style w:type="character" w:styleId="Enfasiintensa">
    <w:name w:val="Intense Emphasis"/>
    <w:uiPriority w:val="21"/>
    <w:qFormat/>
    <w:rsid w:val="008A7411"/>
    <w:rPr>
      <w:b/>
      <w:bCs/>
      <w:caps/>
      <w:color w:val="243F60"/>
      <w:spacing w:val="10"/>
    </w:rPr>
  </w:style>
  <w:style w:type="character" w:styleId="Riferimentodelicato">
    <w:name w:val="Subtle Reference"/>
    <w:uiPriority w:val="31"/>
    <w:qFormat/>
    <w:rsid w:val="008A7411"/>
    <w:rPr>
      <w:b/>
      <w:bCs/>
      <w:color w:val="4F81BD"/>
    </w:rPr>
  </w:style>
  <w:style w:type="character" w:styleId="Riferimentointenso">
    <w:name w:val="Intense Reference"/>
    <w:uiPriority w:val="32"/>
    <w:qFormat/>
    <w:rsid w:val="008A7411"/>
    <w:rPr>
      <w:b/>
      <w:bCs/>
      <w:i/>
      <w:iCs/>
      <w:caps/>
      <w:color w:val="4F81BD"/>
    </w:rPr>
  </w:style>
  <w:style w:type="character" w:styleId="Titolodellibro">
    <w:name w:val="Book Title"/>
    <w:uiPriority w:val="33"/>
    <w:qFormat/>
    <w:rsid w:val="008A7411"/>
    <w:rPr>
      <w:b/>
      <w:bCs/>
      <w:i/>
      <w:iCs/>
      <w:spacing w:val="0"/>
    </w:rPr>
  </w:style>
  <w:style w:type="table" w:customStyle="1" w:styleId="Tabellagriglia5scura-colore11">
    <w:name w:val="Tabella griglia 5 scura - colore 11"/>
    <w:basedOn w:val="Tabellanormale"/>
    <w:uiPriority w:val="50"/>
    <w:rsid w:val="008A7411"/>
    <w:pPr>
      <w:spacing w:before="100" w:after="0" w:line="240" w:lineRule="auto"/>
    </w:pPr>
    <w:rPr>
      <w:rFonts w:ascii="Calibri" w:eastAsia="Times New Roman" w:hAnsi="Calibri" w:cs="Times New Roman"/>
      <w:sz w:val="20"/>
      <w:szCs w:val="20"/>
      <w:lang w:val="en-US" w:eastAsia="it-I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11livCarattere">
    <w:name w:val="1 1 liv Carattere"/>
    <w:link w:val="11liv"/>
    <w:locked/>
    <w:rsid w:val="008A7411"/>
    <w:rPr>
      <w:color w:val="000000"/>
      <w:sz w:val="26"/>
      <w:szCs w:val="26"/>
    </w:rPr>
  </w:style>
  <w:style w:type="paragraph" w:customStyle="1" w:styleId="11liv">
    <w:name w:val="1 1 liv"/>
    <w:basedOn w:val="Normale"/>
    <w:link w:val="11livCarattere"/>
    <w:qFormat/>
    <w:rsid w:val="008A7411"/>
    <w:pPr>
      <w:widowControl w:val="0"/>
      <w:numPr>
        <w:numId w:val="8"/>
      </w:numPr>
      <w:spacing w:after="0" w:line="320" w:lineRule="exact"/>
      <w:jc w:val="both"/>
    </w:pPr>
    <w:rPr>
      <w:color w:val="000000"/>
      <w:sz w:val="26"/>
      <w:szCs w:val="26"/>
    </w:rPr>
  </w:style>
  <w:style w:type="paragraph" w:customStyle="1" w:styleId="msonormal0">
    <w:name w:val="msonormal"/>
    <w:basedOn w:val="Normale"/>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entnormal">
    <w:name w:val="sent_normal"/>
    <w:basedOn w:val="Normale"/>
    <w:rsid w:val="008A741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opolo">
    <w:name w:val="popolo"/>
    <w:basedOn w:val="Normale"/>
    <w:rsid w:val="008A7411"/>
    <w:pPr>
      <w:spacing w:after="0" w:line="520" w:lineRule="atLeast"/>
      <w:jc w:val="both"/>
    </w:pPr>
    <w:rPr>
      <w:rFonts w:ascii="Garamond" w:eastAsia="Times New Roman" w:hAnsi="Garamond" w:cs="Times New Roman"/>
      <w:sz w:val="30"/>
      <w:szCs w:val="30"/>
      <w:lang w:eastAsia="it-IT"/>
    </w:rPr>
  </w:style>
  <w:style w:type="character" w:customStyle="1" w:styleId="CharacterStyle1">
    <w:name w:val="Character Style 1"/>
    <w:uiPriority w:val="99"/>
    <w:rsid w:val="008A7411"/>
    <w:rPr>
      <w:sz w:val="24"/>
      <w:szCs w:val="24"/>
    </w:rPr>
  </w:style>
  <w:style w:type="character" w:styleId="Testosegnaposto">
    <w:name w:val="Placeholder Text"/>
    <w:uiPriority w:val="99"/>
    <w:semiHidden/>
    <w:rsid w:val="008A7411"/>
    <w:rPr>
      <w:color w:val="808080"/>
    </w:rPr>
  </w:style>
  <w:style w:type="paragraph" w:styleId="Rientrocorpodeltesto">
    <w:name w:val="Body Text Indent"/>
    <w:basedOn w:val="Normale"/>
    <w:link w:val="RientrocorpodeltestoCarattere"/>
    <w:rsid w:val="008A7411"/>
    <w:pPr>
      <w:widowControl w:val="0"/>
      <w:spacing w:after="120" w:line="240" w:lineRule="auto"/>
      <w:ind w:left="283"/>
    </w:pPr>
    <w:rPr>
      <w:rFonts w:ascii="Times New Roman" w:eastAsia="Times New Roman" w:hAnsi="Times New Roman" w:cs="Times New Roman"/>
      <w:noProof/>
      <w:color w:val="000000"/>
      <w:sz w:val="24"/>
      <w:szCs w:val="20"/>
      <w:lang w:eastAsia="it-IT"/>
    </w:rPr>
  </w:style>
  <w:style w:type="character" w:customStyle="1" w:styleId="RientrocorpodeltestoCarattere">
    <w:name w:val="Rientro corpo del testo Carattere"/>
    <w:basedOn w:val="Carpredefinitoparagrafo"/>
    <w:link w:val="Rientrocorpodeltesto"/>
    <w:rsid w:val="008A7411"/>
    <w:rPr>
      <w:rFonts w:ascii="Times New Roman" w:eastAsia="Times New Roman" w:hAnsi="Times New Roman" w:cs="Times New Roman"/>
      <w:noProof/>
      <w:color w:val="000000"/>
      <w:sz w:val="24"/>
      <w:szCs w:val="20"/>
      <w:lang w:eastAsia="it-IT"/>
    </w:rPr>
  </w:style>
  <w:style w:type="numbering" w:customStyle="1" w:styleId="Nessunelenco3">
    <w:name w:val="Nessun elenco3"/>
    <w:next w:val="Nessunelenco"/>
    <w:uiPriority w:val="99"/>
    <w:semiHidden/>
    <w:unhideWhenUsed/>
    <w:rsid w:val="008A7411"/>
  </w:style>
  <w:style w:type="paragraph" w:customStyle="1" w:styleId="Titolo21">
    <w:name w:val="Titolo 21"/>
    <w:basedOn w:val="Normale"/>
    <w:next w:val="Normale"/>
    <w:uiPriority w:val="9"/>
    <w:unhideWhenUsed/>
    <w:qFormat/>
    <w:rsid w:val="008A7411"/>
    <w:pPr>
      <w:keepNext/>
      <w:keepLines/>
      <w:spacing w:before="200" w:after="0" w:line="276" w:lineRule="auto"/>
      <w:outlineLvl w:val="1"/>
    </w:pPr>
    <w:rPr>
      <w:rFonts w:ascii="Garamond" w:eastAsia="Times New Roman" w:hAnsi="Garamond" w:cs="Times New Roman"/>
      <w:b/>
      <w:bCs/>
      <w:color w:val="4F81BD"/>
      <w:sz w:val="26"/>
      <w:szCs w:val="26"/>
    </w:rPr>
  </w:style>
  <w:style w:type="paragraph" w:customStyle="1" w:styleId="Titolo31">
    <w:name w:val="Titolo 31"/>
    <w:basedOn w:val="Normale"/>
    <w:next w:val="Normale"/>
    <w:uiPriority w:val="9"/>
    <w:unhideWhenUsed/>
    <w:qFormat/>
    <w:rsid w:val="008A7411"/>
    <w:pPr>
      <w:keepNext/>
      <w:keepLines/>
      <w:spacing w:before="200" w:after="0" w:line="276" w:lineRule="auto"/>
      <w:outlineLvl w:val="2"/>
    </w:pPr>
    <w:rPr>
      <w:rFonts w:ascii="Cambria" w:eastAsia="Times New Roman" w:hAnsi="Cambria" w:cs="Times New Roman"/>
      <w:b/>
      <w:bCs/>
      <w:color w:val="4F81BD"/>
    </w:rPr>
  </w:style>
  <w:style w:type="paragraph" w:customStyle="1" w:styleId="Titolo41">
    <w:name w:val="Titolo 41"/>
    <w:basedOn w:val="Normale"/>
    <w:next w:val="Normale"/>
    <w:uiPriority w:val="9"/>
    <w:unhideWhenUsed/>
    <w:qFormat/>
    <w:rsid w:val="008A7411"/>
    <w:pPr>
      <w:pBdr>
        <w:top w:val="dotted" w:sz="6" w:space="2" w:color="4F81BD"/>
      </w:pBdr>
      <w:spacing w:before="200" w:after="0" w:line="276" w:lineRule="auto"/>
      <w:outlineLvl w:val="3"/>
    </w:pPr>
    <w:rPr>
      <w:rFonts w:ascii="Calibri" w:eastAsia="Times New Roman" w:hAnsi="Calibri" w:cs="Times New Roman"/>
      <w:caps/>
      <w:color w:val="365F91"/>
      <w:spacing w:val="10"/>
      <w:sz w:val="20"/>
      <w:szCs w:val="20"/>
      <w:lang w:val="en-US"/>
    </w:rPr>
  </w:style>
  <w:style w:type="paragraph" w:customStyle="1" w:styleId="Titolo51">
    <w:name w:val="Titolo 51"/>
    <w:basedOn w:val="Normale"/>
    <w:next w:val="Normale"/>
    <w:uiPriority w:val="9"/>
    <w:semiHidden/>
    <w:unhideWhenUsed/>
    <w:qFormat/>
    <w:rsid w:val="008A7411"/>
    <w:pPr>
      <w:pBdr>
        <w:bottom w:val="single" w:sz="6" w:space="1" w:color="4F81BD"/>
      </w:pBdr>
      <w:spacing w:before="200" w:after="0" w:line="276" w:lineRule="auto"/>
      <w:outlineLvl w:val="4"/>
    </w:pPr>
    <w:rPr>
      <w:rFonts w:ascii="Calibri" w:eastAsia="Times New Roman" w:hAnsi="Calibri" w:cs="Times New Roman"/>
      <w:caps/>
      <w:color w:val="365F91"/>
      <w:spacing w:val="10"/>
      <w:sz w:val="20"/>
      <w:szCs w:val="20"/>
      <w:lang w:val="en-US"/>
    </w:rPr>
  </w:style>
  <w:style w:type="paragraph" w:customStyle="1" w:styleId="Titolo61">
    <w:name w:val="Titolo 61"/>
    <w:basedOn w:val="Normale"/>
    <w:next w:val="Normale"/>
    <w:uiPriority w:val="9"/>
    <w:semiHidden/>
    <w:unhideWhenUsed/>
    <w:qFormat/>
    <w:rsid w:val="008A7411"/>
    <w:pPr>
      <w:pBdr>
        <w:bottom w:val="dotted" w:sz="6" w:space="1" w:color="4F81BD"/>
      </w:pBdr>
      <w:spacing w:before="200" w:after="0" w:line="276" w:lineRule="auto"/>
      <w:outlineLvl w:val="5"/>
    </w:pPr>
    <w:rPr>
      <w:rFonts w:ascii="Calibri" w:eastAsia="Times New Roman" w:hAnsi="Calibri" w:cs="Times New Roman"/>
      <w:caps/>
      <w:color w:val="365F91"/>
      <w:spacing w:val="10"/>
      <w:sz w:val="20"/>
      <w:szCs w:val="20"/>
      <w:lang w:val="en-US"/>
    </w:rPr>
  </w:style>
  <w:style w:type="paragraph" w:customStyle="1" w:styleId="Titolo71">
    <w:name w:val="Titolo 71"/>
    <w:basedOn w:val="Normale"/>
    <w:next w:val="Normale"/>
    <w:uiPriority w:val="9"/>
    <w:semiHidden/>
    <w:unhideWhenUsed/>
    <w:qFormat/>
    <w:rsid w:val="008A7411"/>
    <w:pPr>
      <w:spacing w:before="200" w:after="0" w:line="276" w:lineRule="auto"/>
      <w:outlineLvl w:val="6"/>
    </w:pPr>
    <w:rPr>
      <w:rFonts w:ascii="Calibri" w:eastAsia="Times New Roman" w:hAnsi="Calibri" w:cs="Times New Roman"/>
      <w:caps/>
      <w:color w:val="365F91"/>
      <w:spacing w:val="10"/>
      <w:sz w:val="20"/>
      <w:szCs w:val="20"/>
      <w:lang w:val="en-US"/>
    </w:rPr>
  </w:style>
  <w:style w:type="paragraph" w:customStyle="1" w:styleId="Titolo81">
    <w:name w:val="Titolo 81"/>
    <w:basedOn w:val="Normale"/>
    <w:next w:val="Normale"/>
    <w:uiPriority w:val="9"/>
    <w:semiHidden/>
    <w:unhideWhenUsed/>
    <w:qFormat/>
    <w:rsid w:val="008A7411"/>
    <w:pPr>
      <w:spacing w:before="200" w:after="0" w:line="276" w:lineRule="auto"/>
      <w:outlineLvl w:val="7"/>
    </w:pPr>
    <w:rPr>
      <w:rFonts w:ascii="Calibri" w:eastAsia="Times New Roman" w:hAnsi="Calibri" w:cs="Times New Roman"/>
      <w:caps/>
      <w:spacing w:val="10"/>
      <w:sz w:val="18"/>
      <w:szCs w:val="18"/>
      <w:lang w:val="en-US"/>
    </w:rPr>
  </w:style>
  <w:style w:type="paragraph" w:customStyle="1" w:styleId="Titolo91">
    <w:name w:val="Titolo 91"/>
    <w:basedOn w:val="Normale"/>
    <w:next w:val="Normale"/>
    <w:uiPriority w:val="9"/>
    <w:semiHidden/>
    <w:unhideWhenUsed/>
    <w:qFormat/>
    <w:rsid w:val="008A7411"/>
    <w:pPr>
      <w:spacing w:before="200" w:after="0" w:line="276" w:lineRule="auto"/>
      <w:outlineLvl w:val="8"/>
    </w:pPr>
    <w:rPr>
      <w:rFonts w:ascii="Calibri" w:eastAsia="Times New Roman" w:hAnsi="Calibri" w:cs="Times New Roman"/>
      <w:i/>
      <w:iCs/>
      <w:caps/>
      <w:spacing w:val="10"/>
      <w:sz w:val="18"/>
      <w:szCs w:val="18"/>
      <w:lang w:val="en-US"/>
    </w:rPr>
  </w:style>
  <w:style w:type="paragraph" w:customStyle="1" w:styleId="Testofumetto1">
    <w:name w:val="Testo fumetto1"/>
    <w:basedOn w:val="Normale"/>
    <w:next w:val="Testofumetto"/>
    <w:uiPriority w:val="99"/>
    <w:semiHidden/>
    <w:unhideWhenUsed/>
    <w:rsid w:val="008A7411"/>
    <w:pPr>
      <w:spacing w:after="0" w:line="240" w:lineRule="auto"/>
    </w:pPr>
    <w:rPr>
      <w:rFonts w:ascii="Tahoma" w:eastAsia="Calibri" w:hAnsi="Tahoma" w:cs="Tahoma"/>
      <w:sz w:val="16"/>
      <w:szCs w:val="16"/>
    </w:rPr>
  </w:style>
  <w:style w:type="paragraph" w:customStyle="1" w:styleId="Intestazione1">
    <w:name w:val="Intestazione1"/>
    <w:basedOn w:val="Normale"/>
    <w:next w:val="Intestazione"/>
    <w:uiPriority w:val="99"/>
    <w:unhideWhenUsed/>
    <w:rsid w:val="008A7411"/>
    <w:pPr>
      <w:tabs>
        <w:tab w:val="center" w:pos="4819"/>
        <w:tab w:val="right" w:pos="9638"/>
      </w:tabs>
      <w:spacing w:after="0" w:line="240" w:lineRule="auto"/>
    </w:pPr>
    <w:rPr>
      <w:rFonts w:ascii="Calibri" w:eastAsia="Calibri" w:hAnsi="Calibri" w:cs="Times New Roman"/>
    </w:rPr>
  </w:style>
  <w:style w:type="paragraph" w:customStyle="1" w:styleId="Pidipagina1">
    <w:name w:val="Piè di pagina1"/>
    <w:basedOn w:val="Normale"/>
    <w:next w:val="Pidipagina"/>
    <w:uiPriority w:val="99"/>
    <w:unhideWhenUsed/>
    <w:rsid w:val="008A7411"/>
    <w:pPr>
      <w:tabs>
        <w:tab w:val="center" w:pos="4819"/>
        <w:tab w:val="right" w:pos="9638"/>
      </w:tabs>
      <w:spacing w:after="0" w:line="240" w:lineRule="auto"/>
    </w:pPr>
    <w:rPr>
      <w:rFonts w:ascii="Calibri" w:eastAsia="Calibri" w:hAnsi="Calibri" w:cs="Times New Roman"/>
    </w:rPr>
  </w:style>
  <w:style w:type="paragraph" w:customStyle="1" w:styleId="Sommario21">
    <w:name w:val="Sommario 21"/>
    <w:basedOn w:val="Normale"/>
    <w:next w:val="Normale"/>
    <w:autoRedefine/>
    <w:uiPriority w:val="39"/>
    <w:unhideWhenUsed/>
    <w:rsid w:val="008A7411"/>
    <w:pPr>
      <w:spacing w:after="100" w:line="276" w:lineRule="auto"/>
      <w:ind w:left="220"/>
    </w:pPr>
    <w:rPr>
      <w:rFonts w:ascii="Calibri" w:eastAsia="Calibri" w:hAnsi="Calibri" w:cs="Times New Roman"/>
    </w:rPr>
  </w:style>
  <w:style w:type="paragraph" w:customStyle="1" w:styleId="Sommario31">
    <w:name w:val="Sommario 31"/>
    <w:basedOn w:val="Normale"/>
    <w:next w:val="Normale"/>
    <w:autoRedefine/>
    <w:uiPriority w:val="39"/>
    <w:unhideWhenUsed/>
    <w:rsid w:val="008A7411"/>
    <w:pPr>
      <w:spacing w:after="100" w:line="276" w:lineRule="auto"/>
      <w:ind w:left="440"/>
    </w:pPr>
    <w:rPr>
      <w:rFonts w:ascii="Calibri" w:eastAsia="Calibri" w:hAnsi="Calibri" w:cs="Times New Roman"/>
    </w:rPr>
  </w:style>
  <w:style w:type="character" w:customStyle="1" w:styleId="Collegamentoipertestuale1">
    <w:name w:val="Collegamento ipertestuale1"/>
    <w:uiPriority w:val="99"/>
    <w:unhideWhenUsed/>
    <w:rsid w:val="008A7411"/>
    <w:rPr>
      <w:color w:val="0000FF"/>
      <w:u w:val="single"/>
    </w:rPr>
  </w:style>
  <w:style w:type="paragraph" w:customStyle="1" w:styleId="Titolo10">
    <w:name w:val="Titolo1"/>
    <w:basedOn w:val="Normale"/>
    <w:next w:val="Normale"/>
    <w:uiPriority w:val="10"/>
    <w:qFormat/>
    <w:rsid w:val="008A7411"/>
    <w:pPr>
      <w:spacing w:after="0" w:line="276" w:lineRule="auto"/>
    </w:pPr>
    <w:rPr>
      <w:rFonts w:ascii="Cambria" w:eastAsia="Times New Roman" w:hAnsi="Cambria" w:cs="Times New Roman"/>
      <w:caps/>
      <w:color w:val="4F81BD"/>
      <w:spacing w:val="10"/>
      <w:sz w:val="52"/>
      <w:szCs w:val="52"/>
      <w:lang w:val="en-US"/>
    </w:rPr>
  </w:style>
  <w:style w:type="paragraph" w:customStyle="1" w:styleId="Sottotitolo1">
    <w:name w:val="Sottotitolo1"/>
    <w:basedOn w:val="Normale"/>
    <w:next w:val="Normale"/>
    <w:uiPriority w:val="11"/>
    <w:qFormat/>
    <w:rsid w:val="008A7411"/>
    <w:pPr>
      <w:spacing w:after="500" w:line="240" w:lineRule="auto"/>
    </w:pPr>
    <w:rPr>
      <w:rFonts w:ascii="Calibri" w:eastAsia="Times New Roman" w:hAnsi="Calibri" w:cs="Times New Roman"/>
      <w:caps/>
      <w:color w:val="595959"/>
      <w:spacing w:val="10"/>
      <w:sz w:val="21"/>
      <w:szCs w:val="21"/>
      <w:lang w:val="en-US"/>
    </w:rPr>
  </w:style>
  <w:style w:type="character" w:customStyle="1" w:styleId="Enfasicorsivo1">
    <w:name w:val="Enfasi (corsivo)1"/>
    <w:uiPriority w:val="20"/>
    <w:qFormat/>
    <w:rsid w:val="008A7411"/>
    <w:rPr>
      <w:caps/>
      <w:color w:val="243F60"/>
      <w:spacing w:val="5"/>
    </w:rPr>
  </w:style>
  <w:style w:type="paragraph" w:customStyle="1" w:styleId="Nessunaspaziatura1">
    <w:name w:val="Nessuna spaziatura1"/>
    <w:next w:val="Nessunaspaziatura"/>
    <w:uiPriority w:val="1"/>
    <w:qFormat/>
    <w:rsid w:val="008A7411"/>
    <w:pPr>
      <w:spacing w:before="100" w:after="0" w:line="240" w:lineRule="auto"/>
    </w:pPr>
    <w:rPr>
      <w:rFonts w:ascii="Calibri" w:eastAsia="Times New Roman" w:hAnsi="Calibri" w:cs="Times New Roman"/>
      <w:sz w:val="20"/>
      <w:szCs w:val="20"/>
      <w:lang w:val="en-US"/>
    </w:rPr>
  </w:style>
  <w:style w:type="paragraph" w:customStyle="1" w:styleId="Citazione1">
    <w:name w:val="Citazione1"/>
    <w:basedOn w:val="Normale"/>
    <w:next w:val="Normale"/>
    <w:uiPriority w:val="29"/>
    <w:qFormat/>
    <w:rsid w:val="008A7411"/>
    <w:pPr>
      <w:spacing w:before="100" w:after="200" w:line="276" w:lineRule="auto"/>
    </w:pPr>
    <w:rPr>
      <w:rFonts w:ascii="Calibri" w:eastAsia="Times New Roman" w:hAnsi="Calibri" w:cs="Times New Roman"/>
      <w:i/>
      <w:iCs/>
      <w:sz w:val="24"/>
      <w:szCs w:val="24"/>
      <w:lang w:val="en-US"/>
    </w:rPr>
  </w:style>
  <w:style w:type="paragraph" w:customStyle="1" w:styleId="Citazioneintensa1">
    <w:name w:val="Citazione intensa1"/>
    <w:basedOn w:val="Normale"/>
    <w:next w:val="Normale"/>
    <w:uiPriority w:val="30"/>
    <w:qFormat/>
    <w:rsid w:val="008A7411"/>
    <w:pPr>
      <w:spacing w:before="240" w:after="240" w:line="240" w:lineRule="auto"/>
      <w:ind w:left="1080" w:right="1080"/>
      <w:jc w:val="center"/>
    </w:pPr>
    <w:rPr>
      <w:rFonts w:ascii="Calibri" w:eastAsia="Times New Roman" w:hAnsi="Calibri" w:cs="Times New Roman"/>
      <w:color w:val="4F81BD"/>
      <w:sz w:val="24"/>
      <w:szCs w:val="24"/>
      <w:lang w:val="en-US"/>
    </w:rPr>
  </w:style>
  <w:style w:type="character" w:customStyle="1" w:styleId="Enfasidelicata1">
    <w:name w:val="Enfasi delicata1"/>
    <w:uiPriority w:val="19"/>
    <w:qFormat/>
    <w:rsid w:val="008A7411"/>
    <w:rPr>
      <w:i/>
      <w:iCs/>
      <w:color w:val="243F60"/>
    </w:rPr>
  </w:style>
  <w:style w:type="character" w:customStyle="1" w:styleId="Enfasiintensa1">
    <w:name w:val="Enfasi intensa1"/>
    <w:uiPriority w:val="21"/>
    <w:qFormat/>
    <w:rsid w:val="008A7411"/>
    <w:rPr>
      <w:b/>
      <w:bCs/>
      <w:caps/>
      <w:color w:val="243F60"/>
      <w:spacing w:val="10"/>
    </w:rPr>
  </w:style>
  <w:style w:type="character" w:customStyle="1" w:styleId="Riferimentodelicato1">
    <w:name w:val="Riferimento delicato1"/>
    <w:uiPriority w:val="31"/>
    <w:qFormat/>
    <w:rsid w:val="008A7411"/>
    <w:rPr>
      <w:b/>
      <w:bCs/>
      <w:color w:val="4F81BD"/>
    </w:rPr>
  </w:style>
  <w:style w:type="character" w:customStyle="1" w:styleId="Riferimentointenso1">
    <w:name w:val="Riferimento intenso1"/>
    <w:uiPriority w:val="32"/>
    <w:qFormat/>
    <w:rsid w:val="008A7411"/>
    <w:rPr>
      <w:b/>
      <w:bCs/>
      <w:i/>
      <w:iCs/>
      <w:caps/>
      <w:color w:val="4F81BD"/>
    </w:rPr>
  </w:style>
  <w:style w:type="paragraph" w:customStyle="1" w:styleId="Didascalia1">
    <w:name w:val="Didascalia1"/>
    <w:basedOn w:val="Normale"/>
    <w:next w:val="Normale"/>
    <w:uiPriority w:val="35"/>
    <w:unhideWhenUsed/>
    <w:qFormat/>
    <w:rsid w:val="008A7411"/>
    <w:pPr>
      <w:spacing w:after="200" w:line="240" w:lineRule="auto"/>
    </w:pPr>
    <w:rPr>
      <w:rFonts w:ascii="Calibri" w:eastAsia="Calibri" w:hAnsi="Calibri" w:cs="Times New Roman"/>
      <w:i/>
      <w:iCs/>
      <w:color w:val="1F497D"/>
      <w:sz w:val="18"/>
      <w:szCs w:val="18"/>
    </w:rPr>
  </w:style>
  <w:style w:type="character" w:customStyle="1" w:styleId="Titolo1Carattere2">
    <w:name w:val="Titolo 1 Carattere2"/>
    <w:uiPriority w:val="9"/>
    <w:rsid w:val="008A7411"/>
    <w:rPr>
      <w:rFonts w:ascii="Cambria" w:eastAsia="Times New Roman" w:hAnsi="Cambria" w:cs="Times New Roman"/>
      <w:color w:val="365F91"/>
      <w:sz w:val="32"/>
      <w:szCs w:val="32"/>
    </w:rPr>
  </w:style>
  <w:style w:type="character" w:customStyle="1" w:styleId="Titolo2Carattere1">
    <w:name w:val="Titolo 2 Carattere1"/>
    <w:uiPriority w:val="9"/>
    <w:semiHidden/>
    <w:rsid w:val="008A7411"/>
    <w:rPr>
      <w:rFonts w:ascii="Cambria" w:eastAsia="Times New Roman" w:hAnsi="Cambria" w:cs="Times New Roman"/>
      <w:color w:val="365F91"/>
      <w:sz w:val="26"/>
      <w:szCs w:val="26"/>
    </w:rPr>
  </w:style>
  <w:style w:type="character" w:customStyle="1" w:styleId="Titolo3Carattere1">
    <w:name w:val="Titolo 3 Carattere1"/>
    <w:uiPriority w:val="9"/>
    <w:semiHidden/>
    <w:rsid w:val="008A7411"/>
    <w:rPr>
      <w:rFonts w:ascii="Cambria" w:eastAsia="Times New Roman" w:hAnsi="Cambria" w:cs="Times New Roman"/>
      <w:color w:val="243F60"/>
      <w:sz w:val="24"/>
      <w:szCs w:val="24"/>
    </w:rPr>
  </w:style>
  <w:style w:type="character" w:customStyle="1" w:styleId="Titolo4Carattere1">
    <w:name w:val="Titolo 4 Carattere1"/>
    <w:uiPriority w:val="9"/>
    <w:semiHidden/>
    <w:rsid w:val="008A7411"/>
    <w:rPr>
      <w:rFonts w:ascii="Cambria" w:eastAsia="Times New Roman" w:hAnsi="Cambria" w:cs="Times New Roman"/>
      <w:i/>
      <w:iCs/>
      <w:color w:val="365F91"/>
    </w:rPr>
  </w:style>
  <w:style w:type="character" w:customStyle="1" w:styleId="Titolo5Carattere1">
    <w:name w:val="Titolo 5 Carattere1"/>
    <w:uiPriority w:val="9"/>
    <w:semiHidden/>
    <w:rsid w:val="008A7411"/>
    <w:rPr>
      <w:rFonts w:ascii="Cambria" w:eastAsia="Times New Roman" w:hAnsi="Cambria" w:cs="Times New Roman"/>
      <w:color w:val="365F91"/>
    </w:rPr>
  </w:style>
  <w:style w:type="character" w:customStyle="1" w:styleId="Titolo6Carattere1">
    <w:name w:val="Titolo 6 Carattere1"/>
    <w:uiPriority w:val="9"/>
    <w:semiHidden/>
    <w:rsid w:val="008A7411"/>
    <w:rPr>
      <w:rFonts w:ascii="Cambria" w:eastAsia="Times New Roman" w:hAnsi="Cambria" w:cs="Times New Roman"/>
      <w:color w:val="243F60"/>
    </w:rPr>
  </w:style>
  <w:style w:type="character" w:customStyle="1" w:styleId="Titolo7Carattere1">
    <w:name w:val="Titolo 7 Carattere1"/>
    <w:uiPriority w:val="9"/>
    <w:semiHidden/>
    <w:rsid w:val="008A7411"/>
    <w:rPr>
      <w:rFonts w:ascii="Cambria" w:eastAsia="Times New Roman" w:hAnsi="Cambria" w:cs="Times New Roman"/>
      <w:i/>
      <w:iCs/>
      <w:color w:val="243F60"/>
    </w:rPr>
  </w:style>
  <w:style w:type="character" w:customStyle="1" w:styleId="Titolo8Carattere1">
    <w:name w:val="Titolo 8 Carattere1"/>
    <w:uiPriority w:val="9"/>
    <w:semiHidden/>
    <w:rsid w:val="008A7411"/>
    <w:rPr>
      <w:rFonts w:ascii="Cambria" w:eastAsia="Times New Roman" w:hAnsi="Cambria" w:cs="Times New Roman"/>
      <w:color w:val="272727"/>
      <w:sz w:val="21"/>
      <w:szCs w:val="21"/>
    </w:rPr>
  </w:style>
  <w:style w:type="character" w:customStyle="1" w:styleId="Titolo9Carattere1">
    <w:name w:val="Titolo 9 Carattere1"/>
    <w:uiPriority w:val="9"/>
    <w:semiHidden/>
    <w:rsid w:val="008A7411"/>
    <w:rPr>
      <w:rFonts w:ascii="Cambria" w:eastAsia="Times New Roman" w:hAnsi="Cambria" w:cs="Times New Roman"/>
      <w:i/>
      <w:iCs/>
      <w:color w:val="272727"/>
      <w:sz w:val="21"/>
      <w:szCs w:val="21"/>
    </w:rPr>
  </w:style>
  <w:style w:type="character" w:customStyle="1" w:styleId="TestofumettoCarattere1">
    <w:name w:val="Testo fumetto Carattere1"/>
    <w:uiPriority w:val="99"/>
    <w:semiHidden/>
    <w:rsid w:val="008A7411"/>
    <w:rPr>
      <w:rFonts w:ascii="Segoe UI" w:hAnsi="Segoe UI" w:cs="Segoe UI"/>
      <w:sz w:val="18"/>
      <w:szCs w:val="18"/>
    </w:rPr>
  </w:style>
  <w:style w:type="character" w:customStyle="1" w:styleId="IntestazioneCarattere1">
    <w:name w:val="Intestazione Carattere1"/>
    <w:basedOn w:val="Carpredefinitoparagrafo"/>
    <w:uiPriority w:val="99"/>
    <w:rsid w:val="008A7411"/>
  </w:style>
  <w:style w:type="character" w:customStyle="1" w:styleId="PidipaginaCarattere1">
    <w:name w:val="Piè di pagina Carattere1"/>
    <w:basedOn w:val="Carpredefinitoparagrafo"/>
    <w:uiPriority w:val="99"/>
    <w:rsid w:val="008A7411"/>
  </w:style>
  <w:style w:type="character" w:customStyle="1" w:styleId="TitoloCarattere1">
    <w:name w:val="Titolo Carattere1"/>
    <w:uiPriority w:val="10"/>
    <w:rsid w:val="008A7411"/>
    <w:rPr>
      <w:rFonts w:ascii="Cambria" w:eastAsia="Times New Roman" w:hAnsi="Cambria" w:cs="Times New Roman"/>
      <w:spacing w:val="-10"/>
      <w:kern w:val="28"/>
      <w:sz w:val="56"/>
      <w:szCs w:val="56"/>
    </w:rPr>
  </w:style>
  <w:style w:type="character" w:customStyle="1" w:styleId="SottotitoloCarattere1">
    <w:name w:val="Sottotitolo Carattere1"/>
    <w:uiPriority w:val="11"/>
    <w:rsid w:val="008A7411"/>
    <w:rPr>
      <w:rFonts w:eastAsia="Times New Roman"/>
      <w:color w:val="5A5A5A"/>
      <w:spacing w:val="15"/>
    </w:rPr>
  </w:style>
  <w:style w:type="character" w:customStyle="1" w:styleId="CitazioneCarattere1">
    <w:name w:val="Citazione Carattere1"/>
    <w:uiPriority w:val="29"/>
    <w:rsid w:val="008A7411"/>
    <w:rPr>
      <w:i/>
      <w:iCs/>
      <w:color w:val="404040"/>
    </w:rPr>
  </w:style>
  <w:style w:type="character" w:customStyle="1" w:styleId="CitazioneintensaCarattere1">
    <w:name w:val="Citazione intensa Carattere1"/>
    <w:uiPriority w:val="30"/>
    <w:rsid w:val="008A7411"/>
    <w:rPr>
      <w:i/>
      <w:iCs/>
      <w:color w:val="4F81BD"/>
    </w:rPr>
  </w:style>
  <w:style w:type="table" w:customStyle="1" w:styleId="Sfondochiaro-Colore111">
    <w:name w:val="Sfondo chiaro - Colore 111"/>
    <w:basedOn w:val="Tabellanormale"/>
    <w:uiPriority w:val="60"/>
    <w:rsid w:val="008A7411"/>
    <w:pPr>
      <w:spacing w:after="0" w:line="240" w:lineRule="auto"/>
    </w:pPr>
    <w:rPr>
      <w:rFonts w:ascii="Calibri" w:eastAsia="Calibri" w:hAnsi="Calibri" w:cs="Times New Roman"/>
      <w:color w:val="365F91"/>
      <w:sz w:val="20"/>
      <w:szCs w:val="20"/>
      <w:lang w:eastAsia="it-IT"/>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12">
    <w:name w:val="Sfondo chiaro - Colore 112"/>
    <w:basedOn w:val="Tabellanormale"/>
    <w:next w:val="Sfondochiaro-Colore11"/>
    <w:uiPriority w:val="60"/>
    <w:rsid w:val="008A7411"/>
    <w:pPr>
      <w:spacing w:after="0" w:line="240" w:lineRule="auto"/>
    </w:pPr>
    <w:rPr>
      <w:rFonts w:ascii="Calibri" w:eastAsia="Calibri" w:hAnsi="Calibri" w:cs="Times New Roman"/>
      <w:color w:val="365F91"/>
      <w:sz w:val="20"/>
      <w:szCs w:val="20"/>
      <w:lang w:eastAsia="it-IT"/>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essuno">
    <w:name w:val="Nessuno"/>
    <w:rsid w:val="008A7411"/>
  </w:style>
  <w:style w:type="numbering" w:customStyle="1" w:styleId="Nessunelenco4">
    <w:name w:val="Nessun elenco4"/>
    <w:next w:val="Nessunelenco"/>
    <w:uiPriority w:val="99"/>
    <w:semiHidden/>
    <w:unhideWhenUsed/>
    <w:rsid w:val="008A7411"/>
  </w:style>
  <w:style w:type="table" w:customStyle="1" w:styleId="Grigliatabella13">
    <w:name w:val="Griglia tabella13"/>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2">
    <w:name w:val="Griglia tabella22"/>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112">
    <w:name w:val="Elenco chiaro - Colore 112"/>
    <w:basedOn w:val="Tabellanormale"/>
    <w:uiPriority w:val="61"/>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medio1-Colore12">
    <w:name w:val="Sfondo medio 1 - Colore 12"/>
    <w:basedOn w:val="Tabellanormale"/>
    <w:next w:val="Sfondomedio1-Colore1"/>
    <w:uiPriority w:val="63"/>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essunelenco5">
    <w:name w:val="Nessun elenco5"/>
    <w:next w:val="Nessunelenco"/>
    <w:uiPriority w:val="99"/>
    <w:semiHidden/>
    <w:unhideWhenUsed/>
    <w:rsid w:val="008A7411"/>
  </w:style>
  <w:style w:type="table" w:customStyle="1" w:styleId="Grigliamedia1-Colore116">
    <w:name w:val="Griglia media 1 - Colore 116"/>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6">
    <w:name w:val="Griglia media 1 - Colore 16"/>
    <w:basedOn w:val="Tabellanormale"/>
    <w:next w:val="Grigliamedia1-Colore1"/>
    <w:uiPriority w:val="67"/>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13">
    <w:name w:val="Nessun elenco13"/>
    <w:next w:val="Nessunelenco"/>
    <w:uiPriority w:val="99"/>
    <w:semiHidden/>
    <w:unhideWhenUsed/>
    <w:rsid w:val="008A7411"/>
  </w:style>
  <w:style w:type="table" w:customStyle="1" w:styleId="Grigliatabella14">
    <w:name w:val="Griglia tabella14"/>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3">
    <w:name w:val="Griglia tabella23"/>
    <w:basedOn w:val="Tabellanormale"/>
    <w:next w:val="Grigliatabella"/>
    <w:uiPriority w:val="59"/>
    <w:rsid w:val="008A7411"/>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113">
    <w:name w:val="Elenco chiaro - Colore 113"/>
    <w:basedOn w:val="Tabellanormale"/>
    <w:uiPriority w:val="61"/>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medio1-Colore13">
    <w:name w:val="Sfondo medio 1 - Colore 13"/>
    <w:basedOn w:val="Tabellanormale"/>
    <w:next w:val="Sfondomedio1-Colore1"/>
    <w:uiPriority w:val="63"/>
    <w:rsid w:val="008A741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Numeropagina">
    <w:name w:val="page number"/>
    <w:rsid w:val="008A7411"/>
  </w:style>
  <w:style w:type="character" w:customStyle="1" w:styleId="NessunaspaziaturaCarattere">
    <w:name w:val="Nessuna spaziatura Carattere"/>
    <w:basedOn w:val="Carpredefinitoparagrafo"/>
    <w:link w:val="Nessunaspaziatura"/>
    <w:uiPriority w:val="1"/>
    <w:rsid w:val="008A7411"/>
    <w:rPr>
      <w:rFonts w:ascii="Times New Roman" w:eastAsia="Times New Roman" w:hAnsi="Times New Roman" w:cs="Times New Roman"/>
      <w:sz w:val="24"/>
      <w:szCs w:val="24"/>
      <w:lang w:eastAsia="it-IT"/>
    </w:rPr>
  </w:style>
  <w:style w:type="paragraph" w:customStyle="1" w:styleId="Paragrafobase">
    <w:name w:val="[Paragrafo base]"/>
    <w:basedOn w:val="Normale"/>
    <w:link w:val="ParagrafobaseChar"/>
    <w:uiPriority w:val="99"/>
    <w:rsid w:val="008A7411"/>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8A7411"/>
    <w:rPr>
      <w:rFonts w:ascii="Minion Pro" w:hAnsi="Minion Pro" w:cs="Minion Pro"/>
      <w:color w:val="000000"/>
      <w:sz w:val="24"/>
      <w:szCs w:val="24"/>
    </w:rPr>
  </w:style>
  <w:style w:type="table" w:customStyle="1" w:styleId="Grigliamedia3-Colore11">
    <w:name w:val="Griglia media 3 - Colore 11"/>
    <w:basedOn w:val="Tabellanormale"/>
    <w:next w:val="Grigliamedia3-Colore1"/>
    <w:uiPriority w:val="69"/>
    <w:rsid w:val="008A741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stonormale1">
    <w:name w:val="Testo normale1"/>
    <w:basedOn w:val="Normale"/>
    <w:next w:val="Testonormale"/>
    <w:uiPriority w:val="99"/>
    <w:unhideWhenUsed/>
    <w:rsid w:val="008A7411"/>
    <w:pPr>
      <w:spacing w:after="0" w:line="240" w:lineRule="auto"/>
    </w:pPr>
    <w:rPr>
      <w:rFonts w:ascii="Calibri" w:hAnsi="Calibri"/>
      <w:szCs w:val="21"/>
    </w:rPr>
  </w:style>
  <w:style w:type="numbering" w:customStyle="1" w:styleId="Nessunelenco1111">
    <w:name w:val="Nessun elenco1111"/>
    <w:next w:val="Nessunelenco"/>
    <w:uiPriority w:val="99"/>
    <w:semiHidden/>
    <w:unhideWhenUsed/>
    <w:rsid w:val="008A7411"/>
  </w:style>
  <w:style w:type="character" w:customStyle="1" w:styleId="Titolo1Carattere3">
    <w:name w:val="Titolo 1 Carattere3"/>
    <w:basedOn w:val="Carpredefinitoparagrafo"/>
    <w:uiPriority w:val="9"/>
    <w:rsid w:val="008A7411"/>
    <w:rPr>
      <w:rFonts w:asciiTheme="majorHAnsi" w:eastAsiaTheme="majorEastAsia" w:hAnsiTheme="majorHAnsi" w:cstheme="majorBidi"/>
      <w:color w:val="2E74B5" w:themeColor="accent1" w:themeShade="BF"/>
      <w:sz w:val="32"/>
      <w:szCs w:val="32"/>
    </w:rPr>
  </w:style>
  <w:style w:type="character" w:customStyle="1" w:styleId="Titolo2Carattere2">
    <w:name w:val="Titolo 2 Carattere2"/>
    <w:basedOn w:val="Carpredefinitoparagrafo"/>
    <w:uiPriority w:val="9"/>
    <w:semiHidden/>
    <w:rsid w:val="008A7411"/>
    <w:rPr>
      <w:rFonts w:asciiTheme="majorHAnsi" w:eastAsiaTheme="majorEastAsia" w:hAnsiTheme="majorHAnsi" w:cstheme="majorBidi"/>
      <w:color w:val="2E74B5" w:themeColor="accent1" w:themeShade="BF"/>
      <w:sz w:val="26"/>
      <w:szCs w:val="26"/>
    </w:rPr>
  </w:style>
  <w:style w:type="character" w:customStyle="1" w:styleId="Titolo3Carattere2">
    <w:name w:val="Titolo 3 Carattere2"/>
    <w:basedOn w:val="Carpredefinitoparagrafo"/>
    <w:uiPriority w:val="9"/>
    <w:semiHidden/>
    <w:rsid w:val="008A7411"/>
    <w:rPr>
      <w:rFonts w:asciiTheme="majorHAnsi" w:eastAsiaTheme="majorEastAsia" w:hAnsiTheme="majorHAnsi" w:cstheme="majorBidi"/>
      <w:color w:val="1F4D78" w:themeColor="accent1" w:themeShade="7F"/>
      <w:sz w:val="24"/>
      <w:szCs w:val="24"/>
    </w:rPr>
  </w:style>
  <w:style w:type="character" w:customStyle="1" w:styleId="TestonormaleCarattere1">
    <w:name w:val="Testo normale Carattere1"/>
    <w:basedOn w:val="Carpredefinitoparagrafo"/>
    <w:uiPriority w:val="99"/>
    <w:semiHidden/>
    <w:rsid w:val="008A7411"/>
    <w:rPr>
      <w:rFonts w:ascii="Consolas" w:hAnsi="Consolas" w:cs="Consolas"/>
      <w:sz w:val="21"/>
      <w:szCs w:val="21"/>
    </w:rPr>
  </w:style>
  <w:style w:type="table" w:styleId="Tabellasemplice-2">
    <w:name w:val="Plain Table 2"/>
    <w:basedOn w:val="Tabellanormale"/>
    <w:uiPriority w:val="42"/>
    <w:rsid w:val="008A74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NACTitoloCapitoloNero">
    <w:name w:val="ANAC_Titolo Capitolo Nero"/>
    <w:next w:val="Normale"/>
    <w:link w:val="ANACTitoloCapitoloNeroCarattere"/>
    <w:qFormat/>
    <w:rsid w:val="00864F69"/>
    <w:pPr>
      <w:spacing w:after="0" w:line="240" w:lineRule="auto"/>
    </w:pPr>
    <w:rPr>
      <w:rFonts w:ascii="Trebuchet MS" w:eastAsia="Times New Roman" w:hAnsi="Trebuchet MS" w:cs="Times New Roman"/>
      <w:iCs/>
      <w:sz w:val="36"/>
      <w:szCs w:val="40"/>
    </w:rPr>
  </w:style>
  <w:style w:type="character" w:customStyle="1" w:styleId="ANACTitoloCapitoloNeroCarattere">
    <w:name w:val="ANAC_Titolo Capitolo Nero Carattere"/>
    <w:basedOn w:val="Carpredefinitoparagrafo"/>
    <w:link w:val="ANACTitoloCapitoloNero"/>
    <w:rsid w:val="00864F69"/>
    <w:rPr>
      <w:rFonts w:ascii="Trebuchet MS" w:eastAsia="Times New Roman" w:hAnsi="Trebuchet MS" w:cs="Times New Roman"/>
      <w:iCs/>
      <w:sz w:val="36"/>
      <w:szCs w:val="40"/>
    </w:rPr>
  </w:style>
  <w:style w:type="paragraph" w:customStyle="1" w:styleId="OmniPage4">
    <w:name w:val="OmniPage #4"/>
    <w:basedOn w:val="Normale"/>
    <w:uiPriority w:val="99"/>
    <w:rsid w:val="001276AF"/>
    <w:pPr>
      <w:spacing w:after="0" w:line="220" w:lineRule="exact"/>
    </w:pPr>
    <w:rPr>
      <w:rFonts w:ascii="Times New Roman" w:eastAsia="Times New Roman" w:hAnsi="Times New Roman" w:cs="Times New Roman"/>
      <w:sz w:val="20"/>
      <w:szCs w:val="20"/>
      <w:lang w:val="en-US" w:eastAsia="it-IT"/>
    </w:rPr>
  </w:style>
  <w:style w:type="character" w:customStyle="1" w:styleId="ANAC-TitoloParagrafoCarattere">
    <w:name w:val="ANAC - Titolo Paragrafo Carattere"/>
    <w:basedOn w:val="Carpredefinitoparagrafo"/>
    <w:link w:val="ANAC-TitoloParagrafo"/>
    <w:locked/>
    <w:rsid w:val="001276AF"/>
    <w:rPr>
      <w:rFonts w:ascii="Gotham Light" w:eastAsiaTheme="majorEastAsia" w:hAnsi="Gotham Light" w:cstheme="majorBidi"/>
      <w:color w:val="2770B7"/>
      <w:sz w:val="28"/>
      <w:szCs w:val="24"/>
    </w:rPr>
  </w:style>
  <w:style w:type="paragraph" w:customStyle="1" w:styleId="ANAC-TitoloParagrafo">
    <w:name w:val="ANAC - Titolo Paragrafo"/>
    <w:basedOn w:val="Normale"/>
    <w:link w:val="ANAC-TitoloParagrafoCarattere"/>
    <w:qFormat/>
    <w:rsid w:val="001276AF"/>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auto"/>
      <w:ind w:left="1560" w:right="142"/>
      <w:outlineLvl w:val="4"/>
    </w:pPr>
    <w:rPr>
      <w:rFonts w:ascii="Gotham Light" w:eastAsiaTheme="majorEastAsia" w:hAnsi="Gotham Light" w:cstheme="majorBidi"/>
      <w:color w:val="2770B7"/>
      <w:sz w:val="28"/>
      <w:szCs w:val="24"/>
    </w:rPr>
  </w:style>
  <w:style w:type="paragraph" w:customStyle="1" w:styleId="Testo">
    <w:name w:val="Testo"/>
    <w:basedOn w:val="Normale"/>
    <w:uiPriority w:val="99"/>
    <w:rsid w:val="001276AF"/>
    <w:pPr>
      <w:widowControl w:val="0"/>
      <w:tabs>
        <w:tab w:val="left" w:pos="283"/>
      </w:tabs>
      <w:autoSpaceDE w:val="0"/>
      <w:autoSpaceDN w:val="0"/>
      <w:adjustRightInd w:val="0"/>
      <w:spacing w:after="0" w:line="268" w:lineRule="atLeast"/>
      <w:jc w:val="both"/>
      <w:textAlignment w:val="center"/>
    </w:pPr>
    <w:rPr>
      <w:rFonts w:ascii="ArialNarrow" w:eastAsiaTheme="minorEastAsia" w:hAnsi="ArialNarrow" w:cs="ArialNarrow"/>
      <w:color w:val="000000"/>
      <w:lang w:eastAsia="it-IT"/>
    </w:rPr>
  </w:style>
  <w:style w:type="table" w:styleId="Tabellagriglia5scura-colore5">
    <w:name w:val="Grid Table 5 Dark Accent 5"/>
    <w:basedOn w:val="Tabellanormale"/>
    <w:uiPriority w:val="50"/>
    <w:rsid w:val="001276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NumeroCapitolo">
    <w:name w:val="Numero Capitolo"/>
    <w:basedOn w:val="Titolo3"/>
    <w:link w:val="NumeroCapitoloChar"/>
    <w:qFormat/>
    <w:rsid w:val="001276AF"/>
    <w:pPr>
      <w:tabs>
        <w:tab w:val="left" w:pos="284"/>
        <w:tab w:val="left" w:pos="851"/>
        <w:tab w:val="left" w:pos="1134"/>
        <w:tab w:val="left" w:pos="1418"/>
        <w:tab w:val="right" w:pos="2268"/>
        <w:tab w:val="left" w:pos="2835"/>
      </w:tabs>
      <w:spacing w:line="240" w:lineRule="auto"/>
      <w:ind w:left="1560"/>
    </w:pPr>
    <w:rPr>
      <w:rFonts w:ascii="Gotham Light" w:hAnsi="Gotham Light"/>
      <w:color w:val="2770B7"/>
      <w:sz w:val="48"/>
      <w:szCs w:val="36"/>
    </w:rPr>
  </w:style>
  <w:style w:type="character" w:customStyle="1" w:styleId="NumeroCapitoloChar">
    <w:name w:val="Numero Capitolo Char"/>
    <w:basedOn w:val="Carpredefinitoparagrafo"/>
    <w:link w:val="NumeroCapitolo"/>
    <w:rsid w:val="001276AF"/>
    <w:rPr>
      <w:rFonts w:ascii="Gotham Light" w:eastAsiaTheme="majorEastAsia" w:hAnsi="Gotham Light" w:cstheme="majorBidi"/>
      <w:color w:val="2770B7"/>
      <w:sz w:val="48"/>
      <w:szCs w:val="36"/>
      <w:lang w:val="en-US"/>
    </w:rPr>
  </w:style>
  <w:style w:type="paragraph" w:customStyle="1" w:styleId="ANAC-Capitolo">
    <w:name w:val="ANAC - Capitolo"/>
    <w:basedOn w:val="Titolo1"/>
    <w:link w:val="ANAC-CapitoloCarattere"/>
    <w:qFormat/>
    <w:rsid w:val="001276AF"/>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ind w:left="1560" w:right="142"/>
      <w:jc w:val="left"/>
    </w:pPr>
    <w:rPr>
      <w:rFonts w:asciiTheme="majorHAnsi" w:hAnsiTheme="majorHAnsi" w:cstheme="majorBidi"/>
      <w:bCs w:val="0"/>
      <w:color w:val="2E74B5" w:themeColor="accent1" w:themeShade="BF"/>
      <w:sz w:val="32"/>
      <w:szCs w:val="32"/>
      <w:lang w:val="en-US"/>
    </w:rPr>
  </w:style>
  <w:style w:type="character" w:customStyle="1" w:styleId="ANAC-CapitoloCarattere">
    <w:name w:val="ANAC - Capitolo Carattere"/>
    <w:basedOn w:val="Titolo1Carattere"/>
    <w:link w:val="ANAC-Capitolo"/>
    <w:rsid w:val="001276AF"/>
    <w:rPr>
      <w:rFonts w:asciiTheme="majorHAnsi" w:eastAsiaTheme="majorEastAsia" w:hAnsiTheme="majorHAnsi" w:cstheme="majorBidi"/>
      <w:bCs w:val="0"/>
      <w:color w:val="2E74B5" w:themeColor="accent1" w:themeShade="BF"/>
      <w:sz w:val="32"/>
      <w:szCs w:val="32"/>
      <w:lang w:val="en-US" w:eastAsia="it-IT"/>
    </w:rPr>
  </w:style>
  <w:style w:type="character" w:customStyle="1" w:styleId="Corpodeltesto2">
    <w:name w:val="Corpo del testo (2)_"/>
    <w:link w:val="Corpodeltesto20"/>
    <w:locked/>
    <w:rsid w:val="00E41330"/>
    <w:rPr>
      <w:rFonts w:ascii="Garamond" w:eastAsia="Times New Roman" w:hAnsi="Garamond" w:cs="Garamond"/>
      <w:shd w:val="clear" w:color="auto" w:fill="FFFFFF"/>
    </w:rPr>
  </w:style>
  <w:style w:type="paragraph" w:customStyle="1" w:styleId="Corpodeltesto20">
    <w:name w:val="Corpo del testo (2)"/>
    <w:basedOn w:val="Normale"/>
    <w:link w:val="Corpodeltesto2"/>
    <w:rsid w:val="00E41330"/>
    <w:pPr>
      <w:widowControl w:val="0"/>
      <w:shd w:val="clear" w:color="auto" w:fill="FFFFFF"/>
      <w:spacing w:before="240" w:after="660" w:line="254" w:lineRule="exact"/>
      <w:ind w:hanging="400"/>
    </w:pPr>
    <w:rPr>
      <w:rFonts w:ascii="Garamond" w:eastAsia="Times New Roman" w:hAnsi="Garamond" w:cs="Garamond"/>
    </w:rPr>
  </w:style>
  <w:style w:type="paragraph" w:customStyle="1" w:styleId="Oggetto">
    <w:name w:val="Oggetto"/>
    <w:link w:val="OggettoCarattere"/>
    <w:qFormat/>
    <w:rsid w:val="00E719DD"/>
    <w:pPr>
      <w:widowControl w:val="0"/>
      <w:suppressAutoHyphens/>
      <w:spacing w:after="0" w:line="264" w:lineRule="auto"/>
      <w:jc w:val="both"/>
    </w:pPr>
    <w:rPr>
      <w:rFonts w:ascii="Titillium" w:eastAsia="Times New Roman" w:hAnsi="Titillium" w:cs="Times New Roman"/>
      <w:bCs/>
      <w:noProof/>
      <w:sz w:val="18"/>
      <w:lang w:eastAsia="it-IT"/>
    </w:rPr>
  </w:style>
  <w:style w:type="character" w:customStyle="1" w:styleId="OggettoCarattere">
    <w:name w:val="Oggetto Carattere"/>
    <w:basedOn w:val="Carpredefinitoparagrafo"/>
    <w:link w:val="Oggetto"/>
    <w:rsid w:val="00E719DD"/>
    <w:rPr>
      <w:rFonts w:ascii="Titillium" w:eastAsia="Times New Roman" w:hAnsi="Titillium" w:cs="Times New Roman"/>
      <w:bCs/>
      <w:noProof/>
      <w:sz w:val="18"/>
      <w:lang w:eastAsia="it-IT"/>
    </w:rPr>
  </w:style>
  <w:style w:type="paragraph" w:customStyle="1" w:styleId="AvVALMED">
    <w:name w:val="A) vVAL_MED"/>
    <w:link w:val="AvVALMEDCarattere"/>
    <w:qFormat/>
    <w:rsid w:val="00E719DD"/>
    <w:pPr>
      <w:numPr>
        <w:numId w:val="18"/>
      </w:numPr>
      <w:spacing w:after="0" w:line="264" w:lineRule="auto"/>
      <w:ind w:left="340" w:hanging="340"/>
      <w:jc w:val="both"/>
    </w:pPr>
    <w:rPr>
      <w:rFonts w:ascii="Titillium" w:eastAsia="Calibri" w:hAnsi="Titillium" w:cs="Times New Roman"/>
      <w:b/>
      <w:sz w:val="18"/>
      <w:szCs w:val="24"/>
      <w:lang w:eastAsia="it-IT"/>
    </w:rPr>
  </w:style>
  <w:style w:type="character" w:customStyle="1" w:styleId="AvVALMEDCarattere">
    <w:name w:val="A) vVAL_MED Carattere"/>
    <w:basedOn w:val="Carpredefinitoparagrafo"/>
    <w:link w:val="AvVALMED"/>
    <w:rsid w:val="00E719DD"/>
    <w:rPr>
      <w:rFonts w:ascii="Titillium" w:eastAsia="Calibri" w:hAnsi="Titillium" w:cs="Times New Roman"/>
      <w:b/>
      <w:sz w:val="18"/>
      <w:szCs w:val="24"/>
      <w:lang w:eastAsia="it-IT"/>
    </w:rPr>
  </w:style>
  <w:style w:type="paragraph" w:customStyle="1" w:styleId="PARTE">
    <w:name w:val="PARTE"/>
    <w:basedOn w:val="Titolo1"/>
    <w:qFormat/>
    <w:rsid w:val="00605E8C"/>
    <w:pPr>
      <w:spacing w:before="0" w:after="120" w:line="276" w:lineRule="auto"/>
    </w:pPr>
    <w:rPr>
      <w:rFonts w:ascii="Trebuchet MS" w:hAnsi="Trebuchet MS"/>
      <w:b/>
      <w:iCs/>
      <w:noProof/>
      <w:color w:val="002060"/>
      <w:sz w:val="32"/>
      <w:szCs w:val="32"/>
      <w:u w:val="single"/>
    </w:rPr>
  </w:style>
  <w:style w:type="paragraph" w:customStyle="1" w:styleId="CAPITOLORELAZIONE">
    <w:name w:val="CAPITOLO RELAZIONE"/>
    <w:basedOn w:val="Normale"/>
    <w:qFormat/>
    <w:rsid w:val="00D40BEE"/>
    <w:pPr>
      <w:spacing w:after="120" w:line="276" w:lineRule="auto"/>
      <w:jc w:val="both"/>
    </w:pPr>
    <w:rPr>
      <w:rFonts w:ascii="Trebuchet MS" w:hAnsi="Trebuchet MS"/>
      <w:b/>
      <w:color w:val="0070C0"/>
      <w:sz w:val="32"/>
      <w:szCs w:val="32"/>
    </w:rPr>
  </w:style>
  <w:style w:type="paragraph" w:customStyle="1" w:styleId="PARAGRAFORELAZIONE">
    <w:name w:val="PARAGRAFO RELAZIONE"/>
    <w:basedOn w:val="Titolo1"/>
    <w:qFormat/>
    <w:rsid w:val="00EF1061"/>
    <w:pPr>
      <w:spacing w:before="0" w:after="120" w:line="276" w:lineRule="auto"/>
    </w:pPr>
    <w:rPr>
      <w:rFonts w:ascii="Trebuchet MS" w:hAnsi="Trebuchet MS"/>
      <w:b/>
      <w:color w:val="0070C0"/>
      <w:sz w:val="24"/>
      <w:szCs w:val="24"/>
    </w:rPr>
  </w:style>
  <w:style w:type="paragraph" w:customStyle="1" w:styleId="SOTTOPARAGRAFORELAZIONE">
    <w:name w:val="SOTTOPARAGRAFO RELAZIONE"/>
    <w:basedOn w:val="Titolo2"/>
    <w:qFormat/>
    <w:rsid w:val="00336226"/>
    <w:pPr>
      <w:spacing w:before="0" w:after="120" w:line="276" w:lineRule="auto"/>
      <w:jc w:val="both"/>
    </w:pPr>
    <w:rPr>
      <w:rFonts w:ascii="Trebuchet MS" w:hAnsi="Trebuchet MS" w:cs="Calibri"/>
      <w:b/>
      <w:i/>
      <w:color w:val="0070C0"/>
      <w:sz w:val="20"/>
      <w:szCs w:val="20"/>
    </w:rPr>
  </w:style>
  <w:style w:type="paragraph" w:customStyle="1" w:styleId="TERZOLIVELLORELAZIONE">
    <w:name w:val="TERZO LIVELLO RELAZIONE"/>
    <w:basedOn w:val="Titolo3"/>
    <w:qFormat/>
    <w:rsid w:val="001179AB"/>
    <w:pPr>
      <w:spacing w:before="0" w:after="120" w:line="276" w:lineRule="auto"/>
      <w:jc w:val="both"/>
    </w:pPr>
    <w:rPr>
      <w:rFonts w:ascii="Trebuchet MS" w:hAnsi="Trebuchet MS"/>
      <w:i/>
      <w:color w:val="0070C0"/>
      <w:sz w:val="20"/>
      <w:szCs w:val="20"/>
    </w:rPr>
  </w:style>
  <w:style w:type="numbering" w:customStyle="1" w:styleId="Nessunelenco6">
    <w:name w:val="Nessun elenco6"/>
    <w:next w:val="Nessunelenco"/>
    <w:uiPriority w:val="99"/>
    <w:semiHidden/>
    <w:unhideWhenUsed/>
    <w:rsid w:val="00E340A1"/>
  </w:style>
  <w:style w:type="table" w:customStyle="1" w:styleId="Grigliatabella6">
    <w:name w:val="Griglia tabella6"/>
    <w:basedOn w:val="Tabellanormale"/>
    <w:next w:val="Grigliatabella"/>
    <w:uiPriority w:val="39"/>
    <w:rsid w:val="00E340A1"/>
    <w:pPr>
      <w:spacing w:after="8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7">
    <w:name w:val="Nessun elenco7"/>
    <w:next w:val="Nessunelenco"/>
    <w:uiPriority w:val="99"/>
    <w:semiHidden/>
    <w:unhideWhenUsed/>
    <w:rsid w:val="00E340A1"/>
  </w:style>
  <w:style w:type="paragraph" w:customStyle="1" w:styleId="Figurestyle">
    <w:name w:val="Figure style"/>
    <w:basedOn w:val="Normale"/>
    <w:next w:val="Normale"/>
    <w:link w:val="FigurestyleCarattere"/>
    <w:qFormat/>
    <w:rsid w:val="00E340A1"/>
    <w:pPr>
      <w:keepLines/>
      <w:autoSpaceDE w:val="0"/>
      <w:autoSpaceDN w:val="0"/>
      <w:adjustRightInd w:val="0"/>
      <w:spacing w:after="120" w:line="240" w:lineRule="auto"/>
      <w:jc w:val="center"/>
    </w:pPr>
    <w:rPr>
      <w:rFonts w:ascii="Source Sans Pro" w:hAnsi="Source Sans Pro" w:cs="Arial"/>
      <w:noProof/>
    </w:rPr>
  </w:style>
  <w:style w:type="paragraph" w:customStyle="1" w:styleId="SourceTableFigures">
    <w:name w:val="Source (Table &amp; Figures)"/>
    <w:basedOn w:val="Normale"/>
    <w:next w:val="Normale"/>
    <w:link w:val="SourceTableFiguresChar"/>
    <w:qFormat/>
    <w:rsid w:val="00E340A1"/>
    <w:pPr>
      <w:keepLines/>
      <w:autoSpaceDE w:val="0"/>
      <w:autoSpaceDN w:val="0"/>
      <w:adjustRightInd w:val="0"/>
      <w:spacing w:after="120" w:line="276" w:lineRule="auto"/>
      <w:contextualSpacing/>
      <w:jc w:val="both"/>
    </w:pPr>
    <w:rPr>
      <w:rFonts w:ascii="Source Sans Pro" w:hAnsi="Source Sans Pro" w:cs="Arial"/>
      <w:i/>
      <w:sz w:val="18"/>
      <w:lang w:val="en-GB"/>
    </w:rPr>
  </w:style>
  <w:style w:type="character" w:customStyle="1" w:styleId="FigurestyleCarattere">
    <w:name w:val="Figure style Carattere"/>
    <w:basedOn w:val="Carpredefinitoparagrafo"/>
    <w:link w:val="Figurestyle"/>
    <w:rsid w:val="00E340A1"/>
    <w:rPr>
      <w:rFonts w:ascii="Source Sans Pro" w:hAnsi="Source Sans Pro" w:cs="Arial"/>
      <w:noProof/>
    </w:rPr>
  </w:style>
  <w:style w:type="character" w:customStyle="1" w:styleId="SourceTableFiguresChar">
    <w:name w:val="Source (Table &amp; Figures) Char"/>
    <w:basedOn w:val="Carpredefinitoparagrafo"/>
    <w:link w:val="SourceTableFigures"/>
    <w:rsid w:val="00E340A1"/>
    <w:rPr>
      <w:rFonts w:ascii="Source Sans Pro" w:hAnsi="Source Sans Pro" w:cs="Arial"/>
      <w:i/>
      <w:sz w:val="18"/>
      <w:lang w:val="en-GB"/>
    </w:rPr>
  </w:style>
  <w:style w:type="table" w:customStyle="1" w:styleId="Grigliatabella7">
    <w:name w:val="Griglia tabella7"/>
    <w:basedOn w:val="Tabellanormale"/>
    <w:next w:val="Grigliatabella"/>
    <w:uiPriority w:val="39"/>
    <w:rsid w:val="00E340A1"/>
    <w:pPr>
      <w:spacing w:after="0" w:line="240" w:lineRule="auto"/>
    </w:pPr>
    <w:rPr>
      <w:rFonts w:ascii="Source Sans Pro" w:hAnsi="Source Sans Pr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customStyle="1" w:styleId="Tabletextnormal">
    <w:name w:val="Table text normal"/>
    <w:basedOn w:val="Normale"/>
    <w:next w:val="Normale"/>
    <w:link w:val="TabletextnormalChar"/>
    <w:qFormat/>
    <w:rsid w:val="00E340A1"/>
    <w:pPr>
      <w:keepNext/>
      <w:keepLines/>
      <w:framePr w:wrap="around" w:vAnchor="text" w:hAnchor="text" w:y="1"/>
      <w:autoSpaceDE w:val="0"/>
      <w:autoSpaceDN w:val="0"/>
      <w:adjustRightInd w:val="0"/>
      <w:spacing w:after="0" w:line="240" w:lineRule="auto"/>
      <w:ind w:left="57" w:right="57"/>
      <w:contextualSpacing/>
      <w:jc w:val="both"/>
    </w:pPr>
    <w:rPr>
      <w:rFonts w:ascii="Source Sans Pro" w:hAnsi="Source Sans Pro" w:cs="Arial"/>
      <w:lang w:val="en-GB"/>
    </w:rPr>
  </w:style>
  <w:style w:type="paragraph" w:customStyle="1" w:styleId="Tableheading">
    <w:name w:val="Table heading"/>
    <w:basedOn w:val="Normale"/>
    <w:next w:val="Tabletextnormal"/>
    <w:link w:val="TableheadingChar"/>
    <w:qFormat/>
    <w:rsid w:val="00E340A1"/>
    <w:pPr>
      <w:keepNext/>
      <w:keepLines/>
      <w:autoSpaceDE w:val="0"/>
      <w:autoSpaceDN w:val="0"/>
      <w:adjustRightInd w:val="0"/>
      <w:spacing w:after="0" w:line="240" w:lineRule="auto"/>
      <w:ind w:left="57" w:right="57"/>
      <w:contextualSpacing/>
    </w:pPr>
    <w:rPr>
      <w:rFonts w:ascii="Source Sans Pro" w:hAnsi="Source Sans Pro" w:cs="Arial"/>
      <w:b/>
      <w:color w:val="FFFFFF" w:themeColor="background1"/>
      <w:lang w:val="en-GB"/>
    </w:rPr>
  </w:style>
  <w:style w:type="character" w:customStyle="1" w:styleId="TabletextnormalChar">
    <w:name w:val="Table text normal Char"/>
    <w:basedOn w:val="Carpredefinitoparagrafo"/>
    <w:link w:val="Tabletextnormal"/>
    <w:rsid w:val="00E340A1"/>
    <w:rPr>
      <w:rFonts w:ascii="Source Sans Pro" w:hAnsi="Source Sans Pro" w:cs="Arial"/>
      <w:lang w:val="en-GB"/>
    </w:rPr>
  </w:style>
  <w:style w:type="character" w:customStyle="1" w:styleId="TableheadingChar">
    <w:name w:val="Table heading Char"/>
    <w:basedOn w:val="TabletextnormalChar"/>
    <w:link w:val="Tableheading"/>
    <w:rsid w:val="00E340A1"/>
    <w:rPr>
      <w:rFonts w:ascii="Source Sans Pro" w:hAnsi="Source Sans Pro" w:cs="Arial"/>
      <w:b/>
      <w:color w:val="FFFFFF" w:themeColor="background1"/>
      <w:lang w:val="en-GB"/>
    </w:rPr>
  </w:style>
  <w:style w:type="paragraph" w:styleId="Bibliografia">
    <w:name w:val="Bibliography"/>
    <w:basedOn w:val="Normale"/>
    <w:next w:val="Normale"/>
    <w:uiPriority w:val="37"/>
    <w:unhideWhenUsed/>
    <w:rsid w:val="00E340A1"/>
    <w:pPr>
      <w:keepLines/>
      <w:autoSpaceDE w:val="0"/>
      <w:autoSpaceDN w:val="0"/>
      <w:adjustRightInd w:val="0"/>
      <w:spacing w:after="0" w:line="240" w:lineRule="auto"/>
      <w:ind w:left="720" w:hanging="720"/>
      <w:jc w:val="both"/>
    </w:pPr>
    <w:rPr>
      <w:rFonts w:ascii="Source Sans Pro" w:hAnsi="Source Sans Pro" w:cs="Arial"/>
      <w:sz w:val="18"/>
      <w:lang w:val="en-GB"/>
    </w:rPr>
  </w:style>
  <w:style w:type="paragraph" w:customStyle="1" w:styleId="Referencelisttitle">
    <w:name w:val="Reference list title"/>
    <w:basedOn w:val="Titolo1"/>
    <w:link w:val="ReferencelisttitleChar"/>
    <w:qFormat/>
    <w:rsid w:val="00E340A1"/>
    <w:pPr>
      <w:autoSpaceDE w:val="0"/>
      <w:autoSpaceDN w:val="0"/>
      <w:adjustRightInd w:val="0"/>
      <w:spacing w:before="0" w:after="120" w:line="276" w:lineRule="auto"/>
      <w:jc w:val="left"/>
    </w:pPr>
    <w:rPr>
      <w:rFonts w:ascii="Source Sans Pro" w:hAnsi="Source Sans Pro" w:cstheme="majorBidi"/>
      <w:b/>
      <w:bCs w:val="0"/>
      <w:color w:val="3D5482"/>
      <w:sz w:val="48"/>
      <w:szCs w:val="32"/>
      <w:lang w:val="en-GB"/>
    </w:rPr>
  </w:style>
  <w:style w:type="character" w:customStyle="1" w:styleId="ReferencelisttitleChar">
    <w:name w:val="Reference list title Char"/>
    <w:basedOn w:val="Titolo1Carattere"/>
    <w:link w:val="Referencelisttitle"/>
    <w:rsid w:val="00E340A1"/>
    <w:rPr>
      <w:rFonts w:ascii="Source Sans Pro" w:eastAsiaTheme="majorEastAsia" w:hAnsi="Source Sans Pro" w:cstheme="majorBidi"/>
      <w:b/>
      <w:bCs w:val="0"/>
      <w:color w:val="3D5482"/>
      <w:sz w:val="48"/>
      <w:szCs w:val="32"/>
      <w:lang w:val="en-GB" w:eastAsia="it-IT"/>
    </w:rPr>
  </w:style>
  <w:style w:type="paragraph" w:customStyle="1" w:styleId="Paragrafoelenconumeri">
    <w:name w:val="Paragrafo elenco numeri"/>
    <w:basedOn w:val="Paragrafoelenco"/>
    <w:link w:val="ParagrafoelenconumeriCarattere"/>
    <w:qFormat/>
    <w:rsid w:val="00E340A1"/>
    <w:pPr>
      <w:keepLines/>
      <w:numPr>
        <w:numId w:val="37"/>
      </w:numPr>
      <w:autoSpaceDE w:val="0"/>
      <w:autoSpaceDN w:val="0"/>
      <w:adjustRightInd w:val="0"/>
      <w:spacing w:after="240" w:line="276" w:lineRule="auto"/>
      <w:jc w:val="both"/>
    </w:pPr>
    <w:rPr>
      <w:rFonts w:ascii="Source Sans Pro" w:hAnsi="Source Sans Pro" w:cs="Arial"/>
      <w:sz w:val="18"/>
      <w:szCs w:val="18"/>
    </w:rPr>
  </w:style>
  <w:style w:type="character" w:customStyle="1" w:styleId="ParagrafoelenconumeriCarattere">
    <w:name w:val="Paragrafo elenco numeri Carattere"/>
    <w:basedOn w:val="Carpredefinitoparagrafo"/>
    <w:link w:val="Paragrafoelenconumeri"/>
    <w:rsid w:val="00E340A1"/>
    <w:rPr>
      <w:rFonts w:ascii="Source Sans Pro" w:hAnsi="Source Sans Pro" w:cs="Arial"/>
      <w:sz w:val="18"/>
      <w:szCs w:val="18"/>
    </w:rPr>
  </w:style>
  <w:style w:type="table" w:styleId="Grigliatabellachiara">
    <w:name w:val="Grid Table Light"/>
    <w:basedOn w:val="Tabellanormale"/>
    <w:uiPriority w:val="40"/>
    <w:rsid w:val="00E340A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aliases w:val="Table style"/>
    <w:basedOn w:val="Tabellanormale"/>
    <w:uiPriority w:val="41"/>
    <w:rsid w:val="00E340A1"/>
    <w:pPr>
      <w:spacing w:before="120" w:after="120" w:line="240" w:lineRule="auto"/>
    </w:pPr>
    <w:rPr>
      <w:rFonts w:ascii="Source Sans Pro" w:hAnsi="Source Sans Pro"/>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3-colore5">
    <w:name w:val="Grid Table 3 Accent 5"/>
    <w:basedOn w:val="Tabellanormale"/>
    <w:uiPriority w:val="48"/>
    <w:rsid w:val="00E340A1"/>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1chiara-colore1">
    <w:name w:val="Grid Table 1 Light Accent 1"/>
    <w:basedOn w:val="Tabellanormale"/>
    <w:uiPriority w:val="46"/>
    <w:rsid w:val="00E340A1"/>
    <w:pPr>
      <w:keepNext/>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foelencosecondolivello">
    <w:name w:val="Paragrafo elenco secondo livello"/>
    <w:basedOn w:val="Paragrafoelenco"/>
    <w:link w:val="ParagrafoelencosecondolivelloCarattere"/>
    <w:rsid w:val="00E340A1"/>
    <w:pPr>
      <w:keepLines/>
      <w:numPr>
        <w:numId w:val="38"/>
      </w:numPr>
      <w:autoSpaceDE w:val="0"/>
      <w:autoSpaceDN w:val="0"/>
      <w:adjustRightInd w:val="0"/>
      <w:spacing w:after="240" w:line="276" w:lineRule="auto"/>
      <w:ind w:left="924" w:hanging="357"/>
      <w:jc w:val="both"/>
    </w:pPr>
    <w:rPr>
      <w:rFonts w:ascii="Source Sans Pro" w:hAnsi="Source Sans Pro" w:cs="Arial"/>
      <w:sz w:val="18"/>
      <w:szCs w:val="18"/>
    </w:rPr>
  </w:style>
  <w:style w:type="paragraph" w:customStyle="1" w:styleId="Paragrafoelencoterzolivello">
    <w:name w:val="Paragrafo elenco terzo livello"/>
    <w:basedOn w:val="Paragrafoelenco"/>
    <w:link w:val="ParagrafoelencoterzolivelloCarattere"/>
    <w:qFormat/>
    <w:rsid w:val="00E340A1"/>
    <w:pPr>
      <w:keepLines/>
      <w:numPr>
        <w:numId w:val="39"/>
      </w:numPr>
      <w:autoSpaceDE w:val="0"/>
      <w:autoSpaceDN w:val="0"/>
      <w:adjustRightInd w:val="0"/>
      <w:spacing w:after="240" w:line="276" w:lineRule="auto"/>
      <w:jc w:val="both"/>
    </w:pPr>
    <w:rPr>
      <w:rFonts w:ascii="Source Sans Pro" w:hAnsi="Source Sans Pro" w:cs="Arial"/>
      <w:sz w:val="18"/>
      <w:szCs w:val="18"/>
    </w:rPr>
  </w:style>
  <w:style w:type="character" w:customStyle="1" w:styleId="ParagrafoelencosecondolivelloCarattere">
    <w:name w:val="Paragrafo elenco secondo livello Carattere"/>
    <w:basedOn w:val="Carpredefinitoparagrafo"/>
    <w:link w:val="Paragrafoelencosecondolivello"/>
    <w:rsid w:val="00E340A1"/>
    <w:rPr>
      <w:rFonts w:ascii="Source Sans Pro" w:hAnsi="Source Sans Pro" w:cs="Arial"/>
      <w:sz w:val="18"/>
      <w:szCs w:val="18"/>
    </w:rPr>
  </w:style>
  <w:style w:type="table" w:styleId="Tabellasemplice-3">
    <w:name w:val="Plain Table 3"/>
    <w:basedOn w:val="Tabellanormale"/>
    <w:uiPriority w:val="43"/>
    <w:rsid w:val="00E340A1"/>
    <w:pPr>
      <w:spacing w:after="0" w:line="240" w:lineRule="auto"/>
    </w:pPr>
    <w:rPr>
      <w:rFonts w:ascii="Source Sans Pro" w:hAnsi="Source Sans Pro"/>
      <w:lang w:val="en-US"/>
    </w:rPr>
    <w:tblPr>
      <w:tblStyleRowBandSize w:val="1"/>
      <w:tblStyleColBandSize w:val="1"/>
    </w:tblPr>
    <w:trPr>
      <w:tblHeader/>
    </w:tr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aragrafoelencoterzolivelloCarattere">
    <w:name w:val="Paragrafo elenco terzo livello Carattere"/>
    <w:basedOn w:val="ParagrafoelencosecondolivelloCarattere"/>
    <w:link w:val="Paragrafoelencoterzolivello"/>
    <w:rsid w:val="00E340A1"/>
    <w:rPr>
      <w:rFonts w:ascii="Source Sans Pro" w:hAnsi="Source Sans Pro" w:cs="Arial"/>
      <w:sz w:val="18"/>
      <w:szCs w:val="18"/>
    </w:rPr>
  </w:style>
  <w:style w:type="table" w:styleId="Tabellasemplice5">
    <w:name w:val="Plain Table 5"/>
    <w:basedOn w:val="Tabellanormale"/>
    <w:uiPriority w:val="45"/>
    <w:rsid w:val="00E340A1"/>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3-colore3">
    <w:name w:val="Grid Table 3 Accent 3"/>
    <w:basedOn w:val="Tabellanormale"/>
    <w:uiPriority w:val="48"/>
    <w:rsid w:val="00E340A1"/>
    <w:pPr>
      <w:spacing w:after="0" w:line="240" w:lineRule="auto"/>
    </w:pPr>
    <w:rPr>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style2">
    <w:name w:val="Table style 2"/>
    <w:basedOn w:val="Tabellanormale"/>
    <w:uiPriority w:val="99"/>
    <w:rsid w:val="00E340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3">
    <w:name w:val="Table style 3"/>
    <w:basedOn w:val="Tableheading"/>
    <w:link w:val="Tablestyle3Carattere"/>
    <w:qFormat/>
    <w:rsid w:val="00E340A1"/>
  </w:style>
  <w:style w:type="character" w:customStyle="1" w:styleId="Tablestyle3Carattere">
    <w:name w:val="Table style 3 Carattere"/>
    <w:basedOn w:val="TableheadingChar"/>
    <w:link w:val="Tablestyle3"/>
    <w:rsid w:val="00E340A1"/>
    <w:rPr>
      <w:rFonts w:ascii="Source Sans Pro" w:hAnsi="Source Sans Pro" w:cs="Arial"/>
      <w:b/>
      <w:color w:val="FFFFFF" w:themeColor="background1"/>
      <w:lang w:val="en-GB"/>
    </w:rPr>
  </w:style>
  <w:style w:type="paragraph" w:customStyle="1" w:styleId="CORPOTESTO0">
    <w:name w:val="CORPO TESTO"/>
    <w:link w:val="CORPOTESTOCarattere0"/>
    <w:qFormat/>
    <w:rsid w:val="00E340A1"/>
    <w:pPr>
      <w:widowControl w:val="0"/>
      <w:autoSpaceDE w:val="0"/>
      <w:autoSpaceDN w:val="0"/>
      <w:adjustRightInd w:val="0"/>
      <w:spacing w:after="120" w:line="240" w:lineRule="auto"/>
      <w:ind w:right="-6"/>
    </w:pPr>
    <w:rPr>
      <w:rFonts w:ascii="Source Sans Pro" w:hAnsi="Source Sans Pro"/>
      <w:sz w:val="20"/>
      <w:szCs w:val="48"/>
    </w:rPr>
  </w:style>
  <w:style w:type="table" w:styleId="Tabellaelenco4-colore1">
    <w:name w:val="List Table 4 Accent 1"/>
    <w:basedOn w:val="Tabellanormale"/>
    <w:uiPriority w:val="49"/>
    <w:rsid w:val="00E340A1"/>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rojectTitle">
    <w:name w:val="Project Title"/>
    <w:basedOn w:val="Normale"/>
    <w:next w:val="Normale"/>
    <w:link w:val="ProjectTitleCarattere"/>
    <w:qFormat/>
    <w:rsid w:val="00E340A1"/>
    <w:pPr>
      <w:keepLines/>
      <w:autoSpaceDE w:val="0"/>
      <w:autoSpaceDN w:val="0"/>
      <w:adjustRightInd w:val="0"/>
      <w:spacing w:after="120" w:line="276" w:lineRule="auto"/>
    </w:pPr>
    <w:rPr>
      <w:rFonts w:ascii="Source Sans Pro" w:hAnsi="Source Sans Pro" w:cs="Arial"/>
      <w:b/>
      <w:color w:val="3D5482"/>
      <w:sz w:val="72"/>
      <w:szCs w:val="72"/>
      <w:lang w:val="en-GB"/>
    </w:rPr>
  </w:style>
  <w:style w:type="paragraph" w:customStyle="1" w:styleId="ProjectSubtitle">
    <w:name w:val="Project Subtitle"/>
    <w:basedOn w:val="Normale"/>
    <w:link w:val="ProjectSubtitleCarattere"/>
    <w:qFormat/>
    <w:rsid w:val="00E340A1"/>
    <w:pPr>
      <w:keepLines/>
      <w:autoSpaceDE w:val="0"/>
      <w:autoSpaceDN w:val="0"/>
      <w:adjustRightInd w:val="0"/>
      <w:spacing w:after="120" w:line="276" w:lineRule="auto"/>
    </w:pPr>
    <w:rPr>
      <w:rFonts w:ascii="Source Sans Pro" w:hAnsi="Source Sans Pro" w:cs="Arial"/>
      <w:i/>
      <w:color w:val="002060"/>
      <w:sz w:val="36"/>
      <w:lang w:val="en-GB"/>
    </w:rPr>
  </w:style>
  <w:style w:type="character" w:customStyle="1" w:styleId="CORPOTESTOCarattere0">
    <w:name w:val="CORPO TESTO Carattere"/>
    <w:basedOn w:val="Carpredefinitoparagrafo"/>
    <w:link w:val="CORPOTESTO0"/>
    <w:rsid w:val="00E340A1"/>
    <w:rPr>
      <w:rFonts w:ascii="Source Sans Pro" w:hAnsi="Source Sans Pro"/>
      <w:sz w:val="20"/>
      <w:szCs w:val="48"/>
    </w:rPr>
  </w:style>
  <w:style w:type="character" w:customStyle="1" w:styleId="ProjectTitleCarattere">
    <w:name w:val="Project Title Carattere"/>
    <w:basedOn w:val="CORPOTESTOCarattere0"/>
    <w:link w:val="ProjectTitle"/>
    <w:rsid w:val="00E340A1"/>
    <w:rPr>
      <w:rFonts w:ascii="Source Sans Pro" w:hAnsi="Source Sans Pro" w:cs="Arial"/>
      <w:b/>
      <w:color w:val="3D5482"/>
      <w:sz w:val="72"/>
      <w:szCs w:val="72"/>
      <w:lang w:val="en-GB"/>
    </w:rPr>
  </w:style>
  <w:style w:type="table" w:styleId="Tabellaelenco4-colore5">
    <w:name w:val="List Table 4 Accent 5"/>
    <w:basedOn w:val="Tabellanormale"/>
    <w:uiPriority w:val="49"/>
    <w:rsid w:val="00E340A1"/>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ojectSubtitleCarattere">
    <w:name w:val="Project Subtitle Carattere"/>
    <w:basedOn w:val="Carpredefinitoparagrafo"/>
    <w:link w:val="ProjectSubtitle"/>
    <w:rsid w:val="00E340A1"/>
    <w:rPr>
      <w:rFonts w:ascii="Source Sans Pro" w:hAnsi="Source Sans Pro" w:cs="Arial"/>
      <w:i/>
      <w:color w:val="002060"/>
      <w:sz w:val="36"/>
      <w:lang w:val="en-GB"/>
    </w:rPr>
  </w:style>
  <w:style w:type="table" w:styleId="Tabellaelenco3-colore5">
    <w:name w:val="List Table 3 Accent 5"/>
    <w:basedOn w:val="Tabellanormale"/>
    <w:uiPriority w:val="48"/>
    <w:rsid w:val="00E340A1"/>
    <w:pPr>
      <w:spacing w:after="0" w:line="240" w:lineRule="auto"/>
    </w:pPr>
    <w:rPr>
      <w:lang w:val="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lagriglia5scura-colore1">
    <w:name w:val="Grid Table 5 Dark Accent 1"/>
    <w:basedOn w:val="Tabellanormale"/>
    <w:uiPriority w:val="50"/>
    <w:rsid w:val="00E340A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KEYNOTES">
    <w:name w:val="KEYNOTES"/>
    <w:basedOn w:val="Normale"/>
    <w:next w:val="Normale"/>
    <w:link w:val="KEYNOTESCarattere"/>
    <w:qFormat/>
    <w:rsid w:val="00E340A1"/>
    <w:pPr>
      <w:pBdr>
        <w:top w:val="single" w:sz="4" w:space="6" w:color="3D5482"/>
        <w:bottom w:val="single" w:sz="4" w:space="6" w:color="3D5482"/>
      </w:pBdr>
      <w:spacing w:before="480" w:after="480" w:line="276" w:lineRule="auto"/>
      <w:ind w:left="862" w:right="862"/>
      <w:jc w:val="center"/>
    </w:pPr>
    <w:rPr>
      <w:rFonts w:ascii="Source Sans Pro" w:eastAsia="Times New Roman" w:hAnsi="Source Sans Pro" w:cs="Arial"/>
      <w:i/>
      <w:color w:val="3D5482"/>
      <w:sz w:val="24"/>
      <w:szCs w:val="24"/>
      <w:lang w:val="en-GB"/>
    </w:rPr>
  </w:style>
  <w:style w:type="character" w:customStyle="1" w:styleId="KEYNOTESCarattere">
    <w:name w:val="KEYNOTES Carattere"/>
    <w:basedOn w:val="CitazioneintensaCarattere"/>
    <w:link w:val="KEYNOTES"/>
    <w:rsid w:val="00E340A1"/>
    <w:rPr>
      <w:rFonts w:ascii="Source Sans Pro" w:eastAsia="Times New Roman" w:hAnsi="Source Sans Pro" w:cs="Arial"/>
      <w:i/>
      <w:color w:val="3D5482"/>
      <w:sz w:val="24"/>
      <w:szCs w:val="24"/>
      <w:lang w:val="en-GB"/>
    </w:rPr>
  </w:style>
  <w:style w:type="table" w:customStyle="1" w:styleId="Stile1">
    <w:name w:val="Stile1"/>
    <w:basedOn w:val="Tabellanormale"/>
    <w:uiPriority w:val="99"/>
    <w:rsid w:val="00E340A1"/>
    <w:pPr>
      <w:spacing w:after="0" w:line="240" w:lineRule="auto"/>
    </w:pPr>
    <w:rPr>
      <w:lang w:val="en-US"/>
    </w:rPr>
    <w:tblPr/>
  </w:style>
  <w:style w:type="paragraph" w:customStyle="1" w:styleId="TOCtext">
    <w:name w:val="TOC text"/>
    <w:basedOn w:val="Sommario1"/>
    <w:link w:val="TOCtextCarattere"/>
    <w:qFormat/>
    <w:rsid w:val="00E340A1"/>
    <w:pPr>
      <w:keepLines/>
      <w:tabs>
        <w:tab w:val="left" w:pos="440"/>
        <w:tab w:val="right" w:leader="dot" w:pos="10070"/>
      </w:tabs>
      <w:autoSpaceDE w:val="0"/>
      <w:autoSpaceDN w:val="0"/>
      <w:adjustRightInd w:val="0"/>
      <w:spacing w:before="0"/>
      <w:ind w:left="170" w:right="170"/>
      <w:jc w:val="both"/>
    </w:pPr>
  </w:style>
  <w:style w:type="character" w:customStyle="1" w:styleId="Sommario1Carattere">
    <w:name w:val="Sommario 1 Carattere"/>
    <w:basedOn w:val="Carpredefinitoparagrafo"/>
    <w:link w:val="Sommario1"/>
    <w:uiPriority w:val="39"/>
    <w:rsid w:val="00E340A1"/>
    <w:rPr>
      <w:rFonts w:ascii="Trebuchet MS" w:hAnsi="Trebuchet MS" w:cstheme="minorHAnsi"/>
      <w:b/>
      <w:bCs/>
      <w:color w:val="0070C0"/>
      <w:sz w:val="24"/>
      <w:szCs w:val="20"/>
    </w:rPr>
  </w:style>
  <w:style w:type="character" w:customStyle="1" w:styleId="TOCtextCarattere">
    <w:name w:val="TOC text Carattere"/>
    <w:basedOn w:val="Sommario1Carattere"/>
    <w:link w:val="TOCtext"/>
    <w:rsid w:val="00E340A1"/>
    <w:rPr>
      <w:rFonts w:ascii="Trebuchet MS" w:hAnsi="Trebuchet MS" w:cstheme="minorHAnsi"/>
      <w:b/>
      <w:bCs/>
      <w:color w:val="0070C0"/>
      <w:sz w:val="24"/>
      <w:szCs w:val="20"/>
    </w:rPr>
  </w:style>
  <w:style w:type="paragraph" w:customStyle="1" w:styleId="Sectiontitle">
    <w:name w:val="Section title"/>
    <w:basedOn w:val="Titolo3"/>
    <w:link w:val="SectiontitleCarattere"/>
    <w:qFormat/>
    <w:rsid w:val="00E340A1"/>
    <w:pPr>
      <w:tabs>
        <w:tab w:val="clear" w:pos="567"/>
        <w:tab w:val="clear" w:pos="708"/>
        <w:tab w:val="clear" w:pos="2124"/>
        <w:tab w:val="clear" w:pos="3540"/>
        <w:tab w:val="clear" w:pos="4248"/>
        <w:tab w:val="clear" w:pos="4956"/>
        <w:tab w:val="clear" w:pos="5664"/>
        <w:tab w:val="clear" w:pos="6265"/>
        <w:tab w:val="clear" w:pos="10348"/>
      </w:tabs>
      <w:autoSpaceDE w:val="0"/>
      <w:autoSpaceDN w:val="0"/>
      <w:adjustRightInd w:val="0"/>
      <w:spacing w:before="360" w:after="60" w:line="276" w:lineRule="auto"/>
      <w:ind w:right="0"/>
      <w:mirrorIndents/>
    </w:pPr>
    <w:rPr>
      <w:rFonts w:ascii="Source Sans Pro" w:hAnsi="Source Sans Pro"/>
      <w:color w:val="3D5482"/>
      <w:sz w:val="28"/>
      <w:u w:val="single"/>
      <w:lang w:val="en-GB"/>
    </w:rPr>
  </w:style>
  <w:style w:type="character" w:customStyle="1" w:styleId="SectiontitleCarattere">
    <w:name w:val="Section title Carattere"/>
    <w:basedOn w:val="Titolo3Carattere"/>
    <w:link w:val="Sectiontitle"/>
    <w:rsid w:val="00E340A1"/>
    <w:rPr>
      <w:rFonts w:ascii="Source Sans Pro" w:eastAsiaTheme="majorEastAsia" w:hAnsi="Source Sans Pro" w:cstheme="majorBidi"/>
      <w:color w:val="3D5482"/>
      <w:sz w:val="28"/>
      <w:szCs w:val="24"/>
      <w:u w:val="single"/>
      <w:lang w:val="en-GB"/>
    </w:rPr>
  </w:style>
  <w:style w:type="table" w:styleId="Tabellagriglia2-colore1">
    <w:name w:val="Grid Table 2 Accent 1"/>
    <w:basedOn w:val="Tabellanormale"/>
    <w:uiPriority w:val="47"/>
    <w:rsid w:val="00E340A1"/>
    <w:pPr>
      <w:spacing w:after="0" w:line="240" w:lineRule="auto"/>
    </w:pPr>
    <w:rPr>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6acolori-colore5">
    <w:name w:val="List Table 6 Colorful Accent 5"/>
    <w:basedOn w:val="Tabellanormale"/>
    <w:uiPriority w:val="51"/>
    <w:rsid w:val="00E340A1"/>
    <w:pPr>
      <w:spacing w:after="0" w:line="240" w:lineRule="auto"/>
    </w:pPr>
    <w:rPr>
      <w:color w:val="2F5496" w:themeColor="accent5" w:themeShade="BF"/>
      <w:lang w:val="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2-colore1">
    <w:name w:val="List Table 2 Accent 1"/>
    <w:basedOn w:val="Tabellanormale"/>
    <w:uiPriority w:val="47"/>
    <w:rsid w:val="00E340A1"/>
    <w:pPr>
      <w:spacing w:after="0" w:line="240" w:lineRule="auto"/>
    </w:pPr>
    <w:rPr>
      <w:lang w:val="en-US"/>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1chiara-colore1">
    <w:name w:val="List Table 1 Light Accent 1"/>
    <w:basedOn w:val="Tabellanormale"/>
    <w:uiPriority w:val="46"/>
    <w:rsid w:val="00E340A1"/>
    <w:pPr>
      <w:spacing w:after="0" w:line="240" w:lineRule="auto"/>
    </w:pPr>
    <w:rPr>
      <w:lang w:val="en-U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figure">
    <w:name w:val="Text_figure"/>
    <w:basedOn w:val="Normale"/>
    <w:link w:val="TextfigureChar"/>
    <w:qFormat/>
    <w:rsid w:val="00E340A1"/>
    <w:pPr>
      <w:keepLines/>
      <w:autoSpaceDE w:val="0"/>
      <w:autoSpaceDN w:val="0"/>
      <w:adjustRightInd w:val="0"/>
      <w:spacing w:after="120" w:line="276" w:lineRule="auto"/>
      <w:jc w:val="center"/>
    </w:pPr>
    <w:rPr>
      <w:rFonts w:ascii="Source Sans Pro" w:hAnsi="Source Sans Pro" w:cs="Arial"/>
      <w:noProof/>
      <w:szCs w:val="24"/>
    </w:rPr>
  </w:style>
  <w:style w:type="paragraph" w:customStyle="1" w:styleId="Texttable">
    <w:name w:val="Text_table"/>
    <w:basedOn w:val="Normale"/>
    <w:qFormat/>
    <w:rsid w:val="00E340A1"/>
    <w:pPr>
      <w:keepLines/>
      <w:autoSpaceDE w:val="0"/>
      <w:autoSpaceDN w:val="0"/>
      <w:adjustRightInd w:val="0"/>
      <w:spacing w:after="0" w:line="240" w:lineRule="auto"/>
      <w:jc w:val="center"/>
    </w:pPr>
    <w:rPr>
      <w:rFonts w:ascii="Source Sans Pro" w:hAnsi="Source Sans Pro" w:cs="Arial"/>
      <w:b/>
      <w:bCs/>
      <w:color w:val="FFFFFF" w:themeColor="background1"/>
      <w:szCs w:val="24"/>
    </w:rPr>
  </w:style>
  <w:style w:type="character" w:customStyle="1" w:styleId="TextfigureChar">
    <w:name w:val="Text_figure Char"/>
    <w:basedOn w:val="Carpredefinitoparagrafo"/>
    <w:link w:val="Textfigure"/>
    <w:rsid w:val="00E340A1"/>
    <w:rPr>
      <w:rFonts w:ascii="Source Sans Pro" w:hAnsi="Source Sans Pro" w:cs="Arial"/>
      <w:noProof/>
      <w:szCs w:val="24"/>
    </w:rPr>
  </w:style>
  <w:style w:type="table" w:styleId="Tabellagriglia4-colore2">
    <w:name w:val="Grid Table 4 Accent 2"/>
    <w:basedOn w:val="Tabellanormale"/>
    <w:uiPriority w:val="49"/>
    <w:rsid w:val="00E340A1"/>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elenco4-colore2">
    <w:name w:val="List Table 4 Accent 2"/>
    <w:basedOn w:val="Tabellanormale"/>
    <w:uiPriority w:val="49"/>
    <w:rsid w:val="00E340A1"/>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agriglia4-colore1">
    <w:name w:val="Grid Table 4 Accent 1"/>
    <w:basedOn w:val="Tabellanormale"/>
    <w:uiPriority w:val="49"/>
    <w:rsid w:val="00E340A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0935">
      <w:bodyDiv w:val="1"/>
      <w:marLeft w:val="0"/>
      <w:marRight w:val="0"/>
      <w:marTop w:val="0"/>
      <w:marBottom w:val="0"/>
      <w:divBdr>
        <w:top w:val="none" w:sz="0" w:space="0" w:color="auto"/>
        <w:left w:val="none" w:sz="0" w:space="0" w:color="auto"/>
        <w:bottom w:val="none" w:sz="0" w:space="0" w:color="auto"/>
        <w:right w:val="none" w:sz="0" w:space="0" w:color="auto"/>
      </w:divBdr>
      <w:divsChild>
        <w:div w:id="492646080">
          <w:marLeft w:val="0"/>
          <w:marRight w:val="0"/>
          <w:marTop w:val="0"/>
          <w:marBottom w:val="0"/>
          <w:divBdr>
            <w:top w:val="none" w:sz="0" w:space="0" w:color="auto"/>
            <w:left w:val="none" w:sz="0" w:space="0" w:color="auto"/>
            <w:bottom w:val="none" w:sz="0" w:space="0" w:color="auto"/>
            <w:right w:val="none" w:sz="0" w:space="0" w:color="auto"/>
          </w:divBdr>
        </w:div>
      </w:divsChild>
    </w:div>
    <w:div w:id="115025176">
      <w:bodyDiv w:val="1"/>
      <w:marLeft w:val="0"/>
      <w:marRight w:val="0"/>
      <w:marTop w:val="0"/>
      <w:marBottom w:val="0"/>
      <w:divBdr>
        <w:top w:val="none" w:sz="0" w:space="0" w:color="auto"/>
        <w:left w:val="none" w:sz="0" w:space="0" w:color="auto"/>
        <w:bottom w:val="none" w:sz="0" w:space="0" w:color="auto"/>
        <w:right w:val="none" w:sz="0" w:space="0" w:color="auto"/>
      </w:divBdr>
      <w:divsChild>
        <w:div w:id="1974287891">
          <w:marLeft w:val="0"/>
          <w:marRight w:val="0"/>
          <w:marTop w:val="0"/>
          <w:marBottom w:val="0"/>
          <w:divBdr>
            <w:top w:val="none" w:sz="0" w:space="0" w:color="auto"/>
            <w:left w:val="none" w:sz="0" w:space="0" w:color="auto"/>
            <w:bottom w:val="none" w:sz="0" w:space="0" w:color="auto"/>
            <w:right w:val="none" w:sz="0" w:space="0" w:color="auto"/>
          </w:divBdr>
        </w:div>
      </w:divsChild>
    </w:div>
    <w:div w:id="164785849">
      <w:bodyDiv w:val="1"/>
      <w:marLeft w:val="0"/>
      <w:marRight w:val="0"/>
      <w:marTop w:val="0"/>
      <w:marBottom w:val="0"/>
      <w:divBdr>
        <w:top w:val="none" w:sz="0" w:space="0" w:color="auto"/>
        <w:left w:val="none" w:sz="0" w:space="0" w:color="auto"/>
        <w:bottom w:val="none" w:sz="0" w:space="0" w:color="auto"/>
        <w:right w:val="none" w:sz="0" w:space="0" w:color="auto"/>
      </w:divBdr>
      <w:divsChild>
        <w:div w:id="1454589880">
          <w:marLeft w:val="0"/>
          <w:marRight w:val="0"/>
          <w:marTop w:val="0"/>
          <w:marBottom w:val="0"/>
          <w:divBdr>
            <w:top w:val="none" w:sz="0" w:space="0" w:color="auto"/>
            <w:left w:val="none" w:sz="0" w:space="0" w:color="auto"/>
            <w:bottom w:val="none" w:sz="0" w:space="0" w:color="auto"/>
            <w:right w:val="none" w:sz="0" w:space="0" w:color="auto"/>
          </w:divBdr>
        </w:div>
      </w:divsChild>
    </w:div>
    <w:div w:id="644312442">
      <w:bodyDiv w:val="1"/>
      <w:marLeft w:val="0"/>
      <w:marRight w:val="0"/>
      <w:marTop w:val="0"/>
      <w:marBottom w:val="0"/>
      <w:divBdr>
        <w:top w:val="none" w:sz="0" w:space="0" w:color="auto"/>
        <w:left w:val="none" w:sz="0" w:space="0" w:color="auto"/>
        <w:bottom w:val="none" w:sz="0" w:space="0" w:color="auto"/>
        <w:right w:val="none" w:sz="0" w:space="0" w:color="auto"/>
      </w:divBdr>
    </w:div>
    <w:div w:id="719784706">
      <w:bodyDiv w:val="1"/>
      <w:marLeft w:val="0"/>
      <w:marRight w:val="0"/>
      <w:marTop w:val="0"/>
      <w:marBottom w:val="0"/>
      <w:divBdr>
        <w:top w:val="none" w:sz="0" w:space="0" w:color="auto"/>
        <w:left w:val="none" w:sz="0" w:space="0" w:color="auto"/>
        <w:bottom w:val="none" w:sz="0" w:space="0" w:color="auto"/>
        <w:right w:val="none" w:sz="0" w:space="0" w:color="auto"/>
      </w:divBdr>
    </w:div>
    <w:div w:id="742719760">
      <w:bodyDiv w:val="1"/>
      <w:marLeft w:val="0"/>
      <w:marRight w:val="0"/>
      <w:marTop w:val="0"/>
      <w:marBottom w:val="0"/>
      <w:divBdr>
        <w:top w:val="none" w:sz="0" w:space="0" w:color="auto"/>
        <w:left w:val="none" w:sz="0" w:space="0" w:color="auto"/>
        <w:bottom w:val="none" w:sz="0" w:space="0" w:color="auto"/>
        <w:right w:val="none" w:sz="0" w:space="0" w:color="auto"/>
      </w:divBdr>
    </w:div>
    <w:div w:id="1072117946">
      <w:bodyDiv w:val="1"/>
      <w:marLeft w:val="0"/>
      <w:marRight w:val="0"/>
      <w:marTop w:val="0"/>
      <w:marBottom w:val="0"/>
      <w:divBdr>
        <w:top w:val="none" w:sz="0" w:space="0" w:color="auto"/>
        <w:left w:val="none" w:sz="0" w:space="0" w:color="auto"/>
        <w:bottom w:val="none" w:sz="0" w:space="0" w:color="auto"/>
        <w:right w:val="none" w:sz="0" w:space="0" w:color="auto"/>
      </w:divBdr>
      <w:divsChild>
        <w:div w:id="227957715">
          <w:marLeft w:val="0"/>
          <w:marRight w:val="0"/>
          <w:marTop w:val="0"/>
          <w:marBottom w:val="0"/>
          <w:divBdr>
            <w:top w:val="none" w:sz="0" w:space="0" w:color="auto"/>
            <w:left w:val="none" w:sz="0" w:space="0" w:color="auto"/>
            <w:bottom w:val="none" w:sz="0" w:space="0" w:color="auto"/>
            <w:right w:val="none" w:sz="0" w:space="0" w:color="auto"/>
          </w:divBdr>
        </w:div>
      </w:divsChild>
    </w:div>
    <w:div w:id="1212963539">
      <w:bodyDiv w:val="1"/>
      <w:marLeft w:val="0"/>
      <w:marRight w:val="0"/>
      <w:marTop w:val="0"/>
      <w:marBottom w:val="0"/>
      <w:divBdr>
        <w:top w:val="none" w:sz="0" w:space="0" w:color="auto"/>
        <w:left w:val="none" w:sz="0" w:space="0" w:color="auto"/>
        <w:bottom w:val="none" w:sz="0" w:space="0" w:color="auto"/>
        <w:right w:val="none" w:sz="0" w:space="0" w:color="auto"/>
      </w:divBdr>
    </w:div>
    <w:div w:id="1222398561">
      <w:bodyDiv w:val="1"/>
      <w:marLeft w:val="0"/>
      <w:marRight w:val="0"/>
      <w:marTop w:val="0"/>
      <w:marBottom w:val="0"/>
      <w:divBdr>
        <w:top w:val="none" w:sz="0" w:space="0" w:color="auto"/>
        <w:left w:val="none" w:sz="0" w:space="0" w:color="auto"/>
        <w:bottom w:val="none" w:sz="0" w:space="0" w:color="auto"/>
        <w:right w:val="none" w:sz="0" w:space="0" w:color="auto"/>
      </w:divBdr>
      <w:divsChild>
        <w:div w:id="274750052">
          <w:marLeft w:val="0"/>
          <w:marRight w:val="0"/>
          <w:marTop w:val="0"/>
          <w:marBottom w:val="0"/>
          <w:divBdr>
            <w:top w:val="none" w:sz="0" w:space="0" w:color="auto"/>
            <w:left w:val="none" w:sz="0" w:space="0" w:color="auto"/>
            <w:bottom w:val="none" w:sz="0" w:space="0" w:color="auto"/>
            <w:right w:val="none" w:sz="0" w:space="0" w:color="auto"/>
          </w:divBdr>
        </w:div>
      </w:divsChild>
    </w:div>
    <w:div w:id="1273323877">
      <w:bodyDiv w:val="1"/>
      <w:marLeft w:val="0"/>
      <w:marRight w:val="0"/>
      <w:marTop w:val="0"/>
      <w:marBottom w:val="0"/>
      <w:divBdr>
        <w:top w:val="none" w:sz="0" w:space="0" w:color="auto"/>
        <w:left w:val="none" w:sz="0" w:space="0" w:color="auto"/>
        <w:bottom w:val="none" w:sz="0" w:space="0" w:color="auto"/>
        <w:right w:val="none" w:sz="0" w:space="0" w:color="auto"/>
      </w:divBdr>
    </w:div>
    <w:div w:id="1322999860">
      <w:bodyDiv w:val="1"/>
      <w:marLeft w:val="0"/>
      <w:marRight w:val="0"/>
      <w:marTop w:val="0"/>
      <w:marBottom w:val="0"/>
      <w:divBdr>
        <w:top w:val="none" w:sz="0" w:space="0" w:color="auto"/>
        <w:left w:val="none" w:sz="0" w:space="0" w:color="auto"/>
        <w:bottom w:val="none" w:sz="0" w:space="0" w:color="auto"/>
        <w:right w:val="none" w:sz="0" w:space="0" w:color="auto"/>
      </w:divBdr>
      <w:divsChild>
        <w:div w:id="1858081235">
          <w:marLeft w:val="0"/>
          <w:marRight w:val="0"/>
          <w:marTop w:val="0"/>
          <w:marBottom w:val="0"/>
          <w:divBdr>
            <w:top w:val="none" w:sz="0" w:space="0" w:color="auto"/>
            <w:left w:val="none" w:sz="0" w:space="0" w:color="auto"/>
            <w:bottom w:val="none" w:sz="0" w:space="0" w:color="auto"/>
            <w:right w:val="none" w:sz="0" w:space="0" w:color="auto"/>
          </w:divBdr>
        </w:div>
      </w:divsChild>
    </w:div>
    <w:div w:id="1379670801">
      <w:bodyDiv w:val="1"/>
      <w:marLeft w:val="0"/>
      <w:marRight w:val="0"/>
      <w:marTop w:val="0"/>
      <w:marBottom w:val="0"/>
      <w:divBdr>
        <w:top w:val="none" w:sz="0" w:space="0" w:color="auto"/>
        <w:left w:val="none" w:sz="0" w:space="0" w:color="auto"/>
        <w:bottom w:val="none" w:sz="0" w:space="0" w:color="auto"/>
        <w:right w:val="none" w:sz="0" w:space="0" w:color="auto"/>
      </w:divBdr>
      <w:divsChild>
        <w:div w:id="1345941734">
          <w:marLeft w:val="0"/>
          <w:marRight w:val="0"/>
          <w:marTop w:val="0"/>
          <w:marBottom w:val="0"/>
          <w:divBdr>
            <w:top w:val="none" w:sz="0" w:space="0" w:color="auto"/>
            <w:left w:val="none" w:sz="0" w:space="0" w:color="auto"/>
            <w:bottom w:val="none" w:sz="0" w:space="0" w:color="auto"/>
            <w:right w:val="none" w:sz="0" w:space="0" w:color="auto"/>
          </w:divBdr>
        </w:div>
      </w:divsChild>
    </w:div>
    <w:div w:id="1810511156">
      <w:bodyDiv w:val="1"/>
      <w:marLeft w:val="0"/>
      <w:marRight w:val="0"/>
      <w:marTop w:val="0"/>
      <w:marBottom w:val="0"/>
      <w:divBdr>
        <w:top w:val="none" w:sz="0" w:space="0" w:color="auto"/>
        <w:left w:val="none" w:sz="0" w:space="0" w:color="auto"/>
        <w:bottom w:val="none" w:sz="0" w:space="0" w:color="auto"/>
        <w:right w:val="none" w:sz="0" w:space="0" w:color="auto"/>
      </w:divBdr>
      <w:divsChild>
        <w:div w:id="173495792">
          <w:marLeft w:val="0"/>
          <w:marRight w:val="0"/>
          <w:marTop w:val="0"/>
          <w:marBottom w:val="0"/>
          <w:divBdr>
            <w:top w:val="none" w:sz="0" w:space="0" w:color="auto"/>
            <w:left w:val="none" w:sz="0" w:space="0" w:color="auto"/>
            <w:bottom w:val="none" w:sz="0" w:space="0" w:color="auto"/>
            <w:right w:val="none" w:sz="0" w:space="0" w:color="auto"/>
          </w:divBdr>
        </w:div>
      </w:divsChild>
    </w:div>
    <w:div w:id="2070224968">
      <w:bodyDiv w:val="1"/>
      <w:marLeft w:val="0"/>
      <w:marRight w:val="0"/>
      <w:marTop w:val="0"/>
      <w:marBottom w:val="0"/>
      <w:divBdr>
        <w:top w:val="none" w:sz="0" w:space="0" w:color="auto"/>
        <w:left w:val="none" w:sz="0" w:space="0" w:color="auto"/>
        <w:bottom w:val="none" w:sz="0" w:space="0" w:color="auto"/>
        <w:right w:val="none" w:sz="0" w:space="0" w:color="auto"/>
      </w:divBdr>
      <w:divsChild>
        <w:div w:id="1278289719">
          <w:marLeft w:val="0"/>
          <w:marRight w:val="0"/>
          <w:marTop w:val="0"/>
          <w:marBottom w:val="0"/>
          <w:divBdr>
            <w:top w:val="none" w:sz="0" w:space="0" w:color="auto"/>
            <w:left w:val="none" w:sz="0" w:space="0" w:color="auto"/>
            <w:bottom w:val="none" w:sz="0" w:space="0" w:color="auto"/>
            <w:right w:val="none" w:sz="0" w:space="0" w:color="auto"/>
          </w:divBdr>
        </w:div>
      </w:divsChild>
    </w:div>
    <w:div w:id="2121685614">
      <w:bodyDiv w:val="1"/>
      <w:marLeft w:val="0"/>
      <w:marRight w:val="0"/>
      <w:marTop w:val="0"/>
      <w:marBottom w:val="0"/>
      <w:divBdr>
        <w:top w:val="none" w:sz="0" w:space="0" w:color="auto"/>
        <w:left w:val="none" w:sz="0" w:space="0" w:color="auto"/>
        <w:bottom w:val="none" w:sz="0" w:space="0" w:color="auto"/>
        <w:right w:val="none" w:sz="0" w:space="0" w:color="auto"/>
      </w:divBdr>
      <w:divsChild>
        <w:div w:id="936718306">
          <w:marLeft w:val="0"/>
          <w:marRight w:val="0"/>
          <w:marTop w:val="0"/>
          <w:marBottom w:val="450"/>
          <w:divBdr>
            <w:top w:val="none" w:sz="0" w:space="0" w:color="auto"/>
            <w:left w:val="single" w:sz="48" w:space="8" w:color="E1E1E1"/>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customXml" Target="../customXml/item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2.xml"/><Relationship Id="rId29" Type="http://schemas.openxmlformats.org/officeDocument/2006/relationships/image" Target="media/image20.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nticorruzione.it/-/piattaforma-di-acquisizione-dei-piani-triennali-per-la-prevenzione-della-corruzione-e-della-trasparenza" TargetMode="External"/><Relationship Id="rId1" Type="http://schemas.openxmlformats.org/officeDocument/2006/relationships/hyperlink" Target="https://www.anticorruzione.it/-/orientamenti-per-la-pianificazione-anticorruzione-e-trasparenza-2022-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oglio_di_lavoro_di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oglio_di_lavoro_di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000"/>
              <a:t>Effetti dell</a:t>
            </a:r>
            <a:r>
              <a:rPr lang="it-IT" sz="1000" b="0" i="0" u="none" strike="noStrike" kern="1200" spc="0" baseline="0">
                <a:solidFill>
                  <a:sysClr val="windowText" lastClr="000000">
                    <a:lumMod val="65000"/>
                    <a:lumOff val="35000"/>
                  </a:sysClr>
                </a:solidFill>
                <a:latin typeface="+mn-lt"/>
                <a:ea typeface="+mn-ea"/>
                <a:cs typeface="+mn-cs"/>
              </a:rPr>
              <a:t>’</a:t>
            </a:r>
            <a:r>
              <a:rPr lang="it-IT" sz="1000"/>
              <a:t>attuazione in termini di consapevolezza del fenomeno corruttivo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Foglio1!$B$1</c:f>
              <c:strCache>
                <c:ptCount val="1"/>
                <c:pt idx="0">
                  <c:v>Effetti dell'attuazione in termini di consapevolezza del fenomeno corruttivo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93-4D82-80B6-D9F7C68898D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93-4D82-80B6-D9F7C68898D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93-4D82-80B6-D9F7C68898D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93-4D82-80B6-D9F7C68898D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93-4D82-80B6-D9F7C6889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extLst>
          </c:dLbls>
          <c:cat>
            <c:strRef>
              <c:f>Foglio1!$A$2:$A$4</c:f>
              <c:strCache>
                <c:ptCount val="3"/>
                <c:pt idx="0">
                  <c:v>Aumentata</c:v>
                </c:pt>
                <c:pt idx="1">
                  <c:v>Invariata</c:v>
                </c:pt>
                <c:pt idx="2">
                  <c:v>Diminuita</c:v>
                </c:pt>
              </c:strCache>
            </c:strRef>
          </c:cat>
          <c:val>
            <c:numRef>
              <c:f>Foglio1!$B$2:$B$4</c:f>
              <c:numCache>
                <c:formatCode>0.00%</c:formatCode>
                <c:ptCount val="3"/>
                <c:pt idx="0">
                  <c:v>0.55500000000000005</c:v>
                </c:pt>
                <c:pt idx="1">
                  <c:v>0.44400000000000001</c:v>
                </c:pt>
                <c:pt idx="2">
                  <c:v>1E-3</c:v>
                </c:pt>
              </c:numCache>
            </c:numRef>
          </c:val>
          <c:extLst>
            <c:ext xmlns:c16="http://schemas.microsoft.com/office/drawing/2014/chart" uri="{C3380CC4-5D6E-409C-BE32-E72D297353CC}">
              <c16:uniqueId val="{00000006-D393-4D82-80B6-D9F7C68898D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Effetti della messa in atto del processo di gestione del rischio in termini di capacità di scoprire fenomeni corruttivi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Foglio1!$B$1</c:f>
              <c:strCache>
                <c:ptCount val="1"/>
                <c:pt idx="0">
                  <c:v>Effetti della messa in atto del processo di gestione del rischio in termini di capacità di scoprire fenomeni corruttivi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B9-44A7-AF2D-ECB3B6B8B9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B9-44A7-AF2D-ECB3B6B8B9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B9-44A7-AF2D-ECB3B6B8B9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Foglio1!$A$2:$A$4</c:f>
              <c:strCache>
                <c:ptCount val="3"/>
                <c:pt idx="0">
                  <c:v>Aumentata</c:v>
                </c:pt>
                <c:pt idx="1">
                  <c:v>Invariata</c:v>
                </c:pt>
                <c:pt idx="2">
                  <c:v>Diminuita</c:v>
                </c:pt>
              </c:strCache>
            </c:strRef>
          </c:cat>
          <c:val>
            <c:numRef>
              <c:f>Foglio1!$B$2:$B$4</c:f>
              <c:numCache>
                <c:formatCode>0.00%</c:formatCode>
                <c:ptCount val="3"/>
                <c:pt idx="0">
                  <c:v>0.47799999999999998</c:v>
                </c:pt>
                <c:pt idx="1">
                  <c:v>0.52100000000000002</c:v>
                </c:pt>
                <c:pt idx="2">
                  <c:v>1E-3</c:v>
                </c:pt>
              </c:numCache>
            </c:numRef>
          </c:val>
          <c:extLst>
            <c:ext xmlns:c16="http://schemas.microsoft.com/office/drawing/2014/chart" uri="{C3380CC4-5D6E-409C-BE32-E72D297353CC}">
              <c16:uniqueId val="{00000006-9CB9-44A7-AF2D-ECB3B6B8B9C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ECD839-089B-4410-8540-1016DA8C1811}">
  <ds:schemaRefs>
    <ds:schemaRef ds:uri="http://schemas.openxmlformats.org/officeDocument/2006/bibliography"/>
  </ds:schemaRefs>
</ds:datastoreItem>
</file>

<file path=customXml/itemProps2.xml><?xml version="1.0" encoding="utf-8"?>
<ds:datastoreItem xmlns:ds="http://schemas.openxmlformats.org/officeDocument/2006/customXml" ds:itemID="{A751ECFB-5744-4C30-845F-9ECA50F6F3DA}"/>
</file>

<file path=customXml/itemProps3.xml><?xml version="1.0" encoding="utf-8"?>
<ds:datastoreItem xmlns:ds="http://schemas.openxmlformats.org/officeDocument/2006/customXml" ds:itemID="{402832C9-6620-42F2-8018-9F0053DBA7A7}"/>
</file>

<file path=customXml/itemProps4.xml><?xml version="1.0" encoding="utf-8"?>
<ds:datastoreItem xmlns:ds="http://schemas.openxmlformats.org/officeDocument/2006/customXml" ds:itemID="{D97A6694-73A9-4416-A684-FACD2263F7D4}"/>
</file>

<file path=docProps/app.xml><?xml version="1.0" encoding="utf-8"?>
<Properties xmlns="http://schemas.openxmlformats.org/officeDocument/2006/extended-properties" xmlns:vt="http://schemas.openxmlformats.org/officeDocument/2006/docPropsVTypes">
  <Template>Normal</Template>
  <TotalTime>99</TotalTime>
  <Pages>21</Pages>
  <Words>5693</Words>
  <Characters>32456</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Mazzotti Eleonora</dc:creator>
  <cp:keywords/>
  <dc:description/>
  <cp:lastModifiedBy>Mazzotti Eleonora</cp:lastModifiedBy>
  <cp:revision>7</cp:revision>
  <cp:lastPrinted>2023-04-12T12:00:00Z</cp:lastPrinted>
  <dcterms:created xsi:type="dcterms:W3CDTF">2023-05-12T15:32:00Z</dcterms:created>
  <dcterms:modified xsi:type="dcterms:W3CDTF">2024-02-21T16:24:00Z</dcterms:modified>
</cp:coreProperties>
</file>