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B8CE" w14:textId="4C7BBC4F" w:rsidR="0084516A" w:rsidRPr="00AC26EA" w:rsidRDefault="0084516A" w:rsidP="00564F77">
      <w:pPr>
        <w:spacing w:before="120" w:after="120" w:line="288" w:lineRule="auto"/>
        <w:jc w:val="both"/>
        <w:rPr>
          <w:rFonts w:ascii="Gotham Light" w:hAnsi="Gotham Light"/>
          <w:color w:val="2E74B5" w:themeColor="accent1" w:themeShade="BF"/>
          <w:sz w:val="28"/>
        </w:rPr>
      </w:pPr>
      <w:r w:rsidRPr="00AC26EA">
        <w:rPr>
          <w:rFonts w:ascii="Gotham Light" w:hAnsi="Gotham Light"/>
          <w:color w:val="2E74B5" w:themeColor="accent1" w:themeShade="BF"/>
          <w:sz w:val="28"/>
        </w:rPr>
        <w:t>Avviso di selezione comparativa</w:t>
      </w:r>
      <w:r w:rsidR="00D252C8" w:rsidRPr="00AC26EA">
        <w:rPr>
          <w:rFonts w:ascii="Gotham Light" w:hAnsi="Gotham Light"/>
          <w:color w:val="2E74B5" w:themeColor="accent1" w:themeShade="BF"/>
          <w:sz w:val="28"/>
        </w:rPr>
        <w:t xml:space="preserve"> di candidature</w:t>
      </w:r>
      <w:r w:rsidR="00FB7010" w:rsidRPr="00AC26EA">
        <w:rPr>
          <w:rFonts w:ascii="Gotham Light" w:hAnsi="Gotham Light"/>
          <w:color w:val="2E74B5" w:themeColor="accent1" w:themeShade="BF"/>
          <w:sz w:val="28"/>
        </w:rPr>
        <w:t xml:space="preserve"> </w:t>
      </w:r>
      <w:r w:rsidRPr="00AC26EA">
        <w:rPr>
          <w:rFonts w:ascii="Gotham Light" w:hAnsi="Gotham Light"/>
          <w:color w:val="2E74B5" w:themeColor="accent1" w:themeShade="BF"/>
          <w:sz w:val="28"/>
        </w:rPr>
        <w:t xml:space="preserve">per la nomina </w:t>
      </w:r>
      <w:r w:rsidR="000128EF" w:rsidRPr="00AC26EA">
        <w:rPr>
          <w:rFonts w:ascii="Gotham Light" w:hAnsi="Gotham Light"/>
          <w:color w:val="2E74B5" w:themeColor="accent1" w:themeShade="BF"/>
          <w:sz w:val="28"/>
        </w:rPr>
        <w:t>dell’</w:t>
      </w:r>
      <w:r w:rsidR="00AC26EA">
        <w:rPr>
          <w:rFonts w:ascii="Gotham Light" w:hAnsi="Gotham Light"/>
          <w:color w:val="2E74B5" w:themeColor="accent1" w:themeShade="BF"/>
          <w:sz w:val="28"/>
        </w:rPr>
        <w:t>E</w:t>
      </w:r>
      <w:r w:rsidR="000128EF" w:rsidRPr="00AC26EA">
        <w:rPr>
          <w:rFonts w:ascii="Gotham Light" w:hAnsi="Gotham Light"/>
          <w:color w:val="2E74B5" w:themeColor="accent1" w:themeShade="BF"/>
          <w:sz w:val="28"/>
        </w:rPr>
        <w:t xml:space="preserve">sperto di valutazione delle </w:t>
      </w:r>
      <w:r w:rsidR="000128EF" w:rsidRPr="00AC26EA">
        <w:rPr>
          <w:rFonts w:ascii="Gotham Light" w:hAnsi="Gotham Light"/>
          <w:i/>
          <w:color w:val="2E74B5" w:themeColor="accent1" w:themeShade="BF"/>
          <w:sz w:val="28"/>
        </w:rPr>
        <w:t>performance</w:t>
      </w:r>
      <w:r w:rsidR="000128EF" w:rsidRPr="00AC26EA">
        <w:rPr>
          <w:rFonts w:ascii="Gotham Light" w:hAnsi="Gotham Light"/>
          <w:color w:val="2E74B5" w:themeColor="accent1" w:themeShade="BF"/>
          <w:sz w:val="28"/>
        </w:rPr>
        <w:t xml:space="preserve"> </w:t>
      </w:r>
      <w:r w:rsidR="00AC26EA">
        <w:rPr>
          <w:rFonts w:ascii="Gotham Light" w:hAnsi="Gotham Light"/>
          <w:color w:val="2E74B5" w:themeColor="accent1" w:themeShade="BF"/>
          <w:sz w:val="28"/>
        </w:rPr>
        <w:t>(</w:t>
      </w:r>
      <w:r w:rsidR="00DE0CA1" w:rsidRPr="00AC26EA">
        <w:rPr>
          <w:rFonts w:ascii="Gotham Light" w:hAnsi="Gotham Light"/>
          <w:color w:val="2E74B5" w:themeColor="accent1" w:themeShade="BF"/>
          <w:sz w:val="28"/>
        </w:rPr>
        <w:t xml:space="preserve">Art. </w:t>
      </w:r>
      <w:r w:rsidR="00DE0CA1">
        <w:rPr>
          <w:rFonts w:ascii="Gotham Light" w:hAnsi="Gotham Light"/>
          <w:color w:val="2E74B5" w:themeColor="accent1" w:themeShade="BF"/>
          <w:sz w:val="28"/>
        </w:rPr>
        <w:t>53 del “</w:t>
      </w:r>
      <w:r w:rsidR="003977D0" w:rsidRPr="00AC26EA">
        <w:rPr>
          <w:rFonts w:ascii="Gotham Light" w:hAnsi="Gotham Light"/>
          <w:color w:val="2E74B5" w:themeColor="accent1" w:themeShade="BF"/>
          <w:sz w:val="28"/>
        </w:rPr>
        <w:t xml:space="preserve">Regolamento </w:t>
      </w:r>
      <w:r w:rsidR="00DE0CA1">
        <w:rPr>
          <w:rFonts w:ascii="Gotham Light" w:hAnsi="Gotham Light"/>
          <w:color w:val="2E74B5" w:themeColor="accent1" w:themeShade="BF"/>
          <w:sz w:val="28"/>
        </w:rPr>
        <w:t xml:space="preserve">giuridico ed economico del personale </w:t>
      </w:r>
      <w:r w:rsidR="003977D0" w:rsidRPr="00AC26EA">
        <w:rPr>
          <w:rFonts w:ascii="Gotham Light" w:hAnsi="Gotham Light"/>
          <w:color w:val="2E74B5" w:themeColor="accent1" w:themeShade="BF"/>
          <w:sz w:val="28"/>
        </w:rPr>
        <w:t>A.N.AC.</w:t>
      </w:r>
      <w:r w:rsidR="00DE0CA1">
        <w:rPr>
          <w:rFonts w:ascii="Gotham Light" w:hAnsi="Gotham Light"/>
          <w:color w:val="2E74B5" w:themeColor="accent1" w:themeShade="BF"/>
          <w:sz w:val="28"/>
        </w:rPr>
        <w:t>”</w:t>
      </w:r>
      <w:r w:rsidR="003977D0" w:rsidRPr="00AC26EA">
        <w:rPr>
          <w:rFonts w:ascii="Gotham Light" w:hAnsi="Gotham Light"/>
          <w:color w:val="2E74B5" w:themeColor="accent1" w:themeShade="BF"/>
          <w:sz w:val="28"/>
        </w:rPr>
        <w:t>).</w:t>
      </w:r>
    </w:p>
    <w:p w14:paraId="23678311" w14:textId="77777777" w:rsidR="003C209F" w:rsidRDefault="003C209F" w:rsidP="005526D4">
      <w:pPr>
        <w:spacing w:before="120" w:after="120" w:line="360" w:lineRule="auto"/>
        <w:jc w:val="both"/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</w:pPr>
    </w:p>
    <w:p w14:paraId="378A4B0E" w14:textId="330C14CD" w:rsidR="00F57922" w:rsidRPr="001F5607" w:rsidRDefault="00F57922" w:rsidP="00B8094A">
      <w:pPr>
        <w:spacing w:before="60" w:after="60" w:line="360" w:lineRule="auto"/>
        <w:jc w:val="both"/>
        <w:rPr>
          <w:rFonts w:ascii="Titillium" w:hAnsi="Titillium"/>
        </w:rPr>
      </w:pPr>
      <w:r w:rsidRPr="005526D4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t>VISTO</w:t>
      </w:r>
      <w:r w:rsidRPr="001F5607">
        <w:rPr>
          <w:rFonts w:ascii="Titillium" w:hAnsi="Titillium"/>
        </w:rPr>
        <w:t xml:space="preserve"> il decreto legislativo 27 ottobre 2009, n. 150, in materia di ottimizzazione della produttività del lavoro pubblico e di efficienza e trasparenza delle pubbliche amministrazioni, e le successive modificazioni e integrazioni apportate, in particolare, con il decreto legislativo 25 maggio 2017, n. 74, all'art. 14 e all’art. 14 bis, </w:t>
      </w:r>
      <w:r w:rsidR="00B21E88">
        <w:rPr>
          <w:rFonts w:ascii="Titillium" w:hAnsi="Titillium"/>
        </w:rPr>
        <w:t xml:space="preserve">con il </w:t>
      </w:r>
      <w:r w:rsidR="00B21E88" w:rsidRPr="00B21E88">
        <w:rPr>
          <w:rFonts w:ascii="Titillium" w:hAnsi="Titillium"/>
        </w:rPr>
        <w:t>DECRETO-LEGGE 30 aprile 2022, n. 36</w:t>
      </w:r>
      <w:r w:rsidR="00B21E88">
        <w:rPr>
          <w:rFonts w:ascii="Titillium" w:hAnsi="Titillium"/>
        </w:rPr>
        <w:t xml:space="preserve">, </w:t>
      </w:r>
      <w:r w:rsidR="00B21E88" w:rsidRPr="001F5607">
        <w:rPr>
          <w:rFonts w:ascii="Titillium" w:hAnsi="Titillium"/>
        </w:rPr>
        <w:t>all’art. 14 bis</w:t>
      </w:r>
      <w:r w:rsidR="00B21E88">
        <w:rPr>
          <w:rFonts w:ascii="Titillium" w:hAnsi="Titillium"/>
        </w:rPr>
        <w:t xml:space="preserve">, </w:t>
      </w:r>
      <w:r w:rsidR="00B21E88" w:rsidRPr="001F5607">
        <w:rPr>
          <w:rFonts w:ascii="Titillium" w:hAnsi="Titillium"/>
        </w:rPr>
        <w:t>concernente la disciplina dell'OIV</w:t>
      </w:r>
      <w:r w:rsidRPr="001F5607">
        <w:rPr>
          <w:rFonts w:ascii="Titillium" w:hAnsi="Titillium"/>
        </w:rPr>
        <w:t>;</w:t>
      </w:r>
    </w:p>
    <w:p w14:paraId="4F6E3226" w14:textId="1F4DAB86" w:rsidR="00637181" w:rsidRPr="001F5607" w:rsidRDefault="00637181" w:rsidP="00B8094A">
      <w:pPr>
        <w:pStyle w:val="NormaleWeb"/>
        <w:spacing w:before="60" w:beforeAutospacing="0" w:after="60" w:afterAutospacing="0" w:line="360" w:lineRule="auto"/>
        <w:ind w:right="-1"/>
        <w:jc w:val="both"/>
        <w:rPr>
          <w:rFonts w:ascii="Titillium" w:hAnsi="Titillium"/>
          <w:sz w:val="22"/>
          <w:szCs w:val="22"/>
        </w:rPr>
      </w:pPr>
      <w:r w:rsidRPr="005526D4">
        <w:rPr>
          <w:rFonts w:ascii="Gotham Light" w:hAnsi="Gotham Light"/>
          <w:b/>
          <w:color w:val="2E74B5" w:themeColor="accent1" w:themeShade="BF"/>
          <w:sz w:val="22"/>
          <w:szCs w:val="22"/>
        </w:rPr>
        <w:t>VISTA</w:t>
      </w:r>
      <w:r w:rsidRPr="001F5607">
        <w:rPr>
          <w:rFonts w:ascii="Titillium" w:hAnsi="Titillium"/>
          <w:b/>
          <w:sz w:val="22"/>
          <w:szCs w:val="22"/>
        </w:rPr>
        <w:t xml:space="preserve"> </w:t>
      </w:r>
      <w:r w:rsidRPr="001F5607">
        <w:rPr>
          <w:rFonts w:ascii="Titillium" w:hAnsi="Titillium"/>
          <w:sz w:val="22"/>
          <w:szCs w:val="22"/>
        </w:rPr>
        <w:t>la legge 6 novembre 2012, n.190;</w:t>
      </w:r>
    </w:p>
    <w:p w14:paraId="5186C261" w14:textId="77777777" w:rsidR="00F57922" w:rsidRPr="001F5607" w:rsidRDefault="00F57922" w:rsidP="00B8094A">
      <w:pPr>
        <w:spacing w:before="60" w:after="60" w:line="360" w:lineRule="auto"/>
        <w:jc w:val="both"/>
        <w:rPr>
          <w:rFonts w:ascii="Titillium" w:hAnsi="Titillium"/>
        </w:rPr>
      </w:pPr>
      <w:r w:rsidRPr="005526D4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t>VISTO</w:t>
      </w:r>
      <w:r w:rsidRPr="001F5607">
        <w:rPr>
          <w:rFonts w:ascii="Titillium" w:hAnsi="Titillium"/>
          <w:b/>
        </w:rPr>
        <w:t xml:space="preserve"> </w:t>
      </w:r>
      <w:r w:rsidRPr="001F5607">
        <w:rPr>
          <w:rFonts w:ascii="Titillium" w:hAnsi="Titillium"/>
        </w:rPr>
        <w:t>il decreto legislativo 14 marzo 2013, n. 33 recante “Riordino della disciplina riguardante gli obblighi di pubblicità, trasparenza e diffusione di informazioni da parte delle pubbliche amministrazioni” come modificato dal decreto legislativo 25 maggio 2016, n. 97 recante la “Revisione e semplificazione delle disposizioni in materia di prevenzione della corruzione, pubblicità e trasparenza, correttivo della legge 6 novembre 2012, n. 190 e del decreto legislativo 14 marzo 2013, n. 33”;</w:t>
      </w:r>
    </w:p>
    <w:p w14:paraId="39DBF6A1" w14:textId="16463AE2" w:rsidR="00637181" w:rsidRPr="001F5607" w:rsidRDefault="00637181" w:rsidP="00B8094A">
      <w:pPr>
        <w:pStyle w:val="NormaleWeb"/>
        <w:spacing w:before="60" w:beforeAutospacing="0" w:after="60" w:afterAutospacing="0" w:line="360" w:lineRule="auto"/>
        <w:ind w:right="-1"/>
        <w:jc w:val="both"/>
        <w:rPr>
          <w:rFonts w:ascii="Titillium" w:hAnsi="Titillium"/>
          <w:b/>
          <w:sz w:val="22"/>
          <w:szCs w:val="22"/>
        </w:rPr>
      </w:pPr>
      <w:r w:rsidRPr="005526D4">
        <w:rPr>
          <w:rFonts w:ascii="Gotham Light" w:hAnsi="Gotham Light"/>
          <w:b/>
          <w:color w:val="2E74B5" w:themeColor="accent1" w:themeShade="BF"/>
          <w:sz w:val="22"/>
          <w:szCs w:val="22"/>
        </w:rPr>
        <w:t>VISTO</w:t>
      </w:r>
      <w:r w:rsidRPr="001F5607">
        <w:rPr>
          <w:rFonts w:ascii="Titillium" w:hAnsi="Titillium"/>
          <w:b/>
          <w:sz w:val="22"/>
          <w:szCs w:val="22"/>
        </w:rPr>
        <w:t xml:space="preserve"> </w:t>
      </w:r>
      <w:r w:rsidRPr="001F5607">
        <w:rPr>
          <w:rFonts w:ascii="Titillium" w:hAnsi="Titillium"/>
          <w:sz w:val="22"/>
          <w:szCs w:val="22"/>
        </w:rPr>
        <w:t xml:space="preserve">il </w:t>
      </w:r>
      <w:proofErr w:type="gramStart"/>
      <w:r w:rsidRPr="001F5607">
        <w:rPr>
          <w:rFonts w:ascii="Titillium" w:hAnsi="Titillium"/>
          <w:sz w:val="22"/>
          <w:szCs w:val="22"/>
        </w:rPr>
        <w:t>decreto legge</w:t>
      </w:r>
      <w:proofErr w:type="gramEnd"/>
      <w:r w:rsidRPr="001F5607">
        <w:rPr>
          <w:rFonts w:ascii="Titillium" w:hAnsi="Titillium"/>
          <w:sz w:val="22"/>
          <w:szCs w:val="22"/>
        </w:rPr>
        <w:t xml:space="preserve"> 24 giugno 2014, n.90 convertito in legge 11 agosto 2014, n. 114;</w:t>
      </w:r>
    </w:p>
    <w:p w14:paraId="46914DD6" w14:textId="77777777" w:rsidR="00637181" w:rsidRPr="001F5607" w:rsidRDefault="00637181" w:rsidP="00B8094A">
      <w:pPr>
        <w:spacing w:before="60" w:after="60" w:line="360" w:lineRule="auto"/>
        <w:jc w:val="both"/>
        <w:rPr>
          <w:rFonts w:ascii="Titillium" w:hAnsi="Titillium"/>
        </w:rPr>
      </w:pPr>
      <w:r w:rsidRPr="0063253B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t>VISTO</w:t>
      </w:r>
      <w:r w:rsidRPr="0063253B">
        <w:rPr>
          <w:rFonts w:ascii="Titillium" w:hAnsi="Titillium"/>
        </w:rPr>
        <w:t xml:space="preserve"> l’art. 52 quater del </w:t>
      </w:r>
      <w:proofErr w:type="gramStart"/>
      <w:r w:rsidRPr="0063253B">
        <w:rPr>
          <w:rFonts w:ascii="Titillium" w:hAnsi="Titillium"/>
        </w:rPr>
        <w:t>decreto legge</w:t>
      </w:r>
      <w:proofErr w:type="gramEnd"/>
      <w:r w:rsidRPr="0063253B">
        <w:rPr>
          <w:rFonts w:ascii="Titillium" w:hAnsi="Titillium"/>
        </w:rPr>
        <w:t xml:space="preserve"> 24 aprile 2017, n. 50 convertito con la legge di conversione 21 giugno 2017, n. 96 avente ad oggetto “Organizzazione dell’ANAC” e da ultimo modificato dall’art. 1, comma 298 della legge 27 dicembre 2017, n. 205;</w:t>
      </w:r>
    </w:p>
    <w:p w14:paraId="4F63F24B" w14:textId="0D4C8647" w:rsidR="00164FA6" w:rsidRPr="001F5607" w:rsidRDefault="00164FA6" w:rsidP="0063253B">
      <w:pPr>
        <w:pStyle w:val="NormaleWeb"/>
        <w:spacing w:before="60" w:after="60" w:line="360" w:lineRule="auto"/>
        <w:ind w:right="-1"/>
        <w:jc w:val="both"/>
        <w:rPr>
          <w:rFonts w:ascii="Titillium" w:hAnsi="Titillium"/>
          <w:sz w:val="22"/>
          <w:szCs w:val="22"/>
        </w:rPr>
      </w:pPr>
      <w:r w:rsidRPr="005526D4">
        <w:rPr>
          <w:rFonts w:ascii="Gotham Light" w:hAnsi="Gotham Light"/>
          <w:b/>
          <w:color w:val="2E74B5" w:themeColor="accent1" w:themeShade="BF"/>
          <w:sz w:val="22"/>
          <w:szCs w:val="22"/>
        </w:rPr>
        <w:t>VISTO</w:t>
      </w:r>
      <w:r w:rsidRPr="001F5607">
        <w:rPr>
          <w:rFonts w:ascii="Titillium" w:hAnsi="Titillium"/>
          <w:sz w:val="22"/>
          <w:szCs w:val="22"/>
        </w:rPr>
        <w:t xml:space="preserve"> il Regolamento sull</w:t>
      </w:r>
      <w:r w:rsidRPr="001F5607">
        <w:rPr>
          <w:rFonts w:ascii="Titillium" w:hAnsi="Titillium" w:cs="Garamond"/>
          <w:sz w:val="22"/>
          <w:szCs w:val="22"/>
        </w:rPr>
        <w:t>’</w:t>
      </w:r>
      <w:r w:rsidRPr="001F5607">
        <w:rPr>
          <w:rFonts w:ascii="Titillium" w:hAnsi="Titillium"/>
          <w:sz w:val="22"/>
          <w:szCs w:val="22"/>
        </w:rPr>
        <w:t>ordinamento giuridico ed economico del personale, entrato in vigore il 1° gennaio 2019, nel testo coordinato modificato con delibera n. 303 del 3 aprile 2019</w:t>
      </w:r>
      <w:r w:rsidR="0063253B">
        <w:rPr>
          <w:rFonts w:ascii="Titillium" w:hAnsi="Titillium"/>
          <w:sz w:val="22"/>
          <w:szCs w:val="22"/>
        </w:rPr>
        <w:t>,</w:t>
      </w:r>
      <w:r w:rsidR="0063253B" w:rsidRPr="0063253B">
        <w:rPr>
          <w:rFonts w:ascii="Titillium" w:hAnsi="Titillium"/>
          <w:sz w:val="22"/>
          <w:szCs w:val="22"/>
        </w:rPr>
        <w:t xml:space="preserve"> con delibera n. 1194 del 18</w:t>
      </w:r>
      <w:r w:rsidR="0063253B">
        <w:rPr>
          <w:rFonts w:ascii="Titillium" w:hAnsi="Titillium"/>
          <w:sz w:val="22"/>
          <w:szCs w:val="22"/>
        </w:rPr>
        <w:t xml:space="preserve"> </w:t>
      </w:r>
      <w:r w:rsidR="0063253B" w:rsidRPr="0063253B">
        <w:rPr>
          <w:rFonts w:ascii="Titillium" w:hAnsi="Titillium"/>
          <w:sz w:val="22"/>
          <w:szCs w:val="22"/>
        </w:rPr>
        <w:t>dicembre 2019 e con delibera n. 533 del 16 novembre 2022</w:t>
      </w:r>
      <w:r w:rsidR="0063253B">
        <w:rPr>
          <w:rFonts w:ascii="Titillium" w:hAnsi="Titillium"/>
          <w:sz w:val="22"/>
          <w:szCs w:val="22"/>
        </w:rPr>
        <w:t>;</w:t>
      </w:r>
    </w:p>
    <w:p w14:paraId="48530222" w14:textId="53782FEF" w:rsidR="00F57922" w:rsidRPr="00F57922" w:rsidRDefault="1514BEE8" w:rsidP="0063253B">
      <w:pPr>
        <w:pStyle w:val="NormaleWeb"/>
        <w:spacing w:before="60" w:after="60" w:line="360" w:lineRule="auto"/>
        <w:ind w:right="-1"/>
        <w:jc w:val="both"/>
        <w:rPr>
          <w:rFonts w:ascii="Titillium" w:hAnsi="Titillium"/>
          <w:sz w:val="22"/>
          <w:szCs w:val="22"/>
        </w:rPr>
      </w:pPr>
      <w:r w:rsidRPr="24C1819B">
        <w:rPr>
          <w:rFonts w:ascii="Gotham Light" w:hAnsi="Gotham Light"/>
          <w:b/>
          <w:bCs/>
          <w:color w:val="2E74B5" w:themeColor="accent1" w:themeShade="BF"/>
          <w:sz w:val="22"/>
          <w:szCs w:val="22"/>
        </w:rPr>
        <w:t>VISTO</w:t>
      </w:r>
      <w:r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  <w:sz w:val="22"/>
          <w:szCs w:val="22"/>
        </w:rPr>
        <w:t>il Regolamento concernente l’organizzazione e il funzionamento dell’Autorità Nazionale Anticorruzione, approvato con la delibera n. 919 del 16 ottobre 2019, con le modificazioni apportate con la delibera n. 1125 del 4 dicembre 2019, con la delibera n. 50 del 22 gennaio 2020, con la delibera n. 458 del 27 maggio 2020</w:t>
      </w:r>
      <w:r w:rsidR="2D05714E" w:rsidRPr="24C1819B">
        <w:rPr>
          <w:rFonts w:ascii="Titillium" w:hAnsi="Titillium"/>
          <w:sz w:val="22"/>
          <w:szCs w:val="22"/>
        </w:rPr>
        <w:t xml:space="preserve">, </w:t>
      </w:r>
      <w:r w:rsidRPr="24C1819B">
        <w:rPr>
          <w:rFonts w:ascii="Titillium" w:hAnsi="Titillium"/>
          <w:sz w:val="22"/>
          <w:szCs w:val="22"/>
        </w:rPr>
        <w:t>con la delibera n. 453 del 14 giugno 2021</w:t>
      </w:r>
      <w:r w:rsidR="69DF3B21" w:rsidRPr="24C1819B">
        <w:rPr>
          <w:rFonts w:ascii="Titillium" w:hAnsi="Titillium"/>
          <w:sz w:val="22"/>
          <w:szCs w:val="22"/>
        </w:rPr>
        <w:t>,</w:t>
      </w:r>
      <w:r w:rsidR="4BFDF181" w:rsidRPr="24C1819B">
        <w:rPr>
          <w:rFonts w:ascii="Titillium" w:hAnsi="Titillium"/>
          <w:sz w:val="22"/>
          <w:szCs w:val="22"/>
        </w:rPr>
        <w:t xml:space="preserve"> con la delibera n. 654 del 22 settembre 2021, con la delibera n. 682 del 6 ottobre 2021, con la delibera n. 123 del 16 marzo 2022, con la delibera n. 187 del 5 aprile 2022, con la delibera n. 4 dell’11 gennaio 2023, con la delibera n. 121 del 29 marzo 2023, con la delibera n. 188 del 3 maggio 2023 e con la delibera n. 398 del 24 luglio 2024; </w:t>
      </w:r>
    </w:p>
    <w:p w14:paraId="3385B8DB" w14:textId="5B7344C9" w:rsidR="008D3378" w:rsidRPr="00AA4C5C" w:rsidRDefault="008D3378" w:rsidP="00B8094A">
      <w:pPr>
        <w:spacing w:before="60" w:after="60" w:line="360" w:lineRule="auto"/>
        <w:jc w:val="both"/>
        <w:rPr>
          <w:rFonts w:ascii="Titillium" w:eastAsia="Times New Roman" w:hAnsi="Titillium" w:cs="Times New Roman"/>
          <w:lang w:eastAsia="it-IT"/>
        </w:rPr>
      </w:pPr>
      <w:r w:rsidRPr="00AA4C5C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lastRenderedPageBreak/>
        <w:t>VISTO</w:t>
      </w:r>
      <w:r w:rsidRPr="00AA4C5C">
        <w:rPr>
          <w:rFonts w:ascii="Titillium" w:hAnsi="Titillium"/>
        </w:rPr>
        <w:t xml:space="preserve"> </w:t>
      </w:r>
      <w:r w:rsidR="0006415B" w:rsidRPr="00AA4C5C">
        <w:rPr>
          <w:rFonts w:ascii="Titillium" w:eastAsia="Times New Roman" w:hAnsi="Titillium" w:cs="Times New Roman"/>
          <w:lang w:eastAsia="it-IT"/>
        </w:rPr>
        <w:t>i</w:t>
      </w:r>
      <w:r w:rsidRPr="00AA4C5C">
        <w:rPr>
          <w:rFonts w:ascii="Titillium" w:eastAsia="Times New Roman" w:hAnsi="Titillium" w:cs="Times New Roman"/>
          <w:lang w:eastAsia="it-IT"/>
        </w:rPr>
        <w:t>l Regolamento di disciplina delle funzioni Dipartimento della Funzione Pubblica (DFP) della Presidenza del Consiglio dei ministri in materia di misurazione e</w:t>
      </w:r>
      <w:r w:rsidR="0006415B" w:rsidRPr="00AA4C5C">
        <w:rPr>
          <w:rFonts w:ascii="Titillium" w:eastAsia="Times New Roman" w:hAnsi="Titillium" w:cs="Times New Roman"/>
          <w:lang w:eastAsia="it-IT"/>
        </w:rPr>
        <w:t xml:space="preserve"> </w:t>
      </w:r>
      <w:r w:rsidRPr="00AA4C5C">
        <w:rPr>
          <w:rFonts w:ascii="Titillium" w:eastAsia="Times New Roman" w:hAnsi="Titillium" w:cs="Times New Roman"/>
          <w:lang w:eastAsia="it-IT"/>
        </w:rPr>
        <w:t xml:space="preserve">valutazione della </w:t>
      </w:r>
      <w:r w:rsidR="00171D89" w:rsidRPr="00AA4C5C">
        <w:rPr>
          <w:rFonts w:ascii="Titillium" w:eastAsia="Times New Roman" w:hAnsi="Titillium" w:cs="Times New Roman"/>
          <w:i/>
          <w:lang w:eastAsia="it-IT"/>
        </w:rPr>
        <w:t>performance</w:t>
      </w:r>
      <w:r w:rsidRPr="00AA4C5C">
        <w:rPr>
          <w:rFonts w:ascii="Titillium" w:eastAsia="Times New Roman" w:hAnsi="Titillium" w:cs="Times New Roman"/>
          <w:lang w:eastAsia="it-IT"/>
        </w:rPr>
        <w:t xml:space="preserve"> delle </w:t>
      </w:r>
      <w:r w:rsidR="0066355C" w:rsidRPr="00AA4C5C">
        <w:rPr>
          <w:rFonts w:ascii="Titillium" w:eastAsia="Times New Roman" w:hAnsi="Titillium" w:cs="Times New Roman"/>
          <w:lang w:eastAsia="it-IT"/>
        </w:rPr>
        <w:t>pub</w:t>
      </w:r>
      <w:r w:rsidRPr="00AA4C5C">
        <w:rPr>
          <w:rFonts w:ascii="Titillium" w:eastAsia="Times New Roman" w:hAnsi="Titillium" w:cs="Times New Roman"/>
          <w:lang w:eastAsia="it-IT"/>
        </w:rPr>
        <w:t>bliche amministrazioni, emanat</w:t>
      </w:r>
      <w:r w:rsidR="00202B5F" w:rsidRPr="00AA4C5C">
        <w:rPr>
          <w:rFonts w:ascii="Titillium" w:eastAsia="Times New Roman" w:hAnsi="Titillium" w:cs="Times New Roman"/>
          <w:lang w:eastAsia="it-IT"/>
        </w:rPr>
        <w:t>o con DPR 9 maggio 2016, n. 105</w:t>
      </w:r>
      <w:r w:rsidRPr="00AA4C5C">
        <w:rPr>
          <w:rFonts w:ascii="Titillium" w:eastAsia="Times New Roman" w:hAnsi="Titillium" w:cs="Times New Roman"/>
          <w:lang w:eastAsia="it-IT"/>
        </w:rPr>
        <w:t>;</w:t>
      </w:r>
    </w:p>
    <w:p w14:paraId="2C116F9E" w14:textId="0C77652A" w:rsidR="008D3378" w:rsidRPr="001F5607" w:rsidRDefault="008D3378" w:rsidP="00B8094A">
      <w:pPr>
        <w:spacing w:before="60" w:after="60" w:line="360" w:lineRule="auto"/>
        <w:jc w:val="both"/>
        <w:rPr>
          <w:rFonts w:ascii="Titillium" w:hAnsi="Titillium"/>
        </w:rPr>
      </w:pPr>
      <w:r w:rsidRPr="00564F77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t>VISTO</w:t>
      </w:r>
      <w:r w:rsidRPr="00564F77">
        <w:rPr>
          <w:rFonts w:ascii="Titillium" w:hAnsi="Titillium"/>
        </w:rPr>
        <w:t xml:space="preserve"> </w:t>
      </w:r>
      <w:r w:rsidRPr="00564F77">
        <w:rPr>
          <w:rFonts w:ascii="Titillium" w:eastAsia="Times New Roman" w:hAnsi="Titillium" w:cs="Times New Roman"/>
          <w:lang w:eastAsia="it-IT"/>
        </w:rPr>
        <w:t xml:space="preserve">il </w:t>
      </w:r>
      <w:r w:rsidR="00636B19" w:rsidRPr="00564F77">
        <w:rPr>
          <w:rFonts w:ascii="Titillium" w:eastAsia="Times New Roman" w:hAnsi="Titillium" w:cs="Times New Roman"/>
          <w:lang w:eastAsia="it-IT"/>
        </w:rPr>
        <w:t>D</w:t>
      </w:r>
      <w:r w:rsidRPr="00564F77">
        <w:rPr>
          <w:rFonts w:ascii="Titillium" w:eastAsia="Times New Roman" w:hAnsi="Titillium" w:cs="Times New Roman"/>
          <w:lang w:eastAsia="it-IT"/>
        </w:rPr>
        <w:t xml:space="preserve">ecreto del Ministro per la </w:t>
      </w:r>
      <w:r w:rsidR="0026213D" w:rsidRPr="00564F77">
        <w:rPr>
          <w:rFonts w:ascii="Titillium" w:eastAsia="Times New Roman" w:hAnsi="Titillium" w:cs="Times New Roman"/>
          <w:lang w:eastAsia="it-IT"/>
        </w:rPr>
        <w:t xml:space="preserve">semplificazione e la </w:t>
      </w:r>
      <w:r w:rsidRPr="00564F77">
        <w:rPr>
          <w:rFonts w:ascii="Titillium" w:eastAsia="Times New Roman" w:hAnsi="Titillium" w:cs="Times New Roman"/>
          <w:lang w:eastAsia="it-IT"/>
        </w:rPr>
        <w:t xml:space="preserve">pubblica amministrazione, emanato il </w:t>
      </w:r>
      <w:r w:rsidR="0026213D" w:rsidRPr="00564F77">
        <w:rPr>
          <w:rFonts w:ascii="Titillium" w:eastAsia="Times New Roman" w:hAnsi="Titillium" w:cs="Times New Roman"/>
          <w:lang w:eastAsia="it-IT"/>
        </w:rPr>
        <w:t>2</w:t>
      </w:r>
      <w:r w:rsidRPr="00564F77">
        <w:rPr>
          <w:rFonts w:ascii="Titillium" w:eastAsia="Times New Roman" w:hAnsi="Titillium" w:cs="Times New Roman"/>
          <w:lang w:eastAsia="it-IT"/>
        </w:rPr>
        <w:t xml:space="preserve"> </w:t>
      </w:r>
      <w:r w:rsidR="0026213D" w:rsidRPr="00564F77">
        <w:rPr>
          <w:rFonts w:ascii="Titillium" w:eastAsia="Times New Roman" w:hAnsi="Titillium" w:cs="Times New Roman"/>
          <w:lang w:eastAsia="it-IT"/>
        </w:rPr>
        <w:t>dicembre 2016</w:t>
      </w:r>
      <w:r w:rsidR="00E6321B" w:rsidRPr="00564F77">
        <w:rPr>
          <w:rFonts w:ascii="Titillium" w:eastAsia="Times New Roman" w:hAnsi="Titillium" w:cs="Times New Roman"/>
          <w:lang w:eastAsia="it-IT"/>
        </w:rPr>
        <w:t>,</w:t>
      </w:r>
      <w:r w:rsidR="0026213D" w:rsidRPr="00564F77">
        <w:rPr>
          <w:rFonts w:ascii="Titillium" w:eastAsia="Times New Roman" w:hAnsi="Titillium" w:cs="Times New Roman"/>
          <w:lang w:eastAsia="it-IT"/>
        </w:rPr>
        <w:t xml:space="preserve"> modificato con D.M. del 6 agosto 2020 </w:t>
      </w:r>
      <w:r w:rsidR="00AA4C5C" w:rsidRPr="00564F77">
        <w:rPr>
          <w:rFonts w:ascii="Titillium" w:eastAsia="Times New Roman" w:hAnsi="Titillium" w:cs="Times New Roman"/>
          <w:lang w:eastAsia="it-IT"/>
        </w:rPr>
        <w:t xml:space="preserve">e con successivo D.M. del 7 agosto 2023 </w:t>
      </w:r>
      <w:r w:rsidR="00202B5F" w:rsidRPr="00564F77">
        <w:rPr>
          <w:rFonts w:ascii="Titillium" w:eastAsia="Times New Roman" w:hAnsi="Titillium" w:cs="Times New Roman"/>
          <w:lang w:eastAsia="it-IT"/>
        </w:rPr>
        <w:t>d</w:t>
      </w:r>
      <w:r w:rsidR="00E6321B" w:rsidRPr="00564F77">
        <w:rPr>
          <w:rFonts w:ascii="Titillium" w:eastAsia="Times New Roman" w:hAnsi="Titillium" w:cs="Times New Roman"/>
          <w:lang w:eastAsia="it-IT"/>
        </w:rPr>
        <w:t>e</w:t>
      </w:r>
      <w:r w:rsidR="00202B5F" w:rsidRPr="00564F77">
        <w:rPr>
          <w:rFonts w:ascii="Titillium" w:eastAsia="Times New Roman" w:hAnsi="Titillium" w:cs="Times New Roman"/>
          <w:lang w:eastAsia="it-IT"/>
        </w:rPr>
        <w:t xml:space="preserve">lla Presidenza del </w:t>
      </w:r>
      <w:proofErr w:type="gramStart"/>
      <w:r w:rsidR="00202B5F" w:rsidRPr="00564F77">
        <w:rPr>
          <w:rFonts w:ascii="Titillium" w:eastAsia="Times New Roman" w:hAnsi="Titillium" w:cs="Times New Roman"/>
          <w:lang w:eastAsia="it-IT"/>
        </w:rPr>
        <w:t>Consiglio dei Ministri</w:t>
      </w:r>
      <w:proofErr w:type="gramEnd"/>
      <w:r w:rsidR="00F57922" w:rsidRPr="00564F77">
        <w:rPr>
          <w:rFonts w:ascii="Titillium" w:eastAsia="Times New Roman" w:hAnsi="Titillium" w:cs="Times New Roman"/>
          <w:lang w:eastAsia="it-IT"/>
        </w:rPr>
        <w:t xml:space="preserve"> – Dipartimento della Funzione Pubblica</w:t>
      </w:r>
      <w:r w:rsidR="001F5607" w:rsidRPr="00564F77">
        <w:rPr>
          <w:rFonts w:ascii="Titillium" w:eastAsia="Times New Roman" w:hAnsi="Titillium" w:cs="Times New Roman"/>
          <w:lang w:eastAsia="it-IT"/>
        </w:rPr>
        <w:t>,</w:t>
      </w:r>
      <w:r w:rsidR="00202B5F" w:rsidRPr="00564F77">
        <w:rPr>
          <w:rFonts w:ascii="Titillium" w:eastAsia="Times New Roman" w:hAnsi="Titillium" w:cs="Times New Roman"/>
          <w:lang w:eastAsia="it-IT"/>
        </w:rPr>
        <w:t xml:space="preserve"> relativo alla disciplina dell'elenco nazionale dei componenti degli organismi indipendenti di valutazione</w:t>
      </w:r>
      <w:r w:rsidRPr="00564F77">
        <w:rPr>
          <w:rFonts w:ascii="Titillium" w:hAnsi="Titillium"/>
        </w:rPr>
        <w:t>;</w:t>
      </w:r>
    </w:p>
    <w:p w14:paraId="33F3D3DF" w14:textId="5B01DB42" w:rsidR="00AD1FF1" w:rsidRPr="00F57922" w:rsidRDefault="00AD1FF1" w:rsidP="00B8094A">
      <w:pPr>
        <w:pStyle w:val="NormaleWeb"/>
        <w:spacing w:before="60" w:beforeAutospacing="0" w:after="60" w:afterAutospacing="0" w:line="360" w:lineRule="auto"/>
        <w:jc w:val="both"/>
        <w:rPr>
          <w:rFonts w:ascii="Titillium" w:hAnsi="Titillium"/>
          <w:b/>
          <w:sz w:val="22"/>
          <w:szCs w:val="22"/>
        </w:rPr>
      </w:pPr>
      <w:r w:rsidRPr="005526D4">
        <w:rPr>
          <w:rFonts w:ascii="Gotham Light" w:hAnsi="Gotham Light"/>
          <w:b/>
          <w:color w:val="2E74B5" w:themeColor="accent1" w:themeShade="BF"/>
          <w:sz w:val="22"/>
          <w:szCs w:val="22"/>
        </w:rPr>
        <w:t>CONSIDERATO</w:t>
      </w:r>
      <w:r w:rsidRPr="001F5607">
        <w:rPr>
          <w:rStyle w:val="Enfasigrassetto"/>
          <w:rFonts w:ascii="Titillium" w:eastAsiaTheme="majorEastAsia" w:hAnsi="Titillium"/>
          <w:sz w:val="22"/>
          <w:szCs w:val="22"/>
        </w:rPr>
        <w:t xml:space="preserve"> </w:t>
      </w:r>
      <w:r w:rsidRPr="001F5607">
        <w:rPr>
          <w:rFonts w:ascii="Titillium" w:hAnsi="Titillium"/>
          <w:bCs/>
          <w:sz w:val="22"/>
          <w:szCs w:val="22"/>
        </w:rPr>
        <w:t>che l’art. 53 del Regolamento sull’ordinamento giuridico ed eco</w:t>
      </w:r>
      <w:r w:rsidR="00F57922" w:rsidRPr="001F5607">
        <w:rPr>
          <w:rFonts w:ascii="Titillium" w:hAnsi="Titillium"/>
          <w:bCs/>
          <w:sz w:val="22"/>
          <w:szCs w:val="22"/>
        </w:rPr>
        <w:t xml:space="preserve">nomico del personale </w:t>
      </w:r>
      <w:r w:rsidR="00E6321B">
        <w:rPr>
          <w:rFonts w:ascii="Titillium" w:hAnsi="Titillium"/>
          <w:bCs/>
          <w:sz w:val="22"/>
          <w:szCs w:val="22"/>
        </w:rPr>
        <w:t xml:space="preserve">A.N.AC. </w:t>
      </w:r>
      <w:r w:rsidR="00F57922" w:rsidRPr="001F5607">
        <w:rPr>
          <w:rFonts w:ascii="Titillium" w:hAnsi="Titillium"/>
          <w:bCs/>
          <w:sz w:val="22"/>
          <w:szCs w:val="22"/>
        </w:rPr>
        <w:t xml:space="preserve">prevede l’affidamento, previa procedura comparativa pubblica, dell’incarico di esperto in materia di valutazione delle </w:t>
      </w:r>
      <w:r w:rsidR="00171D89" w:rsidRPr="00171D89">
        <w:rPr>
          <w:rFonts w:ascii="Titillium" w:hAnsi="Titillium"/>
          <w:bCs/>
          <w:i/>
          <w:sz w:val="22"/>
          <w:szCs w:val="22"/>
        </w:rPr>
        <w:t>performance</w:t>
      </w:r>
      <w:r w:rsidR="00F57922" w:rsidRPr="001F5607">
        <w:rPr>
          <w:rFonts w:ascii="Titillium" w:hAnsi="Titillium"/>
          <w:bCs/>
          <w:sz w:val="22"/>
          <w:szCs w:val="22"/>
        </w:rPr>
        <w:t xml:space="preserve"> e del premio di risultato</w:t>
      </w:r>
      <w:r w:rsidR="00E7146B">
        <w:rPr>
          <w:rFonts w:ascii="Titillium" w:hAnsi="Titillium"/>
          <w:bCs/>
          <w:sz w:val="22"/>
          <w:szCs w:val="22"/>
        </w:rPr>
        <w:t>;</w:t>
      </w:r>
      <w:r w:rsidR="00F57922" w:rsidRPr="00472473">
        <w:rPr>
          <w:rFonts w:ascii="Titillium" w:hAnsi="Titillium"/>
          <w:sz w:val="22"/>
          <w:szCs w:val="22"/>
        </w:rPr>
        <w:t xml:space="preserve"> </w:t>
      </w:r>
      <w:r w:rsidR="00F57922">
        <w:rPr>
          <w:rFonts w:ascii="Titillium" w:hAnsi="Titillium"/>
          <w:sz w:val="22"/>
          <w:szCs w:val="22"/>
        </w:rPr>
        <w:t xml:space="preserve"> </w:t>
      </w:r>
    </w:p>
    <w:p w14:paraId="2C13D2D4" w14:textId="40721E54" w:rsidR="00AD1FF1" w:rsidRPr="00472473" w:rsidRDefault="56CDB820" w:rsidP="24C1819B">
      <w:pPr>
        <w:pStyle w:val="NormaleWeb"/>
        <w:spacing w:before="60" w:beforeAutospacing="0" w:after="60" w:afterAutospacing="0" w:line="360" w:lineRule="auto"/>
        <w:jc w:val="both"/>
        <w:rPr>
          <w:rFonts w:ascii="Titillium" w:hAnsi="Titillium"/>
          <w:sz w:val="22"/>
          <w:szCs w:val="22"/>
        </w:rPr>
      </w:pPr>
      <w:r w:rsidRPr="24C1819B">
        <w:rPr>
          <w:rFonts w:ascii="Gotham Light" w:hAnsi="Gotham Light"/>
          <w:b/>
          <w:bCs/>
          <w:color w:val="2E74B5" w:themeColor="accent1" w:themeShade="BF"/>
          <w:sz w:val="22"/>
          <w:szCs w:val="22"/>
        </w:rPr>
        <w:t xml:space="preserve">VISTO </w:t>
      </w:r>
      <w:r w:rsidRPr="24C1819B">
        <w:rPr>
          <w:rFonts w:ascii="Titillium" w:hAnsi="Titillium"/>
          <w:sz w:val="22"/>
          <w:szCs w:val="22"/>
        </w:rPr>
        <w:t>l’art. 29 del Regolamento concernente l’organizzazione e il funzionamento dell’Au</w:t>
      </w:r>
      <w:r w:rsidR="1514BEE8" w:rsidRPr="24C1819B">
        <w:rPr>
          <w:rFonts w:ascii="Titillium" w:hAnsi="Titillium"/>
          <w:sz w:val="22"/>
          <w:szCs w:val="22"/>
        </w:rPr>
        <w:t>torità Nazionale Anticorruzione</w:t>
      </w:r>
      <w:r w:rsidRPr="24C1819B">
        <w:rPr>
          <w:rFonts w:ascii="Titillium" w:hAnsi="Titillium"/>
          <w:sz w:val="22"/>
          <w:szCs w:val="22"/>
        </w:rPr>
        <w:t xml:space="preserve">, ove sono individuate le attività dell’Esperto </w:t>
      </w:r>
      <w:r w:rsidR="0EEDF3C6" w:rsidRPr="24C1819B">
        <w:rPr>
          <w:rFonts w:ascii="Titillium" w:hAnsi="Titillium"/>
          <w:sz w:val="22"/>
          <w:szCs w:val="22"/>
        </w:rPr>
        <w:t xml:space="preserve">per la </w:t>
      </w:r>
      <w:r w:rsidRPr="24C1819B">
        <w:rPr>
          <w:rFonts w:ascii="Titillium" w:hAnsi="Titillium"/>
          <w:sz w:val="22"/>
          <w:szCs w:val="22"/>
        </w:rPr>
        <w:t xml:space="preserve">valutazione delle </w:t>
      </w:r>
      <w:r w:rsidR="152071FD" w:rsidRPr="24C1819B">
        <w:rPr>
          <w:rFonts w:ascii="Titillium" w:hAnsi="Titillium"/>
          <w:i/>
          <w:iCs/>
          <w:sz w:val="22"/>
          <w:szCs w:val="22"/>
        </w:rPr>
        <w:t>performance</w:t>
      </w:r>
      <w:r w:rsidRPr="24C1819B">
        <w:rPr>
          <w:rFonts w:ascii="Titillium" w:hAnsi="Titillium"/>
          <w:sz w:val="22"/>
          <w:szCs w:val="22"/>
        </w:rPr>
        <w:t>, unitamente ai</w:t>
      </w:r>
      <w:r w:rsidR="28F684A2" w:rsidRPr="24C1819B">
        <w:rPr>
          <w:rFonts w:ascii="Titillium" w:hAnsi="Titillium"/>
          <w:sz w:val="22"/>
          <w:szCs w:val="22"/>
        </w:rPr>
        <w:t xml:space="preserve"> criteri di professionalità e competenza</w:t>
      </w:r>
      <w:r w:rsidRPr="24C1819B">
        <w:rPr>
          <w:rFonts w:ascii="Titillium" w:hAnsi="Titillium"/>
          <w:sz w:val="22"/>
          <w:szCs w:val="22"/>
        </w:rPr>
        <w:t xml:space="preserve"> dello stesso, la durata dell’incarico e il compenso</w:t>
      </w:r>
      <w:r w:rsidR="1BCF8555" w:rsidRPr="24C1819B">
        <w:rPr>
          <w:rFonts w:ascii="Titillium" w:hAnsi="Titillium"/>
          <w:sz w:val="22"/>
          <w:szCs w:val="22"/>
        </w:rPr>
        <w:t>,</w:t>
      </w:r>
      <w:r w:rsidRPr="24C1819B">
        <w:rPr>
          <w:rFonts w:ascii="Titillium" w:hAnsi="Titillium"/>
          <w:sz w:val="22"/>
          <w:szCs w:val="22"/>
        </w:rPr>
        <w:t xml:space="preserve"> </w:t>
      </w:r>
      <w:r w:rsidR="0EEDF3C6" w:rsidRPr="24C1819B">
        <w:rPr>
          <w:rFonts w:ascii="Titillium" w:hAnsi="Titillium"/>
          <w:sz w:val="22"/>
          <w:szCs w:val="22"/>
        </w:rPr>
        <w:t xml:space="preserve">come </w:t>
      </w:r>
      <w:r w:rsidRPr="24C1819B">
        <w:rPr>
          <w:rFonts w:ascii="Titillium" w:hAnsi="Titillium"/>
          <w:sz w:val="22"/>
          <w:szCs w:val="22"/>
        </w:rPr>
        <w:t xml:space="preserve">definiti </w:t>
      </w:r>
      <w:r w:rsidR="0EEDF3C6" w:rsidRPr="24C1819B">
        <w:rPr>
          <w:rFonts w:ascii="Titillium" w:hAnsi="Titillium"/>
          <w:sz w:val="22"/>
          <w:szCs w:val="22"/>
        </w:rPr>
        <w:t xml:space="preserve">dal Consiglio </w:t>
      </w:r>
      <w:r w:rsidR="29492268" w:rsidRPr="24C1819B">
        <w:rPr>
          <w:rFonts w:ascii="Titillium" w:hAnsi="Titillium"/>
          <w:sz w:val="22"/>
          <w:szCs w:val="22"/>
        </w:rPr>
        <w:t xml:space="preserve">dell’A.N.AC. </w:t>
      </w:r>
      <w:r w:rsidRPr="24C1819B">
        <w:rPr>
          <w:rFonts w:ascii="Titillium" w:hAnsi="Titillium"/>
          <w:sz w:val="22"/>
          <w:szCs w:val="22"/>
        </w:rPr>
        <w:t xml:space="preserve">con delibera n. </w:t>
      </w:r>
      <w:r w:rsidR="60A3D804" w:rsidRPr="24C1819B">
        <w:rPr>
          <w:rFonts w:ascii="Titillium" w:hAnsi="Titillium"/>
          <w:sz w:val="22"/>
          <w:szCs w:val="22"/>
        </w:rPr>
        <w:t>656</w:t>
      </w:r>
      <w:r w:rsidRPr="24C1819B">
        <w:rPr>
          <w:rFonts w:ascii="Titillium" w:hAnsi="Titillium"/>
          <w:sz w:val="22"/>
          <w:szCs w:val="22"/>
        </w:rPr>
        <w:t xml:space="preserve"> del </w:t>
      </w:r>
      <w:r w:rsidR="60A3D804" w:rsidRPr="24C1819B">
        <w:rPr>
          <w:rFonts w:ascii="Titillium" w:hAnsi="Titillium"/>
          <w:sz w:val="22"/>
          <w:szCs w:val="22"/>
        </w:rPr>
        <w:t>28 settembre 2021</w:t>
      </w:r>
      <w:r w:rsidR="0D741021" w:rsidRPr="24C1819B">
        <w:rPr>
          <w:rFonts w:ascii="Titillium" w:hAnsi="Titillium"/>
          <w:sz w:val="22"/>
          <w:szCs w:val="22"/>
        </w:rPr>
        <w:t xml:space="preserve">, tenuto conto delle modifiche di cui al </w:t>
      </w:r>
      <w:r w:rsidR="0D741021" w:rsidRPr="007D1A3B">
        <w:rPr>
          <w:rFonts w:ascii="Titillium" w:hAnsi="Titillium"/>
          <w:sz w:val="22"/>
          <w:szCs w:val="22"/>
        </w:rPr>
        <w:t xml:space="preserve">D.M. del 7 agosto 2023 della Presidenza del </w:t>
      </w:r>
      <w:proofErr w:type="gramStart"/>
      <w:r w:rsidR="0D741021" w:rsidRPr="007D1A3B">
        <w:rPr>
          <w:rFonts w:ascii="Titillium" w:hAnsi="Titillium"/>
          <w:sz w:val="22"/>
          <w:szCs w:val="22"/>
        </w:rPr>
        <w:t>Consiglio dei Ministri</w:t>
      </w:r>
      <w:proofErr w:type="gramEnd"/>
      <w:r w:rsidR="0D741021" w:rsidRPr="007D1A3B">
        <w:rPr>
          <w:rFonts w:ascii="Titillium" w:hAnsi="Titillium"/>
          <w:sz w:val="22"/>
          <w:szCs w:val="22"/>
        </w:rPr>
        <w:t xml:space="preserve"> – Dipartimento della Funzione Pubblica, relativo alla disciplina dell'elenco nazionale dei componenti degli organismi indipendenti di valutazione</w:t>
      </w:r>
      <w:r w:rsidRPr="24C1819B">
        <w:rPr>
          <w:rFonts w:ascii="Titillium" w:hAnsi="Titillium"/>
          <w:sz w:val="22"/>
          <w:szCs w:val="22"/>
        </w:rPr>
        <w:t>;</w:t>
      </w:r>
    </w:p>
    <w:p w14:paraId="00608590" w14:textId="2B2895E1" w:rsidR="003443C4" w:rsidRDefault="6AF42C10" w:rsidP="24C1819B">
      <w:pPr>
        <w:spacing w:before="60" w:after="60" w:line="360" w:lineRule="auto"/>
        <w:jc w:val="both"/>
        <w:rPr>
          <w:rFonts w:ascii="Titillium" w:eastAsia="Times New Roman" w:hAnsi="Titillium" w:cs="Times New Roman"/>
          <w:lang w:eastAsia="it-IT"/>
        </w:rPr>
      </w:pPr>
      <w:r w:rsidRPr="24C1819B">
        <w:rPr>
          <w:rFonts w:ascii="Gotham Light" w:eastAsia="Times New Roman" w:hAnsi="Gotham Light" w:cs="Times New Roman"/>
          <w:b/>
          <w:bCs/>
          <w:color w:val="2E74B5" w:themeColor="accent1" w:themeShade="BF"/>
          <w:lang w:eastAsia="it-IT"/>
        </w:rPr>
        <w:t>TENUTO CONTO</w:t>
      </w:r>
      <w:r w:rsidRPr="24C1819B">
        <w:rPr>
          <w:rFonts w:ascii="Titillium" w:eastAsia="Times New Roman" w:hAnsi="Titillium" w:cs="Times New Roman"/>
          <w:lang w:eastAsia="it-IT"/>
        </w:rPr>
        <w:t xml:space="preserve"> della scadenza in data 30 novembre 202</w:t>
      </w:r>
      <w:r w:rsidR="6CC68242" w:rsidRPr="24C1819B">
        <w:rPr>
          <w:rFonts w:ascii="Titillium" w:eastAsia="Times New Roman" w:hAnsi="Titillium" w:cs="Times New Roman"/>
          <w:lang w:eastAsia="it-IT"/>
        </w:rPr>
        <w:t>4</w:t>
      </w:r>
      <w:r w:rsidRPr="24C1819B">
        <w:rPr>
          <w:rFonts w:ascii="Titillium" w:eastAsia="Times New Roman" w:hAnsi="Titillium" w:cs="Times New Roman"/>
          <w:lang w:eastAsia="it-IT"/>
        </w:rPr>
        <w:t xml:space="preserve"> dell’incarico di Esperto di valutazione delle </w:t>
      </w:r>
      <w:r w:rsidR="152071FD" w:rsidRPr="24C1819B">
        <w:rPr>
          <w:rFonts w:ascii="Titillium" w:eastAsia="Times New Roman" w:hAnsi="Titillium" w:cs="Times New Roman"/>
          <w:i/>
          <w:iCs/>
          <w:lang w:eastAsia="it-IT"/>
        </w:rPr>
        <w:t>performance</w:t>
      </w:r>
      <w:r w:rsidRPr="24C1819B">
        <w:rPr>
          <w:rFonts w:ascii="Titillium" w:eastAsia="Times New Roman" w:hAnsi="Titillium" w:cs="Times New Roman"/>
          <w:lang w:eastAsia="it-IT"/>
        </w:rPr>
        <w:t xml:space="preserve"> in ottemperanza della Delibera </w:t>
      </w:r>
      <w:r w:rsidR="6CC68242" w:rsidRPr="24C1819B">
        <w:rPr>
          <w:rFonts w:ascii="Titillium" w:eastAsia="Times New Roman" w:hAnsi="Titillium" w:cs="Times New Roman"/>
          <w:lang w:eastAsia="it-IT"/>
        </w:rPr>
        <w:t xml:space="preserve">n. 758 </w:t>
      </w:r>
      <w:r w:rsidRPr="24C1819B">
        <w:rPr>
          <w:rFonts w:ascii="Titillium" w:eastAsia="Times New Roman" w:hAnsi="Titillium" w:cs="Times New Roman"/>
          <w:lang w:eastAsia="it-IT"/>
        </w:rPr>
        <w:t xml:space="preserve">del </w:t>
      </w:r>
      <w:r w:rsidR="6CC68242" w:rsidRPr="24C1819B">
        <w:rPr>
          <w:rFonts w:ascii="Titillium" w:eastAsia="Times New Roman" w:hAnsi="Titillium" w:cs="Times New Roman"/>
          <w:lang w:eastAsia="it-IT"/>
        </w:rPr>
        <w:t>24</w:t>
      </w:r>
      <w:r w:rsidRPr="24C1819B">
        <w:rPr>
          <w:rFonts w:ascii="Titillium" w:eastAsia="Times New Roman" w:hAnsi="Titillium" w:cs="Times New Roman"/>
          <w:lang w:eastAsia="it-IT"/>
        </w:rPr>
        <w:t>/1</w:t>
      </w:r>
      <w:r w:rsidR="6CC68242" w:rsidRPr="24C1819B">
        <w:rPr>
          <w:rFonts w:ascii="Titillium" w:eastAsia="Times New Roman" w:hAnsi="Titillium" w:cs="Times New Roman"/>
          <w:lang w:eastAsia="it-IT"/>
        </w:rPr>
        <w:t>1</w:t>
      </w:r>
      <w:r w:rsidRPr="24C1819B">
        <w:rPr>
          <w:rFonts w:ascii="Titillium" w:eastAsia="Times New Roman" w:hAnsi="Titillium" w:cs="Times New Roman"/>
          <w:lang w:eastAsia="it-IT"/>
        </w:rPr>
        <w:t>/20</w:t>
      </w:r>
      <w:r w:rsidR="6CC68242" w:rsidRPr="24C1819B">
        <w:rPr>
          <w:rFonts w:ascii="Titillium" w:eastAsia="Times New Roman" w:hAnsi="Titillium" w:cs="Times New Roman"/>
          <w:lang w:eastAsia="it-IT"/>
        </w:rPr>
        <w:t>21</w:t>
      </w:r>
      <w:r w:rsidRPr="24C1819B">
        <w:rPr>
          <w:rFonts w:ascii="Titillium" w:eastAsia="Times New Roman" w:hAnsi="Titillium" w:cs="Times New Roman"/>
          <w:lang w:eastAsia="it-IT"/>
        </w:rPr>
        <w:t>;</w:t>
      </w:r>
    </w:p>
    <w:p w14:paraId="11F08323" w14:textId="44D3D591" w:rsidR="009C2089" w:rsidRPr="00472473" w:rsidRDefault="35D01BCA" w:rsidP="24C1819B">
      <w:pPr>
        <w:spacing w:before="60" w:after="60" w:line="360" w:lineRule="auto"/>
        <w:jc w:val="both"/>
        <w:rPr>
          <w:rFonts w:ascii="Titillium" w:eastAsia="Times New Roman" w:hAnsi="Titillium" w:cs="Times New Roman"/>
          <w:lang w:eastAsia="it-IT"/>
        </w:rPr>
      </w:pPr>
      <w:r w:rsidRPr="24C1819B">
        <w:rPr>
          <w:rFonts w:ascii="Gotham Light" w:eastAsia="Times New Roman" w:hAnsi="Gotham Light" w:cs="Times New Roman"/>
          <w:b/>
          <w:bCs/>
          <w:color w:val="2E74B5" w:themeColor="accent1" w:themeShade="BF"/>
          <w:lang w:eastAsia="it-IT"/>
        </w:rPr>
        <w:t>VISTA</w:t>
      </w:r>
      <w:r w:rsidRPr="24C1819B">
        <w:rPr>
          <w:rFonts w:ascii="Titillium" w:eastAsia="Times New Roman" w:hAnsi="Titillium" w:cs="Times New Roman"/>
          <w:b/>
          <w:bCs/>
          <w:lang w:eastAsia="it-IT"/>
        </w:rPr>
        <w:t xml:space="preserve"> </w:t>
      </w:r>
      <w:r w:rsidRPr="24C1819B">
        <w:rPr>
          <w:rFonts w:ascii="Titillium" w:eastAsia="Times New Roman" w:hAnsi="Titillium" w:cs="Times New Roman"/>
          <w:lang w:eastAsia="it-IT"/>
        </w:rPr>
        <w:t>la decisione assunta nel corso dell’adunanza del</w:t>
      </w:r>
      <w:r w:rsidR="7670A750" w:rsidRPr="24C1819B">
        <w:rPr>
          <w:rFonts w:ascii="Titillium" w:eastAsia="Times New Roman" w:hAnsi="Titillium" w:cs="Times New Roman"/>
          <w:lang w:eastAsia="it-IT"/>
        </w:rPr>
        <w:t>l’</w:t>
      </w:r>
      <w:r w:rsidR="29492268" w:rsidRPr="24C1819B">
        <w:rPr>
          <w:rFonts w:ascii="Titillium" w:eastAsia="Times New Roman" w:hAnsi="Titillium" w:cs="Times New Roman"/>
          <w:lang w:eastAsia="it-IT"/>
        </w:rPr>
        <w:t>1</w:t>
      </w:r>
      <w:r w:rsidR="06FB189C" w:rsidRPr="24C1819B">
        <w:rPr>
          <w:rFonts w:ascii="Titillium" w:eastAsia="Times New Roman" w:hAnsi="Titillium" w:cs="Times New Roman"/>
          <w:lang w:eastAsia="it-IT"/>
        </w:rPr>
        <w:t>9</w:t>
      </w:r>
      <w:r w:rsidRPr="24C1819B">
        <w:rPr>
          <w:rFonts w:ascii="Titillium" w:eastAsia="Times New Roman" w:hAnsi="Titillium" w:cs="Times New Roman"/>
          <w:lang w:eastAsia="it-IT"/>
        </w:rPr>
        <w:t xml:space="preserve"> </w:t>
      </w:r>
      <w:r w:rsidR="7D7946A2" w:rsidRPr="24C1819B">
        <w:rPr>
          <w:rFonts w:ascii="Titillium" w:eastAsia="Times New Roman" w:hAnsi="Titillium" w:cs="Times New Roman"/>
          <w:lang w:eastAsia="it-IT"/>
        </w:rPr>
        <w:t>settembre</w:t>
      </w:r>
      <w:r w:rsidR="6AF42C10" w:rsidRPr="24C1819B">
        <w:rPr>
          <w:rFonts w:ascii="Titillium" w:eastAsia="Times New Roman" w:hAnsi="Titillium" w:cs="Times New Roman"/>
          <w:lang w:eastAsia="it-IT"/>
        </w:rPr>
        <w:t xml:space="preserve"> 202</w:t>
      </w:r>
      <w:r w:rsidR="29492268" w:rsidRPr="24C1819B">
        <w:rPr>
          <w:rFonts w:ascii="Titillium" w:eastAsia="Times New Roman" w:hAnsi="Titillium" w:cs="Times New Roman"/>
          <w:lang w:eastAsia="it-IT"/>
        </w:rPr>
        <w:t>4</w:t>
      </w:r>
      <w:r w:rsidRPr="24C1819B">
        <w:rPr>
          <w:rFonts w:ascii="Titillium" w:eastAsia="Times New Roman" w:hAnsi="Titillium" w:cs="Times New Roman"/>
          <w:lang w:eastAsia="it-IT"/>
        </w:rPr>
        <w:t>, con la quale</w:t>
      </w:r>
      <w:r w:rsidR="7D7946A2" w:rsidRPr="24C1819B">
        <w:rPr>
          <w:rFonts w:ascii="Titillium" w:eastAsia="Times New Roman" w:hAnsi="Titillium" w:cs="Times New Roman"/>
          <w:lang w:eastAsia="it-IT"/>
        </w:rPr>
        <w:t xml:space="preserve"> </w:t>
      </w:r>
      <w:r w:rsidR="6AF42C10" w:rsidRPr="24C1819B">
        <w:rPr>
          <w:rFonts w:ascii="Titillium" w:eastAsia="Times New Roman" w:hAnsi="Titillium" w:cs="Times New Roman"/>
          <w:lang w:eastAsia="it-IT"/>
        </w:rPr>
        <w:t>il Consiglio</w:t>
      </w:r>
      <w:r w:rsidR="6CC68242" w:rsidRPr="24C1819B">
        <w:rPr>
          <w:rFonts w:ascii="Titillium" w:eastAsia="Times New Roman" w:hAnsi="Titillium" w:cs="Times New Roman"/>
          <w:lang w:eastAsia="it-IT"/>
        </w:rPr>
        <w:t xml:space="preserve">, su proposta del Segretario Generale, </w:t>
      </w:r>
      <w:r w:rsidR="6510972F" w:rsidRPr="24C1819B">
        <w:rPr>
          <w:rFonts w:ascii="Titillium" w:eastAsia="Times New Roman" w:hAnsi="Titillium" w:cs="Times New Roman"/>
          <w:lang w:eastAsia="it-IT"/>
        </w:rPr>
        <w:t xml:space="preserve">ha </w:t>
      </w:r>
      <w:r w:rsidR="166E47E9" w:rsidRPr="24C1819B">
        <w:rPr>
          <w:rFonts w:ascii="Titillium" w:eastAsia="Times New Roman" w:hAnsi="Titillium" w:cs="Times New Roman"/>
          <w:lang w:eastAsia="it-IT"/>
        </w:rPr>
        <w:t xml:space="preserve">approvato </w:t>
      </w:r>
      <w:r w:rsidR="7D7946A2" w:rsidRPr="24C1819B">
        <w:rPr>
          <w:rFonts w:ascii="Titillium" w:eastAsia="Times New Roman" w:hAnsi="Titillium" w:cs="Times New Roman"/>
          <w:lang w:eastAsia="it-IT"/>
        </w:rPr>
        <w:t>l’avvi</w:t>
      </w:r>
      <w:r w:rsidR="166E47E9" w:rsidRPr="24C1819B">
        <w:rPr>
          <w:rFonts w:ascii="Titillium" w:eastAsia="Times New Roman" w:hAnsi="Titillium" w:cs="Times New Roman"/>
          <w:lang w:eastAsia="it-IT"/>
        </w:rPr>
        <w:t>s</w:t>
      </w:r>
      <w:r w:rsidR="7D7946A2" w:rsidRPr="24C1819B">
        <w:rPr>
          <w:rFonts w:ascii="Titillium" w:eastAsia="Times New Roman" w:hAnsi="Titillium" w:cs="Times New Roman"/>
          <w:lang w:eastAsia="it-IT"/>
        </w:rPr>
        <w:t>o della selezione pubblica</w:t>
      </w:r>
      <w:r w:rsidR="6AF42C10" w:rsidRPr="24C1819B">
        <w:rPr>
          <w:rFonts w:ascii="Titillium" w:eastAsia="Times New Roman" w:hAnsi="Titillium" w:cs="Times New Roman"/>
          <w:lang w:eastAsia="it-IT"/>
        </w:rPr>
        <w:t xml:space="preserve"> per il conferimento dell’incarico di esperto </w:t>
      </w:r>
      <w:r w:rsidR="70BF4993" w:rsidRPr="24C1819B">
        <w:rPr>
          <w:rFonts w:ascii="Titillium" w:eastAsia="Times New Roman" w:hAnsi="Titillium" w:cs="Times New Roman"/>
          <w:lang w:eastAsia="it-IT"/>
        </w:rPr>
        <w:t xml:space="preserve">per la valutazione delle </w:t>
      </w:r>
      <w:r w:rsidR="152071FD" w:rsidRPr="24C1819B">
        <w:rPr>
          <w:rFonts w:ascii="Titillium" w:eastAsia="Times New Roman" w:hAnsi="Titillium" w:cs="Times New Roman"/>
          <w:i/>
          <w:iCs/>
          <w:lang w:eastAsia="it-IT"/>
        </w:rPr>
        <w:t>performance</w:t>
      </w:r>
      <w:r w:rsidR="45B1030F" w:rsidRPr="24C1819B">
        <w:rPr>
          <w:rFonts w:ascii="Titillium" w:eastAsia="Times New Roman" w:hAnsi="Titillium" w:cs="Times New Roman"/>
          <w:lang w:eastAsia="it-IT"/>
        </w:rPr>
        <w:t>;</w:t>
      </w:r>
    </w:p>
    <w:p w14:paraId="52E3946E" w14:textId="0DB4EB2E" w:rsidR="00854AC8" w:rsidRDefault="46723587" w:rsidP="24C1819B">
      <w:pPr>
        <w:spacing w:before="60" w:after="60" w:line="360" w:lineRule="auto"/>
        <w:jc w:val="both"/>
        <w:rPr>
          <w:rFonts w:ascii="Titillium" w:eastAsia="Times New Roman" w:hAnsi="Titillium" w:cs="Times New Roman"/>
          <w:lang w:eastAsia="it-IT"/>
        </w:rPr>
      </w:pPr>
      <w:r w:rsidRPr="24C1819B">
        <w:rPr>
          <w:rFonts w:ascii="Gotham Light" w:eastAsia="Times New Roman" w:hAnsi="Gotham Light" w:cs="Times New Roman"/>
          <w:b/>
          <w:bCs/>
          <w:color w:val="2E74B5" w:themeColor="accent1" w:themeShade="BF"/>
          <w:lang w:eastAsia="it-IT"/>
        </w:rPr>
        <w:t>CONSIDERATO</w:t>
      </w:r>
      <w:r w:rsidR="6510972F" w:rsidRPr="24C1819B">
        <w:rPr>
          <w:rFonts w:ascii="Titillium" w:hAnsi="Titillium"/>
        </w:rPr>
        <w:t xml:space="preserve"> </w:t>
      </w:r>
      <w:r w:rsidR="6510972F" w:rsidRPr="24C1819B">
        <w:rPr>
          <w:rFonts w:ascii="Titillium" w:eastAsia="Times New Roman" w:hAnsi="Titillium" w:cs="Times New Roman"/>
          <w:lang w:eastAsia="it-IT"/>
        </w:rPr>
        <w:t>che, nell’esercizio dell’autonomia regolamentare prevista dall’art.</w:t>
      </w:r>
      <w:r w:rsidR="22F720AC" w:rsidRPr="24C1819B">
        <w:rPr>
          <w:rFonts w:ascii="Titillium" w:eastAsia="Times New Roman" w:hAnsi="Titillium" w:cs="Times New Roman"/>
          <w:lang w:eastAsia="it-IT"/>
        </w:rPr>
        <w:t xml:space="preserve"> </w:t>
      </w:r>
      <w:r w:rsidR="6510972F" w:rsidRPr="24C1819B">
        <w:rPr>
          <w:rFonts w:ascii="Titillium" w:eastAsia="Times New Roman" w:hAnsi="Titillium" w:cs="Times New Roman"/>
          <w:lang w:eastAsia="it-IT"/>
        </w:rPr>
        <w:t>52 quater del decreto legge 24 aprile 2017, n. 50 conv</w:t>
      </w:r>
      <w:r w:rsidR="52FF78B5" w:rsidRPr="24C1819B">
        <w:rPr>
          <w:rFonts w:ascii="Titillium" w:eastAsia="Times New Roman" w:hAnsi="Titillium" w:cs="Times New Roman"/>
          <w:lang w:eastAsia="it-IT"/>
        </w:rPr>
        <w:t>ertito nella</w:t>
      </w:r>
      <w:r w:rsidR="6510972F" w:rsidRPr="24C1819B">
        <w:rPr>
          <w:rFonts w:ascii="Titillium" w:eastAsia="Times New Roman" w:hAnsi="Titillium" w:cs="Times New Roman"/>
          <w:lang w:eastAsia="it-IT"/>
        </w:rPr>
        <w:t xml:space="preserve"> L. 21 giugno 2017, n. 96 e da ultimo modificato dall’art. 1, comma 298 della legge 27 dicembre 2017, n. 205, l’Autorità </w:t>
      </w:r>
      <w:r w:rsidRPr="24C1819B">
        <w:rPr>
          <w:rFonts w:ascii="Titillium" w:eastAsia="Times New Roman" w:hAnsi="Titillium" w:cs="Times New Roman"/>
          <w:lang w:eastAsia="it-IT"/>
        </w:rPr>
        <w:t xml:space="preserve">intende </w:t>
      </w:r>
      <w:r w:rsidR="6510972F" w:rsidRPr="24C1819B">
        <w:rPr>
          <w:rFonts w:ascii="Titillium" w:eastAsia="Times New Roman" w:hAnsi="Titillium" w:cs="Times New Roman"/>
          <w:lang w:eastAsia="it-IT"/>
        </w:rPr>
        <w:t xml:space="preserve">di </w:t>
      </w:r>
      <w:r w:rsidRPr="24C1819B">
        <w:rPr>
          <w:rFonts w:ascii="Titillium" w:eastAsia="Times New Roman" w:hAnsi="Titillium" w:cs="Times New Roman"/>
          <w:lang w:eastAsia="it-IT"/>
        </w:rPr>
        <w:t xml:space="preserve">continuare ad </w:t>
      </w:r>
      <w:r w:rsidR="6510972F" w:rsidRPr="24C1819B">
        <w:rPr>
          <w:rFonts w:ascii="Titillium" w:eastAsia="Times New Roman" w:hAnsi="Titillium" w:cs="Times New Roman"/>
          <w:lang w:eastAsia="it-IT"/>
        </w:rPr>
        <w:t xml:space="preserve">adeguarsi - nell’ambito del sistema della </w:t>
      </w:r>
      <w:r w:rsidR="152071FD" w:rsidRPr="24C1819B">
        <w:rPr>
          <w:rFonts w:ascii="Titillium" w:eastAsia="Times New Roman" w:hAnsi="Titillium" w:cs="Times New Roman"/>
          <w:i/>
          <w:iCs/>
          <w:lang w:eastAsia="it-IT"/>
        </w:rPr>
        <w:t>performance</w:t>
      </w:r>
      <w:r w:rsidR="6510972F" w:rsidRPr="24C1819B">
        <w:rPr>
          <w:rFonts w:ascii="Titillium" w:eastAsia="Times New Roman" w:hAnsi="Titillium" w:cs="Times New Roman"/>
          <w:lang w:eastAsia="it-IT"/>
        </w:rPr>
        <w:t xml:space="preserve"> – ai principi generali del d.lgs. 27 ottobre 2009, n.</w:t>
      </w:r>
      <w:r w:rsidRPr="24C1819B">
        <w:rPr>
          <w:rFonts w:ascii="Titillium" w:eastAsia="Times New Roman" w:hAnsi="Titillium" w:cs="Times New Roman"/>
          <w:lang w:eastAsia="it-IT"/>
        </w:rPr>
        <w:t xml:space="preserve"> 150, richiedendo pertanto per lo svolgimento dell’incarico di Esperto gli stessi requisiti di competenza, esperienza e integrità previsti per l’OIV</w:t>
      </w:r>
      <w:r w:rsidR="70BF4993" w:rsidRPr="24C1819B">
        <w:rPr>
          <w:rFonts w:ascii="Titillium" w:eastAsia="Times New Roman" w:hAnsi="Titillium" w:cs="Times New Roman"/>
          <w:lang w:eastAsia="it-IT"/>
        </w:rPr>
        <w:t>;</w:t>
      </w:r>
    </w:p>
    <w:p w14:paraId="7FC22970" w14:textId="0CDD78B2" w:rsidR="00FE4D13" w:rsidRPr="00472473" w:rsidRDefault="00FE4D13" w:rsidP="00B8094A">
      <w:pPr>
        <w:spacing w:before="60" w:after="60" w:line="360" w:lineRule="auto"/>
        <w:jc w:val="both"/>
        <w:rPr>
          <w:rFonts w:ascii="Titillium" w:eastAsia="Times New Roman" w:hAnsi="Titillium" w:cs="Times New Roman"/>
          <w:bCs/>
          <w:lang w:eastAsia="it-IT"/>
        </w:rPr>
      </w:pPr>
      <w:r w:rsidRPr="005526D4">
        <w:rPr>
          <w:rFonts w:ascii="Gotham Light" w:eastAsia="Times New Roman" w:hAnsi="Gotham Light" w:cs="Times New Roman"/>
          <w:b/>
          <w:color w:val="2E74B5" w:themeColor="accent1" w:themeShade="BF"/>
          <w:lang w:eastAsia="it-IT"/>
        </w:rPr>
        <w:t>RITENUTO</w:t>
      </w:r>
      <w:r w:rsidRPr="005C6398">
        <w:rPr>
          <w:rFonts w:ascii="Titillium" w:eastAsia="Times New Roman" w:hAnsi="Titillium" w:cs="Times New Roman"/>
          <w:bCs/>
          <w:lang w:eastAsia="it-IT"/>
        </w:rPr>
        <w:t xml:space="preserve"> di procedere all’avvio della</w:t>
      </w:r>
      <w:r w:rsidRPr="005C6398">
        <w:t xml:space="preserve"> </w:t>
      </w:r>
      <w:r w:rsidRPr="005C6398">
        <w:rPr>
          <w:rFonts w:ascii="Titillium" w:eastAsia="Times New Roman" w:hAnsi="Titillium" w:cs="Times New Roman"/>
          <w:bCs/>
          <w:lang w:eastAsia="it-IT"/>
        </w:rPr>
        <w:t xml:space="preserve">procedura comparativa pubblica per l’individuazione del soggetto cui conferire l’incarico di esperto in materia di valutazione delle </w:t>
      </w:r>
      <w:r w:rsidR="00171D89" w:rsidRPr="00171D89">
        <w:rPr>
          <w:rFonts w:ascii="Titillium" w:eastAsia="Times New Roman" w:hAnsi="Titillium" w:cs="Times New Roman"/>
          <w:bCs/>
          <w:i/>
          <w:lang w:eastAsia="it-IT"/>
        </w:rPr>
        <w:t>performance</w:t>
      </w:r>
      <w:r w:rsidRPr="005C6398">
        <w:rPr>
          <w:rFonts w:ascii="Titillium" w:eastAsia="Times New Roman" w:hAnsi="Titillium" w:cs="Times New Roman"/>
          <w:bCs/>
          <w:lang w:eastAsia="it-IT"/>
        </w:rPr>
        <w:t xml:space="preserve"> e del premio di risultato</w:t>
      </w:r>
      <w:r w:rsidR="00EB2131">
        <w:rPr>
          <w:rFonts w:ascii="Titillium" w:eastAsia="Times New Roman" w:hAnsi="Titillium" w:cs="Times New Roman"/>
          <w:bCs/>
          <w:lang w:eastAsia="it-IT"/>
        </w:rPr>
        <w:t>.</w:t>
      </w:r>
    </w:p>
    <w:p w14:paraId="1F25B87A" w14:textId="5702BBFB" w:rsidR="0084516A" w:rsidRPr="00D91333" w:rsidRDefault="00D73F50" w:rsidP="005526D4">
      <w:pPr>
        <w:spacing w:before="120" w:after="120" w:line="360" w:lineRule="auto"/>
        <w:jc w:val="center"/>
        <w:rPr>
          <w:rFonts w:ascii="Titillium" w:hAnsi="Titillium"/>
          <w:b/>
        </w:rPr>
      </w:pPr>
      <w:r>
        <w:rPr>
          <w:rFonts w:ascii="Titillium" w:hAnsi="Titillium"/>
          <w:b/>
        </w:rPr>
        <w:lastRenderedPageBreak/>
        <w:t>EMANA</w:t>
      </w:r>
    </w:p>
    <w:p w14:paraId="26C78C64" w14:textId="1E12460E" w:rsidR="00CD449D" w:rsidRPr="00D91333" w:rsidRDefault="00CB6D6C" w:rsidP="005526D4">
      <w:pPr>
        <w:spacing w:before="120" w:after="120" w:line="360" w:lineRule="auto"/>
        <w:jc w:val="both"/>
        <w:rPr>
          <w:rFonts w:ascii="Titillium" w:hAnsi="Titillium"/>
        </w:rPr>
      </w:pPr>
      <w:r>
        <w:rPr>
          <w:rFonts w:ascii="Titillium" w:hAnsi="Titillium"/>
        </w:rPr>
        <w:t>i</w:t>
      </w:r>
      <w:r w:rsidR="00D73F50">
        <w:rPr>
          <w:rFonts w:ascii="Titillium" w:hAnsi="Titillium"/>
        </w:rPr>
        <w:t xml:space="preserve">l seguente avviso </w:t>
      </w:r>
      <w:r w:rsidR="0084516A" w:rsidRPr="00D91333">
        <w:rPr>
          <w:rFonts w:ascii="Titillium" w:hAnsi="Titillium"/>
        </w:rPr>
        <w:t>per l'acquisizione di manifestazioni d'interesse finalizzat</w:t>
      </w:r>
      <w:r w:rsidR="00A4150F" w:rsidRPr="00D91333">
        <w:rPr>
          <w:rFonts w:ascii="Titillium" w:hAnsi="Titillium"/>
        </w:rPr>
        <w:t>a</w:t>
      </w:r>
      <w:r w:rsidR="0084516A" w:rsidRPr="00D91333">
        <w:rPr>
          <w:rFonts w:ascii="Titillium" w:hAnsi="Titillium"/>
        </w:rPr>
        <w:t xml:space="preserve"> alla nomina</w:t>
      </w:r>
      <w:r w:rsidR="004C3576" w:rsidRPr="00D91333">
        <w:rPr>
          <w:rFonts w:ascii="Titillium" w:hAnsi="Titillium"/>
        </w:rPr>
        <w:t xml:space="preserve"> dell'</w:t>
      </w:r>
      <w:r w:rsidR="00D91333">
        <w:rPr>
          <w:rFonts w:ascii="Titillium" w:hAnsi="Titillium"/>
        </w:rPr>
        <w:t xml:space="preserve">Esperto di valutazione delle </w:t>
      </w:r>
      <w:r w:rsidR="00171D89" w:rsidRPr="00171D89">
        <w:rPr>
          <w:rFonts w:ascii="Titillium" w:hAnsi="Titillium"/>
          <w:i/>
        </w:rPr>
        <w:t>performance</w:t>
      </w:r>
      <w:r w:rsidR="00142AFC" w:rsidRPr="00D91333">
        <w:rPr>
          <w:rFonts w:ascii="Titillium" w:hAnsi="Titillium"/>
        </w:rPr>
        <w:t xml:space="preserve">. </w:t>
      </w:r>
      <w:r w:rsidR="00CD449D" w:rsidRPr="00D91333">
        <w:rPr>
          <w:rFonts w:ascii="Titillium" w:hAnsi="Titillium"/>
        </w:rPr>
        <w:t>La procedura di cui al presente avviso non riveste carattere concorsuale e non darà luogo alla formazione di alcuna gradu</w:t>
      </w:r>
      <w:r w:rsidR="00CE3C5E" w:rsidRPr="00D91333">
        <w:rPr>
          <w:rFonts w:ascii="Titillium" w:hAnsi="Titillium"/>
        </w:rPr>
        <w:t>a</w:t>
      </w:r>
      <w:r w:rsidR="00CD449D" w:rsidRPr="00D91333">
        <w:rPr>
          <w:rFonts w:ascii="Titillium" w:hAnsi="Titillium"/>
        </w:rPr>
        <w:t>toria.</w:t>
      </w:r>
    </w:p>
    <w:p w14:paraId="5061A85A" w14:textId="77777777" w:rsidR="00D15B7C" w:rsidRPr="00472473" w:rsidRDefault="00D15B7C" w:rsidP="005526D4">
      <w:pPr>
        <w:spacing w:before="120" w:after="120" w:line="360" w:lineRule="auto"/>
        <w:jc w:val="both"/>
        <w:rPr>
          <w:rFonts w:ascii="Titillium" w:hAnsi="Titillium"/>
        </w:rPr>
      </w:pPr>
    </w:p>
    <w:p w14:paraId="13C589D0" w14:textId="6E284163" w:rsidR="00D73F50" w:rsidRDefault="00D73F50" w:rsidP="005526D4">
      <w:pPr>
        <w:spacing w:before="120" w:after="120" w:line="240" w:lineRule="auto"/>
        <w:jc w:val="center"/>
        <w:rPr>
          <w:rFonts w:ascii="Titillium" w:hAnsi="Titillium"/>
        </w:rPr>
      </w:pPr>
      <w:r>
        <w:rPr>
          <w:rFonts w:ascii="Titillium" w:hAnsi="Titillium"/>
        </w:rPr>
        <w:t xml:space="preserve">Art. 1 </w:t>
      </w:r>
    </w:p>
    <w:p w14:paraId="196155A6" w14:textId="765DEECB" w:rsidR="00D73F50" w:rsidRPr="00DE0CA1" w:rsidRDefault="00D73F50" w:rsidP="005526D4">
      <w:pPr>
        <w:spacing w:before="120" w:after="120" w:line="240" w:lineRule="auto"/>
        <w:jc w:val="center"/>
        <w:rPr>
          <w:rFonts w:ascii="Titillium" w:hAnsi="Titillium"/>
          <w:b/>
          <w:u w:val="single"/>
        </w:rPr>
      </w:pPr>
      <w:r w:rsidRPr="00DE0CA1">
        <w:rPr>
          <w:rFonts w:ascii="Titillium" w:hAnsi="Titillium"/>
          <w:b/>
          <w:u w:val="single"/>
        </w:rPr>
        <w:t xml:space="preserve">Oggetto dell’incarico </w:t>
      </w:r>
    </w:p>
    <w:p w14:paraId="78B541B4" w14:textId="7EAA85E1" w:rsidR="00DE0CA1" w:rsidRPr="005526D4" w:rsidRDefault="00DE0CA1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 xml:space="preserve">I compiti dell’Esperto di valutazione della </w:t>
      </w:r>
      <w:r w:rsidR="00171D89" w:rsidRPr="00171D89">
        <w:rPr>
          <w:rFonts w:ascii="Titillium" w:hAnsi="Titillium"/>
          <w:i/>
        </w:rPr>
        <w:t>performance</w:t>
      </w:r>
      <w:r w:rsidRPr="005526D4">
        <w:rPr>
          <w:rFonts w:ascii="Titillium" w:hAnsi="Titillium"/>
        </w:rPr>
        <w:t xml:space="preserve"> e del premio di risultato sono indicati all’art. 29 del Regolamento di organizzazione e funzionamento dell’A.N.AC. e vengono </w:t>
      </w:r>
      <w:r w:rsidR="00404D8C" w:rsidRPr="005526D4">
        <w:rPr>
          <w:rFonts w:ascii="Titillium" w:hAnsi="Titillium"/>
        </w:rPr>
        <w:t>di seguito elencati:</w:t>
      </w:r>
      <w:r w:rsidRPr="005526D4">
        <w:rPr>
          <w:rFonts w:ascii="Titillium" w:hAnsi="Titillium"/>
        </w:rPr>
        <w:t xml:space="preserve"> </w:t>
      </w:r>
    </w:p>
    <w:p w14:paraId="4DCB089E" w14:textId="51BC1698" w:rsidR="00DE0CA1" w:rsidRPr="005526D4" w:rsidRDefault="00DE0CA1" w:rsidP="00816772">
      <w:pPr>
        <w:pStyle w:val="Paragrafoelenco"/>
        <w:numPr>
          <w:ilvl w:val="0"/>
          <w:numId w:val="7"/>
        </w:numPr>
        <w:spacing w:before="120" w:after="120" w:line="360" w:lineRule="auto"/>
        <w:ind w:left="284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>l’Esperto è componente della Commissione di valutazione prevista dall’articolo 32 del Regolamento sull’ordinamento giuridico ed economico del personale A.N.AC.</w:t>
      </w:r>
      <w:r w:rsidR="00404D8C" w:rsidRPr="005526D4">
        <w:rPr>
          <w:rFonts w:ascii="Titillium" w:hAnsi="Titillium"/>
        </w:rPr>
        <w:t>;</w:t>
      </w:r>
    </w:p>
    <w:p w14:paraId="5258E4A0" w14:textId="1B50AAE0" w:rsidR="00DE0CA1" w:rsidRPr="005526D4" w:rsidRDefault="00404D8C" w:rsidP="00816772">
      <w:pPr>
        <w:pStyle w:val="Paragrafoelenco"/>
        <w:numPr>
          <w:ilvl w:val="0"/>
          <w:numId w:val="7"/>
        </w:numPr>
        <w:spacing w:before="120" w:after="120" w:line="360" w:lineRule="auto"/>
        <w:ind w:left="284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>s</w:t>
      </w:r>
      <w:r w:rsidR="00DE0CA1" w:rsidRPr="005526D4">
        <w:rPr>
          <w:rFonts w:ascii="Titillium" w:hAnsi="Titillium"/>
        </w:rPr>
        <w:t xml:space="preserve">u specifica richiesta del Presidente o del Consiglio valuta: </w:t>
      </w:r>
    </w:p>
    <w:p w14:paraId="186F88C4" w14:textId="77777777" w:rsidR="00DE0CA1" w:rsidRPr="005526D4" w:rsidRDefault="2B9DE24C" w:rsidP="007D1A3B">
      <w:pPr>
        <w:pStyle w:val="Paragrafoelenco"/>
        <w:numPr>
          <w:ilvl w:val="0"/>
          <w:numId w:val="6"/>
        </w:numPr>
        <w:spacing w:before="120" w:after="120" w:line="360" w:lineRule="auto"/>
        <w:ind w:left="644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la realizzazione da parte degli Uffici delle finalità e degli obiettivi previsti dagli atti regolamentari e dalle direttive del Consiglio; </w:t>
      </w:r>
    </w:p>
    <w:p w14:paraId="6112AAB8" w14:textId="77777777" w:rsidR="00DE0CA1" w:rsidRPr="005526D4" w:rsidRDefault="2B9DE24C" w:rsidP="007D1A3B">
      <w:pPr>
        <w:pStyle w:val="Paragrafoelenco"/>
        <w:numPr>
          <w:ilvl w:val="0"/>
          <w:numId w:val="6"/>
        </w:numPr>
        <w:spacing w:before="120" w:after="120" w:line="360" w:lineRule="auto"/>
        <w:ind w:left="644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la corretta ed economica gestione delle risorse, l’imparzialità e il buon andamento dell’azione amministrativa;</w:t>
      </w:r>
    </w:p>
    <w:p w14:paraId="2D5B9D1A" w14:textId="70AEEC78" w:rsidR="00DE0CA1" w:rsidRPr="005526D4" w:rsidRDefault="2B9DE24C" w:rsidP="007D1A3B">
      <w:pPr>
        <w:pStyle w:val="Paragrafoelenco"/>
        <w:numPr>
          <w:ilvl w:val="0"/>
          <w:numId w:val="6"/>
        </w:numPr>
        <w:spacing w:before="120" w:after="120" w:line="360" w:lineRule="auto"/>
        <w:ind w:left="644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la congruenza tra gli obiettivi programmati ed effettivamente raggiunti dagli Uffici dell’Autorità, anche al fine di fornire al Consiglio le indicazioni e gli elementi necessari al miglioramento dei livelli di efficacia, efficienza e della qualità della gestione amministrativa</w:t>
      </w:r>
      <w:r w:rsidR="3336A4C6" w:rsidRPr="24C1819B">
        <w:rPr>
          <w:rFonts w:ascii="Titillium" w:hAnsi="Titillium"/>
        </w:rPr>
        <w:t>;</w:t>
      </w:r>
    </w:p>
    <w:p w14:paraId="6C45DC2A" w14:textId="0D6C0A6A" w:rsidR="00DE0CA1" w:rsidRPr="005526D4" w:rsidRDefault="00DE0CA1" w:rsidP="00816772">
      <w:pPr>
        <w:pStyle w:val="Paragrafoelenco"/>
        <w:numPr>
          <w:ilvl w:val="0"/>
          <w:numId w:val="7"/>
        </w:numPr>
        <w:spacing w:before="120" w:after="120" w:line="360" w:lineRule="auto"/>
        <w:ind w:left="284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>svolge l’attività di valutazione e controllo strategico finalizzata alla verifica delle scelte operative effettuate per il raggiungimento degli obiettivi fissati dall’Autorità; predispone una relazione annuale nella quale sono indicati, distintamente per ciascun Ufficio e con riferimento alle linee di attività, i risultati dell’attività di valutazione, nonché le eventuali osservazioni e proposte</w:t>
      </w:r>
      <w:r w:rsidR="00404D8C" w:rsidRPr="005526D4">
        <w:rPr>
          <w:rFonts w:ascii="Titillium" w:hAnsi="Titillium"/>
        </w:rPr>
        <w:t>;</w:t>
      </w:r>
      <w:r w:rsidRPr="005526D4">
        <w:rPr>
          <w:rFonts w:ascii="Titillium" w:hAnsi="Titillium"/>
        </w:rPr>
        <w:t xml:space="preserve"> </w:t>
      </w:r>
    </w:p>
    <w:p w14:paraId="3E9C2AF2" w14:textId="170C8F61" w:rsidR="00DE0CA1" w:rsidRPr="005526D4" w:rsidRDefault="00DE0CA1" w:rsidP="00816772">
      <w:pPr>
        <w:pStyle w:val="Paragrafoelenco"/>
        <w:numPr>
          <w:ilvl w:val="0"/>
          <w:numId w:val="7"/>
        </w:numPr>
        <w:spacing w:before="120" w:after="120" w:line="360" w:lineRule="auto"/>
        <w:ind w:left="284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 xml:space="preserve">verifica che il PTPCT sia coerente con gli obiettivi stabiliti nei documenti di programmazione strategico-gestionale e che nella misurazione e valutazione delle </w:t>
      </w:r>
      <w:r w:rsidR="00171D89" w:rsidRPr="00171D89">
        <w:rPr>
          <w:rFonts w:ascii="Titillium" w:hAnsi="Titillium"/>
          <w:i/>
        </w:rPr>
        <w:t>performance</w:t>
      </w:r>
      <w:r w:rsidRPr="005526D4">
        <w:rPr>
          <w:rFonts w:ascii="Titillium" w:hAnsi="Titillium"/>
        </w:rPr>
        <w:t xml:space="preserve"> si tenga conto degli obiettivi connessi all'anticorruzione e alla trasparenza; attesta, ai sensi dell’art. 14, co. 4, lett. g), del d.lgs. n. 150/2009 e delle delibere ANAC al riguardo, l’assolvimento degli obblighi di p</w:t>
      </w:r>
      <w:r w:rsidR="00404D8C" w:rsidRPr="005526D4">
        <w:rPr>
          <w:rFonts w:ascii="Titillium" w:hAnsi="Titillium"/>
        </w:rPr>
        <w:t>ubblicazione previsti dal PTPCT;</w:t>
      </w:r>
    </w:p>
    <w:p w14:paraId="199FAA86" w14:textId="01B2B09B" w:rsidR="00404D8C" w:rsidRPr="005526D4" w:rsidRDefault="70C1B61F" w:rsidP="00816772">
      <w:pPr>
        <w:pStyle w:val="Paragrafoelenco"/>
        <w:numPr>
          <w:ilvl w:val="0"/>
          <w:numId w:val="7"/>
        </w:numPr>
        <w:spacing w:before="120" w:after="120" w:line="360" w:lineRule="auto"/>
        <w:ind w:left="284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p</w:t>
      </w:r>
      <w:r w:rsidR="2B9DE24C" w:rsidRPr="24C1819B">
        <w:rPr>
          <w:rFonts w:ascii="Titillium" w:hAnsi="Titillium"/>
        </w:rPr>
        <w:t xml:space="preserve">er lo svolgimento della propria attività l’Esperto può accedere alla documentazione necessaria all’espletamento delle proprie funzioni e può richiedere informazioni supplementari a tutti gli Uffici, che sono tenuti a comunicarle con le modalità e nei tempi indicati nella </w:t>
      </w:r>
      <w:r w:rsidRPr="24C1819B">
        <w:rPr>
          <w:rFonts w:ascii="Titillium" w:hAnsi="Titillium"/>
        </w:rPr>
        <w:t>richiesta</w:t>
      </w:r>
      <w:r w:rsidR="1D6B8473" w:rsidRPr="24C1819B">
        <w:rPr>
          <w:rFonts w:ascii="Titillium" w:hAnsi="Titillium"/>
        </w:rPr>
        <w:t>.</w:t>
      </w:r>
    </w:p>
    <w:p w14:paraId="458DB58C" w14:textId="37A20563" w:rsidR="00404D8C" w:rsidRPr="005526D4" w:rsidRDefault="005526D4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lastRenderedPageBreak/>
        <w:t>I</w:t>
      </w:r>
      <w:r w:rsidR="00404D8C" w:rsidRPr="005526D4">
        <w:rPr>
          <w:rFonts w:ascii="Titillium" w:hAnsi="Titillium"/>
        </w:rPr>
        <w:t xml:space="preserve">noltre, tra le ulteriori peculiari attività da svolgere, è </w:t>
      </w:r>
      <w:r w:rsidRPr="005526D4">
        <w:rPr>
          <w:rFonts w:ascii="Titillium" w:hAnsi="Titillium"/>
        </w:rPr>
        <w:t>p</w:t>
      </w:r>
      <w:r w:rsidR="00404D8C" w:rsidRPr="005526D4">
        <w:rPr>
          <w:rFonts w:ascii="Titillium" w:hAnsi="Titillium"/>
        </w:rPr>
        <w:t xml:space="preserve">revista la predisposizione di indicatori e target finalizzati alla valutazione della </w:t>
      </w:r>
      <w:r w:rsidR="00171D89" w:rsidRPr="00171D89">
        <w:rPr>
          <w:rFonts w:ascii="Titillium" w:hAnsi="Titillium"/>
          <w:i/>
        </w:rPr>
        <w:t>performance</w:t>
      </w:r>
      <w:r w:rsidR="00404D8C" w:rsidRPr="005526D4">
        <w:rPr>
          <w:rFonts w:ascii="Titillium" w:hAnsi="Titillium"/>
        </w:rPr>
        <w:t xml:space="preserve"> organizzativa </w:t>
      </w:r>
      <w:proofErr w:type="gramStart"/>
      <w:r w:rsidR="00404D8C" w:rsidRPr="005526D4">
        <w:rPr>
          <w:rFonts w:ascii="Titillium" w:hAnsi="Titillium"/>
        </w:rPr>
        <w:t>dell’A.N.AC..</w:t>
      </w:r>
      <w:proofErr w:type="gramEnd"/>
    </w:p>
    <w:p w14:paraId="4D3343BD" w14:textId="77777777" w:rsidR="00816772" w:rsidRDefault="00816772" w:rsidP="005526D4">
      <w:pPr>
        <w:spacing w:before="120" w:after="120" w:line="240" w:lineRule="auto"/>
        <w:jc w:val="center"/>
        <w:rPr>
          <w:rFonts w:ascii="Titillium" w:hAnsi="Titillium"/>
        </w:rPr>
      </w:pPr>
    </w:p>
    <w:p w14:paraId="1C0018C6" w14:textId="3D825CEA" w:rsidR="00404D8C" w:rsidRPr="00472473" w:rsidRDefault="00404D8C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</w:rPr>
        <w:t xml:space="preserve">Art. </w:t>
      </w:r>
      <w:r>
        <w:rPr>
          <w:rFonts w:ascii="Titillium" w:hAnsi="Titillium"/>
        </w:rPr>
        <w:t>2</w:t>
      </w:r>
    </w:p>
    <w:p w14:paraId="4AC335E7" w14:textId="5B0EAD2D" w:rsidR="00404D8C" w:rsidRDefault="001943FC" w:rsidP="005526D4">
      <w:pPr>
        <w:spacing w:before="120" w:after="120" w:line="240" w:lineRule="auto"/>
        <w:jc w:val="center"/>
        <w:rPr>
          <w:rFonts w:ascii="Titillium" w:hAnsi="Titillium"/>
          <w:b/>
          <w:u w:val="single"/>
        </w:rPr>
      </w:pPr>
      <w:r>
        <w:rPr>
          <w:rFonts w:ascii="Titillium" w:hAnsi="Titillium"/>
          <w:b/>
          <w:u w:val="single"/>
        </w:rPr>
        <w:t>Trattamento economico</w:t>
      </w:r>
    </w:p>
    <w:p w14:paraId="61D40F07" w14:textId="6794501B" w:rsidR="00404D8C" w:rsidRPr="00472473" w:rsidRDefault="00404D8C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065F22">
        <w:rPr>
          <w:rFonts w:ascii="Titillium" w:hAnsi="Titillium"/>
        </w:rPr>
        <w:t xml:space="preserve">È riconosciuto un compenso annuo lordo di € </w:t>
      </w:r>
      <w:r>
        <w:rPr>
          <w:rFonts w:ascii="Titillium" w:hAnsi="Titillium"/>
        </w:rPr>
        <w:t>30.000,00</w:t>
      </w:r>
      <w:r w:rsidRPr="00065F22">
        <w:rPr>
          <w:rFonts w:ascii="Titillium" w:hAnsi="Titillium"/>
        </w:rPr>
        <w:t xml:space="preserve">, al netto degli oneri posti, per legge, a carico </w:t>
      </w:r>
      <w:r w:rsidRPr="00E6321B">
        <w:rPr>
          <w:rFonts w:ascii="Titillium" w:hAnsi="Titillium"/>
        </w:rPr>
        <w:t xml:space="preserve">dell’Autorità, oltre iva e rivalsa previdenziale se dovute, secondo quanto previsto dalla delibera A.N.AC. n. </w:t>
      </w:r>
      <w:r w:rsidR="00730362">
        <w:rPr>
          <w:rFonts w:ascii="Titillium" w:hAnsi="Titillium"/>
        </w:rPr>
        <w:t>656</w:t>
      </w:r>
      <w:r w:rsidRPr="00E6321B">
        <w:rPr>
          <w:rFonts w:ascii="Titillium" w:hAnsi="Titillium"/>
        </w:rPr>
        <w:t xml:space="preserve"> del </w:t>
      </w:r>
      <w:r w:rsidR="00730362">
        <w:rPr>
          <w:rFonts w:ascii="Titillium" w:hAnsi="Titillium"/>
        </w:rPr>
        <w:t>28 settembre 2021</w:t>
      </w:r>
      <w:r w:rsidRPr="00E6321B">
        <w:rPr>
          <w:rFonts w:ascii="Titillium" w:hAnsi="Titillium"/>
        </w:rPr>
        <w:t>;</w:t>
      </w:r>
    </w:p>
    <w:p w14:paraId="0EA4801B" w14:textId="77777777" w:rsidR="001943FC" w:rsidRPr="001943FC" w:rsidRDefault="001943FC" w:rsidP="005526D4">
      <w:pPr>
        <w:pStyle w:val="Paragrafoelenco"/>
        <w:spacing w:before="120" w:after="120" w:line="240" w:lineRule="auto"/>
        <w:ind w:left="0"/>
        <w:contextualSpacing w:val="0"/>
        <w:jc w:val="center"/>
        <w:rPr>
          <w:rFonts w:ascii="Titillium" w:hAnsi="Titillium"/>
        </w:rPr>
      </w:pPr>
      <w:r w:rsidRPr="001943FC">
        <w:rPr>
          <w:rFonts w:ascii="Titillium" w:hAnsi="Titillium"/>
        </w:rPr>
        <w:t>Art. 3</w:t>
      </w:r>
    </w:p>
    <w:p w14:paraId="57D33E76" w14:textId="450D854F" w:rsidR="001943FC" w:rsidRPr="001943FC" w:rsidRDefault="001943FC" w:rsidP="005526D4">
      <w:pPr>
        <w:spacing w:before="120" w:after="120" w:line="240" w:lineRule="auto"/>
        <w:jc w:val="center"/>
        <w:rPr>
          <w:rFonts w:ascii="Titillium" w:hAnsi="Titillium"/>
          <w:b/>
          <w:u w:val="single"/>
        </w:rPr>
      </w:pPr>
      <w:r w:rsidRPr="001943FC">
        <w:rPr>
          <w:rFonts w:ascii="Titillium" w:hAnsi="Titillium"/>
          <w:b/>
          <w:u w:val="single"/>
        </w:rPr>
        <w:t xml:space="preserve">Nomina, durata e modalità di espletamento dell’incarico </w:t>
      </w:r>
    </w:p>
    <w:p w14:paraId="78EBE5CB" w14:textId="65464F17" w:rsidR="00796A77" w:rsidRDefault="6C7EB853" w:rsidP="00816772">
      <w:pPr>
        <w:pStyle w:val="Paragrafoelenco"/>
        <w:spacing w:before="120" w:after="120" w:line="360" w:lineRule="auto"/>
        <w:ind w:left="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L’incarico è conferito con provvedimento del Segretario Generale dell’A.N.AC. sulla base della valutazione di cui all’art. </w:t>
      </w:r>
      <w:r w:rsidR="196B40C0" w:rsidRPr="24C1819B">
        <w:rPr>
          <w:rFonts w:ascii="Titillium" w:hAnsi="Titillium"/>
        </w:rPr>
        <w:t>7</w:t>
      </w:r>
      <w:r w:rsidRPr="24C1819B">
        <w:rPr>
          <w:rFonts w:ascii="Titillium" w:hAnsi="Titillium"/>
        </w:rPr>
        <w:t xml:space="preserve"> del presente avviso, per una durata triennale, secondo quanto previsto dalla delibera A.N.AC. n. </w:t>
      </w:r>
      <w:r w:rsidR="60A3D804" w:rsidRPr="24C1819B">
        <w:rPr>
          <w:rFonts w:ascii="Titillium" w:hAnsi="Titillium"/>
        </w:rPr>
        <w:t>656</w:t>
      </w:r>
      <w:r w:rsidRPr="24C1819B">
        <w:rPr>
          <w:rFonts w:ascii="Titillium" w:hAnsi="Titillium"/>
        </w:rPr>
        <w:t xml:space="preserve"> del </w:t>
      </w:r>
      <w:r w:rsidR="60A3D804" w:rsidRPr="24C1819B">
        <w:rPr>
          <w:rFonts w:ascii="Titillium" w:hAnsi="Titillium"/>
        </w:rPr>
        <w:t>28 settembre 2021</w:t>
      </w:r>
      <w:r w:rsidR="0D741021" w:rsidRPr="24C1819B">
        <w:rPr>
          <w:rFonts w:ascii="Titillium" w:hAnsi="Titillium"/>
        </w:rPr>
        <w:t xml:space="preserve">, tenuto conto delle modifiche di cui al D.M. del 7 agosto 2023 della Presidenza del </w:t>
      </w:r>
      <w:proofErr w:type="gramStart"/>
      <w:r w:rsidR="0D741021" w:rsidRPr="24C1819B">
        <w:rPr>
          <w:rFonts w:ascii="Titillium" w:hAnsi="Titillium"/>
        </w:rPr>
        <w:t>Consiglio dei Ministri</w:t>
      </w:r>
      <w:proofErr w:type="gramEnd"/>
      <w:r w:rsidR="0D741021" w:rsidRPr="24C1819B">
        <w:rPr>
          <w:rFonts w:ascii="Titillium" w:hAnsi="Titillium"/>
        </w:rPr>
        <w:t xml:space="preserve"> – Dipartimento della Funzione Pubblica</w:t>
      </w:r>
      <w:r w:rsidRPr="24C1819B">
        <w:rPr>
          <w:rFonts w:ascii="Titillium" w:hAnsi="Titillium"/>
        </w:rPr>
        <w:t>. Resta fermo quanto previsto dall’art.</w:t>
      </w:r>
      <w:r w:rsidR="69BF61C9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7, c.</w:t>
      </w:r>
      <w:r w:rsidR="429629E6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 xml:space="preserve">2 del </w:t>
      </w:r>
      <w:r w:rsidR="196B40C0" w:rsidRPr="24C1819B">
        <w:rPr>
          <w:rFonts w:ascii="Titillium" w:hAnsi="Titillium"/>
        </w:rPr>
        <w:t xml:space="preserve">Decreto del Ministro per la semplificazione e la pubblica amministrazione, emanato il 2 dicembre 2016, modificato con D.M. del 6 agosto 2020 </w:t>
      </w:r>
      <w:r w:rsidR="59EABBDD" w:rsidRPr="24C1819B">
        <w:rPr>
          <w:rFonts w:ascii="Titillium" w:hAnsi="Titillium"/>
        </w:rPr>
        <w:t xml:space="preserve">e con successivo D.M. del 7 agosto 2023 della Presidenza del </w:t>
      </w:r>
      <w:proofErr w:type="gramStart"/>
      <w:r w:rsidR="59EABBDD" w:rsidRPr="24C1819B">
        <w:rPr>
          <w:rFonts w:ascii="Titillium" w:hAnsi="Titillium"/>
        </w:rPr>
        <w:t>Consiglio dei Ministri</w:t>
      </w:r>
      <w:proofErr w:type="gramEnd"/>
      <w:r w:rsidR="59EABBDD" w:rsidRPr="24C1819B">
        <w:rPr>
          <w:rFonts w:ascii="Titillium" w:hAnsi="Titillium"/>
        </w:rPr>
        <w:t xml:space="preserve"> – Dipartimento della Funzione Pubblica</w:t>
      </w:r>
      <w:r w:rsidRPr="24C1819B">
        <w:rPr>
          <w:rFonts w:ascii="Titillium" w:hAnsi="Titillium"/>
        </w:rPr>
        <w:t>. L’incarico è rinnovabile una sola volta</w:t>
      </w:r>
      <w:r w:rsidR="3BB62BAE" w:rsidRPr="24C1819B">
        <w:rPr>
          <w:rFonts w:ascii="Titillium" w:hAnsi="Titillium"/>
        </w:rPr>
        <w:t xml:space="preserve"> e </w:t>
      </w:r>
      <w:r w:rsidR="4C189FB8" w:rsidRPr="24C1819B">
        <w:rPr>
          <w:rFonts w:ascii="Titillium" w:hAnsi="Titillium"/>
        </w:rPr>
        <w:t xml:space="preserve">sarà </w:t>
      </w:r>
      <w:r w:rsidR="3BB62BAE" w:rsidRPr="24C1819B">
        <w:rPr>
          <w:rFonts w:ascii="Titillium" w:hAnsi="Titillium"/>
        </w:rPr>
        <w:t xml:space="preserve">inoltre </w:t>
      </w:r>
      <w:r w:rsidR="4C189FB8" w:rsidRPr="24C1819B">
        <w:rPr>
          <w:rFonts w:ascii="Titillium" w:hAnsi="Titillium"/>
        </w:rPr>
        <w:t>formalizzato mediante un contratto di lavoro autonomo</w:t>
      </w:r>
      <w:r w:rsidR="3BB62BAE" w:rsidRPr="24C1819B">
        <w:rPr>
          <w:rFonts w:ascii="Titillium" w:hAnsi="Titillium"/>
        </w:rPr>
        <w:t>.</w:t>
      </w:r>
    </w:p>
    <w:p w14:paraId="75DEA297" w14:textId="0AF7F7FC" w:rsidR="00A1524E" w:rsidRDefault="00A1524E" w:rsidP="00816772">
      <w:pPr>
        <w:pStyle w:val="Paragrafoelenco"/>
        <w:spacing w:before="120" w:after="120" w:line="360" w:lineRule="auto"/>
        <w:ind w:left="0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>L’incarico sarà svolto personalmente dal soggetto selezionato, in piena autonomia, senza</w:t>
      </w:r>
      <w:r w:rsidR="00796A77" w:rsidRPr="005526D4">
        <w:rPr>
          <w:rFonts w:ascii="Titillium" w:hAnsi="Titillium"/>
        </w:rPr>
        <w:t xml:space="preserve"> </w:t>
      </w:r>
      <w:r w:rsidRPr="005526D4">
        <w:rPr>
          <w:rFonts w:ascii="Titillium" w:hAnsi="Titillium"/>
        </w:rPr>
        <w:t>vincoli di subordinazione e senza obbligo di rispetto di alcun orario di lavoro. L’incaricato</w:t>
      </w:r>
      <w:r w:rsidR="00796A77" w:rsidRPr="005526D4">
        <w:rPr>
          <w:rFonts w:ascii="Titillium" w:hAnsi="Titillium"/>
        </w:rPr>
        <w:t xml:space="preserve"> </w:t>
      </w:r>
      <w:r w:rsidRPr="005526D4">
        <w:rPr>
          <w:rFonts w:ascii="Titillium" w:hAnsi="Titillium"/>
        </w:rPr>
        <w:t>dovrà assicurare un’adeguata presenza presso la sede dell’Autorità al fine di garantire</w:t>
      </w:r>
      <w:r w:rsidR="00796A77" w:rsidRPr="005526D4">
        <w:rPr>
          <w:rFonts w:ascii="Titillium" w:hAnsi="Titillium"/>
        </w:rPr>
        <w:t xml:space="preserve"> </w:t>
      </w:r>
      <w:r w:rsidRPr="005526D4">
        <w:rPr>
          <w:rFonts w:ascii="Titillium" w:hAnsi="Titillium"/>
        </w:rPr>
        <w:t>lo svolgimento continuativo delle attività.</w:t>
      </w:r>
      <w:r w:rsidR="00796A77" w:rsidRPr="005526D4">
        <w:rPr>
          <w:rFonts w:ascii="Titillium" w:hAnsi="Titillium"/>
        </w:rPr>
        <w:t xml:space="preserve"> </w:t>
      </w:r>
      <w:r w:rsidRPr="005526D4">
        <w:rPr>
          <w:rFonts w:ascii="Titillium" w:hAnsi="Titillium"/>
        </w:rPr>
        <w:t xml:space="preserve">Il titolare dell’incarico dovrà essere disponibile a partecipare, ove necessario, a </w:t>
      </w:r>
      <w:r w:rsidR="00796A77" w:rsidRPr="005526D4">
        <w:rPr>
          <w:rFonts w:ascii="Titillium" w:hAnsi="Titillium"/>
        </w:rPr>
        <w:t>riunioni con il Presidente, con il Consiglio e/o con il Segretario Generale</w:t>
      </w:r>
      <w:r w:rsidRPr="005526D4">
        <w:rPr>
          <w:rFonts w:ascii="Titillium" w:hAnsi="Titillium"/>
        </w:rPr>
        <w:t>.</w:t>
      </w:r>
      <w:r w:rsidRPr="00A1524E">
        <w:rPr>
          <w:rFonts w:ascii="Titillium" w:hAnsi="Titillium"/>
        </w:rPr>
        <w:t xml:space="preserve"> </w:t>
      </w:r>
    </w:p>
    <w:p w14:paraId="13044692" w14:textId="77777777" w:rsidR="00B8094A" w:rsidRDefault="00B8094A">
      <w:pPr>
        <w:rPr>
          <w:rFonts w:ascii="Titillium" w:hAnsi="Titillium"/>
        </w:rPr>
      </w:pPr>
      <w:r>
        <w:rPr>
          <w:rFonts w:ascii="Titillium" w:hAnsi="Titillium"/>
        </w:rPr>
        <w:br w:type="page"/>
      </w:r>
    </w:p>
    <w:p w14:paraId="4D845E3C" w14:textId="7F87ACFC" w:rsidR="00CD449D" w:rsidRPr="00404D8C" w:rsidRDefault="00CD449D" w:rsidP="005526D4">
      <w:pPr>
        <w:pStyle w:val="Paragrafoelenco"/>
        <w:spacing w:before="120" w:after="120" w:line="240" w:lineRule="auto"/>
        <w:ind w:left="0"/>
        <w:jc w:val="center"/>
        <w:rPr>
          <w:rFonts w:ascii="Titillium" w:hAnsi="Titillium"/>
        </w:rPr>
      </w:pPr>
      <w:r w:rsidRPr="00404D8C">
        <w:rPr>
          <w:rFonts w:ascii="Titillium" w:hAnsi="Titillium"/>
        </w:rPr>
        <w:lastRenderedPageBreak/>
        <w:t xml:space="preserve">Art. </w:t>
      </w:r>
      <w:r w:rsidR="00796A77">
        <w:rPr>
          <w:rFonts w:ascii="Titillium" w:hAnsi="Titillium"/>
        </w:rPr>
        <w:t>4</w:t>
      </w:r>
    </w:p>
    <w:p w14:paraId="6A1FFFF5" w14:textId="77777777" w:rsidR="0084516A" w:rsidRPr="00472473" w:rsidRDefault="00D15B7C" w:rsidP="005526D4">
      <w:pPr>
        <w:spacing w:before="120" w:after="120" w:line="240" w:lineRule="auto"/>
        <w:jc w:val="center"/>
        <w:rPr>
          <w:rFonts w:ascii="Titillium" w:hAnsi="Titillium"/>
          <w:b/>
          <w:u w:val="single"/>
        </w:rPr>
      </w:pPr>
      <w:r w:rsidRPr="00472473">
        <w:rPr>
          <w:rFonts w:ascii="Titillium" w:hAnsi="Titillium"/>
          <w:b/>
          <w:u w:val="single"/>
        </w:rPr>
        <w:t>R</w:t>
      </w:r>
      <w:r w:rsidR="00CD449D" w:rsidRPr="00472473">
        <w:rPr>
          <w:rFonts w:ascii="Titillium" w:hAnsi="Titillium"/>
          <w:b/>
          <w:u w:val="single"/>
        </w:rPr>
        <w:t>equisiti per la partecipazione</w:t>
      </w:r>
    </w:p>
    <w:p w14:paraId="0D57DB78" w14:textId="662A0E9D" w:rsidR="00472473" w:rsidRPr="007D1A3B" w:rsidRDefault="6B038251" w:rsidP="24C1819B">
      <w:pPr>
        <w:pStyle w:val="NormaleWeb"/>
        <w:spacing w:before="120" w:beforeAutospacing="0" w:after="120" w:afterAutospacing="0" w:line="360" w:lineRule="auto"/>
        <w:jc w:val="both"/>
        <w:rPr>
          <w:rFonts w:ascii="Titillium" w:eastAsia="Titillium" w:hAnsi="Titillium" w:cs="Titillium"/>
          <w:sz w:val="22"/>
          <w:szCs w:val="22"/>
        </w:rPr>
      </w:pPr>
      <w:r w:rsidRPr="007D1A3B">
        <w:rPr>
          <w:rFonts w:ascii="Titillium" w:eastAsia="Titillium" w:hAnsi="Titillium" w:cs="Titillium"/>
          <w:sz w:val="22"/>
          <w:szCs w:val="22"/>
        </w:rPr>
        <w:t xml:space="preserve">Per </w:t>
      </w:r>
      <w:r w:rsidR="4DB05EFE" w:rsidRPr="007D1A3B">
        <w:rPr>
          <w:rFonts w:ascii="Titillium" w:eastAsia="Titillium" w:hAnsi="Titillium" w:cs="Titillium"/>
          <w:sz w:val="22"/>
          <w:szCs w:val="22"/>
        </w:rPr>
        <w:t xml:space="preserve">poter </w:t>
      </w:r>
      <w:r w:rsidRPr="007D1A3B">
        <w:rPr>
          <w:rFonts w:ascii="Titillium" w:eastAsia="Titillium" w:hAnsi="Titillium" w:cs="Titillium"/>
          <w:sz w:val="22"/>
          <w:szCs w:val="22"/>
        </w:rPr>
        <w:t xml:space="preserve">partecipare alla procedura, ciascun candidato dovrà essere </w:t>
      </w:r>
      <w:r w:rsidR="66CB1C80" w:rsidRPr="007D1A3B">
        <w:rPr>
          <w:rFonts w:ascii="Titillium" w:eastAsia="Titillium" w:hAnsi="Titillium" w:cs="Titillium"/>
          <w:sz w:val="22"/>
          <w:szCs w:val="22"/>
        </w:rPr>
        <w:t xml:space="preserve">in possesso dei requisiti </w:t>
      </w:r>
      <w:r w:rsidR="70BF4993" w:rsidRPr="007D1A3B">
        <w:rPr>
          <w:rFonts w:ascii="Titillium" w:eastAsia="Titillium" w:hAnsi="Titillium" w:cs="Titillium"/>
          <w:sz w:val="22"/>
          <w:szCs w:val="22"/>
        </w:rPr>
        <w:t xml:space="preserve">di </w:t>
      </w:r>
      <w:r w:rsidR="0A38BE1F" w:rsidRPr="007D1A3B">
        <w:rPr>
          <w:rFonts w:ascii="Titillium" w:eastAsia="Titillium" w:hAnsi="Titillium" w:cs="Titillium"/>
          <w:sz w:val="22"/>
          <w:szCs w:val="22"/>
        </w:rPr>
        <w:t xml:space="preserve">cui all’articolo 1 della </w:t>
      </w:r>
      <w:r w:rsidR="7670A750" w:rsidRPr="007D1A3B">
        <w:rPr>
          <w:rFonts w:ascii="Titillium" w:eastAsia="Titillium" w:hAnsi="Titillium" w:cs="Titillium"/>
          <w:sz w:val="22"/>
          <w:szCs w:val="22"/>
        </w:rPr>
        <w:t xml:space="preserve">delibera A.N.AC. n. </w:t>
      </w:r>
      <w:r w:rsidR="6CDF4953" w:rsidRPr="007D1A3B">
        <w:rPr>
          <w:rFonts w:ascii="Titillium" w:eastAsia="Titillium" w:hAnsi="Titillium" w:cs="Titillium"/>
          <w:sz w:val="22"/>
          <w:szCs w:val="22"/>
        </w:rPr>
        <w:t>656</w:t>
      </w:r>
      <w:r w:rsidR="7670A750" w:rsidRPr="007D1A3B">
        <w:rPr>
          <w:rFonts w:ascii="Titillium" w:eastAsia="Titillium" w:hAnsi="Titillium" w:cs="Titillium"/>
          <w:sz w:val="22"/>
          <w:szCs w:val="22"/>
        </w:rPr>
        <w:t xml:space="preserve"> del </w:t>
      </w:r>
      <w:r w:rsidR="6CDF4953" w:rsidRPr="007D1A3B">
        <w:rPr>
          <w:rFonts w:ascii="Titillium" w:eastAsia="Titillium" w:hAnsi="Titillium" w:cs="Titillium"/>
          <w:sz w:val="22"/>
          <w:szCs w:val="22"/>
        </w:rPr>
        <w:t>28 settembre 2021</w:t>
      </w:r>
      <w:r w:rsidR="196B40C0" w:rsidRPr="007D1A3B">
        <w:rPr>
          <w:rFonts w:ascii="Titillium" w:eastAsia="Titillium" w:hAnsi="Titillium" w:cs="Titillium"/>
          <w:sz w:val="22"/>
          <w:szCs w:val="22"/>
        </w:rPr>
        <w:t>, allegata</w:t>
      </w:r>
      <w:r w:rsidR="3DB259EE" w:rsidRPr="007D1A3B">
        <w:rPr>
          <w:rFonts w:ascii="Titillium" w:eastAsia="Titillium" w:hAnsi="Titillium" w:cs="Titillium"/>
          <w:sz w:val="22"/>
          <w:szCs w:val="22"/>
        </w:rPr>
        <w:t xml:space="preserve"> al presente avviso di selezione comparativa</w:t>
      </w:r>
      <w:r w:rsidR="0D741021" w:rsidRPr="007D1A3B">
        <w:rPr>
          <w:rFonts w:ascii="Titillium" w:eastAsia="Titillium" w:hAnsi="Titillium" w:cs="Titillium"/>
          <w:sz w:val="22"/>
          <w:szCs w:val="22"/>
        </w:rPr>
        <w:t xml:space="preserve">, tenuto conto delle modifiche di cui al D.M. del 7 agosto 2023 della Presidenza del </w:t>
      </w:r>
      <w:proofErr w:type="gramStart"/>
      <w:r w:rsidR="0D741021" w:rsidRPr="007D1A3B">
        <w:rPr>
          <w:rFonts w:ascii="Titillium" w:eastAsia="Titillium" w:hAnsi="Titillium" w:cs="Titillium"/>
          <w:sz w:val="22"/>
          <w:szCs w:val="22"/>
        </w:rPr>
        <w:t>Consiglio dei Ministri</w:t>
      </w:r>
      <w:proofErr w:type="gramEnd"/>
      <w:r w:rsidR="0D741021" w:rsidRPr="007D1A3B">
        <w:rPr>
          <w:rFonts w:ascii="Titillium" w:eastAsia="Titillium" w:hAnsi="Titillium" w:cs="Titillium"/>
          <w:sz w:val="22"/>
          <w:szCs w:val="22"/>
        </w:rPr>
        <w:t xml:space="preserve"> – Dipartimento della Funzione Pubblica, relativo alla disciplina dell'elenco nazionale dei componenti degli organismi indipendenti di valutazione.</w:t>
      </w:r>
      <w:r w:rsidR="70BF4993" w:rsidRPr="007D1A3B">
        <w:rPr>
          <w:rFonts w:ascii="Titillium" w:eastAsia="Titillium" w:hAnsi="Titillium" w:cs="Titillium"/>
          <w:sz w:val="22"/>
          <w:szCs w:val="22"/>
        </w:rPr>
        <w:t xml:space="preserve"> </w:t>
      </w:r>
    </w:p>
    <w:p w14:paraId="7E8B3E11" w14:textId="4761A91D" w:rsidR="00CD449D" w:rsidRPr="00472473" w:rsidRDefault="00CD449D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</w:rPr>
        <w:t xml:space="preserve">Art. </w:t>
      </w:r>
      <w:r w:rsidR="00796A77">
        <w:rPr>
          <w:rFonts w:ascii="Titillium" w:hAnsi="Titillium"/>
        </w:rPr>
        <w:t>5</w:t>
      </w:r>
    </w:p>
    <w:p w14:paraId="3ED90A36" w14:textId="77777777" w:rsidR="003E278F" w:rsidRPr="00472473" w:rsidRDefault="00CD0B48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  <w:b/>
          <w:u w:val="single"/>
        </w:rPr>
        <w:t>C</w:t>
      </w:r>
      <w:r w:rsidR="003E278F" w:rsidRPr="00472473">
        <w:rPr>
          <w:rFonts w:ascii="Titillium" w:hAnsi="Titillium"/>
          <w:b/>
          <w:u w:val="single"/>
        </w:rPr>
        <w:t>ause ostative</w:t>
      </w:r>
      <w:r w:rsidRPr="00472473">
        <w:rPr>
          <w:rFonts w:ascii="Titillium" w:hAnsi="Titillium"/>
          <w:b/>
          <w:u w:val="single"/>
        </w:rPr>
        <w:t xml:space="preserve"> alla nomina</w:t>
      </w:r>
    </w:p>
    <w:p w14:paraId="183F41B2" w14:textId="77777777" w:rsidR="00A50DCC" w:rsidRPr="00472473" w:rsidRDefault="07CA2564" w:rsidP="007D1A3B">
      <w:pPr>
        <w:spacing w:before="120" w:after="120" w:line="36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Salvo gli ulteriori casi di divieto di nomina e di incompatibilità indicati dalla normativa vigente, </w:t>
      </w:r>
      <w:r w:rsidR="1B9D60FF" w:rsidRPr="24C1819B">
        <w:rPr>
          <w:rFonts w:ascii="Titillium" w:hAnsi="Titillium"/>
        </w:rPr>
        <w:t>n</w:t>
      </w:r>
      <w:r w:rsidR="19FDA7ED" w:rsidRPr="24C1819B">
        <w:rPr>
          <w:rFonts w:ascii="Titillium" w:hAnsi="Titillium"/>
        </w:rPr>
        <w:t xml:space="preserve">on possono essere nominati </w:t>
      </w:r>
      <w:r w:rsidR="1B9D60FF" w:rsidRPr="24C1819B">
        <w:rPr>
          <w:rFonts w:ascii="Titillium" w:hAnsi="Titillium"/>
        </w:rPr>
        <w:t>coloro che</w:t>
      </w:r>
      <w:r w:rsidR="19FDA7ED" w:rsidRPr="24C1819B">
        <w:rPr>
          <w:rFonts w:ascii="Titillium" w:hAnsi="Titillium"/>
        </w:rPr>
        <w:t>:</w:t>
      </w:r>
      <w:r w:rsidR="55BD0ABE" w:rsidRPr="24C1819B">
        <w:rPr>
          <w:rFonts w:ascii="Titillium" w:hAnsi="Titillium"/>
        </w:rPr>
        <w:t xml:space="preserve"> </w:t>
      </w:r>
    </w:p>
    <w:p w14:paraId="4DC80D2D" w14:textId="77777777" w:rsidR="00FA4CB2" w:rsidRPr="00472473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rivestano incarichi pubblici elettivi o cariche in partiti politici o in organizzazio</w:t>
      </w:r>
      <w:r w:rsidR="22E9A888" w:rsidRPr="24C1819B">
        <w:rPr>
          <w:rFonts w:ascii="Titillium" w:hAnsi="Titillium"/>
        </w:rPr>
        <w:t xml:space="preserve">ni </w:t>
      </w:r>
      <w:r w:rsidRPr="24C1819B">
        <w:rPr>
          <w:rFonts w:ascii="Titillium" w:hAnsi="Titillium"/>
        </w:rPr>
        <w:t>sindacali</w:t>
      </w:r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o</w:t>
      </w:r>
      <w:r w:rsidR="22E9A888" w:rsidRPr="24C1819B">
        <w:rPr>
          <w:rFonts w:ascii="Titillium" w:hAnsi="Titillium"/>
        </w:rPr>
        <w:t>vv</w:t>
      </w:r>
      <w:r w:rsidRPr="24C1819B">
        <w:rPr>
          <w:rFonts w:ascii="Titillium" w:hAnsi="Titillium"/>
        </w:rPr>
        <w:t>ero abbiano rapporti continuativi di collaborazione o di consulenza</w:t>
      </w:r>
      <w:r w:rsidR="22E9A888" w:rsidRPr="24C1819B">
        <w:rPr>
          <w:rFonts w:ascii="Titillium" w:hAnsi="Titillium"/>
        </w:rPr>
        <w:t xml:space="preserve"> c</w:t>
      </w:r>
      <w:r w:rsidRPr="24C1819B">
        <w:rPr>
          <w:rFonts w:ascii="Titillium" w:hAnsi="Titillium"/>
        </w:rPr>
        <w:t>on</w:t>
      </w:r>
      <w:r w:rsidR="22E9A888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 xml:space="preserve">le </w:t>
      </w:r>
      <w:proofErr w:type="gramStart"/>
      <w:r w:rsidRPr="24C1819B">
        <w:rPr>
          <w:rFonts w:ascii="Titillium" w:hAnsi="Titillium"/>
        </w:rPr>
        <w:t>predette</w:t>
      </w:r>
      <w:proofErr w:type="gramEnd"/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organ</w:t>
      </w:r>
      <w:r w:rsidR="22E9A888" w:rsidRPr="24C1819B">
        <w:rPr>
          <w:rFonts w:ascii="Titillium" w:hAnsi="Titillium"/>
        </w:rPr>
        <w:t>i</w:t>
      </w:r>
      <w:r w:rsidRPr="24C1819B">
        <w:rPr>
          <w:rFonts w:ascii="Titillium" w:hAnsi="Titillium"/>
        </w:rPr>
        <w:t>zzazioni, o</w:t>
      </w:r>
      <w:r w:rsidR="22E9A888" w:rsidRPr="24C1819B">
        <w:rPr>
          <w:rFonts w:ascii="Titillium" w:hAnsi="Titillium"/>
        </w:rPr>
        <w:t>vv</w:t>
      </w:r>
      <w:r w:rsidRPr="24C1819B">
        <w:rPr>
          <w:rFonts w:ascii="Titillium" w:hAnsi="Titillium"/>
        </w:rPr>
        <w:t>ero abbiano rivestito simili incarichi o cariche o che abbiano avuto simili</w:t>
      </w:r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rapporti nei tre anni precedenti la designazione;</w:t>
      </w:r>
      <w:r w:rsidR="55BD0ABE" w:rsidRPr="24C1819B">
        <w:rPr>
          <w:rFonts w:ascii="Titillium" w:hAnsi="Titillium"/>
        </w:rPr>
        <w:t xml:space="preserve"> </w:t>
      </w:r>
    </w:p>
    <w:p w14:paraId="0EAE4414" w14:textId="77777777" w:rsidR="00FA4CB2" w:rsidRPr="00472473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siano stati condannati, anche con sentenza</w:t>
      </w:r>
      <w:r w:rsidR="22E9A888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non passata in giudicato, per i reati previsti dal capo</w:t>
      </w:r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 xml:space="preserve">I del titolo II del libro secondo del </w:t>
      </w:r>
      <w:proofErr w:type="gramStart"/>
      <w:r w:rsidRPr="24C1819B">
        <w:rPr>
          <w:rFonts w:ascii="Titillium" w:hAnsi="Titillium"/>
        </w:rPr>
        <w:t>codice penale</w:t>
      </w:r>
      <w:proofErr w:type="gramEnd"/>
      <w:r w:rsidRPr="24C1819B">
        <w:rPr>
          <w:rFonts w:ascii="Titillium" w:hAnsi="Titillium"/>
        </w:rPr>
        <w:t>;</w:t>
      </w:r>
    </w:p>
    <w:p w14:paraId="4E7666BE" w14:textId="77777777" w:rsidR="00FA4CB2" w:rsidRPr="00472473" w:rsidRDefault="3A3381B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s</w:t>
      </w:r>
      <w:r w:rsidR="19FDA7ED" w:rsidRPr="24C1819B">
        <w:rPr>
          <w:rFonts w:ascii="Titillium" w:hAnsi="Titillium"/>
        </w:rPr>
        <w:t>i trovino, nei confronti del</w:t>
      </w:r>
      <w:r w:rsidR="07CA2564" w:rsidRPr="24C1819B">
        <w:rPr>
          <w:rFonts w:ascii="Titillium" w:hAnsi="Titillium"/>
        </w:rPr>
        <w:t>l</w:t>
      </w:r>
      <w:r w:rsidR="25AED03B" w:rsidRPr="24C1819B">
        <w:rPr>
          <w:rFonts w:ascii="Titillium" w:hAnsi="Titillium"/>
        </w:rPr>
        <w:t xml:space="preserve">’A.N.AC. </w:t>
      </w:r>
      <w:r w:rsidR="19FDA7ED" w:rsidRPr="24C1819B">
        <w:rPr>
          <w:rFonts w:ascii="Titillium" w:hAnsi="Titillium"/>
        </w:rPr>
        <w:t>in una situazione di conflitto,</w:t>
      </w:r>
      <w:r w:rsidR="55BD0ABE" w:rsidRPr="24C1819B">
        <w:rPr>
          <w:rFonts w:ascii="Titillium" w:hAnsi="Titillium"/>
        </w:rPr>
        <w:t xml:space="preserve"> </w:t>
      </w:r>
      <w:r w:rsidR="19FDA7ED" w:rsidRPr="24C1819B">
        <w:rPr>
          <w:rFonts w:ascii="Titillium" w:hAnsi="Titillium"/>
        </w:rPr>
        <w:t>anche potenziale, di interessi propri, del coniuge, di conviventi, di parenti, di affini entro il</w:t>
      </w:r>
      <w:r w:rsidR="55BD0ABE" w:rsidRPr="24C1819B">
        <w:rPr>
          <w:rFonts w:ascii="Titillium" w:hAnsi="Titillium"/>
        </w:rPr>
        <w:t xml:space="preserve"> </w:t>
      </w:r>
      <w:r w:rsidR="19FDA7ED" w:rsidRPr="24C1819B">
        <w:rPr>
          <w:rFonts w:ascii="Titillium" w:hAnsi="Titillium"/>
        </w:rPr>
        <w:t>secondo grado;</w:t>
      </w:r>
    </w:p>
    <w:p w14:paraId="2F5058B2" w14:textId="77777777" w:rsidR="00CE3C5E" w:rsidRPr="00472473" w:rsidRDefault="1B9D60FF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siano magistrati o avvocati dello Stato che svolgono le funzioni nell'ambito territoriale della regione Lazio; </w:t>
      </w:r>
    </w:p>
    <w:p w14:paraId="38677E0E" w14:textId="77777777" w:rsidR="00CE3C5E" w:rsidRPr="00472473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abbiano svolto non episodicamente attività professionale in favore o contro </w:t>
      </w:r>
      <w:r w:rsidR="22E9A888" w:rsidRPr="24C1819B">
        <w:rPr>
          <w:rFonts w:ascii="Titillium" w:hAnsi="Titillium"/>
        </w:rPr>
        <w:t>l</w:t>
      </w:r>
      <w:r w:rsidRPr="24C1819B">
        <w:rPr>
          <w:rFonts w:ascii="Titillium" w:hAnsi="Titillium"/>
        </w:rPr>
        <w:t>'</w:t>
      </w:r>
      <w:r w:rsidR="25AED03B" w:rsidRPr="24C1819B">
        <w:rPr>
          <w:rFonts w:ascii="Titillium" w:hAnsi="Titillium"/>
        </w:rPr>
        <w:t>A.N.AC.</w:t>
      </w:r>
      <w:r w:rsidR="22E9A888" w:rsidRPr="24C1819B">
        <w:rPr>
          <w:rFonts w:ascii="Titillium" w:hAnsi="Titillium"/>
        </w:rPr>
        <w:t>;</w:t>
      </w:r>
    </w:p>
    <w:p w14:paraId="755BAD4F" w14:textId="77777777" w:rsidR="00CE3C5E" w:rsidRPr="00472473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abbiano un rapporto di coniugio, di convivenza, d</w:t>
      </w:r>
      <w:r w:rsidR="22E9A888" w:rsidRPr="24C1819B">
        <w:rPr>
          <w:rFonts w:ascii="Titillium" w:hAnsi="Titillium"/>
        </w:rPr>
        <w:t>i</w:t>
      </w:r>
      <w:r w:rsidRPr="24C1819B">
        <w:rPr>
          <w:rFonts w:ascii="Titillium" w:hAnsi="Titillium"/>
        </w:rPr>
        <w:t xml:space="preserve"> parentela o di affinità entro il secondo grado</w:t>
      </w:r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 xml:space="preserve">con dirigenti in servizio </w:t>
      </w:r>
      <w:r w:rsidR="25AED03B" w:rsidRPr="24C1819B">
        <w:rPr>
          <w:rFonts w:ascii="Titillium" w:hAnsi="Titillium"/>
        </w:rPr>
        <w:t>a</w:t>
      </w:r>
      <w:r w:rsidRPr="24C1819B">
        <w:rPr>
          <w:rFonts w:ascii="Titillium" w:hAnsi="Titillium"/>
        </w:rPr>
        <w:t>l</w:t>
      </w:r>
      <w:r w:rsidR="22E9A888" w:rsidRPr="24C1819B">
        <w:rPr>
          <w:rFonts w:ascii="Titillium" w:hAnsi="Titillium"/>
        </w:rPr>
        <w:t>l</w:t>
      </w:r>
      <w:r w:rsidRPr="24C1819B">
        <w:rPr>
          <w:rFonts w:ascii="Titillium" w:hAnsi="Titillium"/>
        </w:rPr>
        <w:t>'</w:t>
      </w:r>
      <w:r w:rsidR="25AED03B" w:rsidRPr="24C1819B">
        <w:rPr>
          <w:rFonts w:ascii="Titillium" w:hAnsi="Titillium"/>
        </w:rPr>
        <w:t>A.N.AC.</w:t>
      </w:r>
      <w:r w:rsidRPr="24C1819B">
        <w:rPr>
          <w:rFonts w:ascii="Titillium" w:hAnsi="Titillium"/>
        </w:rPr>
        <w:t xml:space="preserve"> o con </w:t>
      </w:r>
      <w:r w:rsidR="22E9A888" w:rsidRPr="24C1819B">
        <w:rPr>
          <w:rFonts w:ascii="Titillium" w:hAnsi="Titillium"/>
        </w:rPr>
        <w:t>l</w:t>
      </w:r>
      <w:r w:rsidRPr="24C1819B">
        <w:rPr>
          <w:rFonts w:ascii="Titillium" w:hAnsi="Titillium"/>
        </w:rPr>
        <w:t>'organo di indirizzo</w:t>
      </w:r>
      <w:r w:rsidR="55BD0ABE" w:rsidRPr="24C1819B">
        <w:rPr>
          <w:rFonts w:ascii="Titillium" w:hAnsi="Titillium"/>
        </w:rPr>
        <w:t xml:space="preserve"> </w:t>
      </w:r>
      <w:r w:rsidR="22E9A888" w:rsidRPr="24C1819B">
        <w:rPr>
          <w:rFonts w:ascii="Titillium" w:hAnsi="Titillium"/>
        </w:rPr>
        <w:t xml:space="preserve">politico </w:t>
      </w:r>
      <w:r w:rsidR="3A3381BD" w:rsidRPr="24C1819B">
        <w:rPr>
          <w:rFonts w:ascii="Titillium" w:hAnsi="Titillium"/>
        </w:rPr>
        <w:t>–</w:t>
      </w:r>
      <w:r w:rsidR="22E9A888" w:rsidRPr="24C1819B">
        <w:rPr>
          <w:rFonts w:ascii="Titillium" w:hAnsi="Titillium"/>
        </w:rPr>
        <w:t xml:space="preserve"> amministrativo</w:t>
      </w:r>
      <w:r w:rsidR="3A3381BD" w:rsidRPr="24C1819B">
        <w:rPr>
          <w:rFonts w:ascii="Titillium" w:hAnsi="Titillium"/>
        </w:rPr>
        <w:t>;</w:t>
      </w:r>
    </w:p>
    <w:p w14:paraId="5914A1D0" w14:textId="77777777" w:rsidR="00CE3C5E" w:rsidRPr="00472473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siano stati motivatamente ri</w:t>
      </w:r>
      <w:r w:rsidR="22E9A888" w:rsidRPr="24C1819B">
        <w:rPr>
          <w:rFonts w:ascii="Titillium" w:hAnsi="Titillium"/>
        </w:rPr>
        <w:t>m</w:t>
      </w:r>
      <w:r w:rsidRPr="24C1819B">
        <w:rPr>
          <w:rFonts w:ascii="Titillium" w:hAnsi="Titillium"/>
        </w:rPr>
        <w:t>ossi dall'incarico di componente dell'OIV prima della scadenza</w:t>
      </w:r>
      <w:r w:rsidR="55BD0ABE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del mandato</w:t>
      </w:r>
      <w:r w:rsidR="3BD4FDA8" w:rsidRPr="24C1819B">
        <w:rPr>
          <w:rFonts w:ascii="Titillium" w:hAnsi="Titillium"/>
        </w:rPr>
        <w:t>;</w:t>
      </w:r>
      <w:r w:rsidR="55BD0ABE" w:rsidRPr="24C1819B">
        <w:rPr>
          <w:rFonts w:ascii="Titillium" w:hAnsi="Titillium"/>
        </w:rPr>
        <w:t xml:space="preserve"> </w:t>
      </w:r>
    </w:p>
    <w:p w14:paraId="07909AFB" w14:textId="0881026C" w:rsidR="00CE3C5E" w:rsidRDefault="19FDA7ED" w:rsidP="007D1A3B">
      <w:pPr>
        <w:pStyle w:val="Paragrafoelenco"/>
        <w:numPr>
          <w:ilvl w:val="0"/>
          <w:numId w:val="4"/>
        </w:numPr>
        <w:spacing w:before="120" w:after="120" w:line="360" w:lineRule="auto"/>
        <w:ind w:left="270" w:hanging="270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siano revisori dei conti presso l'</w:t>
      </w:r>
      <w:r w:rsidR="25AED03B" w:rsidRPr="24C1819B">
        <w:rPr>
          <w:rFonts w:ascii="Titillium" w:hAnsi="Titillium"/>
        </w:rPr>
        <w:t>A.N.AC.</w:t>
      </w:r>
      <w:r w:rsidRPr="24C1819B">
        <w:rPr>
          <w:rFonts w:ascii="Titillium" w:hAnsi="Titillium"/>
        </w:rPr>
        <w:t>;</w:t>
      </w:r>
    </w:p>
    <w:p w14:paraId="4C668CD7" w14:textId="77777777" w:rsidR="00A05A8E" w:rsidRDefault="1E3E83B6" w:rsidP="00B5615E">
      <w:pPr>
        <w:pStyle w:val="Paragrafoelenco"/>
        <w:numPr>
          <w:ilvl w:val="0"/>
          <w:numId w:val="4"/>
        </w:numPr>
        <w:spacing w:before="120" w:after="120" w:line="360" w:lineRule="auto"/>
        <w:ind w:left="272" w:hanging="272"/>
        <w:jc w:val="both"/>
        <w:rPr>
          <w:rFonts w:ascii="Titillium" w:hAnsi="Titillium"/>
        </w:rPr>
      </w:pPr>
      <w:r w:rsidRPr="00B5615E">
        <w:rPr>
          <w:rFonts w:ascii="Titillium" w:hAnsi="Titillium"/>
        </w:rPr>
        <w:t xml:space="preserve">appartengano contemporaneamente a più OIV oltre i limiti consentiti dall’art. 8 del Decreto del Ministro per la semplificazione e la pubblica amministrazione, emanato il 2 dicembre 2016, modificato con D.M. del 6 agosto 2020 </w:t>
      </w:r>
      <w:r w:rsidR="79F9E051" w:rsidRPr="00B5615E">
        <w:rPr>
          <w:rFonts w:ascii="Titillium" w:hAnsi="Titillium"/>
        </w:rPr>
        <w:t xml:space="preserve">e con successivo D.M. del 7 agosto 2023 della Presidenza del </w:t>
      </w:r>
      <w:proofErr w:type="gramStart"/>
      <w:r w:rsidR="79F9E051" w:rsidRPr="00B5615E">
        <w:rPr>
          <w:rFonts w:ascii="Titillium" w:hAnsi="Titillium"/>
        </w:rPr>
        <w:t>Consiglio dei Ministri</w:t>
      </w:r>
      <w:proofErr w:type="gramEnd"/>
      <w:r w:rsidR="79F9E051" w:rsidRPr="00B5615E">
        <w:rPr>
          <w:rFonts w:ascii="Titillium" w:hAnsi="Titillium"/>
        </w:rPr>
        <w:t xml:space="preserve"> </w:t>
      </w:r>
      <w:r w:rsidR="79F9E051" w:rsidRPr="00B5615E">
        <w:rPr>
          <w:rFonts w:ascii="Titillium" w:hAnsi="Titillium"/>
        </w:rPr>
        <w:lastRenderedPageBreak/>
        <w:t>– Dipartimento della Funzione Pubblica, relativo alla disciplina dell'elenco nazionale dei componenti degli organismi indipendenti di valutazione</w:t>
      </w:r>
      <w:r w:rsidRPr="00B5615E">
        <w:rPr>
          <w:rFonts w:ascii="Titillium" w:hAnsi="Titillium"/>
        </w:rPr>
        <w:t>.</w:t>
      </w:r>
    </w:p>
    <w:p w14:paraId="15A7A70D" w14:textId="4C1B3FAC" w:rsidR="00A451C8" w:rsidRPr="00B5615E" w:rsidRDefault="00796A77" w:rsidP="00A05A8E">
      <w:pPr>
        <w:pStyle w:val="Paragrafoelenco"/>
        <w:spacing w:before="120" w:after="120" w:line="360" w:lineRule="auto"/>
        <w:ind w:left="272"/>
        <w:jc w:val="center"/>
        <w:rPr>
          <w:rFonts w:ascii="Titillium" w:hAnsi="Titillium"/>
        </w:rPr>
      </w:pPr>
      <w:r w:rsidRPr="00B5615E">
        <w:rPr>
          <w:rFonts w:ascii="Titillium" w:hAnsi="Titillium"/>
        </w:rPr>
        <w:t>Art. 6</w:t>
      </w:r>
    </w:p>
    <w:p w14:paraId="5BC06D85" w14:textId="77777777" w:rsidR="00A451C8" w:rsidRPr="00472473" w:rsidRDefault="00A451C8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  <w:b/>
          <w:u w:val="single"/>
        </w:rPr>
        <w:t>Presentazione della manifestazione d'interesse</w:t>
      </w:r>
    </w:p>
    <w:p w14:paraId="43CC4F96" w14:textId="587C9E27" w:rsidR="008A738B" w:rsidRPr="00472473" w:rsidRDefault="693C1BA3" w:rsidP="005526D4">
      <w:pPr>
        <w:spacing w:before="120" w:after="120" w:line="36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I candidati dovranno </w:t>
      </w:r>
      <w:r w:rsidR="67432327" w:rsidRPr="24C1819B">
        <w:rPr>
          <w:rFonts w:ascii="Titillium" w:hAnsi="Titillium"/>
        </w:rPr>
        <w:t xml:space="preserve">manifestare </w:t>
      </w:r>
      <w:r w:rsidR="3F824749" w:rsidRPr="24C1819B">
        <w:rPr>
          <w:rFonts w:ascii="Titillium" w:hAnsi="Titillium"/>
        </w:rPr>
        <w:t xml:space="preserve">il proprio interesse a svolgere l’incarico di </w:t>
      </w:r>
      <w:r w:rsidR="66CB1C80" w:rsidRPr="24C1819B">
        <w:rPr>
          <w:rFonts w:ascii="Titillium" w:hAnsi="Titillium"/>
        </w:rPr>
        <w:t xml:space="preserve">Esperto di valutazione delle </w:t>
      </w:r>
      <w:r w:rsidR="152071FD" w:rsidRPr="24C1819B">
        <w:rPr>
          <w:rFonts w:ascii="Titillium" w:hAnsi="Titillium"/>
          <w:i/>
          <w:iCs/>
        </w:rPr>
        <w:t>performance</w:t>
      </w:r>
      <w:r w:rsidR="66CB1C80" w:rsidRPr="24C1819B">
        <w:rPr>
          <w:rFonts w:ascii="Titillium" w:hAnsi="Titillium"/>
        </w:rPr>
        <w:t xml:space="preserve"> </w:t>
      </w:r>
      <w:r w:rsidR="3F824749" w:rsidRPr="24C1819B">
        <w:rPr>
          <w:rFonts w:ascii="Titillium" w:hAnsi="Titillium"/>
        </w:rPr>
        <w:t xml:space="preserve">utilizzando </w:t>
      </w:r>
      <w:r w:rsidR="67432327" w:rsidRPr="24C1819B">
        <w:rPr>
          <w:rFonts w:ascii="Titillium" w:hAnsi="Titillium"/>
        </w:rPr>
        <w:t>il modello</w:t>
      </w:r>
      <w:r w:rsidR="67432327" w:rsidRPr="007D1A3B">
        <w:rPr>
          <w:rFonts w:ascii="Titillium" w:hAnsi="Titillium"/>
        </w:rPr>
        <w:t xml:space="preserve"> </w:t>
      </w:r>
      <w:r w:rsidR="67432327" w:rsidRPr="24C1819B">
        <w:rPr>
          <w:rFonts w:ascii="Titillium" w:hAnsi="Titillium"/>
        </w:rPr>
        <w:t>allegato al presente avviso</w:t>
      </w:r>
      <w:r w:rsidR="67D0AC22" w:rsidRPr="24C1819B">
        <w:rPr>
          <w:rFonts w:ascii="Titillium" w:hAnsi="Titillium"/>
        </w:rPr>
        <w:t xml:space="preserve"> (</w:t>
      </w:r>
      <w:r w:rsidR="67D0AC22" w:rsidRPr="007D1A3B">
        <w:rPr>
          <w:rFonts w:ascii="Titillium" w:hAnsi="Titillium"/>
          <w:i/>
          <w:iCs/>
        </w:rPr>
        <w:t>Allegato 1 - Domanda di partecipazione</w:t>
      </w:r>
      <w:r w:rsidR="67D0AC22" w:rsidRPr="24C1819B">
        <w:rPr>
          <w:rFonts w:ascii="Titillium" w:hAnsi="Titillium"/>
        </w:rPr>
        <w:t>)</w:t>
      </w:r>
      <w:r w:rsidR="67432327" w:rsidRPr="24C1819B">
        <w:rPr>
          <w:rFonts w:ascii="Titillium" w:hAnsi="Titillium"/>
        </w:rPr>
        <w:t xml:space="preserve">, </w:t>
      </w:r>
      <w:r w:rsidR="3F824749" w:rsidRPr="24C1819B">
        <w:rPr>
          <w:rFonts w:ascii="Titillium" w:hAnsi="Titillium"/>
        </w:rPr>
        <w:t>da trasmetter</w:t>
      </w:r>
      <w:r w:rsidR="5AE53B98" w:rsidRPr="24C1819B">
        <w:rPr>
          <w:rFonts w:ascii="Titillium" w:hAnsi="Titillium"/>
        </w:rPr>
        <w:t>si</w:t>
      </w:r>
      <w:r w:rsidR="3F824749" w:rsidRPr="24C1819B">
        <w:rPr>
          <w:rFonts w:ascii="Titillium" w:hAnsi="Titillium"/>
        </w:rPr>
        <w:t xml:space="preserve"> </w:t>
      </w:r>
      <w:r w:rsidR="67432327" w:rsidRPr="24C1819B">
        <w:rPr>
          <w:rFonts w:ascii="Titillium" w:hAnsi="Titillium"/>
        </w:rPr>
        <w:t>debitamente compilato</w:t>
      </w:r>
      <w:r w:rsidR="5AE53B98" w:rsidRPr="24C1819B">
        <w:rPr>
          <w:rFonts w:ascii="Titillium" w:hAnsi="Titillium"/>
        </w:rPr>
        <w:t xml:space="preserve"> e sottoscritto</w:t>
      </w:r>
      <w:r w:rsidR="67432327" w:rsidRPr="24C1819B">
        <w:rPr>
          <w:rFonts w:ascii="Titillium" w:hAnsi="Titillium"/>
        </w:rPr>
        <w:t xml:space="preserve">. Il modello </w:t>
      </w:r>
      <w:r w:rsidR="421A0582" w:rsidRPr="24C1819B">
        <w:rPr>
          <w:rFonts w:ascii="Titillium" w:hAnsi="Titillium"/>
        </w:rPr>
        <w:t xml:space="preserve">dovrà essere </w:t>
      </w:r>
      <w:r w:rsidR="3F824749" w:rsidRPr="24C1819B">
        <w:rPr>
          <w:rFonts w:ascii="Titillium" w:hAnsi="Titillium"/>
        </w:rPr>
        <w:t>presentato</w:t>
      </w:r>
      <w:r w:rsidR="421A0582" w:rsidRPr="24C1819B">
        <w:rPr>
          <w:rFonts w:ascii="Titillium" w:hAnsi="Titillium"/>
        </w:rPr>
        <w:t xml:space="preserve"> a pena di esclusione, </w:t>
      </w:r>
      <w:r w:rsidR="66CB1C80" w:rsidRPr="24C1819B">
        <w:rPr>
          <w:rFonts w:ascii="Titillium" w:hAnsi="Titillium"/>
        </w:rPr>
        <w:t xml:space="preserve">entro e non oltre </w:t>
      </w:r>
      <w:r w:rsidR="74CAA78C" w:rsidRPr="24C1819B">
        <w:rPr>
          <w:rFonts w:ascii="Titillium" w:hAnsi="Titillium"/>
        </w:rPr>
        <w:t>i</w:t>
      </w:r>
      <w:r w:rsidR="66CB1C80" w:rsidRPr="24C1819B">
        <w:rPr>
          <w:rFonts w:ascii="Titillium" w:hAnsi="Titillium"/>
        </w:rPr>
        <w:t>l</w:t>
      </w:r>
      <w:r w:rsidR="76D073AB" w:rsidRPr="24C1819B">
        <w:rPr>
          <w:rFonts w:ascii="Titillium" w:hAnsi="Titillium"/>
        </w:rPr>
        <w:t xml:space="preserve"> </w:t>
      </w:r>
      <w:r w:rsidR="00786EE0">
        <w:rPr>
          <w:rFonts w:ascii="Titillium" w:hAnsi="Titillium"/>
        </w:rPr>
        <w:t>21</w:t>
      </w:r>
      <w:r w:rsidR="00AC0B7F">
        <w:rPr>
          <w:rFonts w:ascii="Titillium" w:hAnsi="Titillium"/>
        </w:rPr>
        <w:t xml:space="preserve"> ottobre 2024,</w:t>
      </w:r>
      <w:r w:rsidR="76D073AB" w:rsidRPr="24C1819B">
        <w:rPr>
          <w:rFonts w:ascii="Titillium" w:hAnsi="Titillium"/>
        </w:rPr>
        <w:t xml:space="preserve"> ore 23:59, </w:t>
      </w:r>
      <w:r w:rsidR="421A0582" w:rsidRPr="24C1819B">
        <w:rPr>
          <w:rFonts w:ascii="Titillium" w:hAnsi="Titillium"/>
        </w:rPr>
        <w:t xml:space="preserve">esclusivamente a mezzo PEC, all'indirizzo </w:t>
      </w:r>
      <w:hyperlink r:id="rId11">
        <w:r w:rsidR="421A0582" w:rsidRPr="24C1819B">
          <w:rPr>
            <w:rStyle w:val="Collegamentoipertestuale"/>
            <w:rFonts w:ascii="Titillium" w:hAnsi="Titillium"/>
          </w:rPr>
          <w:t>protocollo@pec.anticorruzione.it</w:t>
        </w:r>
      </w:hyperlink>
      <w:r w:rsidR="421A0582" w:rsidRPr="24C1819B">
        <w:rPr>
          <w:rFonts w:ascii="Titillium" w:hAnsi="Titillium"/>
        </w:rPr>
        <w:t xml:space="preserve">, </w:t>
      </w:r>
      <w:r w:rsidR="76D073AB" w:rsidRPr="24C1819B">
        <w:rPr>
          <w:rFonts w:ascii="Titillium" w:hAnsi="Titillium"/>
        </w:rPr>
        <w:t>indicando nell’oggetto “</w:t>
      </w:r>
      <w:r w:rsidR="1BCF8555" w:rsidRPr="24C1819B">
        <w:rPr>
          <w:rFonts w:ascii="Titillium" w:hAnsi="Titillium"/>
        </w:rPr>
        <w:t xml:space="preserve">Esperto di valutazione delle </w:t>
      </w:r>
      <w:r w:rsidR="152071FD" w:rsidRPr="24C1819B">
        <w:rPr>
          <w:rFonts w:ascii="Titillium" w:hAnsi="Titillium"/>
          <w:i/>
          <w:iCs/>
        </w:rPr>
        <w:t>performance</w:t>
      </w:r>
      <w:r w:rsidR="1BCF8555" w:rsidRPr="24C1819B">
        <w:rPr>
          <w:rFonts w:ascii="Titillium" w:hAnsi="Titillium"/>
        </w:rPr>
        <w:t xml:space="preserve"> </w:t>
      </w:r>
      <w:r w:rsidR="76D073AB" w:rsidRPr="24C1819B">
        <w:rPr>
          <w:rFonts w:ascii="Titillium" w:hAnsi="Titillium"/>
        </w:rPr>
        <w:t>- Manifestazione d'inter</w:t>
      </w:r>
      <w:r w:rsidR="6CB571CA" w:rsidRPr="24C1819B">
        <w:rPr>
          <w:rFonts w:ascii="Titillium" w:hAnsi="Titillium"/>
        </w:rPr>
        <w:t>esse” e allegando quanto segue:</w:t>
      </w:r>
    </w:p>
    <w:p w14:paraId="1016163F" w14:textId="77777777" w:rsidR="00A451C8" w:rsidRPr="00472473" w:rsidRDefault="00F13C0C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472473">
        <w:rPr>
          <w:rFonts w:ascii="Titillium" w:hAnsi="Titillium"/>
        </w:rPr>
        <w:t>a</w:t>
      </w:r>
      <w:r w:rsidR="00A451C8" w:rsidRPr="00472473">
        <w:rPr>
          <w:rFonts w:ascii="Titillium" w:hAnsi="Titillium"/>
        </w:rPr>
        <w:t xml:space="preserve">) </w:t>
      </w:r>
      <w:r w:rsidR="00296229" w:rsidRPr="00472473">
        <w:rPr>
          <w:rFonts w:ascii="Titillium" w:hAnsi="Titillium"/>
        </w:rPr>
        <w:t>fotoco</w:t>
      </w:r>
      <w:r w:rsidR="00A451C8" w:rsidRPr="00472473">
        <w:rPr>
          <w:rFonts w:ascii="Titillium" w:hAnsi="Titillium"/>
        </w:rPr>
        <w:t>pia di un documento d</w:t>
      </w:r>
      <w:r w:rsidRPr="00472473">
        <w:rPr>
          <w:rFonts w:ascii="Titillium" w:hAnsi="Titillium"/>
        </w:rPr>
        <w:t xml:space="preserve">i </w:t>
      </w:r>
      <w:r w:rsidR="00A451C8" w:rsidRPr="00472473">
        <w:rPr>
          <w:rFonts w:ascii="Titillium" w:hAnsi="Titillium"/>
        </w:rPr>
        <w:t>identità in corso di validità;</w:t>
      </w:r>
    </w:p>
    <w:p w14:paraId="3A602E34" w14:textId="29E52309" w:rsidR="00A451C8" w:rsidRPr="00472473" w:rsidRDefault="00F60871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472473">
        <w:rPr>
          <w:rFonts w:ascii="Titillium" w:hAnsi="Titillium"/>
        </w:rPr>
        <w:t>b</w:t>
      </w:r>
      <w:r w:rsidR="00A451C8" w:rsidRPr="00472473">
        <w:rPr>
          <w:rFonts w:ascii="Titillium" w:hAnsi="Titillium"/>
        </w:rPr>
        <w:t xml:space="preserve">) il </w:t>
      </w:r>
      <w:r w:rsidR="00A451C8" w:rsidRPr="00472473">
        <w:rPr>
          <w:rFonts w:ascii="Titillium" w:hAnsi="Titillium"/>
          <w:i/>
        </w:rPr>
        <w:t>curriculum vitae</w:t>
      </w:r>
      <w:r w:rsidR="00F13C0C" w:rsidRPr="00472473">
        <w:rPr>
          <w:rFonts w:ascii="Titillium" w:hAnsi="Titillium"/>
          <w:i/>
        </w:rPr>
        <w:t xml:space="preserve"> </w:t>
      </w:r>
      <w:r w:rsidR="00F13C0C" w:rsidRPr="00472473">
        <w:rPr>
          <w:rFonts w:ascii="Titillium" w:hAnsi="Titillium"/>
        </w:rPr>
        <w:t>in formato europeo</w:t>
      </w:r>
      <w:r w:rsidR="00A451C8" w:rsidRPr="00472473">
        <w:rPr>
          <w:rFonts w:ascii="Titillium" w:hAnsi="Titillium"/>
        </w:rPr>
        <w:t xml:space="preserve">, debitamente sottoscritto, </w:t>
      </w:r>
      <w:r w:rsidR="00F13C0C" w:rsidRPr="00472473">
        <w:rPr>
          <w:rFonts w:ascii="Titillium" w:hAnsi="Titillium"/>
        </w:rPr>
        <w:t>comprovante i titoli ed</w:t>
      </w:r>
      <w:r w:rsidR="009A28AB">
        <w:rPr>
          <w:rFonts w:ascii="Titillium" w:hAnsi="Titillium"/>
        </w:rPr>
        <w:t xml:space="preserve"> i requisiti indicati all’art. 4</w:t>
      </w:r>
      <w:r w:rsidR="00F13C0C" w:rsidRPr="00472473">
        <w:rPr>
          <w:rFonts w:ascii="Titillium" w:hAnsi="Titillium"/>
        </w:rPr>
        <w:t xml:space="preserve"> del presente avviso nonché l’esperienza professionale maturata, sottoscritto e </w:t>
      </w:r>
      <w:r w:rsidR="00A451C8" w:rsidRPr="00472473">
        <w:rPr>
          <w:rFonts w:ascii="Titillium" w:hAnsi="Titillium"/>
        </w:rPr>
        <w:t>recante la dichiarazione, sotto la propria responsabilità, della corrispondenza al vero di tutte le informazioni riportate e della consapevolezza che le dichiarazioni mendaci sono sanzionate penalmente, come previsto dall'art. 76 del DPR n. 445 del 2000 e successive modificazioni;</w:t>
      </w:r>
    </w:p>
    <w:p w14:paraId="16D94707" w14:textId="5FA7A26A" w:rsidR="00A451C8" w:rsidRPr="00472473" w:rsidRDefault="42858506" w:rsidP="005526D4">
      <w:pPr>
        <w:spacing w:before="120" w:after="120" w:line="36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c</w:t>
      </w:r>
      <w:r w:rsidR="693C1BA3" w:rsidRPr="24C1819B">
        <w:rPr>
          <w:rFonts w:ascii="Titillium" w:hAnsi="Titillium"/>
        </w:rPr>
        <w:t xml:space="preserve">) una relazione di accompagnamento al </w:t>
      </w:r>
      <w:r w:rsidR="0159EF7F" w:rsidRPr="24C1819B">
        <w:rPr>
          <w:rFonts w:ascii="Titillium" w:hAnsi="Titillium"/>
          <w:i/>
          <w:iCs/>
        </w:rPr>
        <w:t>curriculum</w:t>
      </w:r>
      <w:r w:rsidR="693C1BA3" w:rsidRPr="24C1819B">
        <w:rPr>
          <w:rFonts w:ascii="Titillium" w:hAnsi="Titillium"/>
        </w:rPr>
        <w:t xml:space="preserve"> vitae che illustri</w:t>
      </w:r>
      <w:r w:rsidR="67D0AC22" w:rsidRPr="24C1819B">
        <w:rPr>
          <w:rFonts w:ascii="Titillium" w:hAnsi="Titillium"/>
        </w:rPr>
        <w:t xml:space="preserve"> brevemente</w:t>
      </w:r>
      <w:r w:rsidR="693C1BA3" w:rsidRPr="24C1819B">
        <w:rPr>
          <w:rFonts w:ascii="Titillium" w:hAnsi="Titillium"/>
        </w:rPr>
        <w:t xml:space="preserve"> le esperienze </w:t>
      </w:r>
      <w:r w:rsidR="421A0582" w:rsidRPr="24C1819B">
        <w:rPr>
          <w:rFonts w:ascii="Titillium" w:hAnsi="Titillium"/>
        </w:rPr>
        <w:t xml:space="preserve">maturate </w:t>
      </w:r>
      <w:r w:rsidR="693C1BA3" w:rsidRPr="24C1819B">
        <w:rPr>
          <w:rFonts w:ascii="Titillium" w:hAnsi="Titillium"/>
        </w:rPr>
        <w:t xml:space="preserve">ritenute più significative in relazione al ruolo da svolgere, </w:t>
      </w:r>
      <w:r w:rsidR="421A0582" w:rsidRPr="24C1819B">
        <w:rPr>
          <w:rFonts w:ascii="Titillium" w:hAnsi="Titillium"/>
        </w:rPr>
        <w:t>soffermandosi</w:t>
      </w:r>
      <w:r w:rsidR="693C1BA3" w:rsidRPr="24C1819B">
        <w:rPr>
          <w:rFonts w:ascii="Titillium" w:hAnsi="Titillium"/>
        </w:rPr>
        <w:t xml:space="preserve">, in particolare, </w:t>
      </w:r>
      <w:r w:rsidR="421A0582" w:rsidRPr="24C1819B">
        <w:rPr>
          <w:rFonts w:ascii="Titillium" w:hAnsi="Titillium"/>
        </w:rPr>
        <w:t>sul</w:t>
      </w:r>
      <w:r w:rsidR="693C1BA3" w:rsidRPr="24C1819B">
        <w:rPr>
          <w:rFonts w:ascii="Titillium" w:hAnsi="Titillium"/>
        </w:rPr>
        <w:t>l</w:t>
      </w:r>
      <w:r w:rsidR="196B40C0" w:rsidRPr="24C1819B">
        <w:rPr>
          <w:rFonts w:ascii="Titillium" w:hAnsi="Titillium"/>
        </w:rPr>
        <w:t xml:space="preserve">e </w:t>
      </w:r>
      <w:r w:rsidR="693C1BA3" w:rsidRPr="24C1819B">
        <w:rPr>
          <w:rFonts w:ascii="Titillium" w:hAnsi="Titillium"/>
        </w:rPr>
        <w:t xml:space="preserve">attività </w:t>
      </w:r>
      <w:r w:rsidR="5AE53B98" w:rsidRPr="24C1819B">
        <w:rPr>
          <w:rFonts w:ascii="Titillium" w:hAnsi="Titillium"/>
        </w:rPr>
        <w:t xml:space="preserve">eventualmente </w:t>
      </w:r>
      <w:r w:rsidR="421A0582" w:rsidRPr="24C1819B">
        <w:rPr>
          <w:rFonts w:ascii="Titillium" w:hAnsi="Titillium"/>
        </w:rPr>
        <w:t>già svolt</w:t>
      </w:r>
      <w:r w:rsidR="196B40C0" w:rsidRPr="24C1819B">
        <w:rPr>
          <w:rFonts w:ascii="Titillium" w:hAnsi="Titillium"/>
        </w:rPr>
        <w:t>e</w:t>
      </w:r>
      <w:r w:rsidR="421A0582" w:rsidRPr="24C1819B">
        <w:rPr>
          <w:rFonts w:ascii="Titillium" w:hAnsi="Titillium"/>
        </w:rPr>
        <w:t xml:space="preserve"> </w:t>
      </w:r>
      <w:r w:rsidR="693C1BA3" w:rsidRPr="24C1819B">
        <w:rPr>
          <w:rFonts w:ascii="Titillium" w:hAnsi="Titillium"/>
        </w:rPr>
        <w:t xml:space="preserve">in relazione </w:t>
      </w:r>
      <w:r w:rsidR="196B40C0" w:rsidRPr="24C1819B">
        <w:rPr>
          <w:rFonts w:ascii="Titillium" w:hAnsi="Titillium"/>
        </w:rPr>
        <w:t>ai compiti di cui all’art. 1 del presente bando</w:t>
      </w:r>
      <w:r w:rsidR="693C1BA3" w:rsidRPr="24C1819B">
        <w:rPr>
          <w:rFonts w:ascii="Titillium" w:hAnsi="Titillium"/>
        </w:rPr>
        <w:t xml:space="preserve">. </w:t>
      </w:r>
      <w:r w:rsidRPr="24C1819B">
        <w:rPr>
          <w:rFonts w:ascii="Titillium" w:hAnsi="Titillium"/>
        </w:rPr>
        <w:t>La relazione deve essere sottoscritta e recante la dichiarazione, sotto la propria responsabilità, della corrispondenza al vero di tutte le informazioni riportate e della consapevolezza che le dichiarazioni mendaci sono sanzionate penalmente, come previsto dall'art. 76 del DPR n. 445 del 2000 e successive modificazioni</w:t>
      </w:r>
      <w:r w:rsidR="1227147F" w:rsidRPr="24C1819B">
        <w:rPr>
          <w:rFonts w:ascii="Titillium" w:hAnsi="Titillium"/>
        </w:rPr>
        <w:t>.</w:t>
      </w:r>
    </w:p>
    <w:p w14:paraId="4CA70F74" w14:textId="13D3B642" w:rsidR="008A738B" w:rsidRDefault="008A738B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472473">
        <w:rPr>
          <w:rFonts w:ascii="Titillium" w:hAnsi="Titillium"/>
        </w:rPr>
        <w:t xml:space="preserve">Non saranno prese in considerazione, e saranno quindi automaticamente escluse, domande </w:t>
      </w:r>
      <w:r w:rsidR="00296229" w:rsidRPr="00472473">
        <w:rPr>
          <w:rFonts w:ascii="Titillium" w:hAnsi="Titillium"/>
        </w:rPr>
        <w:t xml:space="preserve">non sottoscritte o presentate </w:t>
      </w:r>
      <w:r w:rsidRPr="00472473">
        <w:rPr>
          <w:rFonts w:ascii="Titillium" w:hAnsi="Titillium"/>
        </w:rPr>
        <w:t xml:space="preserve">oltre i termini indicati e con dati o allegati </w:t>
      </w:r>
      <w:r w:rsidR="00296229" w:rsidRPr="00472473">
        <w:rPr>
          <w:rFonts w:ascii="Titillium" w:hAnsi="Titillium"/>
        </w:rPr>
        <w:t xml:space="preserve">incompleti o </w:t>
      </w:r>
      <w:r w:rsidRPr="00472473">
        <w:rPr>
          <w:rFonts w:ascii="Titillium" w:hAnsi="Titillium"/>
        </w:rPr>
        <w:t>mancanti (</w:t>
      </w:r>
      <w:r w:rsidR="00F60871" w:rsidRPr="00472473">
        <w:rPr>
          <w:rFonts w:ascii="Titillium" w:hAnsi="Titillium"/>
        </w:rPr>
        <w:t xml:space="preserve">copia del documento di riconoscimento, </w:t>
      </w:r>
      <w:r w:rsidR="00CB76D1" w:rsidRPr="00472473">
        <w:rPr>
          <w:rFonts w:ascii="Titillium" w:hAnsi="Titillium"/>
          <w:i/>
        </w:rPr>
        <w:t>curriculum</w:t>
      </w:r>
      <w:r w:rsidRPr="00472473">
        <w:rPr>
          <w:rFonts w:ascii="Titillium" w:hAnsi="Titillium"/>
        </w:rPr>
        <w:t xml:space="preserve"> vitae, </w:t>
      </w:r>
      <w:r w:rsidR="00296229" w:rsidRPr="00472473">
        <w:rPr>
          <w:rFonts w:ascii="Titillium" w:hAnsi="Titillium"/>
        </w:rPr>
        <w:t xml:space="preserve">relazione di accompagnamento al </w:t>
      </w:r>
      <w:r w:rsidR="00CB76D1" w:rsidRPr="00472473">
        <w:rPr>
          <w:rFonts w:ascii="Titillium" w:hAnsi="Titillium"/>
          <w:i/>
        </w:rPr>
        <w:t>curriculum</w:t>
      </w:r>
      <w:r w:rsidR="00296229" w:rsidRPr="00472473">
        <w:rPr>
          <w:rFonts w:ascii="Titillium" w:hAnsi="Titillium"/>
        </w:rPr>
        <w:t xml:space="preserve"> vitae</w:t>
      </w:r>
      <w:r w:rsidRPr="00472473">
        <w:rPr>
          <w:rFonts w:ascii="Titillium" w:hAnsi="Titillium"/>
        </w:rPr>
        <w:t>)</w:t>
      </w:r>
      <w:r w:rsidR="00735BDC" w:rsidRPr="00472473">
        <w:rPr>
          <w:rFonts w:ascii="Titillium" w:hAnsi="Titillium"/>
        </w:rPr>
        <w:t>.</w:t>
      </w:r>
    </w:p>
    <w:p w14:paraId="2A403B69" w14:textId="062AA9A7" w:rsidR="003C209F" w:rsidRPr="003C209F" w:rsidRDefault="53D7C6DA" w:rsidP="003C209F">
      <w:pPr>
        <w:spacing w:before="120" w:after="120" w:line="36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 xml:space="preserve">Nella domanda di partecipazione il candidato dovrà dichiarare di aver preso conoscenza e di accettare in modo pieno gli obblighi di condotta previsti dal </w:t>
      </w:r>
      <w:r w:rsidR="6283FE38" w:rsidRPr="24C1819B">
        <w:rPr>
          <w:rFonts w:ascii="Titillium" w:hAnsi="Titillium"/>
        </w:rPr>
        <w:t>C</w:t>
      </w:r>
      <w:r w:rsidRPr="24C1819B">
        <w:rPr>
          <w:rFonts w:ascii="Titillium" w:hAnsi="Titillium"/>
        </w:rPr>
        <w:t>odice di comportamento dei dipendenti della pubblica amministrazione</w:t>
      </w:r>
      <w:r w:rsidR="2F837ED9" w:rsidRPr="24C1819B">
        <w:rPr>
          <w:rFonts w:ascii="Titillium" w:hAnsi="Titillium"/>
        </w:rPr>
        <w:t xml:space="preserve"> </w:t>
      </w:r>
      <w:r w:rsidRPr="24C1819B">
        <w:rPr>
          <w:rFonts w:ascii="Titillium" w:hAnsi="Titillium"/>
        </w:rPr>
        <w:t>e</w:t>
      </w:r>
      <w:r w:rsidR="2B9B9ED1" w:rsidRPr="24C1819B">
        <w:rPr>
          <w:rFonts w:ascii="Titillium" w:hAnsi="Titillium"/>
        </w:rPr>
        <w:t xml:space="preserve">, </w:t>
      </w:r>
      <w:r w:rsidRPr="24C1819B">
        <w:rPr>
          <w:rFonts w:ascii="Titillium" w:hAnsi="Titillium"/>
        </w:rPr>
        <w:t>in particolare</w:t>
      </w:r>
      <w:r w:rsidR="79AC1FF4" w:rsidRPr="24C1819B">
        <w:rPr>
          <w:rFonts w:ascii="Titillium" w:hAnsi="Titillium"/>
        </w:rPr>
        <w:t>,</w:t>
      </w:r>
      <w:r w:rsidRPr="24C1819B">
        <w:rPr>
          <w:rFonts w:ascii="Titillium" w:hAnsi="Titillium"/>
        </w:rPr>
        <w:t xml:space="preserve"> del Codice di comportamento dei dipendenti della Autorità Nazionale</w:t>
      </w:r>
      <w:r w:rsidR="58BB8005" w:rsidRPr="24C1819B">
        <w:rPr>
          <w:rFonts w:ascii="Titillium" w:hAnsi="Titillium"/>
        </w:rPr>
        <w:t xml:space="preserve"> </w:t>
      </w:r>
    </w:p>
    <w:p w14:paraId="3C03C4E3" w14:textId="2DBB1DA6" w:rsidR="003C209F" w:rsidRPr="00472473" w:rsidRDefault="53D7C6DA" w:rsidP="003C209F">
      <w:pPr>
        <w:spacing w:before="120" w:after="120" w:line="36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Anticorruzione, consultabile sul sito istituzionale www.anticorruzione.it.</w:t>
      </w:r>
    </w:p>
    <w:p w14:paraId="29369DD6" w14:textId="77777777" w:rsidR="00B8094A" w:rsidRDefault="00B8094A">
      <w:pPr>
        <w:rPr>
          <w:rFonts w:ascii="Titillium" w:hAnsi="Titillium"/>
        </w:rPr>
      </w:pPr>
      <w:r>
        <w:rPr>
          <w:rFonts w:ascii="Titillium" w:hAnsi="Titillium"/>
        </w:rPr>
        <w:br w:type="page"/>
      </w:r>
    </w:p>
    <w:p w14:paraId="4008B3ED" w14:textId="26F53D1F" w:rsidR="00CE3C5E" w:rsidRPr="00472473" w:rsidRDefault="00CE3C5E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</w:rPr>
        <w:lastRenderedPageBreak/>
        <w:t xml:space="preserve">Art. </w:t>
      </w:r>
      <w:r w:rsidR="0026213D">
        <w:rPr>
          <w:rFonts w:ascii="Titillium" w:hAnsi="Titillium"/>
        </w:rPr>
        <w:t>7</w:t>
      </w:r>
    </w:p>
    <w:p w14:paraId="28EB5C52" w14:textId="6E6F4799" w:rsidR="0084516A" w:rsidRPr="00472473" w:rsidRDefault="3A3381BD" w:rsidP="24C1819B">
      <w:pPr>
        <w:spacing w:before="120" w:after="120" w:line="240" w:lineRule="auto"/>
        <w:jc w:val="center"/>
        <w:rPr>
          <w:rFonts w:ascii="Titillium" w:hAnsi="Titillium"/>
          <w:b/>
          <w:bCs/>
          <w:u w:val="single"/>
        </w:rPr>
      </w:pPr>
      <w:r w:rsidRPr="24C1819B">
        <w:rPr>
          <w:rFonts w:ascii="Titillium" w:hAnsi="Titillium"/>
          <w:b/>
          <w:bCs/>
          <w:u w:val="single"/>
        </w:rPr>
        <w:t>Verifica dei requisiti e</w:t>
      </w:r>
      <w:r w:rsidR="68C02551" w:rsidRPr="24C1819B">
        <w:rPr>
          <w:rFonts w:ascii="Titillium" w:hAnsi="Titillium"/>
          <w:b/>
          <w:bCs/>
          <w:u w:val="single"/>
        </w:rPr>
        <w:t>d</w:t>
      </w:r>
      <w:r w:rsidRPr="24C1819B">
        <w:rPr>
          <w:rFonts w:ascii="Titillium" w:hAnsi="Titillium"/>
          <w:b/>
          <w:bCs/>
          <w:u w:val="single"/>
        </w:rPr>
        <w:t xml:space="preserve"> elementi di valutazione</w:t>
      </w:r>
    </w:p>
    <w:p w14:paraId="359A6BE3" w14:textId="1D459243" w:rsidR="0084516A" w:rsidRPr="00472473" w:rsidRDefault="00796A77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5526D4">
        <w:rPr>
          <w:rFonts w:ascii="Titillium" w:hAnsi="Titillium"/>
        </w:rPr>
        <w:t>La verifica dei requisiti di ammissione alla procedura sarà affidata all’Ufficio risorse umane</w:t>
      </w:r>
      <w:r w:rsidR="0026213D" w:rsidRPr="005526D4">
        <w:rPr>
          <w:rFonts w:ascii="Titillium" w:hAnsi="Titillium"/>
        </w:rPr>
        <w:t xml:space="preserve"> </w:t>
      </w:r>
      <w:r w:rsidRPr="005526D4">
        <w:rPr>
          <w:rFonts w:ascii="Titillium" w:hAnsi="Titillium"/>
        </w:rPr>
        <w:t>e formazione.</w:t>
      </w:r>
      <w:r w:rsidR="0026213D">
        <w:rPr>
          <w:rFonts w:ascii="Titillium" w:hAnsi="Titillium"/>
        </w:rPr>
        <w:t xml:space="preserve"> </w:t>
      </w:r>
      <w:r w:rsidR="0084516A" w:rsidRPr="00F435C5">
        <w:rPr>
          <w:rFonts w:ascii="Titillium" w:hAnsi="Titillium"/>
        </w:rPr>
        <w:t>A</w:t>
      </w:r>
      <w:r w:rsidR="004C3576" w:rsidRPr="00F435C5">
        <w:rPr>
          <w:rFonts w:ascii="Titillium" w:hAnsi="Titillium"/>
        </w:rPr>
        <w:t>l</w:t>
      </w:r>
      <w:r w:rsidR="00142AFC" w:rsidRPr="00F435C5">
        <w:rPr>
          <w:rFonts w:ascii="Titillium" w:hAnsi="Titillium"/>
        </w:rPr>
        <w:t xml:space="preserve"> fine di individuare</w:t>
      </w:r>
      <w:r w:rsidR="0084516A" w:rsidRPr="00F435C5">
        <w:rPr>
          <w:rFonts w:ascii="Titillium" w:hAnsi="Titillium"/>
        </w:rPr>
        <w:t xml:space="preserve"> fra i partecipanti alla selezione, i</w:t>
      </w:r>
      <w:r w:rsidR="00142AFC" w:rsidRPr="00F435C5">
        <w:rPr>
          <w:rFonts w:ascii="Titillium" w:hAnsi="Titillium"/>
        </w:rPr>
        <w:t>l</w:t>
      </w:r>
      <w:r w:rsidR="0084516A" w:rsidRPr="00F435C5">
        <w:rPr>
          <w:rFonts w:ascii="Titillium" w:hAnsi="Titillium"/>
        </w:rPr>
        <w:t xml:space="preserve"> soggett</w:t>
      </w:r>
      <w:r w:rsidR="00142AFC" w:rsidRPr="00F435C5">
        <w:rPr>
          <w:rFonts w:ascii="Titillium" w:hAnsi="Titillium"/>
        </w:rPr>
        <w:t>o</w:t>
      </w:r>
      <w:r w:rsidR="0084516A" w:rsidRPr="00F435C5">
        <w:rPr>
          <w:rFonts w:ascii="Titillium" w:hAnsi="Titillium"/>
        </w:rPr>
        <w:t xml:space="preserve"> più idone</w:t>
      </w:r>
      <w:r w:rsidR="00142AFC" w:rsidRPr="00F435C5">
        <w:rPr>
          <w:rFonts w:ascii="Titillium" w:hAnsi="Titillium"/>
        </w:rPr>
        <w:t>o</w:t>
      </w:r>
      <w:r w:rsidR="0084516A" w:rsidRPr="00F435C5">
        <w:rPr>
          <w:rFonts w:ascii="Titillium" w:hAnsi="Titillium"/>
        </w:rPr>
        <w:t xml:space="preserve"> a</w:t>
      </w:r>
      <w:r w:rsidR="00151194" w:rsidRPr="00F435C5">
        <w:rPr>
          <w:rFonts w:ascii="Titillium" w:hAnsi="Titillium"/>
        </w:rPr>
        <w:t>l conferimento del</w:t>
      </w:r>
      <w:r w:rsidR="00971D7B" w:rsidRPr="00F435C5">
        <w:rPr>
          <w:rFonts w:ascii="Titillium" w:hAnsi="Titillium"/>
        </w:rPr>
        <w:t xml:space="preserve">l’incarico </w:t>
      </w:r>
      <w:r w:rsidR="0084516A" w:rsidRPr="00F435C5">
        <w:rPr>
          <w:rFonts w:ascii="Titillium" w:hAnsi="Titillium"/>
        </w:rPr>
        <w:t>di</w:t>
      </w:r>
      <w:r w:rsidR="0084516A" w:rsidRPr="00472473">
        <w:rPr>
          <w:rFonts w:ascii="Titillium" w:hAnsi="Titillium"/>
        </w:rPr>
        <w:t xml:space="preserve"> </w:t>
      </w:r>
      <w:r w:rsidR="001D3624" w:rsidRPr="00472473">
        <w:rPr>
          <w:rFonts w:ascii="Titillium" w:hAnsi="Titillium"/>
        </w:rPr>
        <w:t xml:space="preserve">Esperto di </w:t>
      </w:r>
      <w:r w:rsidR="00644D41" w:rsidRPr="00472473">
        <w:rPr>
          <w:rFonts w:ascii="Titillium" w:hAnsi="Titillium"/>
        </w:rPr>
        <w:t>valutazione</w:t>
      </w:r>
      <w:r w:rsidR="00845C69" w:rsidRPr="00472473">
        <w:rPr>
          <w:rFonts w:ascii="Titillium" w:hAnsi="Titillium"/>
        </w:rPr>
        <w:t xml:space="preserve"> della </w:t>
      </w:r>
      <w:r w:rsidR="00845C69" w:rsidRPr="00472473">
        <w:rPr>
          <w:rFonts w:ascii="Titillium" w:hAnsi="Titillium"/>
          <w:i/>
        </w:rPr>
        <w:t>performance</w:t>
      </w:r>
      <w:r w:rsidR="0084516A" w:rsidRPr="00472473">
        <w:rPr>
          <w:rFonts w:ascii="Titillium" w:hAnsi="Titillium"/>
        </w:rPr>
        <w:t>,</w:t>
      </w:r>
      <w:r w:rsidR="00644D41" w:rsidRPr="00472473">
        <w:rPr>
          <w:rFonts w:ascii="Titillium" w:hAnsi="Titillium"/>
        </w:rPr>
        <w:t xml:space="preserve"> </w:t>
      </w:r>
      <w:r w:rsidR="00296229" w:rsidRPr="00472473">
        <w:rPr>
          <w:rFonts w:ascii="Titillium" w:hAnsi="Titillium"/>
        </w:rPr>
        <w:t>il Consiglio del</w:t>
      </w:r>
      <w:r w:rsidR="0084516A" w:rsidRPr="00472473">
        <w:rPr>
          <w:rFonts w:ascii="Titillium" w:hAnsi="Titillium"/>
        </w:rPr>
        <w:t>l</w:t>
      </w:r>
      <w:r w:rsidR="00B0484C" w:rsidRPr="00472473">
        <w:rPr>
          <w:rFonts w:ascii="Titillium" w:hAnsi="Titillium"/>
        </w:rPr>
        <w:t>’</w:t>
      </w:r>
      <w:r w:rsidR="0084516A" w:rsidRPr="00472473">
        <w:rPr>
          <w:rFonts w:ascii="Titillium" w:hAnsi="Titillium"/>
        </w:rPr>
        <w:t>A</w:t>
      </w:r>
      <w:r w:rsidR="002571EF" w:rsidRPr="00472473">
        <w:rPr>
          <w:rFonts w:ascii="Titillium" w:hAnsi="Titillium"/>
        </w:rPr>
        <w:t xml:space="preserve">.N.AC. </w:t>
      </w:r>
      <w:r w:rsidR="002B6DD3" w:rsidRPr="00472473">
        <w:rPr>
          <w:rFonts w:ascii="Titillium" w:hAnsi="Titillium"/>
        </w:rPr>
        <w:t>procederà alla valutazione mediante l’esame de</w:t>
      </w:r>
      <w:r w:rsidR="00A74125">
        <w:rPr>
          <w:rFonts w:ascii="Titillium" w:hAnsi="Titillium"/>
        </w:rPr>
        <w:t>l</w:t>
      </w:r>
      <w:r w:rsidR="002B6DD3" w:rsidRPr="00472473">
        <w:rPr>
          <w:rFonts w:ascii="Titillium" w:hAnsi="Titillium"/>
        </w:rPr>
        <w:t xml:space="preserve"> </w:t>
      </w:r>
      <w:r w:rsidR="00CB76D1" w:rsidRPr="00472473">
        <w:rPr>
          <w:rFonts w:ascii="Titillium" w:hAnsi="Titillium"/>
          <w:i/>
        </w:rPr>
        <w:t>c</w:t>
      </w:r>
      <w:r w:rsidR="002B6DD3" w:rsidRPr="00472473">
        <w:rPr>
          <w:rFonts w:ascii="Titillium" w:hAnsi="Titillium"/>
          <w:i/>
        </w:rPr>
        <w:t>urriculum</w:t>
      </w:r>
      <w:r w:rsidR="002B6DD3" w:rsidRPr="00472473">
        <w:rPr>
          <w:rFonts w:ascii="Titillium" w:hAnsi="Titillium"/>
        </w:rPr>
        <w:t xml:space="preserve"> vitae e delle relazioni di accompagnamento presentate dai candidati</w:t>
      </w:r>
      <w:r w:rsidR="00142AFC" w:rsidRPr="00472473">
        <w:rPr>
          <w:rFonts w:ascii="Titillium" w:hAnsi="Titillium"/>
        </w:rPr>
        <w:t>.</w:t>
      </w:r>
    </w:p>
    <w:p w14:paraId="0029ACF9" w14:textId="4F5BA5D3" w:rsidR="006D562C" w:rsidRPr="00472473" w:rsidRDefault="002B6DD3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472473">
        <w:rPr>
          <w:rFonts w:ascii="Titillium" w:hAnsi="Titillium"/>
        </w:rPr>
        <w:t xml:space="preserve">L’Organo </w:t>
      </w:r>
      <w:r w:rsidR="006D562C" w:rsidRPr="00472473">
        <w:rPr>
          <w:rFonts w:ascii="Titillium" w:hAnsi="Titillium"/>
        </w:rPr>
        <w:t xml:space="preserve">si riserva altresì la facoltà di effettuare colloqui </w:t>
      </w:r>
      <w:r w:rsidR="0026213D">
        <w:rPr>
          <w:rFonts w:ascii="Titillium" w:hAnsi="Titillium"/>
        </w:rPr>
        <w:t xml:space="preserve">conoscitivi </w:t>
      </w:r>
      <w:r w:rsidR="006D562C" w:rsidRPr="00472473">
        <w:rPr>
          <w:rFonts w:ascii="Titillium" w:hAnsi="Titillium"/>
        </w:rPr>
        <w:t xml:space="preserve">con </w:t>
      </w:r>
      <w:r w:rsidRPr="00472473">
        <w:rPr>
          <w:rFonts w:ascii="Titillium" w:hAnsi="Titillium"/>
        </w:rPr>
        <w:t>que</w:t>
      </w:r>
      <w:r w:rsidR="006D562C" w:rsidRPr="00472473">
        <w:rPr>
          <w:rFonts w:ascii="Titillium" w:hAnsi="Titillium"/>
        </w:rPr>
        <w:t xml:space="preserve">i candidati che presentino </w:t>
      </w:r>
      <w:r w:rsidR="006D562C" w:rsidRPr="00472473">
        <w:rPr>
          <w:rFonts w:ascii="Titillium" w:hAnsi="Titillium"/>
          <w:i/>
        </w:rPr>
        <w:t>curriculum vitae</w:t>
      </w:r>
      <w:r w:rsidR="006D562C" w:rsidRPr="00472473">
        <w:rPr>
          <w:rFonts w:ascii="Titillium" w:hAnsi="Titillium"/>
        </w:rPr>
        <w:t xml:space="preserve"> e professional</w:t>
      </w:r>
      <w:r w:rsidRPr="00472473">
        <w:rPr>
          <w:rFonts w:ascii="Titillium" w:hAnsi="Titillium"/>
        </w:rPr>
        <w:t>ità</w:t>
      </w:r>
      <w:r w:rsidR="006D562C" w:rsidRPr="00472473">
        <w:rPr>
          <w:rFonts w:ascii="Titillium" w:hAnsi="Titillium"/>
        </w:rPr>
        <w:t xml:space="preserve"> ritenuti maggiormente rispondenti all'incarico da conferire.</w:t>
      </w:r>
    </w:p>
    <w:p w14:paraId="695D8182" w14:textId="77777777" w:rsidR="00B8094A" w:rsidRDefault="00B8094A" w:rsidP="005526D4">
      <w:pPr>
        <w:spacing w:before="120" w:after="120" w:line="240" w:lineRule="auto"/>
        <w:jc w:val="center"/>
        <w:rPr>
          <w:rFonts w:ascii="Titillium" w:hAnsi="Titillium"/>
        </w:rPr>
      </w:pPr>
    </w:p>
    <w:p w14:paraId="59DD8733" w14:textId="334E9958" w:rsidR="003F52E5" w:rsidRPr="00472473" w:rsidRDefault="003F52E5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</w:rPr>
        <w:t xml:space="preserve">Art. </w:t>
      </w:r>
      <w:r w:rsidR="00E6321B">
        <w:rPr>
          <w:rFonts w:ascii="Titillium" w:hAnsi="Titillium"/>
        </w:rPr>
        <w:t>8</w:t>
      </w:r>
    </w:p>
    <w:p w14:paraId="229898F4" w14:textId="77777777" w:rsidR="0084516A" w:rsidRPr="00472473" w:rsidRDefault="003F52E5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  <w:b/>
          <w:u w:val="single"/>
        </w:rPr>
        <w:t>T</w:t>
      </w:r>
      <w:r w:rsidR="00FB6884" w:rsidRPr="00472473">
        <w:rPr>
          <w:rFonts w:ascii="Titillium" w:hAnsi="Titillium"/>
          <w:b/>
          <w:u w:val="single"/>
        </w:rPr>
        <w:t>rattamento dei dati personali</w:t>
      </w:r>
    </w:p>
    <w:p w14:paraId="0B82BE1C" w14:textId="33BDD24C" w:rsidR="005D3B2F" w:rsidRPr="00472473" w:rsidRDefault="003F52E5" w:rsidP="00271176">
      <w:pPr>
        <w:spacing w:before="120" w:after="120" w:line="360" w:lineRule="auto"/>
        <w:jc w:val="both"/>
        <w:rPr>
          <w:rFonts w:ascii="Titillium" w:hAnsi="Titillium"/>
          <w:strike/>
        </w:rPr>
      </w:pPr>
      <w:r w:rsidRPr="00472473">
        <w:rPr>
          <w:rFonts w:ascii="Titillium" w:hAnsi="Titillium"/>
        </w:rPr>
        <w:t>I</w:t>
      </w:r>
      <w:r w:rsidR="0084516A" w:rsidRPr="00472473">
        <w:rPr>
          <w:rFonts w:ascii="Titillium" w:hAnsi="Titillium"/>
        </w:rPr>
        <w:t xml:space="preserve"> </w:t>
      </w:r>
      <w:r w:rsidRPr="00472473">
        <w:rPr>
          <w:rFonts w:ascii="Titillium" w:hAnsi="Titillium"/>
        </w:rPr>
        <w:t xml:space="preserve">dati personali forniti dai candidati saranno trattati in conformità alle disposizioni di cui al decreto legislativo 30 giugno 2003, n. 196 e al Regolamento (UE) 2016/679 </w:t>
      </w:r>
      <w:r w:rsidR="00271176" w:rsidRPr="00271176">
        <w:rPr>
          <w:rFonts w:ascii="Titillium" w:hAnsi="Titillium"/>
        </w:rPr>
        <w:t>del Parlamento europeo</w:t>
      </w:r>
      <w:r w:rsidR="00271176">
        <w:rPr>
          <w:rFonts w:ascii="Titillium" w:hAnsi="Titillium"/>
        </w:rPr>
        <w:t xml:space="preserve"> </w:t>
      </w:r>
      <w:r w:rsidR="00271176" w:rsidRPr="00271176">
        <w:rPr>
          <w:rFonts w:ascii="Titillium" w:hAnsi="Titillium"/>
        </w:rPr>
        <w:t>e del Consiglio del 27 aprile 2016</w:t>
      </w:r>
      <w:r w:rsidR="00271176">
        <w:rPr>
          <w:rFonts w:ascii="Titillium" w:hAnsi="Titillium"/>
        </w:rPr>
        <w:t xml:space="preserve"> a</w:t>
      </w:r>
      <w:r w:rsidR="00271176" w:rsidRPr="00271176">
        <w:rPr>
          <w:rFonts w:ascii="Titillium" w:hAnsi="Titillium"/>
        </w:rPr>
        <w:t>rricchito con riferimenti ai Considerando</w:t>
      </w:r>
      <w:r w:rsidR="00271176">
        <w:rPr>
          <w:rFonts w:ascii="Titillium" w:hAnsi="Titillium"/>
        </w:rPr>
        <w:t xml:space="preserve"> e </w:t>
      </w:r>
      <w:r w:rsidR="00271176" w:rsidRPr="00271176">
        <w:rPr>
          <w:rFonts w:ascii="Titillium" w:hAnsi="Titillium"/>
        </w:rPr>
        <w:t>Aggiornato alle rettifiche pubblicate sulla Gazzetta Ufficiale</w:t>
      </w:r>
      <w:r w:rsidR="00271176">
        <w:rPr>
          <w:rFonts w:ascii="Titillium" w:hAnsi="Titillium"/>
        </w:rPr>
        <w:t xml:space="preserve"> </w:t>
      </w:r>
      <w:r w:rsidR="00271176" w:rsidRPr="00271176">
        <w:rPr>
          <w:rFonts w:ascii="Titillium" w:hAnsi="Titillium"/>
        </w:rPr>
        <w:t xml:space="preserve">dell'Unione europea 127 del 23 maggio 2018 </w:t>
      </w:r>
      <w:r w:rsidRPr="00472473">
        <w:rPr>
          <w:rFonts w:ascii="Titillium" w:hAnsi="Titillium"/>
        </w:rPr>
        <w:t>(Regolamento generale sulla protezione dei dati)</w:t>
      </w:r>
      <w:r w:rsidR="00735BDC" w:rsidRPr="00472473">
        <w:rPr>
          <w:rFonts w:ascii="Titillium" w:hAnsi="Titillium"/>
        </w:rPr>
        <w:t>.</w:t>
      </w:r>
      <w:r w:rsidRPr="00472473">
        <w:rPr>
          <w:rFonts w:ascii="Titillium" w:hAnsi="Titillium"/>
        </w:rPr>
        <w:t xml:space="preserve"> </w:t>
      </w:r>
    </w:p>
    <w:p w14:paraId="44CC6A1F" w14:textId="2D0B7843" w:rsidR="003F52E5" w:rsidRPr="00472473" w:rsidRDefault="003F52E5" w:rsidP="005526D4">
      <w:pPr>
        <w:spacing w:before="120" w:after="120" w:line="240" w:lineRule="auto"/>
        <w:jc w:val="center"/>
        <w:rPr>
          <w:rFonts w:ascii="Titillium" w:hAnsi="Titillium"/>
        </w:rPr>
      </w:pPr>
      <w:r w:rsidRPr="00472473">
        <w:rPr>
          <w:rFonts w:ascii="Titillium" w:hAnsi="Titillium"/>
        </w:rPr>
        <w:t xml:space="preserve">Art. </w:t>
      </w:r>
      <w:r w:rsidR="00E6321B">
        <w:rPr>
          <w:rFonts w:ascii="Titillium" w:hAnsi="Titillium"/>
        </w:rPr>
        <w:t>9</w:t>
      </w:r>
    </w:p>
    <w:p w14:paraId="71100C6A" w14:textId="77777777" w:rsidR="005D3B2F" w:rsidRPr="00472473" w:rsidRDefault="005D3B2F" w:rsidP="005526D4">
      <w:pPr>
        <w:spacing w:before="120" w:after="120" w:line="240" w:lineRule="auto"/>
        <w:jc w:val="center"/>
        <w:rPr>
          <w:rFonts w:ascii="Titillium" w:hAnsi="Titillium"/>
          <w:b/>
        </w:rPr>
      </w:pPr>
      <w:r w:rsidRPr="00472473">
        <w:rPr>
          <w:rFonts w:ascii="Titillium" w:hAnsi="Titillium"/>
          <w:b/>
        </w:rPr>
        <w:t>Comunicazioni e informazioni sul procedimento</w:t>
      </w:r>
    </w:p>
    <w:p w14:paraId="4C2411DA" w14:textId="772DE8D3" w:rsidR="005D3B2F" w:rsidRDefault="005D3B2F" w:rsidP="005526D4">
      <w:pPr>
        <w:spacing w:before="120" w:after="120" w:line="360" w:lineRule="auto"/>
        <w:jc w:val="both"/>
        <w:rPr>
          <w:rFonts w:ascii="Titillium" w:hAnsi="Titillium"/>
        </w:rPr>
      </w:pPr>
      <w:r w:rsidRPr="00472473">
        <w:rPr>
          <w:rFonts w:ascii="Titillium" w:hAnsi="Titillium"/>
        </w:rPr>
        <w:t>Il presente avviso per la nomina dell</w:t>
      </w:r>
      <w:r w:rsidR="00982071" w:rsidRPr="00472473">
        <w:rPr>
          <w:rFonts w:ascii="Titillium" w:hAnsi="Titillium"/>
        </w:rPr>
        <w:t>’</w:t>
      </w:r>
      <w:r w:rsidR="009568DE">
        <w:rPr>
          <w:rFonts w:ascii="Titillium" w:hAnsi="Titillium"/>
        </w:rPr>
        <w:t xml:space="preserve">Esperto di valutazione della </w:t>
      </w:r>
      <w:r w:rsidR="00171D89" w:rsidRPr="00171D89">
        <w:rPr>
          <w:rFonts w:ascii="Titillium" w:hAnsi="Titillium"/>
          <w:i/>
        </w:rPr>
        <w:t>performance</w:t>
      </w:r>
      <w:r w:rsidRPr="00472473">
        <w:rPr>
          <w:rFonts w:ascii="Titillium" w:hAnsi="Titillium"/>
        </w:rPr>
        <w:t xml:space="preserve"> e la relativa documentazione saranno pubblicati sul sito internet dell'</w:t>
      </w:r>
      <w:r w:rsidR="005C4474" w:rsidRPr="00472473">
        <w:rPr>
          <w:rFonts w:ascii="Titillium" w:hAnsi="Titillium"/>
        </w:rPr>
        <w:t>A.N.AC.</w:t>
      </w:r>
      <w:r w:rsidRPr="00472473">
        <w:rPr>
          <w:rFonts w:ascii="Titillium" w:hAnsi="Titillium"/>
        </w:rPr>
        <w:t xml:space="preserve"> </w:t>
      </w:r>
      <w:hyperlink r:id="rId12" w:history="1">
        <w:r w:rsidR="00B0484C" w:rsidRPr="00472473">
          <w:rPr>
            <w:rStyle w:val="Collegamentoipertestuale"/>
            <w:rFonts w:ascii="Titillium" w:hAnsi="Titillium"/>
          </w:rPr>
          <w:t>www.anticorruzione.it</w:t>
        </w:r>
      </w:hyperlink>
      <w:r w:rsidR="00971D7B" w:rsidRPr="00472473">
        <w:rPr>
          <w:rStyle w:val="Collegamentoipertestuale"/>
          <w:rFonts w:ascii="Titillium" w:hAnsi="Titillium"/>
        </w:rPr>
        <w:t xml:space="preserve">, </w:t>
      </w:r>
      <w:r w:rsidR="00EA53EA" w:rsidRPr="00472473">
        <w:rPr>
          <w:rFonts w:ascii="Titillium" w:hAnsi="Titillium"/>
        </w:rPr>
        <w:t xml:space="preserve">alla sezione Bandi di </w:t>
      </w:r>
      <w:r w:rsidR="00C537D4" w:rsidRPr="00472473">
        <w:rPr>
          <w:rFonts w:ascii="Titillium" w:hAnsi="Titillium"/>
        </w:rPr>
        <w:t>concorso, sottosezione bandi di selezione:</w:t>
      </w:r>
      <w:r w:rsidR="00EA53EA" w:rsidRPr="00472473">
        <w:rPr>
          <w:rFonts w:ascii="Titillium" w:hAnsi="Titillium"/>
        </w:rPr>
        <w:t xml:space="preserve"> (</w:t>
      </w:r>
      <w:hyperlink r:id="rId13" w:history="1">
        <w:r w:rsidR="00321F7F" w:rsidRPr="00117493">
          <w:rPr>
            <w:rStyle w:val="Collegamentoipertestuale"/>
            <w:rFonts w:ascii="Titillium" w:hAnsi="Titillium"/>
          </w:rPr>
          <w:t>https://www.anticorruzione.it/amministrazione-trasparente/bandi-di-concorso/bandi-di-selezione</w:t>
        </w:r>
      </w:hyperlink>
      <w:r w:rsidR="00321F7F">
        <w:rPr>
          <w:rFonts w:ascii="Titillium" w:hAnsi="Titillium"/>
        </w:rPr>
        <w:t xml:space="preserve"> </w:t>
      </w:r>
      <w:r w:rsidR="00EA53EA" w:rsidRPr="00472473">
        <w:rPr>
          <w:rFonts w:ascii="Titillium" w:hAnsi="Titillium"/>
        </w:rPr>
        <w:t xml:space="preserve">). </w:t>
      </w:r>
      <w:r w:rsidRPr="00472473">
        <w:rPr>
          <w:rFonts w:ascii="Titillium" w:hAnsi="Titillium"/>
        </w:rPr>
        <w:t xml:space="preserve">Al medesimo </w:t>
      </w:r>
      <w:r w:rsidR="00B0484C" w:rsidRPr="00472473">
        <w:rPr>
          <w:rFonts w:ascii="Titillium" w:hAnsi="Titillium"/>
        </w:rPr>
        <w:t>indir</w:t>
      </w:r>
      <w:r w:rsidRPr="00472473">
        <w:rPr>
          <w:rFonts w:ascii="Titillium" w:hAnsi="Titillium"/>
        </w:rPr>
        <w:t>izzo saranno pubblicate eventuali successive comunicazioni</w:t>
      </w:r>
      <w:r w:rsidR="00EA53EA" w:rsidRPr="00472473">
        <w:rPr>
          <w:rFonts w:ascii="Titillium" w:hAnsi="Titillium"/>
        </w:rPr>
        <w:t xml:space="preserve">, con </w:t>
      </w:r>
      <w:r w:rsidRPr="00472473">
        <w:rPr>
          <w:rFonts w:ascii="Titillium" w:hAnsi="Titillium"/>
        </w:rPr>
        <w:t>riserva d</w:t>
      </w:r>
      <w:r w:rsidR="00B0484C" w:rsidRPr="00472473">
        <w:rPr>
          <w:rFonts w:ascii="Titillium" w:hAnsi="Titillium"/>
        </w:rPr>
        <w:t>i</w:t>
      </w:r>
      <w:r w:rsidRPr="00472473">
        <w:rPr>
          <w:rFonts w:ascii="Titillium" w:hAnsi="Titillium"/>
        </w:rPr>
        <w:t xml:space="preserve"> </w:t>
      </w:r>
      <w:r w:rsidR="00B0484C" w:rsidRPr="00472473">
        <w:rPr>
          <w:rFonts w:ascii="Titillium" w:hAnsi="Titillium"/>
        </w:rPr>
        <w:t>utili</w:t>
      </w:r>
      <w:r w:rsidRPr="00472473">
        <w:rPr>
          <w:rFonts w:ascii="Titillium" w:hAnsi="Titillium"/>
        </w:rPr>
        <w:t>zzare ogni alt</w:t>
      </w:r>
      <w:r w:rsidR="00B0484C" w:rsidRPr="00472473">
        <w:rPr>
          <w:rFonts w:ascii="Titillium" w:hAnsi="Titillium"/>
        </w:rPr>
        <w:t>ro mezzo di comunic</w:t>
      </w:r>
      <w:r w:rsidRPr="00472473">
        <w:rPr>
          <w:rFonts w:ascii="Titillium" w:hAnsi="Titillium"/>
        </w:rPr>
        <w:t>azione ritenuto idoneo e necessario per lo svolgimento della procedura. Le comunicazion</w:t>
      </w:r>
      <w:r w:rsidR="00B0484C" w:rsidRPr="00472473">
        <w:rPr>
          <w:rFonts w:ascii="Titillium" w:hAnsi="Titillium"/>
        </w:rPr>
        <w:t>i</w:t>
      </w:r>
      <w:r w:rsidRPr="00472473">
        <w:rPr>
          <w:rFonts w:ascii="Titillium" w:hAnsi="Titillium"/>
        </w:rPr>
        <w:t xml:space="preserve"> individuali saranno inviate attraverso i dati di </w:t>
      </w:r>
      <w:r w:rsidR="00B0484C" w:rsidRPr="00472473">
        <w:rPr>
          <w:rFonts w:ascii="Titillium" w:hAnsi="Titillium"/>
        </w:rPr>
        <w:t>c</w:t>
      </w:r>
      <w:r w:rsidRPr="00472473">
        <w:rPr>
          <w:rFonts w:ascii="Titillium" w:hAnsi="Titillium"/>
        </w:rPr>
        <w:t xml:space="preserve">ontatto forniti nella domanda. </w:t>
      </w:r>
      <w:r w:rsidR="00B0484C" w:rsidRPr="00472473">
        <w:rPr>
          <w:rFonts w:ascii="Titillium" w:hAnsi="Titillium"/>
        </w:rPr>
        <w:t>Il</w:t>
      </w:r>
      <w:r w:rsidRPr="00472473">
        <w:rPr>
          <w:rFonts w:ascii="Titillium" w:hAnsi="Titillium"/>
        </w:rPr>
        <w:t xml:space="preserve"> </w:t>
      </w:r>
      <w:r w:rsidR="00142AFC" w:rsidRPr="00472473">
        <w:rPr>
          <w:rFonts w:ascii="Titillium" w:hAnsi="Titillium"/>
        </w:rPr>
        <w:t xml:space="preserve">provvedimento </w:t>
      </w:r>
      <w:r w:rsidRPr="00472473">
        <w:rPr>
          <w:rFonts w:ascii="Titillium" w:hAnsi="Titillium"/>
        </w:rPr>
        <w:t xml:space="preserve">di nomina dell'incaricato, il suo </w:t>
      </w:r>
      <w:r w:rsidR="00CB76D1" w:rsidRPr="00472473">
        <w:rPr>
          <w:rFonts w:ascii="Titillium" w:hAnsi="Titillium"/>
          <w:i/>
        </w:rPr>
        <w:t>curriculum</w:t>
      </w:r>
      <w:r w:rsidRPr="00472473">
        <w:rPr>
          <w:rFonts w:ascii="Titillium" w:hAnsi="Titillium"/>
        </w:rPr>
        <w:t xml:space="preserve"> vitae ed il compenso saranno pubblicati sul sito dell'Autorità</w:t>
      </w:r>
      <w:r w:rsidR="00B0484C" w:rsidRPr="00472473">
        <w:rPr>
          <w:rFonts w:ascii="Titillium" w:hAnsi="Titillium"/>
        </w:rPr>
        <w:t xml:space="preserve"> in ottemperanza alla disciplina </w:t>
      </w:r>
      <w:r w:rsidR="00EA53EA" w:rsidRPr="00472473">
        <w:rPr>
          <w:rFonts w:ascii="Titillium" w:hAnsi="Titillium"/>
        </w:rPr>
        <w:t>vigente su</w:t>
      </w:r>
      <w:r w:rsidR="00B0484C" w:rsidRPr="00472473">
        <w:rPr>
          <w:rFonts w:ascii="Titillium" w:hAnsi="Titillium"/>
        </w:rPr>
        <w:t xml:space="preserve">gli obblighi </w:t>
      </w:r>
      <w:r w:rsidR="00EA53EA" w:rsidRPr="00472473">
        <w:rPr>
          <w:rFonts w:ascii="Titillium" w:hAnsi="Titillium"/>
        </w:rPr>
        <w:t>della trasparenza</w:t>
      </w:r>
      <w:r w:rsidR="00735BDC" w:rsidRPr="00472473">
        <w:rPr>
          <w:rFonts w:ascii="Titillium" w:hAnsi="Titillium"/>
        </w:rPr>
        <w:t>.</w:t>
      </w:r>
    </w:p>
    <w:p w14:paraId="615A88BC" w14:textId="37156189" w:rsidR="00B8094A" w:rsidRPr="00B8094A" w:rsidRDefault="51C48E4B" w:rsidP="24C1819B">
      <w:pPr>
        <w:spacing w:after="0" w:line="240" w:lineRule="auto"/>
        <w:jc w:val="both"/>
        <w:rPr>
          <w:rFonts w:ascii="Titillium" w:hAnsi="Titillium"/>
          <w:sz w:val="28"/>
          <w:szCs w:val="28"/>
        </w:rPr>
      </w:pPr>
      <w:r w:rsidRPr="00B5615E">
        <w:rPr>
          <w:rFonts w:ascii="Titillium" w:hAnsi="Titillium"/>
        </w:rPr>
        <w:t xml:space="preserve">Roma, </w:t>
      </w:r>
      <w:r w:rsidR="00786EE0">
        <w:rPr>
          <w:rFonts w:ascii="Titillium" w:hAnsi="Titillium"/>
        </w:rPr>
        <w:t>11</w:t>
      </w:r>
      <w:r w:rsidR="00B5615E" w:rsidRPr="00B5615E">
        <w:rPr>
          <w:rFonts w:ascii="Titillium" w:hAnsi="Titillium"/>
        </w:rPr>
        <w:t xml:space="preserve"> </w:t>
      </w:r>
      <w:r w:rsidR="00AC0B7F">
        <w:rPr>
          <w:rFonts w:ascii="Titillium" w:hAnsi="Titillium"/>
        </w:rPr>
        <w:t xml:space="preserve">ottobre </w:t>
      </w:r>
      <w:r w:rsidRPr="00B5615E">
        <w:rPr>
          <w:rFonts w:ascii="Titillium" w:hAnsi="Titillium"/>
        </w:rPr>
        <w:t>202</w:t>
      </w:r>
      <w:r w:rsidR="6B818F44" w:rsidRPr="00B5615E">
        <w:rPr>
          <w:rFonts w:ascii="Titillium" w:hAnsi="Titillium"/>
        </w:rPr>
        <w:t>4</w:t>
      </w:r>
    </w:p>
    <w:tbl>
      <w:tblPr>
        <w:tblW w:w="1473" w:type="pct"/>
        <w:tblInd w:w="609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9"/>
      </w:tblGrid>
      <w:tr w:rsidR="009568DE" w:rsidRPr="009568DE" w14:paraId="563C8CD5" w14:textId="77777777" w:rsidTr="0097738F">
        <w:trPr>
          <w:trHeight w:hRule="exact" w:val="312"/>
        </w:trPr>
        <w:tc>
          <w:tcPr>
            <w:tcW w:w="5000" w:type="pct"/>
            <w:shd w:val="clear" w:color="auto" w:fill="2770B7"/>
            <w:vAlign w:val="center"/>
          </w:tcPr>
          <w:p w14:paraId="21A8727B" w14:textId="77777777" w:rsidR="009568DE" w:rsidRPr="0043384C" w:rsidRDefault="009568DE" w:rsidP="009568DE">
            <w:pPr>
              <w:tabs>
                <w:tab w:val="left" w:pos="284"/>
                <w:tab w:val="left" w:pos="567"/>
                <w:tab w:val="left" w:pos="708"/>
                <w:tab w:val="left" w:pos="851"/>
                <w:tab w:val="left" w:pos="1134"/>
                <w:tab w:val="left" w:pos="1418"/>
                <w:tab w:val="left" w:pos="2124"/>
                <w:tab w:val="right" w:pos="2268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265"/>
                <w:tab w:val="right" w:pos="10348"/>
              </w:tabs>
              <w:spacing w:line="276" w:lineRule="auto"/>
              <w:ind w:left="-60" w:right="142"/>
              <w:jc w:val="center"/>
              <w:rPr>
                <w:rFonts w:ascii="Titillium" w:hAnsi="Titillium" w:cs="Titillium Web"/>
                <w:color w:val="FFFFFF" w:themeColor="background1"/>
                <w:sz w:val="18"/>
                <w:szCs w:val="20"/>
              </w:rPr>
            </w:pPr>
            <w:r w:rsidRPr="0043384C">
              <w:rPr>
                <w:rFonts w:ascii="Titillium" w:hAnsi="Titillium" w:cs="Titillium Web"/>
                <w:color w:val="FFFFFF" w:themeColor="background1"/>
                <w:sz w:val="18"/>
                <w:szCs w:val="20"/>
              </w:rPr>
              <w:t>Il Presidente</w:t>
            </w:r>
          </w:p>
        </w:tc>
      </w:tr>
      <w:tr w:rsidR="009568DE" w:rsidRPr="009568DE" w14:paraId="7EE99714" w14:textId="77777777" w:rsidTr="0097738F">
        <w:trPr>
          <w:trHeight w:hRule="exact" w:val="312"/>
        </w:trPr>
        <w:tc>
          <w:tcPr>
            <w:tcW w:w="5000" w:type="pct"/>
            <w:shd w:val="clear" w:color="auto" w:fill="auto"/>
            <w:vAlign w:val="center"/>
          </w:tcPr>
          <w:p w14:paraId="6BF3B166" w14:textId="77777777" w:rsidR="009568DE" w:rsidRPr="0043384C" w:rsidRDefault="009568DE" w:rsidP="009568DE">
            <w:pPr>
              <w:widowControl w:val="0"/>
              <w:spacing w:after="200" w:line="276" w:lineRule="auto"/>
              <w:jc w:val="center"/>
              <w:rPr>
                <w:rFonts w:ascii="Titillium" w:eastAsia="Calibri" w:hAnsi="Titillium" w:cs="Times New Roman"/>
                <w:i/>
                <w:sz w:val="18"/>
                <w:lang w:val="en-US"/>
              </w:rPr>
            </w:pPr>
            <w:proofErr w:type="spellStart"/>
            <w:r w:rsidRPr="0043384C">
              <w:rPr>
                <w:rFonts w:ascii="Titillium" w:eastAsia="Calibri" w:hAnsi="Titillium" w:cs="Times New Roman"/>
                <w:i/>
                <w:sz w:val="18"/>
                <w:lang w:val="en-US"/>
              </w:rPr>
              <w:t>Avv</w:t>
            </w:r>
            <w:proofErr w:type="spellEnd"/>
            <w:r w:rsidRPr="0043384C">
              <w:rPr>
                <w:rFonts w:ascii="Titillium" w:eastAsia="Calibri" w:hAnsi="Titillium" w:cs="Times New Roman"/>
                <w:i/>
                <w:sz w:val="18"/>
                <w:lang w:val="en-US"/>
              </w:rPr>
              <w:t xml:space="preserve">. Giuseppe Busia </w:t>
            </w:r>
          </w:p>
        </w:tc>
      </w:tr>
    </w:tbl>
    <w:p w14:paraId="62928D76" w14:textId="77777777" w:rsidR="00564F77" w:rsidRDefault="00564F77" w:rsidP="00564F77">
      <w:pPr>
        <w:spacing w:after="0" w:line="240" w:lineRule="auto"/>
        <w:jc w:val="both"/>
        <w:rPr>
          <w:rFonts w:ascii="Titillium" w:hAnsi="Titillium"/>
          <w:sz w:val="20"/>
        </w:rPr>
      </w:pPr>
    </w:p>
    <w:p w14:paraId="49489B83" w14:textId="77777777" w:rsidR="00B5615E" w:rsidRDefault="00B5615E" w:rsidP="00564F77">
      <w:pPr>
        <w:spacing w:after="0" w:line="240" w:lineRule="auto"/>
        <w:jc w:val="both"/>
        <w:rPr>
          <w:rFonts w:ascii="Titillium" w:hAnsi="Titillium"/>
          <w:sz w:val="20"/>
        </w:rPr>
      </w:pPr>
    </w:p>
    <w:p w14:paraId="11B3AE9A" w14:textId="77777777" w:rsidR="00B5615E" w:rsidRDefault="00B5615E" w:rsidP="00564F77">
      <w:pPr>
        <w:spacing w:after="0" w:line="240" w:lineRule="auto"/>
        <w:jc w:val="both"/>
        <w:rPr>
          <w:rFonts w:ascii="Titillium" w:hAnsi="Titillium"/>
          <w:sz w:val="20"/>
        </w:rPr>
      </w:pPr>
    </w:p>
    <w:p w14:paraId="20F72026" w14:textId="27BD2339" w:rsidR="00564F77" w:rsidRPr="00B8094A" w:rsidRDefault="79F9E051" w:rsidP="24C1819B">
      <w:pPr>
        <w:spacing w:after="0" w:line="240" w:lineRule="auto"/>
        <w:jc w:val="both"/>
        <w:rPr>
          <w:rFonts w:ascii="Titillium" w:hAnsi="Titillium"/>
          <w:b/>
          <w:bCs/>
        </w:rPr>
      </w:pPr>
      <w:r w:rsidRPr="007D1A3B">
        <w:rPr>
          <w:rFonts w:ascii="Titillium" w:hAnsi="Titillium"/>
          <w:b/>
          <w:bCs/>
        </w:rPr>
        <w:lastRenderedPageBreak/>
        <w:t xml:space="preserve">Allegati: </w:t>
      </w:r>
    </w:p>
    <w:p w14:paraId="51FB16F7" w14:textId="7E6D22B2" w:rsidR="00564F77" w:rsidRPr="00B8094A" w:rsidRDefault="79F9E051" w:rsidP="007D1A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" w:hAnsi="Titillium"/>
        </w:rPr>
      </w:pPr>
      <w:r w:rsidRPr="007D1A3B">
        <w:rPr>
          <w:rFonts w:ascii="Titillium" w:hAnsi="Titillium"/>
        </w:rPr>
        <w:t>Domanda di partecipazione;</w:t>
      </w:r>
    </w:p>
    <w:p w14:paraId="24B31283" w14:textId="16867F2A" w:rsidR="41972A75" w:rsidRPr="007D1A3B" w:rsidRDefault="41972A75" w:rsidP="007D1A3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" w:hAnsi="Titillium"/>
        </w:rPr>
      </w:pPr>
      <w:r w:rsidRPr="24C1819B">
        <w:rPr>
          <w:rFonts w:ascii="Titillium" w:hAnsi="Titillium"/>
        </w:rPr>
        <w:t>Delibera A.N.AC. n. 656 del 28 settembre 2021.</w:t>
      </w:r>
    </w:p>
    <w:p w14:paraId="28ACE35D" w14:textId="115839A9" w:rsidR="00564F77" w:rsidRPr="007D1A3B" w:rsidRDefault="00564F77" w:rsidP="24C1819B">
      <w:pPr>
        <w:spacing w:after="0" w:line="240" w:lineRule="auto"/>
        <w:jc w:val="both"/>
        <w:rPr>
          <w:rFonts w:ascii="Titillium" w:hAnsi="Titillium"/>
        </w:rPr>
      </w:pPr>
    </w:p>
    <w:sectPr w:rsidR="00564F77" w:rsidRPr="007D1A3B" w:rsidSect="0043384C">
      <w:headerReference w:type="default" r:id="rId14"/>
      <w:footerReference w:type="default" r:id="rId15"/>
      <w:pgSz w:w="11906" w:h="16838"/>
      <w:pgMar w:top="1472" w:right="1134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D1FCD" w14:textId="77777777" w:rsidR="008B501E" w:rsidRDefault="008B501E" w:rsidP="00A34606">
      <w:pPr>
        <w:spacing w:after="0" w:line="240" w:lineRule="auto"/>
      </w:pPr>
      <w:r>
        <w:separator/>
      </w:r>
    </w:p>
  </w:endnote>
  <w:endnote w:type="continuationSeparator" w:id="0">
    <w:p w14:paraId="1624F16F" w14:textId="77777777" w:rsidR="008B501E" w:rsidRDefault="008B501E" w:rsidP="00A3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 Light" w:hAnsi="Gotham Light"/>
        <w:color w:val="2770B7"/>
        <w:sz w:val="18"/>
        <w:szCs w:val="18"/>
      </w:rPr>
      <w:id w:val="-1293202607"/>
      <w:docPartObj>
        <w:docPartGallery w:val="Page Numbers (Bottom of Page)"/>
        <w:docPartUnique/>
      </w:docPartObj>
    </w:sdtPr>
    <w:sdtContent>
      <w:p w14:paraId="1BF8A723" w14:textId="4A41C308" w:rsidR="008158DD" w:rsidRPr="006319A7" w:rsidRDefault="006319A7" w:rsidP="006319A7">
        <w:pPr>
          <w:pStyle w:val="Pidipagina"/>
          <w:jc w:val="right"/>
          <w:rPr>
            <w:rFonts w:ascii="Gotham Light" w:hAnsi="Gotham Light"/>
            <w:color w:val="2770B7"/>
            <w:sz w:val="18"/>
          </w:rPr>
        </w:pPr>
        <w:r w:rsidRPr="00FC1242">
          <w:rPr>
            <w:rFonts w:ascii="Gotham Light" w:hAnsi="Gotham Light"/>
            <w:color w:val="2770B7"/>
            <w:sz w:val="18"/>
          </w:rPr>
          <w:t xml:space="preserve">Autorità Nazionale Anticorruzione - </w:t>
        </w:r>
        <w:r w:rsidR="008158DD" w:rsidRPr="006319A7">
          <w:rPr>
            <w:rFonts w:ascii="Gotham Light" w:hAnsi="Gotham Light"/>
            <w:color w:val="2770B7"/>
            <w:sz w:val="18"/>
          </w:rPr>
          <w:fldChar w:fldCharType="begin"/>
        </w:r>
        <w:r w:rsidR="008158DD" w:rsidRPr="006319A7">
          <w:rPr>
            <w:rFonts w:ascii="Gotham Light" w:hAnsi="Gotham Light"/>
            <w:color w:val="2770B7"/>
            <w:sz w:val="18"/>
          </w:rPr>
          <w:instrText>PAGE   \* MERGEFORMAT</w:instrText>
        </w:r>
        <w:r w:rsidR="008158DD" w:rsidRPr="006319A7">
          <w:rPr>
            <w:rFonts w:ascii="Gotham Light" w:hAnsi="Gotham Light"/>
            <w:color w:val="2770B7"/>
            <w:sz w:val="18"/>
          </w:rPr>
          <w:fldChar w:fldCharType="separate"/>
        </w:r>
        <w:r w:rsidR="00C12552">
          <w:rPr>
            <w:rFonts w:ascii="Gotham Light" w:hAnsi="Gotham Light"/>
            <w:noProof/>
            <w:color w:val="2770B7"/>
            <w:sz w:val="18"/>
          </w:rPr>
          <w:t>7</w:t>
        </w:r>
        <w:r w:rsidR="008158DD" w:rsidRPr="006319A7">
          <w:rPr>
            <w:rFonts w:ascii="Gotham Light" w:hAnsi="Gotham Light"/>
            <w:color w:val="2770B7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3A841" w14:textId="77777777" w:rsidR="008B501E" w:rsidRDefault="008B501E" w:rsidP="00A34606">
      <w:pPr>
        <w:spacing w:after="0" w:line="240" w:lineRule="auto"/>
      </w:pPr>
      <w:r>
        <w:separator/>
      </w:r>
    </w:p>
  </w:footnote>
  <w:footnote w:type="continuationSeparator" w:id="0">
    <w:p w14:paraId="540BDDFB" w14:textId="77777777" w:rsidR="008B501E" w:rsidRDefault="008B501E" w:rsidP="00A3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386CC" w14:textId="6EABB609" w:rsidR="0043384C" w:rsidRDefault="0043384C" w:rsidP="0043384C">
    <w:pPr>
      <w:tabs>
        <w:tab w:val="center" w:pos="4678"/>
        <w:tab w:val="left" w:pos="9638"/>
      </w:tabs>
      <w:ind w:right="-1"/>
      <w:rPr>
        <w:rFonts w:ascii="Gotham Light" w:eastAsiaTheme="majorEastAsia" w:hAnsi="Gotham Light" w:cstheme="majorBidi"/>
        <w:color w:val="2770B7"/>
        <w:sz w:val="28"/>
        <w:szCs w:val="24"/>
      </w:rPr>
    </w:pPr>
    <w:r w:rsidRPr="00AC26EA">
      <w:rPr>
        <w:rFonts w:ascii="Gotham Light" w:hAnsi="Gotham Light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323A35C" wp14:editId="6E89D5FE">
          <wp:simplePos x="0" y="0"/>
          <wp:positionH relativeFrom="margin">
            <wp:posOffset>-163195</wp:posOffset>
          </wp:positionH>
          <wp:positionV relativeFrom="margin">
            <wp:posOffset>-754380</wp:posOffset>
          </wp:positionV>
          <wp:extent cx="2879725" cy="341630"/>
          <wp:effectExtent l="0" t="0" r="0" b="1270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6A22AE" w14:textId="79C35C78" w:rsidR="00A34606" w:rsidRPr="00AC26EA" w:rsidRDefault="00AC26EA" w:rsidP="0043384C">
    <w:pPr>
      <w:tabs>
        <w:tab w:val="center" w:pos="4678"/>
        <w:tab w:val="left" w:pos="9638"/>
      </w:tabs>
      <w:ind w:left="1134" w:right="-1"/>
      <w:rPr>
        <w:rFonts w:ascii="Gotham Light" w:eastAsiaTheme="majorEastAsia" w:hAnsi="Gotham Light" w:cstheme="majorBidi"/>
        <w:color w:val="2770B7"/>
        <w:sz w:val="28"/>
        <w:szCs w:val="24"/>
      </w:rPr>
    </w:pPr>
    <w:r w:rsidRPr="00AC26EA">
      <w:rPr>
        <w:rFonts w:ascii="Gotham Light" w:eastAsiaTheme="majorEastAsia" w:hAnsi="Gotham Light" w:cstheme="majorBidi"/>
        <w:color w:val="2770B7"/>
        <w:sz w:val="28"/>
        <w:szCs w:val="24"/>
      </w:rPr>
      <w:t>Il Presidente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05C"/>
    <w:multiLevelType w:val="multilevel"/>
    <w:tmpl w:val="6CAA3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26A7077"/>
    <w:multiLevelType w:val="hybridMultilevel"/>
    <w:tmpl w:val="5548201C"/>
    <w:lvl w:ilvl="0" w:tplc="DC6219C2">
      <w:numFmt w:val="bullet"/>
      <w:lvlText w:val="-"/>
      <w:lvlJc w:val="left"/>
      <w:pPr>
        <w:ind w:left="1080" w:hanging="360"/>
      </w:pPr>
      <w:rPr>
        <w:rFonts w:ascii="Titillium" w:hAnsi="Titillium" w:hint="default"/>
      </w:rPr>
    </w:lvl>
    <w:lvl w:ilvl="1" w:tplc="A510F8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30DE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A2C8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76C3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CEE4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6824D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30FE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46F0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F36FDD"/>
    <w:multiLevelType w:val="hybridMultilevel"/>
    <w:tmpl w:val="9CEEE4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58E1"/>
    <w:multiLevelType w:val="hybridMultilevel"/>
    <w:tmpl w:val="2D462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132AD"/>
    <w:multiLevelType w:val="hybridMultilevel"/>
    <w:tmpl w:val="234EE846"/>
    <w:lvl w:ilvl="0" w:tplc="722A25AA">
      <w:start w:val="1"/>
      <w:numFmt w:val="decimal"/>
      <w:lvlText w:val="%1)"/>
      <w:lvlJc w:val="left"/>
      <w:pPr>
        <w:ind w:left="720" w:hanging="360"/>
      </w:pPr>
    </w:lvl>
    <w:lvl w:ilvl="1" w:tplc="38D823D2">
      <w:start w:val="1"/>
      <w:numFmt w:val="lowerLetter"/>
      <w:lvlText w:val="%2."/>
      <w:lvlJc w:val="left"/>
      <w:pPr>
        <w:ind w:left="1440" w:hanging="360"/>
      </w:pPr>
    </w:lvl>
    <w:lvl w:ilvl="2" w:tplc="AD7284A4">
      <w:start w:val="1"/>
      <w:numFmt w:val="lowerRoman"/>
      <w:lvlText w:val="%3."/>
      <w:lvlJc w:val="right"/>
      <w:pPr>
        <w:ind w:left="2160" w:hanging="180"/>
      </w:pPr>
    </w:lvl>
    <w:lvl w:ilvl="3" w:tplc="F4F6021A">
      <w:start w:val="1"/>
      <w:numFmt w:val="decimal"/>
      <w:lvlText w:val="%4."/>
      <w:lvlJc w:val="left"/>
      <w:pPr>
        <w:ind w:left="2880" w:hanging="360"/>
      </w:pPr>
    </w:lvl>
    <w:lvl w:ilvl="4" w:tplc="08A400BC">
      <w:start w:val="1"/>
      <w:numFmt w:val="lowerLetter"/>
      <w:lvlText w:val="%5."/>
      <w:lvlJc w:val="left"/>
      <w:pPr>
        <w:ind w:left="3600" w:hanging="360"/>
      </w:pPr>
    </w:lvl>
    <w:lvl w:ilvl="5" w:tplc="7B560B7C">
      <w:start w:val="1"/>
      <w:numFmt w:val="lowerRoman"/>
      <w:lvlText w:val="%6."/>
      <w:lvlJc w:val="right"/>
      <w:pPr>
        <w:ind w:left="4320" w:hanging="180"/>
      </w:pPr>
    </w:lvl>
    <w:lvl w:ilvl="6" w:tplc="D27208FC">
      <w:start w:val="1"/>
      <w:numFmt w:val="decimal"/>
      <w:lvlText w:val="%7."/>
      <w:lvlJc w:val="left"/>
      <w:pPr>
        <w:ind w:left="5040" w:hanging="360"/>
      </w:pPr>
    </w:lvl>
    <w:lvl w:ilvl="7" w:tplc="25688038">
      <w:start w:val="1"/>
      <w:numFmt w:val="lowerLetter"/>
      <w:lvlText w:val="%8."/>
      <w:lvlJc w:val="left"/>
      <w:pPr>
        <w:ind w:left="5760" w:hanging="360"/>
      </w:pPr>
    </w:lvl>
    <w:lvl w:ilvl="8" w:tplc="73DE8E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63B61"/>
    <w:multiLevelType w:val="multilevel"/>
    <w:tmpl w:val="827C50B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E113696"/>
    <w:multiLevelType w:val="hybridMultilevel"/>
    <w:tmpl w:val="9CEEE4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1059">
    <w:abstractNumId w:val="4"/>
  </w:num>
  <w:num w:numId="2" w16cid:durableId="1812558726">
    <w:abstractNumId w:val="0"/>
  </w:num>
  <w:num w:numId="3" w16cid:durableId="291904676">
    <w:abstractNumId w:val="5"/>
  </w:num>
  <w:num w:numId="4" w16cid:durableId="243606850">
    <w:abstractNumId w:val="2"/>
  </w:num>
  <w:num w:numId="5" w16cid:durableId="1357005613">
    <w:abstractNumId w:val="6"/>
  </w:num>
  <w:num w:numId="6" w16cid:durableId="1530874534">
    <w:abstractNumId w:val="1"/>
  </w:num>
  <w:num w:numId="7" w16cid:durableId="1977635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6A"/>
    <w:rsid w:val="000128EF"/>
    <w:rsid w:val="00033B0A"/>
    <w:rsid w:val="00041BC1"/>
    <w:rsid w:val="0006415B"/>
    <w:rsid w:val="00065F22"/>
    <w:rsid w:val="0009112A"/>
    <w:rsid w:val="000A62C3"/>
    <w:rsid w:val="000B06A6"/>
    <w:rsid w:val="000B6FB0"/>
    <w:rsid w:val="000F13C9"/>
    <w:rsid w:val="00105B33"/>
    <w:rsid w:val="00110B86"/>
    <w:rsid w:val="00124443"/>
    <w:rsid w:val="001272A3"/>
    <w:rsid w:val="001312FB"/>
    <w:rsid w:val="00142AFC"/>
    <w:rsid w:val="0014319D"/>
    <w:rsid w:val="00145B0D"/>
    <w:rsid w:val="00151194"/>
    <w:rsid w:val="00164FA6"/>
    <w:rsid w:val="00171D89"/>
    <w:rsid w:val="0019429A"/>
    <w:rsid w:val="001943FC"/>
    <w:rsid w:val="001B3B8E"/>
    <w:rsid w:val="001C1077"/>
    <w:rsid w:val="001D3624"/>
    <w:rsid w:val="001F5607"/>
    <w:rsid w:val="00202B5F"/>
    <w:rsid w:val="00214173"/>
    <w:rsid w:val="00220531"/>
    <w:rsid w:val="00234210"/>
    <w:rsid w:val="00235522"/>
    <w:rsid w:val="00243AC4"/>
    <w:rsid w:val="002505F8"/>
    <w:rsid w:val="002571EF"/>
    <w:rsid w:val="0026213D"/>
    <w:rsid w:val="00271176"/>
    <w:rsid w:val="002755E6"/>
    <w:rsid w:val="0028158D"/>
    <w:rsid w:val="00287FE8"/>
    <w:rsid w:val="00296229"/>
    <w:rsid w:val="002B6DD3"/>
    <w:rsid w:val="002E5CCA"/>
    <w:rsid w:val="00317873"/>
    <w:rsid w:val="00321F7F"/>
    <w:rsid w:val="00322581"/>
    <w:rsid w:val="00340E2F"/>
    <w:rsid w:val="003443C4"/>
    <w:rsid w:val="003470C1"/>
    <w:rsid w:val="00354910"/>
    <w:rsid w:val="00356804"/>
    <w:rsid w:val="003641A2"/>
    <w:rsid w:val="003977D0"/>
    <w:rsid w:val="003B3F8E"/>
    <w:rsid w:val="003C209F"/>
    <w:rsid w:val="003C2D14"/>
    <w:rsid w:val="003D647E"/>
    <w:rsid w:val="003E278F"/>
    <w:rsid w:val="003F52E5"/>
    <w:rsid w:val="003F6517"/>
    <w:rsid w:val="00404D8C"/>
    <w:rsid w:val="00404EA4"/>
    <w:rsid w:val="0041685C"/>
    <w:rsid w:val="0043384C"/>
    <w:rsid w:val="004401B8"/>
    <w:rsid w:val="0046566A"/>
    <w:rsid w:val="00472473"/>
    <w:rsid w:val="00490AAE"/>
    <w:rsid w:val="004A020D"/>
    <w:rsid w:val="004A37C2"/>
    <w:rsid w:val="004A6848"/>
    <w:rsid w:val="004A6D0C"/>
    <w:rsid w:val="004B740E"/>
    <w:rsid w:val="004C3576"/>
    <w:rsid w:val="004F04C8"/>
    <w:rsid w:val="004F44B7"/>
    <w:rsid w:val="00501DAD"/>
    <w:rsid w:val="00505A0C"/>
    <w:rsid w:val="00533B84"/>
    <w:rsid w:val="005526D4"/>
    <w:rsid w:val="00564F77"/>
    <w:rsid w:val="00576A4D"/>
    <w:rsid w:val="00576F94"/>
    <w:rsid w:val="00580742"/>
    <w:rsid w:val="005A086A"/>
    <w:rsid w:val="005C4474"/>
    <w:rsid w:val="005C6398"/>
    <w:rsid w:val="005D3B2F"/>
    <w:rsid w:val="005E5202"/>
    <w:rsid w:val="005F0A3C"/>
    <w:rsid w:val="005F233B"/>
    <w:rsid w:val="00605A2F"/>
    <w:rsid w:val="006319A7"/>
    <w:rsid w:val="0063253B"/>
    <w:rsid w:val="00636B19"/>
    <w:rsid w:val="00637181"/>
    <w:rsid w:val="00642116"/>
    <w:rsid w:val="0064403E"/>
    <w:rsid w:val="00644D41"/>
    <w:rsid w:val="0066355C"/>
    <w:rsid w:val="00663BAE"/>
    <w:rsid w:val="00680926"/>
    <w:rsid w:val="00681491"/>
    <w:rsid w:val="00696DA1"/>
    <w:rsid w:val="006A5B16"/>
    <w:rsid w:val="006D4FD0"/>
    <w:rsid w:val="006D562C"/>
    <w:rsid w:val="006E503E"/>
    <w:rsid w:val="007070D7"/>
    <w:rsid w:val="00717B93"/>
    <w:rsid w:val="00727699"/>
    <w:rsid w:val="00730362"/>
    <w:rsid w:val="00735BDC"/>
    <w:rsid w:val="0074019C"/>
    <w:rsid w:val="00776191"/>
    <w:rsid w:val="00782393"/>
    <w:rsid w:val="00786EE0"/>
    <w:rsid w:val="00796A77"/>
    <w:rsid w:val="007A5F64"/>
    <w:rsid w:val="007C05C9"/>
    <w:rsid w:val="007D1A3B"/>
    <w:rsid w:val="008114D4"/>
    <w:rsid w:val="008141B7"/>
    <w:rsid w:val="0081579D"/>
    <w:rsid w:val="008158DD"/>
    <w:rsid w:val="00816772"/>
    <w:rsid w:val="0082216A"/>
    <w:rsid w:val="00824448"/>
    <w:rsid w:val="008357E0"/>
    <w:rsid w:val="00841252"/>
    <w:rsid w:val="0084516A"/>
    <w:rsid w:val="00845C69"/>
    <w:rsid w:val="00854AC8"/>
    <w:rsid w:val="00877718"/>
    <w:rsid w:val="00882E5E"/>
    <w:rsid w:val="008A738B"/>
    <w:rsid w:val="008B501E"/>
    <w:rsid w:val="008C17D2"/>
    <w:rsid w:val="008C6506"/>
    <w:rsid w:val="008C6FFC"/>
    <w:rsid w:val="008D3378"/>
    <w:rsid w:val="008F2DCF"/>
    <w:rsid w:val="008F4ED6"/>
    <w:rsid w:val="009568DE"/>
    <w:rsid w:val="009618D0"/>
    <w:rsid w:val="00971D7B"/>
    <w:rsid w:val="009758D2"/>
    <w:rsid w:val="0097738F"/>
    <w:rsid w:val="00982071"/>
    <w:rsid w:val="0098309D"/>
    <w:rsid w:val="00994B08"/>
    <w:rsid w:val="009A28AB"/>
    <w:rsid w:val="009B44B9"/>
    <w:rsid w:val="009C2089"/>
    <w:rsid w:val="009E3DA0"/>
    <w:rsid w:val="00A05A8E"/>
    <w:rsid w:val="00A1524E"/>
    <w:rsid w:val="00A26860"/>
    <w:rsid w:val="00A277A8"/>
    <w:rsid w:val="00A32FA1"/>
    <w:rsid w:val="00A34606"/>
    <w:rsid w:val="00A36D9D"/>
    <w:rsid w:val="00A36ECA"/>
    <w:rsid w:val="00A4150F"/>
    <w:rsid w:val="00A41928"/>
    <w:rsid w:val="00A451C8"/>
    <w:rsid w:val="00A50DCC"/>
    <w:rsid w:val="00A523A6"/>
    <w:rsid w:val="00A53894"/>
    <w:rsid w:val="00A60455"/>
    <w:rsid w:val="00A73C86"/>
    <w:rsid w:val="00A74125"/>
    <w:rsid w:val="00A90D86"/>
    <w:rsid w:val="00AA0819"/>
    <w:rsid w:val="00AA1BAB"/>
    <w:rsid w:val="00AA4C5C"/>
    <w:rsid w:val="00AC0B7F"/>
    <w:rsid w:val="00AC26EA"/>
    <w:rsid w:val="00AD1FF1"/>
    <w:rsid w:val="00AE011F"/>
    <w:rsid w:val="00AF4FC5"/>
    <w:rsid w:val="00B0484C"/>
    <w:rsid w:val="00B21E88"/>
    <w:rsid w:val="00B27797"/>
    <w:rsid w:val="00B42075"/>
    <w:rsid w:val="00B5615E"/>
    <w:rsid w:val="00B73AD7"/>
    <w:rsid w:val="00B8094A"/>
    <w:rsid w:val="00BA5CE3"/>
    <w:rsid w:val="00BC78A4"/>
    <w:rsid w:val="00C03823"/>
    <w:rsid w:val="00C12552"/>
    <w:rsid w:val="00C21D4D"/>
    <w:rsid w:val="00C34CEF"/>
    <w:rsid w:val="00C46FF3"/>
    <w:rsid w:val="00C537D4"/>
    <w:rsid w:val="00C53984"/>
    <w:rsid w:val="00C87331"/>
    <w:rsid w:val="00CB34DC"/>
    <w:rsid w:val="00CB414A"/>
    <w:rsid w:val="00CB56C5"/>
    <w:rsid w:val="00CB6D6C"/>
    <w:rsid w:val="00CB76D1"/>
    <w:rsid w:val="00CD019D"/>
    <w:rsid w:val="00CD0B48"/>
    <w:rsid w:val="00CD449D"/>
    <w:rsid w:val="00CE0D95"/>
    <w:rsid w:val="00CE3C5E"/>
    <w:rsid w:val="00CF07F3"/>
    <w:rsid w:val="00CF6EF4"/>
    <w:rsid w:val="00D12200"/>
    <w:rsid w:val="00D15B7C"/>
    <w:rsid w:val="00D21366"/>
    <w:rsid w:val="00D252C8"/>
    <w:rsid w:val="00D337A9"/>
    <w:rsid w:val="00D40515"/>
    <w:rsid w:val="00D73F50"/>
    <w:rsid w:val="00D91333"/>
    <w:rsid w:val="00DB3EFE"/>
    <w:rsid w:val="00DE0CA1"/>
    <w:rsid w:val="00DE51A0"/>
    <w:rsid w:val="00DE5A7D"/>
    <w:rsid w:val="00DE6219"/>
    <w:rsid w:val="00DF12DE"/>
    <w:rsid w:val="00E2056C"/>
    <w:rsid w:val="00E3546C"/>
    <w:rsid w:val="00E6321B"/>
    <w:rsid w:val="00E65824"/>
    <w:rsid w:val="00E7146B"/>
    <w:rsid w:val="00E90219"/>
    <w:rsid w:val="00EA0050"/>
    <w:rsid w:val="00EA2225"/>
    <w:rsid w:val="00EA53EA"/>
    <w:rsid w:val="00EA6881"/>
    <w:rsid w:val="00EB2131"/>
    <w:rsid w:val="00EB23FE"/>
    <w:rsid w:val="00EC4B87"/>
    <w:rsid w:val="00F05DF2"/>
    <w:rsid w:val="00F129C4"/>
    <w:rsid w:val="00F12F3D"/>
    <w:rsid w:val="00F13C0C"/>
    <w:rsid w:val="00F14529"/>
    <w:rsid w:val="00F17E3F"/>
    <w:rsid w:val="00F37750"/>
    <w:rsid w:val="00F435C5"/>
    <w:rsid w:val="00F440A3"/>
    <w:rsid w:val="00F47DC7"/>
    <w:rsid w:val="00F549A0"/>
    <w:rsid w:val="00F57922"/>
    <w:rsid w:val="00F60871"/>
    <w:rsid w:val="00FA4CB2"/>
    <w:rsid w:val="00FB6884"/>
    <w:rsid w:val="00FB7010"/>
    <w:rsid w:val="00FD41DF"/>
    <w:rsid w:val="00FE4D13"/>
    <w:rsid w:val="0159EF7F"/>
    <w:rsid w:val="06FB189C"/>
    <w:rsid w:val="07767622"/>
    <w:rsid w:val="077BA79D"/>
    <w:rsid w:val="07CA2564"/>
    <w:rsid w:val="08D0D6C6"/>
    <w:rsid w:val="0A38BE1F"/>
    <w:rsid w:val="0D4B1812"/>
    <w:rsid w:val="0D741021"/>
    <w:rsid w:val="0EEDF3C6"/>
    <w:rsid w:val="1227147F"/>
    <w:rsid w:val="1244862B"/>
    <w:rsid w:val="12A963D3"/>
    <w:rsid w:val="13AA2942"/>
    <w:rsid w:val="1514BEE8"/>
    <w:rsid w:val="152071FD"/>
    <w:rsid w:val="166E47E9"/>
    <w:rsid w:val="196B40C0"/>
    <w:rsid w:val="19FDA7ED"/>
    <w:rsid w:val="1B9D60FF"/>
    <w:rsid w:val="1BCF8555"/>
    <w:rsid w:val="1BF276E6"/>
    <w:rsid w:val="1D6B8473"/>
    <w:rsid w:val="1E3E83B6"/>
    <w:rsid w:val="226A9362"/>
    <w:rsid w:val="22E9A888"/>
    <w:rsid w:val="22F720AC"/>
    <w:rsid w:val="24C1819B"/>
    <w:rsid w:val="25AED03B"/>
    <w:rsid w:val="28F684A2"/>
    <w:rsid w:val="29492268"/>
    <w:rsid w:val="2B9B9ED1"/>
    <w:rsid w:val="2B9DE24C"/>
    <w:rsid w:val="2D05714E"/>
    <w:rsid w:val="2EA3CE99"/>
    <w:rsid w:val="2F837ED9"/>
    <w:rsid w:val="3336A4C6"/>
    <w:rsid w:val="35D01BCA"/>
    <w:rsid w:val="3A3381BD"/>
    <w:rsid w:val="3BB62BAE"/>
    <w:rsid w:val="3BD4FDA8"/>
    <w:rsid w:val="3DB259EE"/>
    <w:rsid w:val="3F824749"/>
    <w:rsid w:val="41972A75"/>
    <w:rsid w:val="421A0582"/>
    <w:rsid w:val="42858506"/>
    <w:rsid w:val="429629E6"/>
    <w:rsid w:val="45B1030F"/>
    <w:rsid w:val="46723587"/>
    <w:rsid w:val="4BFDF181"/>
    <w:rsid w:val="4C189FB8"/>
    <w:rsid w:val="4DB05EFE"/>
    <w:rsid w:val="51C48E4B"/>
    <w:rsid w:val="529C3BA9"/>
    <w:rsid w:val="52FF78B5"/>
    <w:rsid w:val="53D7C6DA"/>
    <w:rsid w:val="55BD0ABE"/>
    <w:rsid w:val="55C565D8"/>
    <w:rsid w:val="56CDB820"/>
    <w:rsid w:val="56F40975"/>
    <w:rsid w:val="58BB8005"/>
    <w:rsid w:val="5997D63F"/>
    <w:rsid w:val="59EABBDD"/>
    <w:rsid w:val="5AE53B98"/>
    <w:rsid w:val="60A3D804"/>
    <w:rsid w:val="6283FE38"/>
    <w:rsid w:val="6510972F"/>
    <w:rsid w:val="66CB1C80"/>
    <w:rsid w:val="67432327"/>
    <w:rsid w:val="67AE4F7B"/>
    <w:rsid w:val="67D0AC22"/>
    <w:rsid w:val="68C02551"/>
    <w:rsid w:val="693C1BA3"/>
    <w:rsid w:val="69BF61C9"/>
    <w:rsid w:val="69DF3B21"/>
    <w:rsid w:val="6AF42C10"/>
    <w:rsid w:val="6B038251"/>
    <w:rsid w:val="6B818F44"/>
    <w:rsid w:val="6C7EB853"/>
    <w:rsid w:val="6CB571CA"/>
    <w:rsid w:val="6CC68242"/>
    <w:rsid w:val="6CDF4953"/>
    <w:rsid w:val="6ED82634"/>
    <w:rsid w:val="70BF4993"/>
    <w:rsid w:val="70C1B61F"/>
    <w:rsid w:val="74CAA78C"/>
    <w:rsid w:val="7670A750"/>
    <w:rsid w:val="76D073AB"/>
    <w:rsid w:val="7770EE88"/>
    <w:rsid w:val="79AC1FF4"/>
    <w:rsid w:val="79F9E051"/>
    <w:rsid w:val="7A25B7BD"/>
    <w:rsid w:val="7B8B9567"/>
    <w:rsid w:val="7D19ABA2"/>
    <w:rsid w:val="7D7946A2"/>
    <w:rsid w:val="7DF25EFA"/>
    <w:rsid w:val="7E0907B5"/>
    <w:rsid w:val="7F8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8D00"/>
  <w15:docId w15:val="{287BCF27-41FB-4AF0-B2F1-7883B940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4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606"/>
  </w:style>
  <w:style w:type="paragraph" w:styleId="Pidipagina">
    <w:name w:val="footer"/>
    <w:basedOn w:val="Normale"/>
    <w:link w:val="PidipaginaCarattere"/>
    <w:uiPriority w:val="99"/>
    <w:unhideWhenUsed/>
    <w:rsid w:val="00A34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606"/>
  </w:style>
  <w:style w:type="character" w:styleId="Collegamentoipertestuale">
    <w:name w:val="Hyperlink"/>
    <w:basedOn w:val="Carpredefinitoparagrafo"/>
    <w:uiPriority w:val="99"/>
    <w:unhideWhenUsed/>
    <w:rsid w:val="00F12F3D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B68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68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68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68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688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88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A62C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3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D1FF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4F77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D1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nticorruzione.it/amministrazione-trasparente/bandi-di-concorso/bandi-di-selezion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ticorruzione.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nticorruzio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9FE199C942E43A3B4FB942C44C945" ma:contentTypeVersion="4" ma:contentTypeDescription="Creare un nuovo documento." ma:contentTypeScope="" ma:versionID="0a6bf36bdd46334709d91348deb90351">
  <xsd:schema xmlns:xsd="http://www.w3.org/2001/XMLSchema" xmlns:xs="http://www.w3.org/2001/XMLSchema" xmlns:p="http://schemas.microsoft.com/office/2006/metadata/properties" xmlns:ns2="e535fec2-6845-4f08-9732-6536aff857b2" targetNamespace="http://schemas.microsoft.com/office/2006/metadata/properties" ma:root="true" ma:fieldsID="efb5c6c8bbf2c60d5726c3a092458298" ns2:_="">
    <xsd:import namespace="e535fec2-6845-4f08-9732-6536aff8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fec2-6845-4f08-9732-6536aff8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68821-E0E4-477C-9139-A3660265E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5fec2-6845-4f08-9732-6536aff8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FA81B-C08B-4365-BDDB-5943ACB167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B9677-1094-4439-B0EA-D9EB81F7C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7F615-5357-426C-84A5-33FCEB300D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Vitrano Salvatore</dc:creator>
  <cp:keywords/>
  <dc:description/>
  <cp:lastModifiedBy>Vitrano Salvatore</cp:lastModifiedBy>
  <cp:revision>5</cp:revision>
  <cp:lastPrinted>2021-10-05T08:19:00Z</cp:lastPrinted>
  <dcterms:created xsi:type="dcterms:W3CDTF">2024-10-01T14:21:00Z</dcterms:created>
  <dcterms:modified xsi:type="dcterms:W3CDTF">2024-10-10T15:07:00Z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0x0101006E19FE199C942E43A3B4FB942C44C945</vt:lpwstr>
  </property>
</Properties>
</file>