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301" w:rsidRDefault="00950301" w:rsidP="006E1F10">
      <w:pPr>
        <w:tabs>
          <w:tab w:val="left" w:pos="3156"/>
        </w:tabs>
        <w:spacing w:before="120" w:after="120" w:line="276" w:lineRule="auto"/>
        <w:ind w:right="850"/>
        <w:rPr>
          <w:rFonts w:ascii="Garamond" w:hAnsi="Garamond"/>
          <w:b/>
        </w:rPr>
      </w:pPr>
    </w:p>
    <w:p w:rsidR="008D43D1" w:rsidRDefault="00780848" w:rsidP="006E1F10">
      <w:pPr>
        <w:tabs>
          <w:tab w:val="left" w:pos="2774"/>
        </w:tabs>
        <w:spacing w:before="120" w:after="120" w:line="276" w:lineRule="auto"/>
        <w:ind w:right="850"/>
        <w:jc w:val="center"/>
        <w:rPr>
          <w:rFonts w:ascii="Gotham Light" w:hAnsi="Gotham Light" w:cs="Arial"/>
          <w:color w:val="2E74B5"/>
          <w:sz w:val="28"/>
          <w:szCs w:val="28"/>
        </w:rPr>
      </w:pPr>
      <w:r>
        <w:rPr>
          <w:rFonts w:ascii="Gotham Light" w:hAnsi="Gotham Light" w:cs="Arial"/>
          <w:color w:val="2E74B5"/>
          <w:sz w:val="28"/>
          <w:szCs w:val="28"/>
        </w:rPr>
        <w:t>DECISIONE</w:t>
      </w:r>
      <w:r w:rsidR="008D43D1" w:rsidRPr="008D43D1">
        <w:rPr>
          <w:rFonts w:ascii="Gotham Light" w:hAnsi="Gotham Light" w:cs="Arial"/>
          <w:color w:val="2E74B5"/>
          <w:sz w:val="28"/>
          <w:szCs w:val="28"/>
        </w:rPr>
        <w:t xml:space="preserve"> </w:t>
      </w:r>
      <w:r>
        <w:rPr>
          <w:rFonts w:ascii="Gotham Light" w:hAnsi="Gotham Light" w:cs="Arial"/>
          <w:color w:val="2E74B5"/>
          <w:sz w:val="28"/>
          <w:szCs w:val="28"/>
        </w:rPr>
        <w:t xml:space="preserve">DI </w:t>
      </w:r>
      <w:r w:rsidR="008D43D1" w:rsidRPr="008D43D1">
        <w:rPr>
          <w:rFonts w:ascii="Gotham Light" w:hAnsi="Gotham Light" w:cs="Arial"/>
          <w:color w:val="2E74B5"/>
          <w:sz w:val="28"/>
          <w:szCs w:val="28"/>
        </w:rPr>
        <w:t>CONTRARRE</w:t>
      </w:r>
    </w:p>
    <w:p w:rsidR="009A17BF" w:rsidRPr="006E1F10" w:rsidRDefault="009A17BF" w:rsidP="006E1F10">
      <w:pPr>
        <w:tabs>
          <w:tab w:val="left" w:pos="2774"/>
        </w:tabs>
        <w:spacing w:before="120" w:after="120" w:line="276" w:lineRule="auto"/>
        <w:ind w:right="850"/>
        <w:jc w:val="center"/>
        <w:rPr>
          <w:rFonts w:ascii="Gotham Light" w:hAnsi="Gotham Light" w:cs="Arial"/>
          <w:color w:val="2E74B5"/>
          <w:sz w:val="28"/>
          <w:szCs w:val="28"/>
        </w:rPr>
      </w:pPr>
    </w:p>
    <w:p w:rsidR="00780848" w:rsidRPr="00780848" w:rsidRDefault="00780848" w:rsidP="00780848">
      <w:pPr>
        <w:spacing w:after="80" w:line="276" w:lineRule="auto"/>
        <w:jc w:val="both"/>
        <w:rPr>
          <w:rFonts w:ascii="Titillium" w:hAnsi="Titillium"/>
          <w:sz w:val="20"/>
          <w:szCs w:val="20"/>
        </w:rPr>
      </w:pPr>
      <w:r w:rsidRPr="00780848">
        <w:rPr>
          <w:rFonts w:ascii="Titillium" w:hAnsi="Titillium"/>
          <w:b/>
          <w:sz w:val="20"/>
          <w:szCs w:val="20"/>
        </w:rPr>
        <w:t xml:space="preserve">VISTO </w:t>
      </w:r>
      <w:r w:rsidRPr="00780848">
        <w:rPr>
          <w:rFonts w:ascii="Titillium" w:hAnsi="Titillium"/>
          <w:sz w:val="20"/>
          <w:szCs w:val="20"/>
        </w:rPr>
        <w:t>il decreto legislativo 31 marzo 2023, n. 36, ed in particolare il comma 1 dell’art. 17, il quale prevede che, prima dell’avvio delle procedure di affidamento dei contratti pubblici le stazioni appaltanti e gli enti concedenti, con apposito atto, adottano la decisione di contrarre individuando gli elementi essenziali del contratto e i criteri di selezione degli operatori economici e delle offerte;</w:t>
      </w:r>
    </w:p>
    <w:p w:rsidR="00780848" w:rsidRPr="00780848" w:rsidRDefault="00780848" w:rsidP="00780848">
      <w:pPr>
        <w:spacing w:after="80" w:line="276" w:lineRule="auto"/>
        <w:jc w:val="both"/>
        <w:rPr>
          <w:rFonts w:ascii="Titillium" w:hAnsi="Titillium"/>
          <w:bCs/>
          <w:sz w:val="20"/>
          <w:szCs w:val="20"/>
        </w:rPr>
      </w:pPr>
      <w:r w:rsidRPr="00780848">
        <w:rPr>
          <w:rFonts w:ascii="Titillium" w:hAnsi="Titillium"/>
          <w:b/>
          <w:bCs/>
          <w:sz w:val="20"/>
          <w:szCs w:val="20"/>
        </w:rPr>
        <w:t xml:space="preserve">VISTO </w:t>
      </w:r>
      <w:r w:rsidRPr="00780848">
        <w:rPr>
          <w:rFonts w:ascii="Titillium" w:hAnsi="Titillium"/>
          <w:bCs/>
          <w:sz w:val="20"/>
          <w:szCs w:val="20"/>
        </w:rPr>
        <w:t>il Regolamento per la disciplina dei contratti pubblici di servizi e forniture stipulati dall’Autorità approvato in data 7.7.2021;</w:t>
      </w:r>
    </w:p>
    <w:p w:rsidR="00780848" w:rsidRPr="00780848" w:rsidRDefault="00780848" w:rsidP="00780848">
      <w:pPr>
        <w:spacing w:after="80" w:line="276" w:lineRule="auto"/>
        <w:jc w:val="both"/>
        <w:rPr>
          <w:rFonts w:ascii="Titillium" w:hAnsi="Titillium"/>
          <w:bCs/>
          <w:sz w:val="20"/>
          <w:szCs w:val="20"/>
        </w:rPr>
      </w:pPr>
      <w:r w:rsidRPr="00780848">
        <w:rPr>
          <w:rFonts w:ascii="Titillium" w:hAnsi="Titillium"/>
          <w:b/>
          <w:bCs/>
          <w:sz w:val="20"/>
          <w:szCs w:val="20"/>
        </w:rPr>
        <w:t xml:space="preserve">VISTO </w:t>
      </w:r>
      <w:r w:rsidRPr="00780848">
        <w:rPr>
          <w:rFonts w:ascii="Titillium" w:hAnsi="Titillium"/>
          <w:bCs/>
          <w:sz w:val="20"/>
          <w:szCs w:val="20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925B91" w:rsidRPr="00885EE9" w:rsidRDefault="00925B91" w:rsidP="00925B91">
      <w:pPr>
        <w:spacing w:after="100" w:line="276" w:lineRule="auto"/>
        <w:jc w:val="both"/>
        <w:rPr>
          <w:rFonts w:ascii="Titillium" w:eastAsia="Calibri" w:hAnsi="Titillium" w:cs="Titillium Web"/>
          <w:sz w:val="20"/>
          <w:szCs w:val="20"/>
          <w:lang w:eastAsia="en-US"/>
        </w:rPr>
      </w:pPr>
      <w:r w:rsidRPr="001D5548">
        <w:rPr>
          <w:rFonts w:ascii="Titillium" w:eastAsia="Calibri" w:hAnsi="Titillium" w:cs="Titillium Web"/>
          <w:b/>
          <w:sz w:val="20"/>
          <w:szCs w:val="20"/>
          <w:lang w:eastAsia="en-US"/>
        </w:rPr>
        <w:t>VISTA</w:t>
      </w:r>
      <w:r w:rsidRPr="001D5548">
        <w:rPr>
          <w:rFonts w:ascii="Titillium" w:eastAsia="Calibri" w:hAnsi="Titillium" w:cs="Titillium Web"/>
          <w:sz w:val="20"/>
          <w:szCs w:val="20"/>
          <w:lang w:eastAsia="en-US"/>
        </w:rPr>
        <w:t xml:space="preserve"> la dete</w:t>
      </w:r>
      <w:r>
        <w:rPr>
          <w:rFonts w:ascii="Titillium" w:eastAsia="Calibri" w:hAnsi="Titillium" w:cs="Titillium Web"/>
          <w:sz w:val="20"/>
          <w:szCs w:val="20"/>
          <w:lang w:eastAsia="en-US"/>
        </w:rPr>
        <w:t>rmina a contrarre prot. n. 49782 del 26.6.2023</w:t>
      </w:r>
      <w:r w:rsidRPr="001D5548">
        <w:rPr>
          <w:rFonts w:ascii="Titillium" w:eastAsia="Calibri" w:hAnsi="Titillium" w:cs="Titillium Web"/>
          <w:sz w:val="20"/>
          <w:szCs w:val="20"/>
          <w:lang w:eastAsia="en-US"/>
        </w:rPr>
        <w:t>, c</w:t>
      </w:r>
      <w:r>
        <w:rPr>
          <w:rFonts w:ascii="Titillium" w:eastAsia="Calibri" w:hAnsi="Titillium" w:cs="Titillium Web"/>
          <w:sz w:val="20"/>
          <w:szCs w:val="20"/>
          <w:lang w:eastAsia="en-US"/>
        </w:rPr>
        <w:t xml:space="preserve">on la quale, in attuazione del predetto punto n. 32 dell’Atto di programmazione biennale 2023-24 degli acquisti dell’Autorità, è stato disposto </w:t>
      </w:r>
      <w:r w:rsidRPr="001D5548">
        <w:rPr>
          <w:rFonts w:ascii="Titillium" w:eastAsia="Calibri" w:hAnsi="Titillium" w:cs="Titillium Web"/>
          <w:sz w:val="20"/>
          <w:szCs w:val="20"/>
          <w:lang w:eastAsia="en-US"/>
        </w:rPr>
        <w:t>l’avvio di</w:t>
      </w:r>
      <w:r>
        <w:rPr>
          <w:rFonts w:ascii="Titillium" w:eastAsia="Calibri" w:hAnsi="Titillium" w:cs="Titillium Web"/>
          <w:sz w:val="20"/>
          <w:szCs w:val="20"/>
          <w:lang w:eastAsia="en-US"/>
        </w:rPr>
        <w:t xml:space="preserve"> un Appalto Specifico </w:t>
      </w:r>
      <w:r w:rsidRPr="00885EE9">
        <w:rPr>
          <w:rFonts w:ascii="Titillium" w:eastAsia="Calibri" w:hAnsi="Titillium" w:cs="Titillium Web"/>
          <w:sz w:val="20"/>
          <w:szCs w:val="20"/>
          <w:lang w:eastAsia="en-US"/>
        </w:rPr>
        <w:t>- basato sul Sistema Dinamico di Acquisizione della P.A. per la fornitura dei servizi di contact center, messo a disposizione da Consip S.p.A. – per l’affidamento del servizio di contact center e centralino per un periodo di n. 36 mesi, da aggiudicarsi con il criterio dell’offerta economicamente più vantaggiosa;</w:t>
      </w:r>
    </w:p>
    <w:p w:rsidR="002A1759" w:rsidRDefault="002A1759" w:rsidP="002A1759">
      <w:pPr>
        <w:pStyle w:val="NormaleWeb"/>
        <w:spacing w:before="0" w:beforeAutospacing="0" w:after="100" w:line="276" w:lineRule="auto"/>
        <w:jc w:val="both"/>
        <w:rPr>
          <w:rFonts w:ascii="Titillium" w:eastAsia="Calibri" w:hAnsi="Titillium" w:cs="Titillium Web"/>
          <w:sz w:val="20"/>
          <w:szCs w:val="20"/>
          <w:lang w:eastAsia="en-US"/>
        </w:rPr>
      </w:pPr>
      <w:r w:rsidRPr="00F545C6">
        <w:rPr>
          <w:rFonts w:ascii="Titillium" w:eastAsia="Calibri" w:hAnsi="Titillium" w:cs="Titillium Web"/>
          <w:b/>
          <w:sz w:val="20"/>
          <w:szCs w:val="20"/>
          <w:lang w:eastAsia="en-US"/>
        </w:rPr>
        <w:t xml:space="preserve">VISTA </w:t>
      </w:r>
      <w:r w:rsidR="00ED6DBA">
        <w:rPr>
          <w:rFonts w:ascii="Titillium" w:eastAsia="Calibri" w:hAnsi="Titillium" w:cs="Titillium Web"/>
          <w:sz w:val="20"/>
          <w:szCs w:val="20"/>
          <w:lang w:eastAsia="en-US"/>
        </w:rPr>
        <w:t xml:space="preserve">la determina prot. n. </w:t>
      </w:r>
      <w:r w:rsidR="003758F3" w:rsidRPr="003758F3">
        <w:rPr>
          <w:rFonts w:ascii="Titillium" w:eastAsia="Calibri" w:hAnsi="Titillium" w:cs="Titillium Web"/>
          <w:sz w:val="20"/>
          <w:szCs w:val="20"/>
          <w:lang w:eastAsia="en-US"/>
        </w:rPr>
        <w:t>90659 del 13.10.2023</w:t>
      </w:r>
      <w:r w:rsidRPr="00F545C6">
        <w:rPr>
          <w:rFonts w:ascii="Titillium" w:eastAsia="Calibri" w:hAnsi="Titillium" w:cs="Titillium Web"/>
          <w:sz w:val="20"/>
          <w:szCs w:val="20"/>
          <w:lang w:eastAsia="en-US"/>
        </w:rPr>
        <w:t>, con cui è stata disposta l’aggiudicazione dell’Appalto Specifico in oggetto in</w:t>
      </w:r>
      <w:r w:rsidR="00ED6DBA">
        <w:rPr>
          <w:rFonts w:ascii="Titillium" w:eastAsia="Calibri" w:hAnsi="Titillium" w:cs="Titillium Web"/>
          <w:sz w:val="20"/>
          <w:szCs w:val="20"/>
          <w:lang w:eastAsia="en-US"/>
        </w:rPr>
        <w:t xml:space="preserve"> favore di </w:t>
      </w:r>
      <w:r w:rsidR="003758F3">
        <w:rPr>
          <w:rFonts w:ascii="Titillium" w:eastAsia="Calibri" w:hAnsi="Titillium" w:cs="Titillium Web"/>
          <w:sz w:val="20"/>
          <w:szCs w:val="20"/>
          <w:lang w:eastAsia="en-US"/>
        </w:rPr>
        <w:t>Acapo soc. coop. sociale integrata;</w:t>
      </w:r>
    </w:p>
    <w:p w:rsidR="009A17BF" w:rsidRPr="00F545C6" w:rsidRDefault="009A17BF" w:rsidP="002A1759">
      <w:pPr>
        <w:pStyle w:val="NormaleWeb"/>
        <w:spacing w:before="0" w:beforeAutospacing="0" w:after="100" w:line="276" w:lineRule="auto"/>
        <w:jc w:val="both"/>
        <w:rPr>
          <w:rFonts w:ascii="Titillium" w:eastAsia="Calibri" w:hAnsi="Titillium" w:cs="Titillium Web"/>
          <w:sz w:val="20"/>
          <w:szCs w:val="20"/>
          <w:lang w:eastAsia="en-US"/>
        </w:rPr>
      </w:pPr>
      <w:r w:rsidRPr="00F545C6">
        <w:rPr>
          <w:rFonts w:ascii="Titillium" w:hAnsi="Titillium"/>
          <w:b/>
          <w:sz w:val="20"/>
          <w:szCs w:val="20"/>
        </w:rPr>
        <w:t>VISTO</w:t>
      </w:r>
      <w:r w:rsidRPr="00F545C6">
        <w:rPr>
          <w:rFonts w:ascii="Titillium" w:hAnsi="Titillium"/>
          <w:sz w:val="20"/>
          <w:szCs w:val="20"/>
        </w:rPr>
        <w:t xml:space="preserve"> il</w:t>
      </w:r>
      <w:r>
        <w:rPr>
          <w:rFonts w:ascii="Titillium" w:hAnsi="Titillium"/>
          <w:sz w:val="20"/>
          <w:szCs w:val="20"/>
        </w:rPr>
        <w:t xml:space="preserve"> contratto prot. n. 100123 del 10.11.2023, stipulato con Acapo soc. coop. sociale integrata;</w:t>
      </w:r>
    </w:p>
    <w:p w:rsidR="002A1759" w:rsidRPr="00355C2E" w:rsidRDefault="002A1759" w:rsidP="00355C2E">
      <w:pPr>
        <w:spacing w:after="100" w:line="276" w:lineRule="auto"/>
        <w:jc w:val="both"/>
        <w:rPr>
          <w:rFonts w:ascii="Titillium" w:hAnsi="Titillium"/>
          <w:i/>
          <w:sz w:val="20"/>
          <w:szCs w:val="20"/>
        </w:rPr>
      </w:pPr>
      <w:r w:rsidRPr="00F545C6">
        <w:rPr>
          <w:rFonts w:ascii="Titillium" w:hAnsi="Titillium"/>
          <w:b/>
          <w:sz w:val="20"/>
          <w:szCs w:val="20"/>
        </w:rPr>
        <w:t>VISTO</w:t>
      </w:r>
      <w:r w:rsidRPr="00F545C6">
        <w:rPr>
          <w:rFonts w:ascii="Titillium" w:hAnsi="Titillium"/>
          <w:sz w:val="20"/>
          <w:szCs w:val="20"/>
        </w:rPr>
        <w:t xml:space="preserve"> il Capitolato d’oneri dell’Appalto Specifico</w:t>
      </w:r>
      <w:r w:rsidR="003758F3">
        <w:rPr>
          <w:rFonts w:ascii="Titillium" w:hAnsi="Titillium"/>
          <w:sz w:val="20"/>
          <w:szCs w:val="20"/>
        </w:rPr>
        <w:t xml:space="preserve"> in oggetto, che al paragrafo 23</w:t>
      </w:r>
      <w:r w:rsidRPr="00F545C6">
        <w:rPr>
          <w:rFonts w:ascii="Titillium" w:hAnsi="Titillium"/>
          <w:sz w:val="20"/>
          <w:szCs w:val="20"/>
        </w:rPr>
        <w:t xml:space="preserve"> specifica che “</w:t>
      </w:r>
      <w:r w:rsidR="003758F3">
        <w:rPr>
          <w:rFonts w:ascii="Titillium" w:hAnsi="Titillium"/>
          <w:i/>
          <w:sz w:val="20"/>
          <w:szCs w:val="20"/>
        </w:rPr>
        <w:t xml:space="preserve">le </w:t>
      </w:r>
      <w:r w:rsidR="00355C2E" w:rsidRPr="00355C2E">
        <w:rPr>
          <w:rFonts w:ascii="Titillium" w:hAnsi="Titillium"/>
          <w:i/>
          <w:sz w:val="20"/>
          <w:szCs w:val="20"/>
        </w:rPr>
        <w:t>spese obbligatorie relative alla pubblicazione dell’avviso sui risultati della procedura di affidamento sono a carico dell’aggiudicatario e devono essere rimborsate entro il termine di sessan</w:t>
      </w:r>
      <w:r w:rsidR="00355C2E">
        <w:rPr>
          <w:rFonts w:ascii="Titillium" w:hAnsi="Titillium"/>
          <w:i/>
          <w:sz w:val="20"/>
          <w:szCs w:val="20"/>
        </w:rPr>
        <w:t xml:space="preserve">ta giorni dall’aggiudicazione. </w:t>
      </w:r>
      <w:r w:rsidR="00355C2E" w:rsidRPr="00355C2E">
        <w:rPr>
          <w:rFonts w:ascii="Titillium" w:hAnsi="Titillium"/>
          <w:i/>
          <w:sz w:val="20"/>
          <w:szCs w:val="20"/>
        </w:rPr>
        <w:t>L’importo massimo presunto delle spese obbligatorie di pubblicazione è pari a € 3.500,00. Sono comunicati tempestivamente all’aggiudicatario eventuali scostamenti dall’importo indicato</w:t>
      </w:r>
      <w:r w:rsidRPr="00AB088D">
        <w:rPr>
          <w:rFonts w:ascii="Titillium" w:hAnsi="Titillium"/>
          <w:sz w:val="20"/>
          <w:szCs w:val="20"/>
        </w:rPr>
        <w:t>”;</w:t>
      </w:r>
    </w:p>
    <w:p w:rsidR="002A1759" w:rsidRPr="00AB088D" w:rsidRDefault="002A1759" w:rsidP="002A1759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4F520A">
        <w:rPr>
          <w:rFonts w:ascii="Titillium" w:hAnsi="Titillium"/>
          <w:b/>
          <w:sz w:val="20"/>
          <w:szCs w:val="20"/>
        </w:rPr>
        <w:t>TENUTO CONTO</w:t>
      </w:r>
      <w:r w:rsidRPr="004F520A">
        <w:rPr>
          <w:rFonts w:ascii="Titillium" w:hAnsi="Titillium"/>
          <w:sz w:val="20"/>
          <w:szCs w:val="20"/>
        </w:rPr>
        <w:t xml:space="preserve"> de</w:t>
      </w:r>
      <w:r>
        <w:rPr>
          <w:rFonts w:ascii="Titillium" w:hAnsi="Titillium"/>
          <w:sz w:val="20"/>
          <w:szCs w:val="20"/>
        </w:rPr>
        <w:t xml:space="preserve">ll’obbligo di </w:t>
      </w:r>
      <w:r w:rsidRPr="004F520A">
        <w:rPr>
          <w:rFonts w:ascii="Titillium" w:hAnsi="Titillium"/>
          <w:sz w:val="20"/>
          <w:szCs w:val="20"/>
        </w:rPr>
        <w:t xml:space="preserve">pubblicazione, </w:t>
      </w:r>
      <w:r>
        <w:rPr>
          <w:rFonts w:ascii="Titillium" w:hAnsi="Titillium"/>
          <w:bCs/>
          <w:iCs/>
          <w:sz w:val="20"/>
          <w:szCs w:val="20"/>
        </w:rPr>
        <w:t>previsto</w:t>
      </w:r>
      <w:r w:rsidRPr="004F520A">
        <w:rPr>
          <w:rFonts w:ascii="Titillium" w:hAnsi="Titillium"/>
          <w:bCs/>
          <w:iCs/>
          <w:sz w:val="20"/>
          <w:szCs w:val="20"/>
        </w:rPr>
        <w:t xml:space="preserve"> dal</w:t>
      </w:r>
      <w:r w:rsidR="00355C2E">
        <w:rPr>
          <w:rFonts w:ascii="Titillium" w:hAnsi="Titillium"/>
          <w:bCs/>
          <w:iCs/>
          <w:sz w:val="20"/>
          <w:szCs w:val="20"/>
        </w:rPr>
        <w:t>l’art. 73 del</w:t>
      </w:r>
      <w:r w:rsidRPr="004F520A">
        <w:rPr>
          <w:rFonts w:ascii="Titillium" w:hAnsi="Titillium"/>
          <w:bCs/>
          <w:iCs/>
          <w:sz w:val="20"/>
          <w:szCs w:val="20"/>
        </w:rPr>
        <w:t xml:space="preserve"> </w:t>
      </w:r>
      <w:r>
        <w:rPr>
          <w:rFonts w:ascii="Titillium" w:hAnsi="Titillium"/>
          <w:bCs/>
          <w:iCs/>
          <w:sz w:val="20"/>
          <w:szCs w:val="20"/>
        </w:rPr>
        <w:t xml:space="preserve">d.lgs. n. 50/2016 </w:t>
      </w:r>
      <w:r w:rsidR="00355C2E">
        <w:rPr>
          <w:rFonts w:ascii="Titillium" w:hAnsi="Titillium"/>
          <w:bCs/>
          <w:iCs/>
          <w:sz w:val="20"/>
          <w:szCs w:val="20"/>
        </w:rPr>
        <w:t xml:space="preserve">(del quale l’art. 225 del d.lgs. n. 36/2023 ha espressamente previsto l’ultrattività fino al 31.12.2023) </w:t>
      </w:r>
      <w:r>
        <w:rPr>
          <w:rFonts w:ascii="Titillium" w:hAnsi="Titillium"/>
          <w:bCs/>
          <w:iCs/>
          <w:sz w:val="20"/>
          <w:szCs w:val="20"/>
        </w:rPr>
        <w:t>e dal d.m.</w:t>
      </w:r>
      <w:r w:rsidRPr="004F520A">
        <w:rPr>
          <w:rFonts w:ascii="Titillium" w:hAnsi="Titillium"/>
          <w:bCs/>
          <w:iCs/>
          <w:sz w:val="20"/>
          <w:szCs w:val="20"/>
        </w:rPr>
        <w:t xml:space="preserve"> 2 dicembre 2016 del Ministero delle infrastrutture</w:t>
      </w:r>
      <w:r w:rsidR="00355C2E">
        <w:rPr>
          <w:rFonts w:ascii="Titillium" w:hAnsi="Titillium"/>
          <w:bCs/>
          <w:iCs/>
          <w:sz w:val="20"/>
          <w:szCs w:val="20"/>
        </w:rPr>
        <w:t xml:space="preserve"> e dei trasporti</w:t>
      </w:r>
      <w:r w:rsidR="003758F3">
        <w:rPr>
          <w:rFonts w:ascii="Titillium" w:hAnsi="Titillium"/>
          <w:bCs/>
          <w:iCs/>
          <w:sz w:val="20"/>
          <w:szCs w:val="20"/>
        </w:rPr>
        <w:t>,</w:t>
      </w:r>
      <w:r w:rsidRPr="004F520A">
        <w:rPr>
          <w:rFonts w:ascii="Titillium" w:hAnsi="Titillium"/>
          <w:bCs/>
          <w:iCs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 xml:space="preserve">di un estratto </w:t>
      </w:r>
      <w:r w:rsidRPr="004F520A">
        <w:rPr>
          <w:rFonts w:ascii="Titillium" w:hAnsi="Titillium"/>
          <w:sz w:val="20"/>
          <w:szCs w:val="20"/>
        </w:rPr>
        <w:t>dell’avviso di aggiudicazione</w:t>
      </w:r>
      <w:r>
        <w:rPr>
          <w:rFonts w:ascii="Titillium" w:hAnsi="Titillium"/>
          <w:sz w:val="20"/>
          <w:szCs w:val="20"/>
        </w:rPr>
        <w:t xml:space="preserve"> della procedura</w:t>
      </w:r>
      <w:r w:rsidRPr="004F520A">
        <w:rPr>
          <w:rFonts w:ascii="Titillium" w:hAnsi="Titillium"/>
          <w:sz w:val="20"/>
          <w:szCs w:val="20"/>
        </w:rPr>
        <w:t xml:space="preserve"> sulla </w:t>
      </w:r>
      <w:r>
        <w:rPr>
          <w:rFonts w:ascii="Titillium" w:hAnsi="Titillium"/>
          <w:sz w:val="20"/>
          <w:szCs w:val="20"/>
        </w:rPr>
        <w:t>Gazzetta u</w:t>
      </w:r>
      <w:r w:rsidRPr="004F520A">
        <w:rPr>
          <w:rFonts w:ascii="Titillium" w:hAnsi="Titillium"/>
          <w:sz w:val="20"/>
          <w:szCs w:val="20"/>
        </w:rPr>
        <w:t xml:space="preserve">fficiale della Repubblica italiana, </w:t>
      </w:r>
      <w:r w:rsidRPr="004F520A">
        <w:rPr>
          <w:rFonts w:ascii="Titillium" w:hAnsi="Titillium"/>
          <w:bCs/>
          <w:iCs/>
          <w:sz w:val="20"/>
          <w:szCs w:val="20"/>
        </w:rPr>
        <w:t xml:space="preserve">su due quotidiani a diffusione nazionale e su due quotidiani a maggiore diffusione locale; </w:t>
      </w:r>
    </w:p>
    <w:p w:rsidR="004F520A" w:rsidRPr="00205D3B" w:rsidRDefault="004F520A" w:rsidP="004F520A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205D3B">
        <w:rPr>
          <w:rFonts w:ascii="Titillium" w:hAnsi="Titillium"/>
          <w:b/>
          <w:bCs/>
          <w:iCs/>
          <w:sz w:val="20"/>
          <w:szCs w:val="20"/>
        </w:rPr>
        <w:t>CONSIDERATO</w:t>
      </w:r>
      <w:r w:rsidRPr="00205D3B">
        <w:rPr>
          <w:rFonts w:ascii="Titillium" w:hAnsi="Titillium"/>
          <w:bCs/>
          <w:iCs/>
          <w:sz w:val="20"/>
          <w:szCs w:val="20"/>
        </w:rPr>
        <w:t xml:space="preserve"> che</w:t>
      </w:r>
      <w:r w:rsidR="00DC2A3D" w:rsidRPr="00205D3B">
        <w:rPr>
          <w:rFonts w:ascii="Titillium" w:hAnsi="Titillium"/>
          <w:bCs/>
          <w:iCs/>
          <w:sz w:val="20"/>
          <w:szCs w:val="20"/>
        </w:rPr>
        <w:t xml:space="preserve"> il medesimo avviso di aggiudicazione</w:t>
      </w:r>
      <w:r w:rsidR="003758F3">
        <w:rPr>
          <w:rFonts w:ascii="Titillium" w:hAnsi="Titillium"/>
          <w:bCs/>
          <w:iCs/>
          <w:sz w:val="20"/>
          <w:szCs w:val="20"/>
        </w:rPr>
        <w:t>, a cura dell’Ufficio UGARE dell’Autorità,</w:t>
      </w:r>
      <w:r w:rsidR="007D1ED5" w:rsidRPr="00205D3B">
        <w:rPr>
          <w:rFonts w:ascii="Titillium" w:hAnsi="Titillium"/>
          <w:bCs/>
          <w:iCs/>
          <w:sz w:val="20"/>
          <w:szCs w:val="20"/>
        </w:rPr>
        <w:t xml:space="preserve"> </w:t>
      </w:r>
      <w:r w:rsidR="00DC2A3D" w:rsidRPr="00205D3B">
        <w:rPr>
          <w:rFonts w:ascii="Titillium" w:hAnsi="Titillium"/>
          <w:bCs/>
          <w:iCs/>
          <w:sz w:val="20"/>
          <w:szCs w:val="20"/>
        </w:rPr>
        <w:t xml:space="preserve">è stato </w:t>
      </w:r>
      <w:r w:rsidR="003758F3">
        <w:rPr>
          <w:rFonts w:ascii="Titillium" w:hAnsi="Titillium"/>
          <w:bCs/>
          <w:iCs/>
          <w:sz w:val="20"/>
          <w:szCs w:val="20"/>
        </w:rPr>
        <w:t xml:space="preserve">già pubblicato </w:t>
      </w:r>
      <w:r w:rsidRPr="00205D3B">
        <w:rPr>
          <w:rFonts w:ascii="Titillium" w:hAnsi="Titillium"/>
          <w:bCs/>
          <w:iCs/>
          <w:sz w:val="20"/>
          <w:szCs w:val="20"/>
        </w:rPr>
        <w:t xml:space="preserve">sulla </w:t>
      </w:r>
      <w:r w:rsidRPr="00205D3B">
        <w:rPr>
          <w:rFonts w:ascii="Titillium" w:hAnsi="Titillium"/>
          <w:sz w:val="20"/>
          <w:szCs w:val="20"/>
        </w:rPr>
        <w:t>Gazzetta ufficiale della Repubblica italiana</w:t>
      </w:r>
      <w:r w:rsidR="003758F3">
        <w:rPr>
          <w:rFonts w:ascii="Titillium" w:hAnsi="Titillium"/>
          <w:sz w:val="20"/>
          <w:szCs w:val="20"/>
        </w:rPr>
        <w:t xml:space="preserve"> - </w:t>
      </w:r>
      <w:r w:rsidR="003758F3" w:rsidRPr="003758F3">
        <w:rPr>
          <w:rFonts w:ascii="Titillium" w:hAnsi="Titillium"/>
          <w:sz w:val="20"/>
          <w:szCs w:val="20"/>
        </w:rPr>
        <w:t>V Serie Speciale - Cont</w:t>
      </w:r>
      <w:r w:rsidR="003758F3">
        <w:rPr>
          <w:rFonts w:ascii="Titillium" w:hAnsi="Titillium"/>
          <w:sz w:val="20"/>
          <w:szCs w:val="20"/>
        </w:rPr>
        <w:t>ratti Pubblici n. 136 del 24.11.</w:t>
      </w:r>
      <w:r w:rsidR="003758F3" w:rsidRPr="003758F3">
        <w:rPr>
          <w:rFonts w:ascii="Titillium" w:hAnsi="Titillium"/>
          <w:sz w:val="20"/>
          <w:szCs w:val="20"/>
        </w:rPr>
        <w:t>2023</w:t>
      </w:r>
      <w:r w:rsidR="003758F3">
        <w:rPr>
          <w:rFonts w:ascii="Titillium" w:hAnsi="Titillium"/>
          <w:sz w:val="20"/>
          <w:szCs w:val="20"/>
        </w:rPr>
        <w:t>;</w:t>
      </w:r>
    </w:p>
    <w:p w:rsidR="00B32215" w:rsidRDefault="004F520A" w:rsidP="00950301">
      <w:pPr>
        <w:pStyle w:val="Corpodeltesto2"/>
        <w:spacing w:before="120" w:line="276" w:lineRule="auto"/>
        <w:ind w:right="-1"/>
        <w:jc w:val="both"/>
        <w:rPr>
          <w:rFonts w:ascii="Titillium" w:hAnsi="Titillium"/>
          <w:sz w:val="20"/>
          <w:szCs w:val="20"/>
        </w:rPr>
      </w:pPr>
      <w:r w:rsidRPr="00205D3B">
        <w:rPr>
          <w:rFonts w:ascii="Titillium" w:hAnsi="Titillium"/>
          <w:b/>
          <w:sz w:val="20"/>
          <w:szCs w:val="20"/>
        </w:rPr>
        <w:t xml:space="preserve">TENUTO CONTO </w:t>
      </w:r>
      <w:r w:rsidR="00355C2E">
        <w:rPr>
          <w:rFonts w:ascii="Titillium" w:hAnsi="Titillium"/>
          <w:sz w:val="20"/>
          <w:szCs w:val="20"/>
        </w:rPr>
        <w:t>che la società Mediagraphic</w:t>
      </w:r>
      <w:r w:rsidRPr="00205D3B">
        <w:rPr>
          <w:rFonts w:ascii="Titillium" w:hAnsi="Titillium"/>
          <w:sz w:val="20"/>
          <w:szCs w:val="20"/>
        </w:rPr>
        <w:t xml:space="preserve"> S.r.l.</w:t>
      </w:r>
      <w:r w:rsidR="00355C2E">
        <w:rPr>
          <w:rFonts w:ascii="Titillium" w:hAnsi="Titillium"/>
          <w:sz w:val="20"/>
          <w:szCs w:val="20"/>
        </w:rPr>
        <w:t xml:space="preserve"> unipersonale</w:t>
      </w:r>
      <w:r w:rsidRPr="00205D3B">
        <w:rPr>
          <w:rFonts w:ascii="Titillium" w:hAnsi="Titillium"/>
          <w:sz w:val="20"/>
          <w:szCs w:val="20"/>
        </w:rPr>
        <w:t xml:space="preserve">, </w:t>
      </w:r>
      <w:r w:rsidRPr="00205D3B">
        <w:rPr>
          <w:rFonts w:ascii="Titillium" w:hAnsi="Titillium"/>
          <w:i/>
          <w:sz w:val="20"/>
          <w:szCs w:val="20"/>
        </w:rPr>
        <w:t xml:space="preserve">leader </w:t>
      </w:r>
      <w:r w:rsidRPr="00205D3B">
        <w:rPr>
          <w:rFonts w:ascii="Titillium" w:hAnsi="Titillium"/>
          <w:sz w:val="20"/>
          <w:szCs w:val="20"/>
        </w:rPr>
        <w:t xml:space="preserve">nel settore della pubblicità legale, </w:t>
      </w:r>
      <w:r w:rsidR="00B32215" w:rsidRPr="00205D3B">
        <w:rPr>
          <w:rFonts w:ascii="Titillium" w:hAnsi="Titillium"/>
          <w:sz w:val="20"/>
          <w:szCs w:val="20"/>
        </w:rPr>
        <w:t xml:space="preserve">in virtù della sua </w:t>
      </w:r>
      <w:r w:rsidR="00B32215" w:rsidRPr="00205D3B">
        <w:rPr>
          <w:rFonts w:ascii="Titillium" w:hAnsi="Titillium"/>
          <w:i/>
          <w:sz w:val="20"/>
          <w:szCs w:val="20"/>
        </w:rPr>
        <w:t xml:space="preserve">partnership </w:t>
      </w:r>
      <w:r w:rsidR="00B32215" w:rsidRPr="00205D3B">
        <w:rPr>
          <w:rFonts w:ascii="Titillium" w:hAnsi="Titillium"/>
          <w:sz w:val="20"/>
          <w:szCs w:val="20"/>
        </w:rPr>
        <w:t xml:space="preserve">con i principali quotidiani nazionali e locali, </w:t>
      </w:r>
      <w:r w:rsidRPr="00205D3B">
        <w:rPr>
          <w:rFonts w:ascii="Titillium" w:hAnsi="Titillium"/>
          <w:sz w:val="20"/>
          <w:szCs w:val="20"/>
        </w:rPr>
        <w:t>è in grado di offrire il servizio di pubblicazione dell’avviso di aggiudicazione della procedura in oggetto</w:t>
      </w:r>
      <w:r w:rsidRPr="00AB088D">
        <w:rPr>
          <w:rFonts w:ascii="Titillium" w:hAnsi="Titillium"/>
          <w:sz w:val="20"/>
          <w:szCs w:val="20"/>
        </w:rPr>
        <w:t xml:space="preserve"> </w:t>
      </w:r>
      <w:r w:rsidR="00355C2E">
        <w:rPr>
          <w:rFonts w:ascii="Titillium" w:hAnsi="Titillium"/>
          <w:sz w:val="20"/>
          <w:szCs w:val="20"/>
        </w:rPr>
        <w:t>a costi competitivi</w:t>
      </w:r>
      <w:r w:rsidR="00B32215">
        <w:rPr>
          <w:rFonts w:ascii="Titillium" w:hAnsi="Titillium"/>
          <w:sz w:val="20"/>
          <w:szCs w:val="20"/>
        </w:rPr>
        <w:t>;</w:t>
      </w:r>
    </w:p>
    <w:p w:rsidR="004F520A" w:rsidRPr="00AB088D" w:rsidRDefault="00B32215" w:rsidP="00950301">
      <w:pPr>
        <w:pStyle w:val="Corpodeltesto2"/>
        <w:spacing w:before="120" w:line="276" w:lineRule="auto"/>
        <w:ind w:right="-1"/>
        <w:jc w:val="both"/>
        <w:rPr>
          <w:rFonts w:ascii="Titillium" w:hAnsi="Titillium"/>
          <w:sz w:val="20"/>
          <w:szCs w:val="20"/>
        </w:rPr>
      </w:pPr>
      <w:r w:rsidRPr="00AB088D">
        <w:rPr>
          <w:rFonts w:ascii="Titillium" w:hAnsi="Titillium"/>
          <w:b/>
          <w:bCs/>
          <w:iCs/>
          <w:sz w:val="20"/>
          <w:szCs w:val="20"/>
        </w:rPr>
        <w:lastRenderedPageBreak/>
        <w:t>RITENUTO</w:t>
      </w:r>
      <w:r w:rsidRPr="00AB088D">
        <w:rPr>
          <w:rFonts w:ascii="Titillium" w:hAnsi="Titillium"/>
          <w:bCs/>
          <w:iCs/>
          <w:sz w:val="20"/>
          <w:szCs w:val="20"/>
        </w:rPr>
        <w:t xml:space="preserve"> quindi di</w:t>
      </w:r>
      <w:r w:rsidR="00355C2E">
        <w:rPr>
          <w:rFonts w:ascii="Titillium" w:hAnsi="Titillium"/>
          <w:bCs/>
          <w:iCs/>
          <w:sz w:val="20"/>
          <w:szCs w:val="20"/>
        </w:rPr>
        <w:t xml:space="preserve"> chiedere alla società Mediagraphic </w:t>
      </w:r>
      <w:r w:rsidRPr="00AB088D">
        <w:rPr>
          <w:rFonts w:ascii="Titillium" w:hAnsi="Titillium"/>
          <w:bCs/>
          <w:iCs/>
          <w:sz w:val="20"/>
          <w:szCs w:val="20"/>
        </w:rPr>
        <w:t>S.r.l.</w:t>
      </w:r>
      <w:r w:rsidR="00355C2E">
        <w:rPr>
          <w:rFonts w:ascii="Titillium" w:hAnsi="Titillium"/>
          <w:bCs/>
          <w:iCs/>
          <w:sz w:val="20"/>
          <w:szCs w:val="20"/>
        </w:rPr>
        <w:t xml:space="preserve"> unipersonale</w:t>
      </w:r>
      <w:r w:rsidRPr="00AB088D">
        <w:rPr>
          <w:rFonts w:ascii="Titillium" w:hAnsi="Titillium"/>
          <w:bCs/>
          <w:iCs/>
          <w:sz w:val="20"/>
          <w:szCs w:val="20"/>
        </w:rPr>
        <w:t xml:space="preserve"> un preventivo di spesa per la pubblicazione </w:t>
      </w:r>
      <w:r w:rsidR="007C4D35">
        <w:rPr>
          <w:rFonts w:ascii="Titillium" w:hAnsi="Titillium"/>
          <w:bCs/>
          <w:iCs/>
          <w:sz w:val="20"/>
          <w:szCs w:val="20"/>
        </w:rPr>
        <w:t xml:space="preserve">di un estratto </w:t>
      </w:r>
      <w:r w:rsidRPr="00AB088D">
        <w:rPr>
          <w:rFonts w:ascii="Titillium" w:hAnsi="Titillium"/>
          <w:bCs/>
          <w:iCs/>
          <w:sz w:val="20"/>
          <w:szCs w:val="20"/>
        </w:rPr>
        <w:t>dell’avviso di aggiudicazione della presente procedura su due quotidiani a maggiore diffusione nazionale e due quotidiani a maggiore diffusione locale;</w:t>
      </w:r>
    </w:p>
    <w:p w:rsidR="00355C2E" w:rsidRDefault="002A1759" w:rsidP="002A1759">
      <w:pPr>
        <w:pStyle w:val="Corpodeltesto2"/>
        <w:spacing w:before="120" w:line="276" w:lineRule="auto"/>
        <w:ind w:right="-1"/>
        <w:jc w:val="both"/>
        <w:rPr>
          <w:rFonts w:ascii="Titillium" w:hAnsi="Titillium"/>
          <w:sz w:val="20"/>
          <w:szCs w:val="20"/>
        </w:rPr>
      </w:pPr>
      <w:r w:rsidRPr="00AB088D">
        <w:rPr>
          <w:rFonts w:ascii="Titillium" w:hAnsi="Titillium"/>
          <w:b/>
          <w:sz w:val="20"/>
          <w:szCs w:val="20"/>
        </w:rPr>
        <w:t>CONSIDERATO</w:t>
      </w:r>
      <w:r w:rsidR="00355C2E">
        <w:rPr>
          <w:rFonts w:ascii="Titillium" w:hAnsi="Titillium"/>
          <w:sz w:val="20"/>
          <w:szCs w:val="20"/>
        </w:rPr>
        <w:t xml:space="preserve"> il preventivo di spesa</w:t>
      </w:r>
      <w:r>
        <w:rPr>
          <w:rFonts w:ascii="Titillium" w:hAnsi="Titillium"/>
          <w:sz w:val="20"/>
          <w:szCs w:val="20"/>
        </w:rPr>
        <w:t xml:space="preserve"> </w:t>
      </w:r>
      <w:r w:rsidR="003758F3">
        <w:rPr>
          <w:rFonts w:ascii="Titillium" w:hAnsi="Titillium"/>
          <w:sz w:val="20"/>
          <w:szCs w:val="20"/>
        </w:rPr>
        <w:t xml:space="preserve">n. 23/2817, </w:t>
      </w:r>
      <w:r>
        <w:rPr>
          <w:rFonts w:ascii="Titillium" w:hAnsi="Titillium"/>
          <w:sz w:val="20"/>
          <w:szCs w:val="20"/>
        </w:rPr>
        <w:t xml:space="preserve">pervenuto in data </w:t>
      </w:r>
      <w:r w:rsidR="003758F3">
        <w:rPr>
          <w:rFonts w:ascii="Titillium" w:hAnsi="Titillium"/>
          <w:sz w:val="20"/>
          <w:szCs w:val="20"/>
        </w:rPr>
        <w:t>27.11</w:t>
      </w:r>
      <w:r w:rsidR="00355C2E">
        <w:rPr>
          <w:rFonts w:ascii="Titillium" w:hAnsi="Titillium"/>
          <w:sz w:val="20"/>
          <w:szCs w:val="20"/>
        </w:rPr>
        <w:t>.2023</w:t>
      </w:r>
      <w:r w:rsidRPr="00AB088D">
        <w:rPr>
          <w:rFonts w:ascii="Titillium" w:hAnsi="Titillium"/>
          <w:sz w:val="20"/>
          <w:szCs w:val="20"/>
        </w:rPr>
        <w:t xml:space="preserve"> da </w:t>
      </w:r>
      <w:r w:rsidR="00355C2E">
        <w:rPr>
          <w:rFonts w:ascii="Titillium" w:hAnsi="Titillium"/>
          <w:sz w:val="20"/>
          <w:szCs w:val="20"/>
        </w:rPr>
        <w:t>Mediagraphic</w:t>
      </w:r>
      <w:r w:rsidRPr="00AB088D">
        <w:rPr>
          <w:rFonts w:ascii="Titillium" w:hAnsi="Titillium"/>
          <w:sz w:val="20"/>
          <w:szCs w:val="20"/>
        </w:rPr>
        <w:t xml:space="preserve"> S.r.l.</w:t>
      </w:r>
      <w:r w:rsidR="00355C2E">
        <w:rPr>
          <w:rFonts w:ascii="Titillium" w:hAnsi="Titillium"/>
          <w:sz w:val="20"/>
          <w:szCs w:val="20"/>
        </w:rPr>
        <w:t xml:space="preserve"> unipersonale</w:t>
      </w:r>
      <w:r w:rsidR="003758F3">
        <w:rPr>
          <w:rFonts w:ascii="Titillium" w:hAnsi="Titillium"/>
          <w:sz w:val="20"/>
          <w:szCs w:val="20"/>
        </w:rPr>
        <w:t xml:space="preserve"> e</w:t>
      </w:r>
      <w:r w:rsidR="007C4D35">
        <w:rPr>
          <w:rFonts w:ascii="Titillium" w:hAnsi="Titillium"/>
          <w:sz w:val="20"/>
          <w:szCs w:val="20"/>
        </w:rPr>
        <w:t xml:space="preserve"> ritenuto congruo, che prevede la pubblicazione dell’estratto dell’avviso di aggiudicazione sui seguenti quotidiani: Italia Oggi, Milano Finanza, Corriere Roma e Il Tempo – ed. Roma; </w:t>
      </w:r>
    </w:p>
    <w:p w:rsidR="002A1759" w:rsidRPr="0073362C" w:rsidRDefault="002A1759" w:rsidP="002A1759">
      <w:pPr>
        <w:pStyle w:val="Corpodeltesto2"/>
        <w:spacing w:before="120" w:line="276" w:lineRule="auto"/>
        <w:ind w:right="-1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CONSIDERATA</w:t>
      </w:r>
      <w:r w:rsidRPr="00AB088D">
        <w:rPr>
          <w:rFonts w:ascii="Titillium" w:hAnsi="Titillium"/>
          <w:b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la sussistenza dei</w:t>
      </w:r>
      <w:r w:rsidRPr="00AB088D">
        <w:rPr>
          <w:rFonts w:ascii="Titillium" w:hAnsi="Titillium"/>
          <w:sz w:val="20"/>
          <w:szCs w:val="20"/>
        </w:rPr>
        <w:t xml:space="preserve"> </w:t>
      </w:r>
      <w:r w:rsidRPr="0073362C">
        <w:rPr>
          <w:rFonts w:ascii="Titillium" w:hAnsi="Titillium"/>
          <w:sz w:val="20"/>
          <w:szCs w:val="20"/>
        </w:rPr>
        <w:t xml:space="preserve">presupposti per procedere ad affidamento diretto ai sensi dell’art. </w:t>
      </w:r>
      <w:r w:rsidR="00355C2E">
        <w:rPr>
          <w:rFonts w:ascii="Titillium" w:hAnsi="Titillium"/>
          <w:sz w:val="20"/>
          <w:szCs w:val="20"/>
        </w:rPr>
        <w:t xml:space="preserve">50, </w:t>
      </w:r>
      <w:r w:rsidRPr="0073362C">
        <w:rPr>
          <w:rFonts w:ascii="Titillium" w:hAnsi="Titillium"/>
          <w:sz w:val="20"/>
          <w:szCs w:val="20"/>
        </w:rPr>
        <w:t xml:space="preserve">1, lett. </w:t>
      </w:r>
      <w:r w:rsidR="00355C2E">
        <w:rPr>
          <w:rFonts w:ascii="Titillium" w:hAnsi="Titillium"/>
          <w:i/>
          <w:sz w:val="20"/>
          <w:szCs w:val="20"/>
        </w:rPr>
        <w:t>b</w:t>
      </w:r>
      <w:r w:rsidRPr="0073362C">
        <w:rPr>
          <w:rFonts w:ascii="Titillium" w:hAnsi="Titillium"/>
          <w:sz w:val="20"/>
          <w:szCs w:val="20"/>
        </w:rPr>
        <w:t>) del d.l</w:t>
      </w:r>
      <w:r w:rsidR="00355C2E">
        <w:rPr>
          <w:rFonts w:ascii="Titillium" w:hAnsi="Titillium"/>
          <w:sz w:val="20"/>
          <w:szCs w:val="20"/>
        </w:rPr>
        <w:t xml:space="preserve">gs. n. 36/2023; </w:t>
      </w:r>
      <w:bookmarkStart w:id="0" w:name="_GoBack"/>
      <w:bookmarkEnd w:id="0"/>
    </w:p>
    <w:p w:rsidR="004164CB" w:rsidRDefault="00731449" w:rsidP="006E1F10">
      <w:pPr>
        <w:pStyle w:val="Corpodeltesto2"/>
        <w:spacing w:before="120" w:line="276" w:lineRule="auto"/>
        <w:ind w:right="-1"/>
        <w:jc w:val="both"/>
        <w:rPr>
          <w:rFonts w:ascii="Titillium" w:hAnsi="Titillium"/>
          <w:sz w:val="20"/>
          <w:szCs w:val="20"/>
        </w:rPr>
      </w:pPr>
      <w:r w:rsidRPr="00A84E3F">
        <w:rPr>
          <w:rFonts w:ascii="Titillium" w:hAnsi="Titillium"/>
          <w:b/>
          <w:sz w:val="20"/>
          <w:szCs w:val="20"/>
        </w:rPr>
        <w:t>ACCERTATO</w:t>
      </w:r>
      <w:r w:rsidRPr="00A84E3F">
        <w:rPr>
          <w:rFonts w:ascii="Titillium" w:hAnsi="Titillium"/>
          <w:sz w:val="20"/>
          <w:szCs w:val="20"/>
        </w:rPr>
        <w:t xml:space="preserve"> che la disponibilit</w:t>
      </w:r>
      <w:r w:rsidR="00F34136" w:rsidRPr="00A84E3F">
        <w:rPr>
          <w:rFonts w:ascii="Titillium" w:hAnsi="Titillium"/>
          <w:sz w:val="20"/>
          <w:szCs w:val="20"/>
        </w:rPr>
        <w:t xml:space="preserve">à </w:t>
      </w:r>
      <w:r w:rsidR="005B492F" w:rsidRPr="00A84E3F">
        <w:rPr>
          <w:rFonts w:ascii="Titillium" w:hAnsi="Titillium"/>
          <w:sz w:val="20"/>
          <w:szCs w:val="20"/>
        </w:rPr>
        <w:t>finanziaria sul pertinente</w:t>
      </w:r>
      <w:r w:rsidR="00F34136" w:rsidRPr="00A84E3F">
        <w:rPr>
          <w:rFonts w:ascii="Titillium" w:hAnsi="Titillium"/>
          <w:sz w:val="20"/>
          <w:szCs w:val="20"/>
        </w:rPr>
        <w:t xml:space="preserve"> </w:t>
      </w:r>
      <w:r w:rsidR="005B492F" w:rsidRPr="00A84E3F">
        <w:rPr>
          <w:rFonts w:ascii="Titillium" w:hAnsi="Titillium"/>
          <w:sz w:val="20"/>
          <w:szCs w:val="20"/>
        </w:rPr>
        <w:t>capitolo</w:t>
      </w:r>
      <w:r w:rsidR="00675250" w:rsidRPr="00A84E3F">
        <w:rPr>
          <w:rFonts w:ascii="Titillium" w:hAnsi="Titillium"/>
          <w:sz w:val="20"/>
          <w:szCs w:val="20"/>
        </w:rPr>
        <w:t xml:space="preserve"> n. 1301.2 </w:t>
      </w:r>
      <w:r w:rsidR="00355C2E">
        <w:rPr>
          <w:rFonts w:ascii="Titillium" w:hAnsi="Titillium"/>
          <w:sz w:val="20"/>
          <w:szCs w:val="20"/>
        </w:rPr>
        <w:t>del bilancio 2023</w:t>
      </w:r>
      <w:r w:rsidRPr="00A84E3F">
        <w:rPr>
          <w:rFonts w:ascii="Titillium" w:hAnsi="Titillium"/>
          <w:sz w:val="20"/>
          <w:szCs w:val="20"/>
        </w:rPr>
        <w:t xml:space="preserve"> di previsione dell’ANAC è congrua per accogliere la spesa stimata per l’affidamento del </w:t>
      </w:r>
      <w:r w:rsidR="00F34136" w:rsidRPr="00A84E3F">
        <w:rPr>
          <w:rFonts w:ascii="Titillium" w:hAnsi="Titillium"/>
          <w:sz w:val="20"/>
          <w:szCs w:val="20"/>
        </w:rPr>
        <w:t xml:space="preserve">contratto </w:t>
      </w:r>
      <w:r w:rsidRPr="00A84E3F">
        <w:rPr>
          <w:rFonts w:ascii="Titillium" w:hAnsi="Titillium"/>
          <w:sz w:val="20"/>
          <w:szCs w:val="20"/>
        </w:rPr>
        <w:t>in</w:t>
      </w:r>
      <w:r w:rsidRPr="009B3959">
        <w:rPr>
          <w:rFonts w:ascii="Titillium" w:hAnsi="Titillium"/>
          <w:sz w:val="20"/>
          <w:szCs w:val="20"/>
        </w:rPr>
        <w:t xml:space="preserve"> esame;</w:t>
      </w:r>
    </w:p>
    <w:p w:rsidR="001B1ABD" w:rsidRPr="006E1F10" w:rsidRDefault="001B1ABD" w:rsidP="006E1F10">
      <w:pPr>
        <w:pStyle w:val="Corpodeltesto2"/>
        <w:spacing w:before="120" w:line="276" w:lineRule="auto"/>
        <w:ind w:right="-1"/>
        <w:jc w:val="both"/>
        <w:rPr>
          <w:rFonts w:ascii="Titillium" w:hAnsi="Titillium"/>
          <w:sz w:val="20"/>
          <w:szCs w:val="20"/>
        </w:rPr>
      </w:pPr>
    </w:p>
    <w:p w:rsidR="00A97EC6" w:rsidRDefault="000A25AD" w:rsidP="006E1F10">
      <w:pPr>
        <w:spacing w:before="120" w:after="120" w:line="276" w:lineRule="auto"/>
        <w:ind w:right="-1"/>
        <w:jc w:val="center"/>
        <w:rPr>
          <w:rFonts w:ascii="Gotham Light" w:hAnsi="Gotham Light" w:cs="Arial"/>
          <w:color w:val="2E74B5"/>
          <w:sz w:val="28"/>
          <w:szCs w:val="28"/>
        </w:rPr>
      </w:pPr>
      <w:r w:rsidRPr="00673B91">
        <w:rPr>
          <w:rFonts w:ascii="Gotham Light" w:hAnsi="Gotham Light" w:cs="Arial"/>
          <w:color w:val="2E74B5"/>
          <w:sz w:val="28"/>
          <w:szCs w:val="28"/>
        </w:rPr>
        <w:t>D I S P O N E</w:t>
      </w:r>
    </w:p>
    <w:p w:rsidR="001B1ABD" w:rsidRPr="00673B91" w:rsidRDefault="001B1ABD" w:rsidP="006E1F10">
      <w:pPr>
        <w:spacing w:before="120" w:after="120" w:line="276" w:lineRule="auto"/>
        <w:ind w:right="-1"/>
        <w:jc w:val="center"/>
        <w:rPr>
          <w:rFonts w:ascii="Gotham Light" w:hAnsi="Gotham Light" w:cs="Arial"/>
          <w:color w:val="2E74B5"/>
          <w:sz w:val="28"/>
          <w:szCs w:val="28"/>
        </w:rPr>
      </w:pPr>
    </w:p>
    <w:p w:rsidR="006E1F10" w:rsidRPr="009A17BF" w:rsidRDefault="000A25AD" w:rsidP="003758F3">
      <w:pPr>
        <w:pStyle w:val="Paragrafoelenco"/>
        <w:numPr>
          <w:ilvl w:val="0"/>
          <w:numId w:val="5"/>
        </w:numPr>
        <w:spacing w:after="120" w:line="276" w:lineRule="auto"/>
        <w:ind w:left="0" w:right="-1" w:firstLine="0"/>
        <w:jc w:val="both"/>
        <w:rPr>
          <w:rFonts w:ascii="Titillium" w:hAnsi="Titillium"/>
          <w:sz w:val="20"/>
          <w:szCs w:val="20"/>
        </w:rPr>
      </w:pPr>
      <w:r w:rsidRPr="00673B91">
        <w:rPr>
          <w:rFonts w:ascii="Titillium" w:hAnsi="Titillium"/>
          <w:sz w:val="20"/>
          <w:szCs w:val="20"/>
        </w:rPr>
        <w:t xml:space="preserve">di </w:t>
      </w:r>
      <w:r w:rsidR="003D1F82" w:rsidRPr="00673B91">
        <w:rPr>
          <w:rFonts w:ascii="Titillium" w:hAnsi="Titillium"/>
          <w:sz w:val="20"/>
          <w:szCs w:val="20"/>
        </w:rPr>
        <w:t>avviare</w:t>
      </w:r>
      <w:r w:rsidR="00387FDE" w:rsidRPr="00673B91">
        <w:rPr>
          <w:rFonts w:ascii="Titillium" w:hAnsi="Titillium"/>
          <w:sz w:val="20"/>
          <w:szCs w:val="20"/>
        </w:rPr>
        <w:t xml:space="preserve"> la procedura per l’</w:t>
      </w:r>
      <w:r w:rsidRPr="00673B91">
        <w:rPr>
          <w:rFonts w:ascii="Titillium" w:hAnsi="Titillium"/>
          <w:sz w:val="20"/>
          <w:szCs w:val="20"/>
        </w:rPr>
        <w:t>affida</w:t>
      </w:r>
      <w:r w:rsidR="00387FDE" w:rsidRPr="00673B91">
        <w:rPr>
          <w:rFonts w:ascii="Titillium" w:hAnsi="Titillium"/>
          <w:sz w:val="20"/>
          <w:szCs w:val="20"/>
        </w:rPr>
        <w:t>mento</w:t>
      </w:r>
      <w:r w:rsidRPr="00673B91">
        <w:rPr>
          <w:rFonts w:ascii="Titillium" w:hAnsi="Titillium"/>
          <w:sz w:val="20"/>
          <w:szCs w:val="20"/>
        </w:rPr>
        <w:t xml:space="preserve"> </w:t>
      </w:r>
      <w:r w:rsidR="00F34136" w:rsidRPr="00673B91">
        <w:rPr>
          <w:rFonts w:ascii="Titillium" w:hAnsi="Titillium"/>
          <w:sz w:val="20"/>
          <w:szCs w:val="20"/>
        </w:rPr>
        <w:t xml:space="preserve">diretto </w:t>
      </w:r>
      <w:r w:rsidR="005F10D2" w:rsidRPr="00673B91">
        <w:rPr>
          <w:rFonts w:ascii="Titillium" w:hAnsi="Titillium"/>
          <w:sz w:val="20"/>
          <w:szCs w:val="20"/>
        </w:rPr>
        <w:t xml:space="preserve">alla </w:t>
      </w:r>
      <w:r w:rsidR="00675250" w:rsidRPr="00673B91">
        <w:rPr>
          <w:rFonts w:ascii="Titillium" w:hAnsi="Titillium"/>
          <w:sz w:val="20"/>
          <w:szCs w:val="20"/>
        </w:rPr>
        <w:t xml:space="preserve">Società </w:t>
      </w:r>
      <w:r w:rsidR="00355C2E">
        <w:rPr>
          <w:rFonts w:ascii="Titillium" w:hAnsi="Titillium"/>
          <w:sz w:val="20"/>
          <w:szCs w:val="20"/>
        </w:rPr>
        <w:t xml:space="preserve">Mediagraphic </w:t>
      </w:r>
      <w:r w:rsidR="00675250" w:rsidRPr="00673B91">
        <w:rPr>
          <w:rFonts w:ascii="Titillium" w:hAnsi="Titillium"/>
          <w:sz w:val="20"/>
          <w:szCs w:val="20"/>
        </w:rPr>
        <w:t>S.r.l.</w:t>
      </w:r>
      <w:r w:rsidR="00355C2E">
        <w:rPr>
          <w:rFonts w:ascii="Titillium" w:hAnsi="Titillium"/>
          <w:sz w:val="20"/>
          <w:szCs w:val="20"/>
        </w:rPr>
        <w:t xml:space="preserve"> unipersonale</w:t>
      </w:r>
      <w:r w:rsidR="00675250" w:rsidRPr="00673B91">
        <w:rPr>
          <w:rFonts w:ascii="Titillium" w:hAnsi="Titillium"/>
          <w:sz w:val="20"/>
          <w:szCs w:val="20"/>
        </w:rPr>
        <w:t xml:space="preserve">, </w:t>
      </w:r>
      <w:r w:rsidR="00B73C59" w:rsidRPr="00673B91">
        <w:rPr>
          <w:rFonts w:ascii="Titillium" w:hAnsi="Titillium"/>
          <w:sz w:val="20"/>
          <w:szCs w:val="20"/>
        </w:rPr>
        <w:t>(</w:t>
      </w:r>
      <w:r w:rsidR="008F2683" w:rsidRPr="00673B91">
        <w:rPr>
          <w:rFonts w:ascii="Titillium" w:hAnsi="Titillium"/>
          <w:sz w:val="20"/>
          <w:szCs w:val="20"/>
        </w:rPr>
        <w:t>sede lega</w:t>
      </w:r>
      <w:r w:rsidR="005F72F1" w:rsidRPr="00673B91">
        <w:rPr>
          <w:rFonts w:ascii="Titillium" w:hAnsi="Titillium"/>
          <w:sz w:val="20"/>
          <w:szCs w:val="20"/>
        </w:rPr>
        <w:t>l</w:t>
      </w:r>
      <w:r w:rsidR="00355C2E">
        <w:rPr>
          <w:rFonts w:ascii="Titillium" w:hAnsi="Titillium"/>
          <w:sz w:val="20"/>
          <w:szCs w:val="20"/>
        </w:rPr>
        <w:t>e in Barletta</w:t>
      </w:r>
      <w:r w:rsidR="00675250" w:rsidRPr="00673B91">
        <w:rPr>
          <w:rFonts w:ascii="Titillium" w:hAnsi="Titillium"/>
          <w:sz w:val="20"/>
          <w:szCs w:val="20"/>
        </w:rPr>
        <w:t xml:space="preserve">, Via </w:t>
      </w:r>
      <w:r w:rsidR="00355C2E">
        <w:rPr>
          <w:rFonts w:ascii="Titillium" w:hAnsi="Titillium"/>
          <w:sz w:val="20"/>
          <w:szCs w:val="20"/>
        </w:rPr>
        <w:t>Palmitessa n. 40</w:t>
      </w:r>
      <w:r w:rsidR="00675250" w:rsidRPr="00673B91">
        <w:rPr>
          <w:rFonts w:ascii="Titillium" w:hAnsi="Titillium"/>
          <w:sz w:val="20"/>
          <w:szCs w:val="20"/>
        </w:rPr>
        <w:t xml:space="preserve">, </w:t>
      </w:r>
      <w:r w:rsidR="00355C2E">
        <w:rPr>
          <w:rFonts w:ascii="Titillium" w:hAnsi="Titillium"/>
          <w:sz w:val="20"/>
          <w:szCs w:val="20"/>
        </w:rPr>
        <w:t>76121</w:t>
      </w:r>
      <w:r w:rsidR="00412A21" w:rsidRPr="00673B91">
        <w:rPr>
          <w:rFonts w:ascii="Titillium" w:hAnsi="Titillium"/>
          <w:sz w:val="20"/>
          <w:szCs w:val="20"/>
        </w:rPr>
        <w:t>,</w:t>
      </w:r>
      <w:r w:rsidR="005F10D2" w:rsidRPr="00673B91">
        <w:rPr>
          <w:rFonts w:ascii="Titillium" w:hAnsi="Titillium"/>
          <w:sz w:val="20"/>
          <w:szCs w:val="20"/>
        </w:rPr>
        <w:t xml:space="preserve"> </w:t>
      </w:r>
      <w:r w:rsidR="00B73C59" w:rsidRPr="00673B91">
        <w:rPr>
          <w:rFonts w:ascii="Titillium" w:hAnsi="Titillium"/>
          <w:sz w:val="20"/>
          <w:szCs w:val="20"/>
        </w:rPr>
        <w:t xml:space="preserve">codice fiscale </w:t>
      </w:r>
      <w:r w:rsidR="00675250" w:rsidRPr="00673B91">
        <w:rPr>
          <w:rFonts w:ascii="Titillium" w:hAnsi="Titillium"/>
          <w:sz w:val="20"/>
          <w:szCs w:val="20"/>
        </w:rPr>
        <w:t>0</w:t>
      </w:r>
      <w:r w:rsidR="001B1ABD">
        <w:rPr>
          <w:rFonts w:ascii="Titillium" w:hAnsi="Titillium"/>
          <w:sz w:val="20"/>
          <w:szCs w:val="20"/>
        </w:rPr>
        <w:t>5833480725</w:t>
      </w:r>
      <w:r w:rsidR="00B73C59" w:rsidRPr="00673B91">
        <w:rPr>
          <w:rFonts w:ascii="Titillium" w:hAnsi="Titillium"/>
          <w:sz w:val="20"/>
          <w:szCs w:val="20"/>
        </w:rPr>
        <w:t xml:space="preserve">), </w:t>
      </w:r>
      <w:r w:rsidR="00BF1079" w:rsidRPr="00673B91">
        <w:rPr>
          <w:rFonts w:ascii="Titillium" w:hAnsi="Titillium"/>
          <w:sz w:val="20"/>
          <w:szCs w:val="20"/>
        </w:rPr>
        <w:t xml:space="preserve">ai sensi dell’art. </w:t>
      </w:r>
      <w:r w:rsidR="001B1ABD">
        <w:rPr>
          <w:rFonts w:ascii="Titillium" w:hAnsi="Titillium"/>
          <w:sz w:val="20"/>
          <w:szCs w:val="20"/>
        </w:rPr>
        <w:t xml:space="preserve">50, comma 1, lett. </w:t>
      </w:r>
      <w:r w:rsidR="001B1ABD">
        <w:rPr>
          <w:rFonts w:ascii="Titillium" w:hAnsi="Titillium"/>
          <w:i/>
          <w:sz w:val="20"/>
          <w:szCs w:val="20"/>
        </w:rPr>
        <w:t>b</w:t>
      </w:r>
      <w:r w:rsidR="001B1ABD">
        <w:rPr>
          <w:rFonts w:ascii="Titillium" w:hAnsi="Titillium"/>
          <w:sz w:val="20"/>
          <w:szCs w:val="20"/>
        </w:rPr>
        <w:t xml:space="preserve">), d.lgs. n. 36/2023, </w:t>
      </w:r>
      <w:r w:rsidR="003A579D" w:rsidRPr="00673B91">
        <w:rPr>
          <w:rFonts w:ascii="Titillium" w:hAnsi="Titillium"/>
          <w:sz w:val="20"/>
          <w:szCs w:val="20"/>
        </w:rPr>
        <w:t xml:space="preserve">del servizio di </w:t>
      </w:r>
      <w:r w:rsidR="006E1F10" w:rsidRPr="00673B91">
        <w:rPr>
          <w:rFonts w:ascii="Titillium" w:hAnsi="Titillium"/>
          <w:sz w:val="20"/>
          <w:szCs w:val="20"/>
        </w:rPr>
        <w:t xml:space="preserve">pubblicazione </w:t>
      </w:r>
      <w:r w:rsidR="00DA3B70">
        <w:rPr>
          <w:rFonts w:ascii="Titillium" w:hAnsi="Titillium"/>
          <w:sz w:val="20"/>
          <w:szCs w:val="20"/>
        </w:rPr>
        <w:t xml:space="preserve">di un estratto </w:t>
      </w:r>
      <w:r w:rsidR="006E1F10" w:rsidRPr="00673B91">
        <w:rPr>
          <w:rFonts w:ascii="Titillium" w:hAnsi="Titillium"/>
          <w:sz w:val="20"/>
          <w:szCs w:val="20"/>
        </w:rPr>
        <w:t>dell’</w:t>
      </w:r>
      <w:r w:rsidR="00B32215">
        <w:rPr>
          <w:rFonts w:ascii="Titillium" w:hAnsi="Titillium"/>
          <w:sz w:val="20"/>
          <w:szCs w:val="20"/>
        </w:rPr>
        <w:t>avviso di aggiudicazione dell’Appalto S</w:t>
      </w:r>
      <w:r w:rsidR="001B1ABD">
        <w:rPr>
          <w:rFonts w:ascii="Titillium" w:hAnsi="Titillium"/>
          <w:sz w:val="20"/>
          <w:szCs w:val="20"/>
        </w:rPr>
        <w:t xml:space="preserve">pecifico </w:t>
      </w:r>
      <w:r w:rsidR="003758F3">
        <w:rPr>
          <w:rFonts w:ascii="Titillium" w:hAnsi="Titillium"/>
          <w:sz w:val="20"/>
          <w:szCs w:val="20"/>
        </w:rPr>
        <w:t xml:space="preserve"> </w:t>
      </w:r>
      <w:r w:rsidR="003758F3" w:rsidRPr="00885EE9">
        <w:rPr>
          <w:rFonts w:ascii="Titillium" w:eastAsia="Calibri" w:hAnsi="Titillium" w:cs="Titillium Web"/>
          <w:sz w:val="20"/>
          <w:szCs w:val="20"/>
          <w:lang w:eastAsia="en-US"/>
        </w:rPr>
        <w:t>basato sul Sistema Dinamico di Acquisizione della P.A. per la fornitura dei servizi di contact center</w:t>
      </w:r>
      <w:r w:rsidR="003758F3">
        <w:rPr>
          <w:rFonts w:ascii="Titillium" w:eastAsia="Calibri" w:hAnsi="Titillium" w:cs="Titillium Web"/>
          <w:sz w:val="20"/>
          <w:szCs w:val="20"/>
          <w:lang w:eastAsia="en-US"/>
        </w:rPr>
        <w:t xml:space="preserve"> e centralino</w:t>
      </w:r>
      <w:r w:rsidR="003758F3" w:rsidRPr="00885EE9">
        <w:rPr>
          <w:rFonts w:ascii="Titillium" w:eastAsia="Calibri" w:hAnsi="Titillium" w:cs="Titillium Web"/>
          <w:sz w:val="20"/>
          <w:szCs w:val="20"/>
          <w:lang w:eastAsia="en-US"/>
        </w:rPr>
        <w:t xml:space="preserve"> per un periodo di n. 36 mesi</w:t>
      </w:r>
      <w:r w:rsidR="00B32215" w:rsidRPr="009A17BF">
        <w:rPr>
          <w:rFonts w:ascii="Titillium" w:hAnsi="Titillium"/>
          <w:sz w:val="20"/>
          <w:szCs w:val="20"/>
        </w:rPr>
        <w:t xml:space="preserve">, su </w:t>
      </w:r>
      <w:r w:rsidR="006E1F10" w:rsidRPr="009A17BF">
        <w:rPr>
          <w:rFonts w:ascii="Titillium" w:hAnsi="Titillium"/>
          <w:sz w:val="20"/>
          <w:szCs w:val="20"/>
        </w:rPr>
        <w:t xml:space="preserve">due quotidiani a </w:t>
      </w:r>
      <w:r w:rsidR="00B32215" w:rsidRPr="009A17BF">
        <w:rPr>
          <w:rFonts w:ascii="Titillium" w:hAnsi="Titillium"/>
          <w:sz w:val="20"/>
          <w:szCs w:val="20"/>
        </w:rPr>
        <w:t xml:space="preserve">maggiore </w:t>
      </w:r>
      <w:r w:rsidR="006E1F10" w:rsidRPr="009A17BF">
        <w:rPr>
          <w:rFonts w:ascii="Titillium" w:hAnsi="Titillium"/>
          <w:sz w:val="20"/>
          <w:szCs w:val="20"/>
        </w:rPr>
        <w:t>diffusione locale e su due quotidiani a</w:t>
      </w:r>
      <w:r w:rsidR="00AB088D" w:rsidRPr="009A17BF">
        <w:rPr>
          <w:rFonts w:ascii="Titillium" w:hAnsi="Titillium"/>
          <w:sz w:val="20"/>
          <w:szCs w:val="20"/>
        </w:rPr>
        <w:t xml:space="preserve"> </w:t>
      </w:r>
      <w:r w:rsidR="006E1F10" w:rsidRPr="009A17BF">
        <w:rPr>
          <w:rFonts w:ascii="Titillium" w:hAnsi="Titillium"/>
          <w:sz w:val="20"/>
          <w:szCs w:val="20"/>
        </w:rPr>
        <w:t>diffusione nazionale, per una spesa complessiva massima così specificata:</w:t>
      </w:r>
    </w:p>
    <w:p w:rsidR="0002232A" w:rsidRDefault="0002232A" w:rsidP="00950301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0"/>
          <w:szCs w:val="20"/>
        </w:rPr>
      </w:pPr>
    </w:p>
    <w:tbl>
      <w:tblPr>
        <w:tblStyle w:val="Grigliatabella"/>
        <w:tblW w:w="82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615"/>
      </w:tblGrid>
      <w:tr w:rsidR="00D73998" w:rsidRPr="00D73998" w:rsidTr="00D73998">
        <w:trPr>
          <w:trHeight w:val="425"/>
          <w:jc w:val="right"/>
        </w:trPr>
        <w:tc>
          <w:tcPr>
            <w:tcW w:w="666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73998" w:rsidRPr="00D73998" w:rsidRDefault="00D73998" w:rsidP="00D73998">
            <w:pPr>
              <w:pStyle w:val="Paragrafoelenco"/>
              <w:numPr>
                <w:ilvl w:val="0"/>
                <w:numId w:val="3"/>
              </w:numPr>
              <w:spacing w:after="120"/>
              <w:ind w:right="-1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servizio di pubblicità legale sui quotidiani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73998" w:rsidRPr="00D73998" w:rsidRDefault="00D73998" w:rsidP="00D73998">
            <w:pPr>
              <w:pStyle w:val="Paragrafoelenco"/>
              <w:spacing w:after="120"/>
              <w:ind w:left="0" w:right="-1"/>
              <w:jc w:val="right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€ 1.500,00</w:t>
            </w:r>
          </w:p>
        </w:tc>
      </w:tr>
      <w:tr w:rsidR="00D73998" w:rsidRPr="00D73998" w:rsidTr="00D73998">
        <w:trPr>
          <w:trHeight w:val="425"/>
          <w:jc w:val="right"/>
        </w:trPr>
        <w:tc>
          <w:tcPr>
            <w:tcW w:w="666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73998" w:rsidRPr="00D73998" w:rsidRDefault="00D73998" w:rsidP="00D73998">
            <w:pPr>
              <w:pStyle w:val="Paragrafoelenco"/>
              <w:numPr>
                <w:ilvl w:val="0"/>
                <w:numId w:val="3"/>
              </w:numPr>
              <w:spacing w:after="120"/>
              <w:ind w:right="-1"/>
              <w:rPr>
                <w:rFonts w:ascii="Titillium" w:hAnsi="Titillium"/>
                <w:sz w:val="20"/>
                <w:szCs w:val="20"/>
              </w:rPr>
            </w:pPr>
            <w:r w:rsidRPr="00D73998">
              <w:rPr>
                <w:rFonts w:ascii="Titillium" w:hAnsi="Titillium"/>
                <w:sz w:val="20"/>
                <w:szCs w:val="20"/>
              </w:rPr>
              <w:t xml:space="preserve">IVA al 22% 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73998" w:rsidRPr="00D73998" w:rsidRDefault="00D73998" w:rsidP="00D73998">
            <w:pPr>
              <w:pStyle w:val="Paragrafoelenco"/>
              <w:spacing w:after="120"/>
              <w:ind w:left="0" w:right="-1"/>
              <w:jc w:val="right"/>
              <w:rPr>
                <w:rFonts w:ascii="Titillium" w:hAnsi="Titillium"/>
                <w:sz w:val="20"/>
                <w:szCs w:val="20"/>
              </w:rPr>
            </w:pPr>
            <w:r w:rsidRPr="00D73998">
              <w:rPr>
                <w:rFonts w:ascii="Titillium" w:hAnsi="Titillium"/>
                <w:sz w:val="20"/>
                <w:szCs w:val="20"/>
              </w:rPr>
              <w:t xml:space="preserve">    €   </w:t>
            </w:r>
            <w:r>
              <w:rPr>
                <w:rFonts w:ascii="Titillium" w:hAnsi="Titillium"/>
                <w:sz w:val="20"/>
                <w:szCs w:val="20"/>
              </w:rPr>
              <w:t>330,00</w:t>
            </w:r>
          </w:p>
        </w:tc>
      </w:tr>
      <w:tr w:rsidR="00D73998" w:rsidRPr="00D73998" w:rsidTr="00D73998">
        <w:trPr>
          <w:trHeight w:val="787"/>
          <w:jc w:val="right"/>
        </w:trPr>
        <w:tc>
          <w:tcPr>
            <w:tcW w:w="666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73998" w:rsidRPr="00D73998" w:rsidRDefault="00D73998" w:rsidP="00D73998">
            <w:pPr>
              <w:pStyle w:val="Paragrafoelenco"/>
              <w:spacing w:after="120"/>
              <w:ind w:right="-1"/>
              <w:jc w:val="both"/>
              <w:rPr>
                <w:rFonts w:ascii="Titillium" w:hAnsi="Titillium"/>
                <w:b/>
                <w:sz w:val="20"/>
                <w:szCs w:val="20"/>
              </w:rPr>
            </w:pPr>
            <w:r w:rsidRPr="00D73998">
              <w:rPr>
                <w:rFonts w:ascii="Titillium" w:hAnsi="Titillium"/>
                <w:b/>
                <w:sz w:val="20"/>
                <w:szCs w:val="20"/>
              </w:rPr>
              <w:t>Spesa complessiva massima stimata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73998" w:rsidRPr="00D73998" w:rsidRDefault="00D73998" w:rsidP="00D73998">
            <w:pPr>
              <w:pStyle w:val="Paragrafoelenco"/>
              <w:spacing w:after="120"/>
              <w:ind w:left="0" w:right="-1"/>
              <w:jc w:val="right"/>
              <w:rPr>
                <w:rFonts w:ascii="Titillium" w:hAnsi="Titillium"/>
                <w:b/>
                <w:sz w:val="20"/>
                <w:szCs w:val="20"/>
              </w:rPr>
            </w:pPr>
            <w:r w:rsidRPr="00D73998">
              <w:rPr>
                <w:rFonts w:ascii="Titillium" w:hAnsi="Titillium"/>
                <w:b/>
                <w:sz w:val="20"/>
                <w:szCs w:val="20"/>
              </w:rPr>
              <w:t xml:space="preserve">€ </w:t>
            </w:r>
            <w:r>
              <w:rPr>
                <w:rFonts w:ascii="Titillium" w:hAnsi="Titillium"/>
                <w:b/>
                <w:sz w:val="20"/>
                <w:szCs w:val="20"/>
              </w:rPr>
              <w:t>1</w:t>
            </w:r>
            <w:r w:rsidRPr="00D73998">
              <w:rPr>
                <w:rFonts w:ascii="Titillium" w:hAnsi="Titillium"/>
                <w:b/>
                <w:sz w:val="20"/>
                <w:szCs w:val="20"/>
              </w:rPr>
              <w:t>.</w:t>
            </w:r>
            <w:r>
              <w:rPr>
                <w:rFonts w:ascii="Titillium" w:hAnsi="Titillium"/>
                <w:b/>
                <w:sz w:val="20"/>
                <w:szCs w:val="20"/>
              </w:rPr>
              <w:t>83</w:t>
            </w:r>
            <w:r w:rsidRPr="00D73998">
              <w:rPr>
                <w:rFonts w:ascii="Titillium" w:hAnsi="Titillium"/>
                <w:b/>
                <w:sz w:val="20"/>
                <w:szCs w:val="20"/>
              </w:rPr>
              <w:t>0,00</w:t>
            </w:r>
          </w:p>
        </w:tc>
      </w:tr>
    </w:tbl>
    <w:p w:rsidR="0002232A" w:rsidRPr="00861C44" w:rsidRDefault="0002232A" w:rsidP="00950301">
      <w:pPr>
        <w:spacing w:after="120" w:line="276" w:lineRule="auto"/>
        <w:ind w:right="-1"/>
        <w:jc w:val="both"/>
        <w:rPr>
          <w:rFonts w:ascii="Titillium" w:hAnsi="Titillium"/>
          <w:sz w:val="20"/>
          <w:szCs w:val="20"/>
        </w:rPr>
      </w:pPr>
    </w:p>
    <w:p w:rsidR="0002232A" w:rsidRDefault="0002232A" w:rsidP="00DE3F98">
      <w:pPr>
        <w:pStyle w:val="Paragrafoelenco"/>
        <w:numPr>
          <w:ilvl w:val="0"/>
          <w:numId w:val="5"/>
        </w:numPr>
        <w:spacing w:after="120" w:line="276" w:lineRule="auto"/>
        <w:ind w:left="0" w:right="-1" w:firstLine="0"/>
        <w:jc w:val="both"/>
        <w:rPr>
          <w:rFonts w:ascii="Titillium" w:hAnsi="Titillium"/>
          <w:sz w:val="20"/>
          <w:szCs w:val="20"/>
        </w:rPr>
      </w:pPr>
      <w:r w:rsidRPr="00AB088D">
        <w:rPr>
          <w:rFonts w:ascii="Titillium" w:hAnsi="Titillium"/>
          <w:sz w:val="20"/>
          <w:szCs w:val="20"/>
        </w:rPr>
        <w:t xml:space="preserve">di </w:t>
      </w:r>
      <w:r w:rsidR="000B0B87" w:rsidRPr="00AB088D">
        <w:rPr>
          <w:rFonts w:ascii="Titillium" w:hAnsi="Titillium"/>
          <w:sz w:val="20"/>
          <w:szCs w:val="20"/>
        </w:rPr>
        <w:t>autorizzare la spesa complessiva stimata da porsi a carico del bilan</w:t>
      </w:r>
      <w:r w:rsidR="005F72F1" w:rsidRPr="00AB088D">
        <w:rPr>
          <w:rFonts w:ascii="Titillium" w:hAnsi="Titillium"/>
          <w:sz w:val="20"/>
          <w:szCs w:val="20"/>
        </w:rPr>
        <w:t xml:space="preserve">cio </w:t>
      </w:r>
      <w:r w:rsidR="00861C44" w:rsidRPr="00AB088D">
        <w:rPr>
          <w:rFonts w:ascii="Titillium" w:hAnsi="Titillium"/>
          <w:sz w:val="20"/>
          <w:szCs w:val="20"/>
        </w:rPr>
        <w:t xml:space="preserve">dell’Autorità per l’anno </w:t>
      </w:r>
      <w:r w:rsidR="001B1ABD">
        <w:rPr>
          <w:rFonts w:ascii="Titillium" w:hAnsi="Titillium"/>
          <w:sz w:val="20"/>
          <w:szCs w:val="20"/>
        </w:rPr>
        <w:t>2023</w:t>
      </w:r>
      <w:r w:rsidR="005F72F1" w:rsidRPr="00AB088D">
        <w:rPr>
          <w:rFonts w:ascii="Titillium" w:hAnsi="Titillium"/>
          <w:sz w:val="20"/>
          <w:szCs w:val="20"/>
        </w:rPr>
        <w:t xml:space="preserve"> </w:t>
      </w:r>
      <w:r w:rsidR="00861C44" w:rsidRPr="00AB088D">
        <w:rPr>
          <w:rFonts w:ascii="Titillium" w:hAnsi="Titillium"/>
          <w:sz w:val="20"/>
          <w:szCs w:val="20"/>
        </w:rPr>
        <w:t>s</w:t>
      </w:r>
      <w:r w:rsidR="006E1F10" w:rsidRPr="00AB088D">
        <w:rPr>
          <w:rFonts w:ascii="Titillium" w:hAnsi="Titillium"/>
          <w:sz w:val="20"/>
          <w:szCs w:val="20"/>
        </w:rPr>
        <w:t>ul capitolo n. 1301.2</w:t>
      </w:r>
      <w:r w:rsidR="00B73C59" w:rsidRPr="00AB088D">
        <w:rPr>
          <w:rFonts w:ascii="Titillium" w:hAnsi="Titillium"/>
          <w:sz w:val="20"/>
          <w:szCs w:val="20"/>
        </w:rPr>
        <w:t xml:space="preserve"> </w:t>
      </w:r>
      <w:r w:rsidR="0037677E" w:rsidRPr="00AB088D">
        <w:rPr>
          <w:rFonts w:ascii="Titillium" w:hAnsi="Titillium"/>
          <w:sz w:val="20"/>
          <w:szCs w:val="20"/>
        </w:rPr>
        <w:t xml:space="preserve">per l’importo di € </w:t>
      </w:r>
      <w:r w:rsidR="00D73998">
        <w:rPr>
          <w:rFonts w:ascii="Titillium" w:hAnsi="Titillium"/>
          <w:sz w:val="20"/>
          <w:szCs w:val="20"/>
        </w:rPr>
        <w:t>1.830,00</w:t>
      </w:r>
      <w:r w:rsidR="00733AE0" w:rsidRPr="00AB088D">
        <w:rPr>
          <w:rFonts w:ascii="Titillium" w:hAnsi="Titillium"/>
          <w:sz w:val="20"/>
          <w:szCs w:val="20"/>
        </w:rPr>
        <w:t>.</w:t>
      </w:r>
    </w:p>
    <w:p w:rsidR="007B032B" w:rsidRDefault="00BE4BF9" w:rsidP="007D1ED5">
      <w:pPr>
        <w:pStyle w:val="Paragrafoelenco"/>
        <w:numPr>
          <w:ilvl w:val="0"/>
          <w:numId w:val="5"/>
        </w:numPr>
        <w:spacing w:after="120" w:line="276" w:lineRule="auto"/>
        <w:ind w:left="0" w:right="-1" w:firstLine="0"/>
        <w:jc w:val="both"/>
        <w:rPr>
          <w:rFonts w:ascii="Titillium" w:hAnsi="Titillium"/>
          <w:sz w:val="20"/>
          <w:szCs w:val="20"/>
        </w:rPr>
      </w:pPr>
      <w:r w:rsidRPr="001B1ABD">
        <w:rPr>
          <w:rFonts w:ascii="Titillium" w:hAnsi="Titillium"/>
          <w:sz w:val="20"/>
          <w:szCs w:val="20"/>
        </w:rPr>
        <w:t>Il Responsabile unico d</w:t>
      </w:r>
      <w:r w:rsidR="001B1ABD" w:rsidRPr="001B1ABD">
        <w:rPr>
          <w:rFonts w:ascii="Titillium" w:hAnsi="Titillium"/>
          <w:sz w:val="20"/>
          <w:szCs w:val="20"/>
        </w:rPr>
        <w:t xml:space="preserve">i progetto </w:t>
      </w:r>
      <w:r w:rsidRPr="001B1ABD">
        <w:rPr>
          <w:rFonts w:ascii="Titillium" w:hAnsi="Titillium"/>
          <w:sz w:val="20"/>
          <w:szCs w:val="20"/>
        </w:rPr>
        <w:t xml:space="preserve">di cui all’art. </w:t>
      </w:r>
      <w:r w:rsidR="001B1ABD" w:rsidRPr="001B1ABD">
        <w:rPr>
          <w:rFonts w:ascii="Titillium" w:hAnsi="Titillium"/>
          <w:sz w:val="20"/>
          <w:szCs w:val="20"/>
        </w:rPr>
        <w:t>15</w:t>
      </w:r>
      <w:r w:rsidRPr="001B1ABD">
        <w:rPr>
          <w:rFonts w:ascii="Titillium" w:hAnsi="Titillium"/>
          <w:sz w:val="20"/>
          <w:szCs w:val="20"/>
        </w:rPr>
        <w:t xml:space="preserve"> del d.lgs. </w:t>
      </w:r>
      <w:r w:rsidR="000A6C90" w:rsidRPr="001B1ABD">
        <w:rPr>
          <w:rFonts w:ascii="Titillium" w:hAnsi="Titillium"/>
          <w:sz w:val="20"/>
          <w:szCs w:val="20"/>
        </w:rPr>
        <w:t xml:space="preserve">n. </w:t>
      </w:r>
      <w:r w:rsidR="001B1ABD" w:rsidRPr="001B1ABD">
        <w:rPr>
          <w:rFonts w:ascii="Titillium" w:hAnsi="Titillium"/>
          <w:sz w:val="20"/>
          <w:szCs w:val="20"/>
        </w:rPr>
        <w:t xml:space="preserve">36/2023 </w:t>
      </w:r>
      <w:r w:rsidR="00B32215" w:rsidRPr="001B1ABD">
        <w:rPr>
          <w:rFonts w:ascii="Titillium" w:hAnsi="Titillium"/>
          <w:sz w:val="20"/>
          <w:szCs w:val="20"/>
        </w:rPr>
        <w:t>è il dott.</w:t>
      </w:r>
      <w:r w:rsidR="00205D3B" w:rsidRPr="001B1ABD">
        <w:rPr>
          <w:rFonts w:ascii="Titillium" w:hAnsi="Titillium"/>
          <w:sz w:val="20"/>
          <w:szCs w:val="20"/>
        </w:rPr>
        <w:t xml:space="preserve"> </w:t>
      </w:r>
      <w:r w:rsidR="001B1ABD" w:rsidRPr="001B1ABD">
        <w:rPr>
          <w:rFonts w:ascii="Titillium" w:hAnsi="Titillium"/>
          <w:sz w:val="20"/>
          <w:szCs w:val="20"/>
        </w:rPr>
        <w:t>Paolo Fontana</w:t>
      </w:r>
      <w:r w:rsidR="00205D3B" w:rsidRPr="001B1ABD">
        <w:rPr>
          <w:rFonts w:ascii="Titillium" w:hAnsi="Titillium"/>
          <w:sz w:val="20"/>
          <w:szCs w:val="20"/>
        </w:rPr>
        <w:t>,</w:t>
      </w:r>
      <w:r w:rsidR="001B1ABD" w:rsidRPr="001B1ABD">
        <w:rPr>
          <w:rFonts w:ascii="Titillium" w:hAnsi="Titillium"/>
          <w:sz w:val="20"/>
          <w:szCs w:val="20"/>
        </w:rPr>
        <w:t xml:space="preserve"> funzionario</w:t>
      </w:r>
      <w:r w:rsidR="00205D3B" w:rsidRPr="001B1ABD">
        <w:rPr>
          <w:rFonts w:ascii="Titillium" w:hAnsi="Titillium"/>
          <w:sz w:val="20"/>
          <w:szCs w:val="20"/>
        </w:rPr>
        <w:t xml:space="preserve"> dell’Ufficio UGARE dell’Autorità</w:t>
      </w:r>
      <w:r w:rsidR="001B1ABD" w:rsidRPr="001B1ABD">
        <w:rPr>
          <w:rFonts w:ascii="Titillium" w:hAnsi="Titillium"/>
          <w:sz w:val="20"/>
          <w:szCs w:val="20"/>
        </w:rPr>
        <w:t>, che ricoprirà altresì la funzione di direttore dell’esecuzione del contratto</w:t>
      </w:r>
      <w:r w:rsidR="00205D3B" w:rsidRPr="001B1ABD">
        <w:rPr>
          <w:rFonts w:ascii="Titillium" w:hAnsi="Titillium"/>
          <w:sz w:val="20"/>
          <w:szCs w:val="20"/>
        </w:rPr>
        <w:t>.</w:t>
      </w:r>
    </w:p>
    <w:p w:rsidR="009A17BF" w:rsidRPr="001B1ABD" w:rsidRDefault="009A17BF" w:rsidP="009A17BF">
      <w:pPr>
        <w:pStyle w:val="Paragrafoelenco"/>
        <w:spacing w:after="120" w:line="276" w:lineRule="auto"/>
        <w:ind w:left="0" w:right="-1"/>
        <w:jc w:val="both"/>
        <w:rPr>
          <w:rFonts w:ascii="Titillium" w:hAnsi="Titillium"/>
          <w:sz w:val="20"/>
          <w:szCs w:val="20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2212"/>
        <w:gridCol w:w="2340"/>
      </w:tblGrid>
      <w:tr w:rsidR="007B032B" w:rsidRPr="007D1ED5" w:rsidTr="00161BC5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7B032B" w:rsidRPr="00D73998" w:rsidRDefault="007B032B" w:rsidP="00161BC5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362" w:type="pct"/>
            <w:shd w:val="clear" w:color="auto" w:fill="2770B7"/>
          </w:tcPr>
          <w:p w:rsidR="007B032B" w:rsidRPr="00D73998" w:rsidRDefault="007B032B" w:rsidP="00161BC5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7B032B" w:rsidRPr="007D1ED5" w:rsidRDefault="007D1ED5" w:rsidP="009A17BF">
            <w:pPr>
              <w:pStyle w:val="ANCATABELLATITOLOBIANCO"/>
              <w:ind w:left="0"/>
              <w:rPr>
                <w:lang w:val="it-IT"/>
              </w:rPr>
            </w:pPr>
            <w:r w:rsidRPr="007D1ED5">
              <w:rPr>
                <w:lang w:val="it-IT"/>
              </w:rPr>
              <w:t xml:space="preserve">Il </w:t>
            </w:r>
            <w:r w:rsidR="009A17BF">
              <w:rPr>
                <w:lang w:val="it-IT"/>
              </w:rPr>
              <w:t xml:space="preserve">Segretario Generale </w:t>
            </w:r>
          </w:p>
        </w:tc>
      </w:tr>
    </w:tbl>
    <w:p w:rsidR="007B032B" w:rsidRPr="007D1ED5" w:rsidRDefault="007B032B" w:rsidP="007B032B">
      <w:pPr>
        <w:spacing w:before="120" w:after="120"/>
        <w:rPr>
          <w:rFonts w:ascii="Titillium" w:hAnsi="Titillium"/>
          <w:sz w:val="20"/>
          <w:szCs w:val="20"/>
        </w:rPr>
      </w:pPr>
      <w:r w:rsidRPr="007D1ED5">
        <w:rPr>
          <w:rFonts w:ascii="Titilium Regular" w:hAnsi="Titilium Regular"/>
          <w:i/>
        </w:rPr>
        <w:tab/>
      </w:r>
      <w:r w:rsidRPr="007D1ED5">
        <w:rPr>
          <w:rFonts w:ascii="Titilium Regular" w:hAnsi="Titilium Regular"/>
          <w:i/>
        </w:rPr>
        <w:tab/>
      </w:r>
      <w:r w:rsidRPr="007D1ED5">
        <w:rPr>
          <w:rFonts w:ascii="Titilium Regular" w:hAnsi="Titilium Regular"/>
          <w:i/>
        </w:rPr>
        <w:tab/>
      </w:r>
      <w:r w:rsidRPr="007D1ED5">
        <w:rPr>
          <w:rFonts w:ascii="Titilium Regular" w:hAnsi="Titilium Regular"/>
          <w:i/>
        </w:rPr>
        <w:tab/>
        <w:t xml:space="preserve">                                   </w:t>
      </w:r>
      <w:r w:rsidRPr="007D1ED5">
        <w:rPr>
          <w:rFonts w:ascii="Titillium" w:hAnsi="Titillium"/>
          <w:sz w:val="20"/>
          <w:szCs w:val="20"/>
        </w:rPr>
        <w:t xml:space="preserve">               </w:t>
      </w:r>
      <w:r w:rsidR="00EA2C3D" w:rsidRPr="007D1ED5">
        <w:rPr>
          <w:rFonts w:ascii="Titillium" w:hAnsi="Titillium"/>
          <w:sz w:val="20"/>
          <w:szCs w:val="20"/>
        </w:rPr>
        <w:t xml:space="preserve">        </w:t>
      </w:r>
      <w:r w:rsidR="009A17BF">
        <w:rPr>
          <w:rFonts w:ascii="Titillium" w:hAnsi="Titillium"/>
          <w:sz w:val="20"/>
          <w:szCs w:val="20"/>
        </w:rPr>
        <w:t>Ing. Filippo Romano</w:t>
      </w:r>
    </w:p>
    <w:p w:rsidR="004164CB" w:rsidRDefault="004164CB" w:rsidP="007B032B">
      <w:pPr>
        <w:spacing w:before="120" w:after="120"/>
        <w:rPr>
          <w:rFonts w:ascii="Titilium Regular" w:hAnsi="Titilium Regular"/>
          <w:i/>
        </w:rPr>
      </w:pPr>
    </w:p>
    <w:p w:rsidR="009A17BF" w:rsidRPr="007D1ED5" w:rsidRDefault="009A17BF" w:rsidP="007B032B">
      <w:pPr>
        <w:spacing w:before="120" w:after="120"/>
        <w:rPr>
          <w:rFonts w:ascii="Titilium Regular" w:hAnsi="Titilium Regular"/>
          <w:i/>
        </w:rPr>
      </w:pPr>
    </w:p>
    <w:p w:rsidR="007B032B" w:rsidRDefault="009A17BF" w:rsidP="007B032B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     VISTO</w:t>
      </w:r>
      <w:r w:rsidR="007B032B" w:rsidRPr="007D1ED5">
        <w:rPr>
          <w:rFonts w:ascii="Titillium" w:hAnsi="Titillium"/>
          <w:sz w:val="20"/>
          <w:szCs w:val="20"/>
        </w:rPr>
        <w:t xml:space="preserve"> per la copertura finanziaria</w:t>
      </w:r>
    </w:p>
    <w:p w:rsidR="007D1ED5" w:rsidRPr="007D1ED5" w:rsidRDefault="007D1ED5" w:rsidP="007B032B">
      <w:pPr>
        <w:rPr>
          <w:rFonts w:ascii="Titilium Regular" w:hAnsi="Titilium Regular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2212"/>
        <w:gridCol w:w="2340"/>
      </w:tblGrid>
      <w:tr w:rsidR="007B032B" w:rsidRPr="007D1ED5" w:rsidTr="00161BC5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7B032B" w:rsidRPr="00D73998" w:rsidRDefault="007B032B" w:rsidP="00161BC5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362" w:type="pct"/>
            <w:shd w:val="clear" w:color="auto" w:fill="2770B7"/>
          </w:tcPr>
          <w:p w:rsidR="007B032B" w:rsidRPr="00D73998" w:rsidRDefault="007B032B" w:rsidP="00161BC5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442" w:type="pct"/>
            <w:shd w:val="clear" w:color="auto" w:fill="2770B7"/>
            <w:vAlign w:val="center"/>
          </w:tcPr>
          <w:p w:rsidR="007B032B" w:rsidRPr="007D1ED5" w:rsidRDefault="007B032B" w:rsidP="00B32215">
            <w:pPr>
              <w:pStyle w:val="ANCATABELLATITOLOBIANCO"/>
              <w:ind w:left="0"/>
              <w:rPr>
                <w:lang w:val="it-IT"/>
              </w:rPr>
            </w:pPr>
            <w:r w:rsidRPr="007D1ED5">
              <w:rPr>
                <w:lang w:val="it-IT"/>
              </w:rPr>
              <w:t xml:space="preserve">Il Dirigente dell’Ufficio programmazione delle </w:t>
            </w:r>
            <w:r w:rsidR="003C1A5B" w:rsidRPr="007D1ED5">
              <w:rPr>
                <w:lang w:val="it-IT"/>
              </w:rPr>
              <w:t>risorse finanziarie</w:t>
            </w:r>
            <w:r w:rsidRPr="007D1ED5">
              <w:rPr>
                <w:lang w:val="it-IT"/>
              </w:rPr>
              <w:t xml:space="preserve">, bilancio e contabilità </w:t>
            </w:r>
          </w:p>
        </w:tc>
      </w:tr>
    </w:tbl>
    <w:p w:rsidR="009673D5" w:rsidRDefault="007B032B" w:rsidP="007D1ED5">
      <w:pPr>
        <w:ind w:left="1416" w:firstLine="708"/>
        <w:rPr>
          <w:rFonts w:ascii="Titillium" w:hAnsi="Titillium"/>
          <w:sz w:val="20"/>
          <w:szCs w:val="20"/>
        </w:rPr>
      </w:pPr>
      <w:r w:rsidRPr="007D1ED5">
        <w:rPr>
          <w:rFonts w:ascii="Titillium" w:hAnsi="Titillium"/>
          <w:sz w:val="20"/>
          <w:szCs w:val="20"/>
        </w:rPr>
        <w:t xml:space="preserve">                                                                              </w:t>
      </w:r>
      <w:r w:rsidR="005F72F1" w:rsidRPr="007D1ED5">
        <w:rPr>
          <w:rFonts w:ascii="Titillium" w:hAnsi="Titillium"/>
          <w:sz w:val="20"/>
          <w:szCs w:val="20"/>
        </w:rPr>
        <w:t xml:space="preserve">        Dott. Stefano Ceccarelli</w:t>
      </w:r>
    </w:p>
    <w:p w:rsidR="009A17BF" w:rsidRDefault="009A17BF" w:rsidP="007D1ED5">
      <w:pPr>
        <w:ind w:left="1416" w:firstLine="708"/>
        <w:rPr>
          <w:rFonts w:ascii="Titillium" w:hAnsi="Titillium"/>
          <w:sz w:val="20"/>
          <w:szCs w:val="20"/>
        </w:rPr>
      </w:pPr>
    </w:p>
    <w:p w:rsidR="009A17BF" w:rsidRDefault="009A17BF" w:rsidP="007D1ED5">
      <w:pPr>
        <w:ind w:left="1416" w:firstLine="708"/>
        <w:rPr>
          <w:rFonts w:ascii="Titillium" w:hAnsi="Titillium"/>
          <w:sz w:val="20"/>
          <w:szCs w:val="20"/>
        </w:rPr>
      </w:pPr>
    </w:p>
    <w:p w:rsidR="009A17BF" w:rsidRDefault="009A17BF" w:rsidP="009A17BF">
      <w:pPr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      VISTO </w:t>
      </w:r>
    </w:p>
    <w:p w:rsidR="009A17BF" w:rsidRPr="009A17BF" w:rsidRDefault="009A17BF" w:rsidP="009A17BF">
      <w:pPr>
        <w:rPr>
          <w:rFonts w:ascii="Titillium" w:hAnsi="Titillium"/>
          <w:sz w:val="20"/>
          <w:szCs w:val="20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7"/>
        <w:gridCol w:w="2212"/>
        <w:gridCol w:w="2340"/>
      </w:tblGrid>
      <w:tr w:rsidR="009A17BF" w:rsidRPr="007D1ED5" w:rsidTr="00E531C5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9A17BF" w:rsidRPr="00D73998" w:rsidRDefault="009A17BF" w:rsidP="00E531C5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362" w:type="pct"/>
            <w:shd w:val="clear" w:color="auto" w:fill="2770B7"/>
          </w:tcPr>
          <w:p w:rsidR="009A17BF" w:rsidRPr="00D73998" w:rsidRDefault="009A17BF" w:rsidP="00E531C5">
            <w:pPr>
              <w:pStyle w:val="ANCATABELLATITOLOBIANCO"/>
              <w:ind w:left="0"/>
              <w:rPr>
                <w:lang w:val="it-IT"/>
              </w:rPr>
            </w:pPr>
          </w:p>
        </w:tc>
        <w:tc>
          <w:tcPr>
            <w:tcW w:w="1442" w:type="pct"/>
            <w:shd w:val="clear" w:color="auto" w:fill="2770B7"/>
            <w:vAlign w:val="center"/>
          </w:tcPr>
          <w:p w:rsidR="009A17BF" w:rsidRPr="007D1ED5" w:rsidRDefault="009A17BF" w:rsidP="009A17BF">
            <w:pPr>
              <w:pStyle w:val="ANCATABELLATITOLOBIANCO"/>
              <w:ind w:left="0"/>
              <w:jc w:val="both"/>
              <w:rPr>
                <w:lang w:val="it-IT"/>
              </w:rPr>
            </w:pPr>
            <w:r w:rsidRPr="007D1ED5">
              <w:rPr>
                <w:lang w:val="it-IT"/>
              </w:rPr>
              <w:t xml:space="preserve">Il </w:t>
            </w:r>
            <w:r>
              <w:rPr>
                <w:lang w:val="it-IT"/>
              </w:rPr>
              <w:t>Funzionario istruttore</w:t>
            </w:r>
            <w:r w:rsidRPr="007D1ED5">
              <w:rPr>
                <w:lang w:val="it-IT"/>
              </w:rPr>
              <w:t xml:space="preserve"> </w:t>
            </w:r>
          </w:p>
        </w:tc>
      </w:tr>
    </w:tbl>
    <w:p w:rsidR="009A17BF" w:rsidRPr="008D43D1" w:rsidRDefault="009A17BF" w:rsidP="009A17BF">
      <w:pPr>
        <w:ind w:left="1416" w:firstLine="708"/>
        <w:rPr>
          <w:rFonts w:ascii="Titillium" w:hAnsi="Titillium"/>
          <w:sz w:val="20"/>
          <w:szCs w:val="20"/>
        </w:rPr>
      </w:pPr>
      <w:r w:rsidRPr="007D1ED5">
        <w:rPr>
          <w:rFonts w:ascii="Titillium" w:hAnsi="Titillium"/>
          <w:sz w:val="20"/>
          <w:szCs w:val="20"/>
        </w:rPr>
        <w:t xml:space="preserve">                                                                                      Dott. </w:t>
      </w:r>
      <w:r>
        <w:rPr>
          <w:rFonts w:ascii="Titillium" w:hAnsi="Titillium"/>
          <w:sz w:val="20"/>
          <w:szCs w:val="20"/>
        </w:rPr>
        <w:t>Paolo Fontana</w:t>
      </w:r>
    </w:p>
    <w:p w:rsidR="009A17BF" w:rsidRPr="009A17BF" w:rsidRDefault="009A17BF" w:rsidP="009A17BF">
      <w:pPr>
        <w:rPr>
          <w:rFonts w:ascii="Titillium" w:hAnsi="Titillium"/>
          <w:i/>
          <w:sz w:val="20"/>
          <w:szCs w:val="20"/>
        </w:rPr>
      </w:pPr>
    </w:p>
    <w:p w:rsidR="009A17BF" w:rsidRPr="007D1ED5" w:rsidRDefault="009A17BF" w:rsidP="009A17BF">
      <w:pPr>
        <w:rPr>
          <w:rFonts w:ascii="Titilium Regular" w:hAnsi="Titilium Regular"/>
        </w:rPr>
      </w:pPr>
    </w:p>
    <w:p w:rsidR="009A17BF" w:rsidRPr="008D43D1" w:rsidRDefault="009A17BF" w:rsidP="007D1ED5">
      <w:pPr>
        <w:ind w:left="1416" w:firstLine="708"/>
        <w:rPr>
          <w:rFonts w:ascii="Titillium" w:hAnsi="Titillium"/>
          <w:sz w:val="20"/>
          <w:szCs w:val="20"/>
        </w:rPr>
      </w:pPr>
    </w:p>
    <w:sectPr w:rsidR="009A17BF" w:rsidRPr="008D43D1" w:rsidSect="00A97EC6">
      <w:headerReference w:type="default" r:id="rId7"/>
      <w:pgSz w:w="11906" w:h="16838"/>
      <w:pgMar w:top="1238" w:right="1700" w:bottom="993" w:left="1843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EB" w:rsidRDefault="008A7DEB">
      <w:r>
        <w:separator/>
      </w:r>
    </w:p>
  </w:endnote>
  <w:endnote w:type="continuationSeparator" w:id="0">
    <w:p w:rsidR="008A7DEB" w:rsidRDefault="008A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EB" w:rsidRDefault="008A7DEB">
      <w:r>
        <w:separator/>
      </w:r>
    </w:p>
  </w:footnote>
  <w:footnote w:type="continuationSeparator" w:id="0">
    <w:p w:rsidR="008A7DEB" w:rsidRDefault="008A7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95" w:rsidRDefault="00272195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272195" w:rsidRDefault="00272195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0A07AD" w:rsidRDefault="008D43D1" w:rsidP="008D43D1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4C088909" wp14:editId="7E7E0811">
          <wp:extent cx="3169920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266EB" w:rsidRDefault="00DC2A3D" w:rsidP="00DC2A3D">
    <w:pPr>
      <w:tabs>
        <w:tab w:val="left" w:pos="3055"/>
      </w:tabs>
      <w:spacing w:before="120"/>
      <w:ind w:right="284"/>
      <w:rPr>
        <w:rFonts w:ascii="Gotham Light" w:hAnsi="Gotham Light" w:cs="Arial"/>
        <w:color w:val="2E74B5"/>
      </w:rPr>
    </w:pPr>
    <w:r>
      <w:rPr>
        <w:rFonts w:ascii="Gotham Light" w:hAnsi="Gotham Light" w:cs="Arial"/>
        <w:color w:val="2E74B5"/>
      </w:rPr>
      <w:t>Ufficio Gare e Logistica</w:t>
    </w:r>
  </w:p>
  <w:p w:rsidR="008266EB" w:rsidRPr="0012576B" w:rsidRDefault="007C4D35" w:rsidP="009A6162">
    <w:pPr>
      <w:tabs>
        <w:tab w:val="center" w:pos="4678"/>
      </w:tabs>
      <w:spacing w:before="120"/>
      <w:ind w:right="284"/>
      <w:jc w:val="center"/>
      <w:rPr>
        <w:i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8A64131"/>
    <w:multiLevelType w:val="hybridMultilevel"/>
    <w:tmpl w:val="4CCA380C"/>
    <w:lvl w:ilvl="0" w:tplc="7436CE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0A5B12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56576D"/>
    <w:multiLevelType w:val="hybridMultilevel"/>
    <w:tmpl w:val="440E28C8"/>
    <w:lvl w:ilvl="0" w:tplc="0410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93F43"/>
    <w:multiLevelType w:val="hybridMultilevel"/>
    <w:tmpl w:val="C4B04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DA"/>
    <w:rsid w:val="000151A4"/>
    <w:rsid w:val="00015434"/>
    <w:rsid w:val="0002232A"/>
    <w:rsid w:val="0003643B"/>
    <w:rsid w:val="00084204"/>
    <w:rsid w:val="000936ED"/>
    <w:rsid w:val="000A25AD"/>
    <w:rsid w:val="000A6C90"/>
    <w:rsid w:val="000B0B87"/>
    <w:rsid w:val="00114F00"/>
    <w:rsid w:val="00116E3C"/>
    <w:rsid w:val="00127061"/>
    <w:rsid w:val="00166B0A"/>
    <w:rsid w:val="00190451"/>
    <w:rsid w:val="001B1ABD"/>
    <w:rsid w:val="001D2884"/>
    <w:rsid w:val="00205D3B"/>
    <w:rsid w:val="00205F61"/>
    <w:rsid w:val="00214313"/>
    <w:rsid w:val="0022214F"/>
    <w:rsid w:val="0025538F"/>
    <w:rsid w:val="002567FE"/>
    <w:rsid w:val="00270819"/>
    <w:rsid w:val="00272195"/>
    <w:rsid w:val="00272921"/>
    <w:rsid w:val="00281B94"/>
    <w:rsid w:val="002832EF"/>
    <w:rsid w:val="002A1759"/>
    <w:rsid w:val="002C0087"/>
    <w:rsid w:val="002D5D92"/>
    <w:rsid w:val="002E7501"/>
    <w:rsid w:val="002F0C66"/>
    <w:rsid w:val="003260E7"/>
    <w:rsid w:val="00355C2E"/>
    <w:rsid w:val="00362A37"/>
    <w:rsid w:val="003758F3"/>
    <w:rsid w:val="0037677E"/>
    <w:rsid w:val="00387FDE"/>
    <w:rsid w:val="003A579D"/>
    <w:rsid w:val="003C1A5B"/>
    <w:rsid w:val="003C2F57"/>
    <w:rsid w:val="003D1F82"/>
    <w:rsid w:val="003D45AA"/>
    <w:rsid w:val="003D6986"/>
    <w:rsid w:val="003D7EF5"/>
    <w:rsid w:val="003E37B3"/>
    <w:rsid w:val="0040576C"/>
    <w:rsid w:val="00407EED"/>
    <w:rsid w:val="00412478"/>
    <w:rsid w:val="004124F9"/>
    <w:rsid w:val="00412A21"/>
    <w:rsid w:val="00415A69"/>
    <w:rsid w:val="004164CB"/>
    <w:rsid w:val="00450736"/>
    <w:rsid w:val="00461235"/>
    <w:rsid w:val="00495865"/>
    <w:rsid w:val="004E0526"/>
    <w:rsid w:val="004F0ACE"/>
    <w:rsid w:val="004F520A"/>
    <w:rsid w:val="00540764"/>
    <w:rsid w:val="00550629"/>
    <w:rsid w:val="0056450B"/>
    <w:rsid w:val="00575A2D"/>
    <w:rsid w:val="00575C22"/>
    <w:rsid w:val="005B492F"/>
    <w:rsid w:val="005C27DA"/>
    <w:rsid w:val="005C2CE2"/>
    <w:rsid w:val="005C3526"/>
    <w:rsid w:val="005C556B"/>
    <w:rsid w:val="005D1799"/>
    <w:rsid w:val="005F10D2"/>
    <w:rsid w:val="005F72F1"/>
    <w:rsid w:val="00636368"/>
    <w:rsid w:val="00637369"/>
    <w:rsid w:val="006400E5"/>
    <w:rsid w:val="00646DEC"/>
    <w:rsid w:val="00654C4F"/>
    <w:rsid w:val="00673B91"/>
    <w:rsid w:val="0067501A"/>
    <w:rsid w:val="00675250"/>
    <w:rsid w:val="0067564B"/>
    <w:rsid w:val="0068252E"/>
    <w:rsid w:val="006A3FB2"/>
    <w:rsid w:val="006B2E3D"/>
    <w:rsid w:val="006C5D75"/>
    <w:rsid w:val="006C7E7C"/>
    <w:rsid w:val="006E1F10"/>
    <w:rsid w:val="006F32B0"/>
    <w:rsid w:val="006F4D29"/>
    <w:rsid w:val="00712F38"/>
    <w:rsid w:val="00714A69"/>
    <w:rsid w:val="00731449"/>
    <w:rsid w:val="00732F8B"/>
    <w:rsid w:val="00733AE0"/>
    <w:rsid w:val="007508F2"/>
    <w:rsid w:val="00764D8F"/>
    <w:rsid w:val="00777BC8"/>
    <w:rsid w:val="00780848"/>
    <w:rsid w:val="00782C6C"/>
    <w:rsid w:val="00787EBF"/>
    <w:rsid w:val="00790DDA"/>
    <w:rsid w:val="00791B04"/>
    <w:rsid w:val="007A00B3"/>
    <w:rsid w:val="007B032B"/>
    <w:rsid w:val="007C2016"/>
    <w:rsid w:val="007C4D35"/>
    <w:rsid w:val="007C79E3"/>
    <w:rsid w:val="007D1ED5"/>
    <w:rsid w:val="007D4318"/>
    <w:rsid w:val="0081695F"/>
    <w:rsid w:val="0083181A"/>
    <w:rsid w:val="00833523"/>
    <w:rsid w:val="00861C44"/>
    <w:rsid w:val="008A7DEB"/>
    <w:rsid w:val="008B5126"/>
    <w:rsid w:val="008C6D6D"/>
    <w:rsid w:val="008D43D1"/>
    <w:rsid w:val="008F1754"/>
    <w:rsid w:val="008F2683"/>
    <w:rsid w:val="00903D7D"/>
    <w:rsid w:val="00911C77"/>
    <w:rsid w:val="00922838"/>
    <w:rsid w:val="00925B91"/>
    <w:rsid w:val="00925E8E"/>
    <w:rsid w:val="00950301"/>
    <w:rsid w:val="009673D5"/>
    <w:rsid w:val="0097745B"/>
    <w:rsid w:val="00985AB2"/>
    <w:rsid w:val="009A17BF"/>
    <w:rsid w:val="009A3246"/>
    <w:rsid w:val="009A4A1F"/>
    <w:rsid w:val="009A51B4"/>
    <w:rsid w:val="009B17AE"/>
    <w:rsid w:val="009B3959"/>
    <w:rsid w:val="009E2329"/>
    <w:rsid w:val="00A07430"/>
    <w:rsid w:val="00A356DB"/>
    <w:rsid w:val="00A650C6"/>
    <w:rsid w:val="00A73270"/>
    <w:rsid w:val="00A84E3F"/>
    <w:rsid w:val="00A92B3A"/>
    <w:rsid w:val="00A97EC6"/>
    <w:rsid w:val="00A97F13"/>
    <w:rsid w:val="00AB088D"/>
    <w:rsid w:val="00AB0DB4"/>
    <w:rsid w:val="00AB21D8"/>
    <w:rsid w:val="00AC5598"/>
    <w:rsid w:val="00B02CE4"/>
    <w:rsid w:val="00B03C1A"/>
    <w:rsid w:val="00B11C8C"/>
    <w:rsid w:val="00B23F64"/>
    <w:rsid w:val="00B32215"/>
    <w:rsid w:val="00B36D31"/>
    <w:rsid w:val="00B656A2"/>
    <w:rsid w:val="00B73C59"/>
    <w:rsid w:val="00B748CF"/>
    <w:rsid w:val="00B9252B"/>
    <w:rsid w:val="00B9644A"/>
    <w:rsid w:val="00BB0E46"/>
    <w:rsid w:val="00BB2533"/>
    <w:rsid w:val="00BC5773"/>
    <w:rsid w:val="00BE4BF9"/>
    <w:rsid w:val="00BE6A3C"/>
    <w:rsid w:val="00BF1079"/>
    <w:rsid w:val="00BF277F"/>
    <w:rsid w:val="00C00FCF"/>
    <w:rsid w:val="00C0617C"/>
    <w:rsid w:val="00C2422C"/>
    <w:rsid w:val="00C3560F"/>
    <w:rsid w:val="00C42A88"/>
    <w:rsid w:val="00C559F1"/>
    <w:rsid w:val="00C86FDC"/>
    <w:rsid w:val="00C87160"/>
    <w:rsid w:val="00C90F09"/>
    <w:rsid w:val="00CB46D2"/>
    <w:rsid w:val="00CB55DC"/>
    <w:rsid w:val="00CD3218"/>
    <w:rsid w:val="00D07E22"/>
    <w:rsid w:val="00D31471"/>
    <w:rsid w:val="00D43D50"/>
    <w:rsid w:val="00D72147"/>
    <w:rsid w:val="00D73998"/>
    <w:rsid w:val="00D81510"/>
    <w:rsid w:val="00D93FE9"/>
    <w:rsid w:val="00DA3B70"/>
    <w:rsid w:val="00DC2A3D"/>
    <w:rsid w:val="00E212E9"/>
    <w:rsid w:val="00E2754B"/>
    <w:rsid w:val="00E4771F"/>
    <w:rsid w:val="00E50AD3"/>
    <w:rsid w:val="00E71B1C"/>
    <w:rsid w:val="00E81C9B"/>
    <w:rsid w:val="00E924E6"/>
    <w:rsid w:val="00EA0FFF"/>
    <w:rsid w:val="00EA2C3D"/>
    <w:rsid w:val="00EB5FE2"/>
    <w:rsid w:val="00ED68E7"/>
    <w:rsid w:val="00ED6DBA"/>
    <w:rsid w:val="00EF3F5B"/>
    <w:rsid w:val="00EF3FBD"/>
    <w:rsid w:val="00F005F4"/>
    <w:rsid w:val="00F073E2"/>
    <w:rsid w:val="00F14A25"/>
    <w:rsid w:val="00F34136"/>
    <w:rsid w:val="00F418AD"/>
    <w:rsid w:val="00F93F85"/>
    <w:rsid w:val="00FC73AD"/>
    <w:rsid w:val="00FD1EAA"/>
    <w:rsid w:val="00FE18F7"/>
    <w:rsid w:val="00FE772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6F239"/>
  <w15:docId w15:val="{D48C2DD7-B9BF-4CBE-8D4F-42C2BF31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A2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25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A25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5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5AD"/>
    <w:rPr>
      <w:rFonts w:ascii="Tahoma" w:eastAsia="Times New Roman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A25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A25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0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C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NCATABELLATITOLOBIANCO">
    <w:name w:val="ANCA_TABELLA_TITOLO BIANCO"/>
    <w:basedOn w:val="Normale"/>
    <w:qFormat/>
    <w:rsid w:val="007B032B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5C556B"/>
    <w:rPr>
      <w:b/>
      <w:bCs/>
    </w:rPr>
  </w:style>
  <w:style w:type="paragraph" w:styleId="NormaleWeb">
    <w:name w:val="Normal (Web)"/>
    <w:basedOn w:val="Normale"/>
    <w:uiPriority w:val="99"/>
    <w:unhideWhenUsed/>
    <w:rsid w:val="004F520A"/>
    <w:pPr>
      <w:spacing w:before="100" w:beforeAutospacing="1" w:after="119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3B688-8DF8-4588-B11B-E7A6297E837B}"/>
</file>

<file path=customXml/itemProps2.xml><?xml version="1.0" encoding="utf-8"?>
<ds:datastoreItem xmlns:ds="http://schemas.openxmlformats.org/officeDocument/2006/customXml" ds:itemID="{8479A804-2B81-4405-BE41-D6922499F66C}"/>
</file>

<file path=customXml/itemProps3.xml><?xml version="1.0" encoding="utf-8"?>
<ds:datastoreItem xmlns:ds="http://schemas.openxmlformats.org/officeDocument/2006/customXml" ds:itemID="{C85AAF63-6B1F-4027-94A1-B3C507727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Fontana Paolo</cp:lastModifiedBy>
  <cp:revision>22</cp:revision>
  <cp:lastPrinted>2021-08-05T10:51:00Z</cp:lastPrinted>
  <dcterms:created xsi:type="dcterms:W3CDTF">2021-03-16T10:45:00Z</dcterms:created>
  <dcterms:modified xsi:type="dcterms:W3CDTF">2023-11-27T10:30:00Z</dcterms:modified>
</cp:coreProperties>
</file>