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0B" w:rsidRDefault="00B6390B" w:rsidP="00E0422F">
      <w:pPr>
        <w:tabs>
          <w:tab w:val="left" w:pos="2774"/>
        </w:tabs>
        <w:spacing w:before="120" w:after="120" w:line="276" w:lineRule="auto"/>
        <w:rPr>
          <w:rFonts w:ascii="Gotham Book" w:hAnsi="Gotham Book" w:cs="Arial"/>
          <w:b/>
          <w:color w:val="2E74B5"/>
        </w:rPr>
      </w:pPr>
    </w:p>
    <w:p w:rsidR="00B80660" w:rsidRPr="00E0422F" w:rsidRDefault="00D16FF5" w:rsidP="00E0422F">
      <w:pPr>
        <w:tabs>
          <w:tab w:val="left" w:pos="2774"/>
        </w:tabs>
        <w:spacing w:before="120" w:after="120" w:line="276" w:lineRule="auto"/>
        <w:jc w:val="center"/>
        <w:rPr>
          <w:rFonts w:ascii="Gotham Light" w:hAnsi="Gotham Light"/>
          <w:b/>
          <w:sz w:val="36"/>
          <w:szCs w:val="36"/>
        </w:rPr>
      </w:pPr>
      <w:r>
        <w:rPr>
          <w:rFonts w:ascii="Gotham Light" w:hAnsi="Gotham Light" w:cs="Arial"/>
          <w:b/>
          <w:color w:val="2E74B5"/>
          <w:sz w:val="36"/>
          <w:szCs w:val="36"/>
        </w:rPr>
        <w:t>DECISIONE DI</w:t>
      </w:r>
      <w:r w:rsidR="00C95049" w:rsidRPr="008B6ABE">
        <w:rPr>
          <w:rFonts w:ascii="Gotham Light" w:hAnsi="Gotham Light" w:cs="Arial"/>
          <w:b/>
          <w:color w:val="2E74B5"/>
          <w:sz w:val="36"/>
          <w:szCs w:val="36"/>
        </w:rPr>
        <w:t xml:space="preserve"> CONTRARRE</w:t>
      </w:r>
    </w:p>
    <w:p w:rsidR="00332723" w:rsidRPr="00B80660" w:rsidRDefault="00332723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VISTO</w:t>
      </w:r>
      <w:r w:rsidRPr="00B80660">
        <w:rPr>
          <w:rFonts w:ascii="Titillium" w:hAnsi="Titillium"/>
          <w:sz w:val="20"/>
          <w:szCs w:val="20"/>
        </w:rPr>
        <w:t xml:space="preserve"> il decreto legislativo </w:t>
      </w:r>
      <w:r w:rsidR="00D16FF5" w:rsidRPr="00D16FF5">
        <w:rPr>
          <w:rFonts w:ascii="Titillium" w:hAnsi="Titillium"/>
          <w:sz w:val="20"/>
          <w:szCs w:val="20"/>
        </w:rPr>
        <w:t>31 marzo 2023, n. 36, ed in particolare il comma 1 dell’art. 17, il quale prevede che, prima dell’avvio delle procedure di affidamento dei contratti pubblici, le stazioni appaltanti e gli enti concedenti, con apposito atto, adottano la decisione di contrarre individuando gli elementi essenziali del contratto e i criteri di selezione degli operatori economici e delle offerte;</w:t>
      </w:r>
    </w:p>
    <w:p w:rsidR="00332723" w:rsidRDefault="00332723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VISTO</w:t>
      </w:r>
      <w:r w:rsidRPr="00B80660">
        <w:rPr>
          <w:rFonts w:ascii="Titillium" w:hAnsi="Titillium"/>
          <w:sz w:val="20"/>
          <w:szCs w:val="20"/>
        </w:rPr>
        <w:t xml:space="preserve"> il </w:t>
      </w:r>
      <w:r w:rsidR="00BD1180" w:rsidRPr="00BD1180">
        <w:rPr>
          <w:rFonts w:ascii="Titillium" w:hAnsi="Titillium"/>
          <w:sz w:val="20"/>
          <w:szCs w:val="20"/>
        </w:rPr>
        <w:t>Regolamento per la disciplina dei contratti pubblici di servizi e forniture stipulati dall’Autorità approvato con Delibera n. 538 del 7.7.2021</w:t>
      </w:r>
      <w:r w:rsidR="00BD1180">
        <w:rPr>
          <w:rFonts w:ascii="Titillium" w:hAnsi="Titillium"/>
          <w:sz w:val="20"/>
          <w:szCs w:val="20"/>
        </w:rPr>
        <w:t xml:space="preserve"> e pubblicato in data 21.7.2021</w:t>
      </w:r>
      <w:r w:rsidRPr="00B80660">
        <w:rPr>
          <w:rFonts w:ascii="Titillium" w:hAnsi="Titillium"/>
          <w:sz w:val="20"/>
          <w:szCs w:val="20"/>
        </w:rPr>
        <w:t>;</w:t>
      </w:r>
    </w:p>
    <w:p w:rsidR="00D16FF5" w:rsidRPr="00D343E7" w:rsidRDefault="00D16FF5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b/>
          <w:sz w:val="20"/>
          <w:szCs w:val="20"/>
        </w:rPr>
        <w:t>VISTA</w:t>
      </w:r>
      <w:r w:rsidRPr="00B80660">
        <w:rPr>
          <w:rFonts w:ascii="Titillium" w:hAnsi="Titillium"/>
          <w:sz w:val="20"/>
          <w:szCs w:val="20"/>
        </w:rPr>
        <w:t xml:space="preserve"> l</w:t>
      </w:r>
      <w:r>
        <w:rPr>
          <w:rFonts w:ascii="Titillium" w:hAnsi="Titillium"/>
          <w:sz w:val="20"/>
          <w:szCs w:val="20"/>
        </w:rPr>
        <w:t xml:space="preserve">a nota prot. n. </w:t>
      </w:r>
      <w:r w:rsidR="007662B8">
        <w:rPr>
          <w:rFonts w:ascii="Titillium" w:hAnsi="Titillium"/>
          <w:sz w:val="20"/>
          <w:szCs w:val="20"/>
        </w:rPr>
        <w:t xml:space="preserve">69095 del 4.9.2023, con cui l’Ufficio USIS dell’Autorità ha richiesto la sostituzione del primo dei tre </w:t>
      </w:r>
      <w:r w:rsidR="007662B8" w:rsidRPr="007662B8">
        <w:rPr>
          <w:rFonts w:ascii="Titillium" w:hAnsi="Titillium"/>
          <w:i/>
          <w:sz w:val="20"/>
          <w:szCs w:val="20"/>
        </w:rPr>
        <w:t>storage</w:t>
      </w:r>
      <w:r w:rsidR="007662B8">
        <w:rPr>
          <w:rFonts w:ascii="Titillium" w:hAnsi="Titillium"/>
          <w:sz w:val="20"/>
          <w:szCs w:val="20"/>
        </w:rPr>
        <w:t xml:space="preserve"> primari del </w:t>
      </w:r>
      <w:r w:rsidR="007662B8" w:rsidRPr="00D343E7">
        <w:rPr>
          <w:rFonts w:ascii="Titillium" w:hAnsi="Titillium"/>
          <w:i/>
          <w:sz w:val="20"/>
          <w:szCs w:val="20"/>
        </w:rPr>
        <w:t>Datacenter</w:t>
      </w:r>
      <w:r w:rsidR="007662B8" w:rsidRPr="00D343E7">
        <w:rPr>
          <w:rFonts w:ascii="Titillium" w:hAnsi="Titillium"/>
          <w:sz w:val="20"/>
          <w:szCs w:val="20"/>
        </w:rPr>
        <w:t xml:space="preserve"> dell’ANAC, richiedendo in particolare l’acquisizione della fornitura di un sistema di </w:t>
      </w:r>
      <w:r w:rsidR="007662B8" w:rsidRPr="00D343E7">
        <w:rPr>
          <w:rFonts w:ascii="Titillium" w:hAnsi="Titillium"/>
          <w:i/>
          <w:sz w:val="20"/>
          <w:szCs w:val="20"/>
        </w:rPr>
        <w:t xml:space="preserve">storage </w:t>
      </w:r>
      <w:r w:rsidR="007662B8" w:rsidRPr="00D343E7">
        <w:rPr>
          <w:rFonts w:ascii="Titillium" w:hAnsi="Titillium"/>
          <w:sz w:val="20"/>
          <w:szCs w:val="20"/>
        </w:rPr>
        <w:t>c.d. ‘</w:t>
      </w:r>
      <w:r w:rsidR="007662B8" w:rsidRPr="00D343E7">
        <w:rPr>
          <w:rFonts w:ascii="Titillium" w:hAnsi="Titillium"/>
          <w:i/>
          <w:sz w:val="20"/>
          <w:szCs w:val="20"/>
        </w:rPr>
        <w:t>Full-Flash’</w:t>
      </w:r>
      <w:r w:rsidR="007662B8" w:rsidRPr="00D343E7">
        <w:rPr>
          <w:rFonts w:ascii="Titillium" w:hAnsi="Titillium"/>
          <w:sz w:val="20"/>
          <w:szCs w:val="20"/>
        </w:rPr>
        <w:t xml:space="preserve"> e dei relativi servizi di assistenza e manutenzione per n. 48 mesi;</w:t>
      </w:r>
    </w:p>
    <w:p w:rsidR="007662B8" w:rsidRPr="00D343E7" w:rsidRDefault="007662B8" w:rsidP="00212EAF">
      <w:pPr>
        <w:spacing w:after="100" w:line="276" w:lineRule="auto"/>
        <w:jc w:val="both"/>
        <w:rPr>
          <w:rFonts w:ascii="Titillium" w:hAnsi="Titillium"/>
          <w:vanish/>
          <w:sz w:val="20"/>
          <w:szCs w:val="20"/>
        </w:rPr>
      </w:pPr>
    </w:p>
    <w:p w:rsidR="007662B8" w:rsidRPr="00D343E7" w:rsidRDefault="007662B8" w:rsidP="00212EAF">
      <w:pPr>
        <w:spacing w:after="100" w:line="276" w:lineRule="auto"/>
        <w:jc w:val="both"/>
        <w:rPr>
          <w:rFonts w:ascii="Titillium" w:hAnsi="Titillium"/>
          <w:vanish/>
          <w:sz w:val="20"/>
          <w:szCs w:val="20"/>
        </w:rPr>
      </w:pPr>
    </w:p>
    <w:p w:rsidR="007662B8" w:rsidRPr="00D343E7" w:rsidRDefault="007662B8" w:rsidP="00212EAF">
      <w:pPr>
        <w:spacing w:after="100" w:line="276" w:lineRule="auto"/>
        <w:jc w:val="both"/>
        <w:rPr>
          <w:rFonts w:ascii="Titillium" w:hAnsi="Titillium"/>
          <w:vanish/>
          <w:sz w:val="20"/>
          <w:szCs w:val="20"/>
        </w:rPr>
      </w:pPr>
    </w:p>
    <w:p w:rsidR="007662B8" w:rsidRPr="00D343E7" w:rsidRDefault="007662B8" w:rsidP="00212EAF">
      <w:pPr>
        <w:spacing w:after="100" w:line="276" w:lineRule="auto"/>
        <w:jc w:val="both"/>
        <w:rPr>
          <w:rFonts w:ascii="Titillium" w:hAnsi="Titillium"/>
          <w:vanish/>
          <w:sz w:val="20"/>
          <w:szCs w:val="20"/>
        </w:rPr>
      </w:pPr>
    </w:p>
    <w:p w:rsidR="00B37CA5" w:rsidRPr="00D343E7" w:rsidRDefault="00B7127D" w:rsidP="00B7127D">
      <w:pPr>
        <w:pStyle w:val="NormaleWeb"/>
        <w:spacing w:before="0" w:beforeAutospacing="0" w:after="100" w:line="276" w:lineRule="auto"/>
        <w:jc w:val="both"/>
        <w:rPr>
          <w:rFonts w:ascii="Titillium" w:eastAsia="Times New Roman" w:hAnsi="Titillium"/>
          <w:sz w:val="20"/>
          <w:szCs w:val="20"/>
        </w:rPr>
      </w:pPr>
      <w:r w:rsidRPr="00D343E7">
        <w:rPr>
          <w:rFonts w:ascii="Titillium" w:eastAsia="Times New Roman" w:hAnsi="Titillium"/>
          <w:b/>
          <w:sz w:val="20"/>
          <w:szCs w:val="20"/>
        </w:rPr>
        <w:t>CONSIDERATO</w:t>
      </w:r>
      <w:r w:rsidRPr="00D343E7">
        <w:rPr>
          <w:rFonts w:ascii="Titillium" w:eastAsia="Times New Roman" w:hAnsi="Titillium"/>
          <w:sz w:val="20"/>
          <w:szCs w:val="20"/>
        </w:rPr>
        <w:t xml:space="preserve"> </w:t>
      </w:r>
      <w:r w:rsidR="005565FA" w:rsidRPr="00D343E7">
        <w:rPr>
          <w:rFonts w:ascii="Titillium" w:eastAsia="Times New Roman" w:hAnsi="Titillium"/>
          <w:sz w:val="20"/>
          <w:szCs w:val="20"/>
        </w:rPr>
        <w:t xml:space="preserve">che </w:t>
      </w:r>
      <w:r w:rsidRPr="00D343E7">
        <w:rPr>
          <w:rFonts w:ascii="Titillium" w:eastAsia="Times New Roman" w:hAnsi="Titillium"/>
          <w:sz w:val="20"/>
          <w:szCs w:val="20"/>
        </w:rPr>
        <w:t>nell’Atto di programmazione</w:t>
      </w:r>
      <w:r w:rsidR="00D16FF5" w:rsidRPr="00D343E7">
        <w:rPr>
          <w:rFonts w:ascii="Titillium" w:eastAsia="Times New Roman" w:hAnsi="Titillium"/>
          <w:sz w:val="20"/>
          <w:szCs w:val="20"/>
        </w:rPr>
        <w:t xml:space="preserve"> biennale 2023-24</w:t>
      </w:r>
      <w:r w:rsidR="00B37CA5" w:rsidRPr="00D343E7">
        <w:rPr>
          <w:rFonts w:ascii="Titillium" w:eastAsia="Times New Roman" w:hAnsi="Titillium"/>
          <w:sz w:val="20"/>
          <w:szCs w:val="20"/>
        </w:rPr>
        <w:t xml:space="preserve"> degli acquisti dell’Aut</w:t>
      </w:r>
      <w:r w:rsidR="009B7148" w:rsidRPr="00D343E7">
        <w:rPr>
          <w:rFonts w:ascii="Titillium" w:eastAsia="Times New Roman" w:hAnsi="Titillium"/>
          <w:sz w:val="20"/>
          <w:szCs w:val="20"/>
        </w:rPr>
        <w:t>orità</w:t>
      </w:r>
      <w:r w:rsidR="004D7473" w:rsidRPr="00D343E7">
        <w:rPr>
          <w:rFonts w:ascii="Titillium" w:eastAsia="Times New Roman" w:hAnsi="Titillium"/>
          <w:sz w:val="20"/>
          <w:szCs w:val="20"/>
        </w:rPr>
        <w:t xml:space="preserve"> superiori ai 40.000 euro</w:t>
      </w:r>
      <w:r w:rsidR="00D343E7" w:rsidRPr="00D343E7">
        <w:rPr>
          <w:rFonts w:ascii="Titillium" w:eastAsia="Times New Roman" w:hAnsi="Titillium"/>
          <w:sz w:val="20"/>
          <w:szCs w:val="20"/>
        </w:rPr>
        <w:t>, al punto 18 “</w:t>
      </w:r>
      <w:r w:rsidR="00D343E7" w:rsidRPr="00D343E7">
        <w:rPr>
          <w:rFonts w:ascii="Titillium" w:eastAsia="Times New Roman" w:hAnsi="Titillium"/>
          <w:i/>
          <w:sz w:val="20"/>
          <w:szCs w:val="20"/>
        </w:rPr>
        <w:t>Servizi di sicurezza on-premise</w:t>
      </w:r>
      <w:r w:rsidR="00D343E7" w:rsidRPr="00D343E7">
        <w:rPr>
          <w:rFonts w:ascii="Titillium" w:eastAsia="Times New Roman" w:hAnsi="Titillium"/>
          <w:sz w:val="20"/>
          <w:szCs w:val="20"/>
        </w:rPr>
        <w:t>”</w:t>
      </w:r>
      <w:r w:rsidR="00D343E7">
        <w:rPr>
          <w:rFonts w:ascii="Titillium" w:eastAsia="Times New Roman" w:hAnsi="Titillium"/>
          <w:sz w:val="20"/>
          <w:szCs w:val="20"/>
        </w:rPr>
        <w:t>,</w:t>
      </w:r>
      <w:bookmarkStart w:id="0" w:name="_GoBack"/>
      <w:bookmarkEnd w:id="0"/>
      <w:r w:rsidR="009B7148" w:rsidRPr="00D343E7">
        <w:rPr>
          <w:rFonts w:ascii="Titillium" w:eastAsia="Times New Roman" w:hAnsi="Titillium"/>
          <w:sz w:val="20"/>
          <w:szCs w:val="20"/>
        </w:rPr>
        <w:t xml:space="preserve"> è </w:t>
      </w:r>
      <w:r w:rsidR="00F703BF" w:rsidRPr="00D343E7">
        <w:rPr>
          <w:rFonts w:ascii="Titillium" w:eastAsia="Times New Roman" w:hAnsi="Titillium"/>
          <w:sz w:val="20"/>
          <w:szCs w:val="20"/>
        </w:rPr>
        <w:t>stato previsto l’acquisto d</w:t>
      </w:r>
      <w:r w:rsidR="00D343E7" w:rsidRPr="00D343E7">
        <w:rPr>
          <w:rFonts w:ascii="Titillium" w:eastAsia="Times New Roman" w:hAnsi="Titillium"/>
          <w:sz w:val="20"/>
          <w:szCs w:val="20"/>
        </w:rPr>
        <w:t xml:space="preserve">i apparati hardware per la sicurezza, tra cui ricade anche </w:t>
      </w:r>
      <w:r w:rsidR="00D16FF5" w:rsidRPr="00D343E7">
        <w:rPr>
          <w:rFonts w:ascii="Titillium" w:eastAsia="Times New Roman" w:hAnsi="Titillium"/>
          <w:sz w:val="20"/>
          <w:szCs w:val="20"/>
        </w:rPr>
        <w:t>l’acquisizione in parola</w:t>
      </w:r>
      <w:r w:rsidR="00B37CA5" w:rsidRPr="00D343E7">
        <w:rPr>
          <w:rFonts w:ascii="Titillium" w:eastAsia="Times New Roman" w:hAnsi="Titillium"/>
          <w:sz w:val="20"/>
          <w:szCs w:val="20"/>
        </w:rPr>
        <w:t>;</w:t>
      </w:r>
    </w:p>
    <w:p w:rsidR="007662B8" w:rsidRDefault="001F06BC" w:rsidP="00B7127D">
      <w:pPr>
        <w:pStyle w:val="NormaleWeb"/>
        <w:spacing w:before="0" w:beforeAutospacing="0" w:after="100" w:line="276" w:lineRule="auto"/>
        <w:jc w:val="both"/>
        <w:rPr>
          <w:rFonts w:ascii="Titillium" w:eastAsia="Times New Roman" w:hAnsi="Titillium"/>
          <w:sz w:val="20"/>
          <w:szCs w:val="20"/>
        </w:rPr>
      </w:pPr>
      <w:r w:rsidRPr="00D343E7">
        <w:rPr>
          <w:rFonts w:ascii="Titillium" w:eastAsia="Times New Roman" w:hAnsi="Titillium"/>
          <w:b/>
          <w:sz w:val="20"/>
          <w:szCs w:val="20"/>
        </w:rPr>
        <w:t>CONSIDERATO</w:t>
      </w:r>
      <w:r w:rsidRPr="00D343E7">
        <w:rPr>
          <w:rFonts w:ascii="Titillium" w:eastAsia="Times New Roman" w:hAnsi="Titillium"/>
          <w:sz w:val="20"/>
          <w:szCs w:val="20"/>
        </w:rPr>
        <w:t xml:space="preserve"> c</w:t>
      </w:r>
      <w:r w:rsidR="008D46D1" w:rsidRPr="00D343E7">
        <w:rPr>
          <w:rFonts w:ascii="Titillium" w:eastAsia="Times New Roman" w:hAnsi="Titillium"/>
          <w:sz w:val="20"/>
          <w:szCs w:val="20"/>
        </w:rPr>
        <w:t xml:space="preserve">he, allo stato, non esistono strumenti di acquisto e/o di negoziazione Consip attivi </w:t>
      </w:r>
      <w:r w:rsidRPr="00D343E7">
        <w:rPr>
          <w:rFonts w:ascii="Titillium" w:eastAsia="Times New Roman" w:hAnsi="Titillium"/>
          <w:sz w:val="20"/>
          <w:szCs w:val="20"/>
        </w:rPr>
        <w:t xml:space="preserve">a cui poter attingere </w:t>
      </w:r>
      <w:r w:rsidR="007662B8" w:rsidRPr="00D343E7">
        <w:rPr>
          <w:rFonts w:ascii="Titillium" w:eastAsia="Times New Roman" w:hAnsi="Titillium"/>
          <w:sz w:val="20"/>
          <w:szCs w:val="20"/>
        </w:rPr>
        <w:t xml:space="preserve">per l’acquisizione del sistema di </w:t>
      </w:r>
      <w:r w:rsidR="007662B8" w:rsidRPr="00D343E7">
        <w:rPr>
          <w:rFonts w:ascii="Titillium" w:eastAsia="Times New Roman" w:hAnsi="Titillium"/>
          <w:i/>
          <w:sz w:val="20"/>
          <w:szCs w:val="20"/>
        </w:rPr>
        <w:t>storage</w:t>
      </w:r>
      <w:r w:rsidR="007662B8">
        <w:rPr>
          <w:rFonts w:ascii="Titillium" w:eastAsia="Times New Roman" w:hAnsi="Titillium"/>
          <w:i/>
          <w:sz w:val="20"/>
          <w:szCs w:val="20"/>
        </w:rPr>
        <w:t xml:space="preserve"> Full Flash </w:t>
      </w:r>
      <w:r w:rsidR="007662B8">
        <w:rPr>
          <w:rFonts w:ascii="Titillium" w:eastAsia="Times New Roman" w:hAnsi="Titillium"/>
          <w:sz w:val="20"/>
          <w:szCs w:val="20"/>
        </w:rPr>
        <w:t>e dei relativi servizi di assistenza e manutenzione;</w:t>
      </w:r>
    </w:p>
    <w:p w:rsidR="001F06BC" w:rsidRPr="00B80660" w:rsidRDefault="004D7473" w:rsidP="00BD6EF5">
      <w:pPr>
        <w:pStyle w:val="NormaleWeb"/>
        <w:spacing w:before="0" w:beforeAutospacing="0" w:after="100" w:line="276" w:lineRule="auto"/>
        <w:jc w:val="both"/>
        <w:rPr>
          <w:rFonts w:ascii="Titillium" w:eastAsia="Times New Roman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TENUTO CONTO</w:t>
      </w:r>
      <w:r w:rsidRPr="00B80660">
        <w:rPr>
          <w:rFonts w:ascii="Titillium" w:hAnsi="Titillium"/>
          <w:sz w:val="20"/>
          <w:szCs w:val="20"/>
        </w:rPr>
        <w:t xml:space="preserve"> che</w:t>
      </w:r>
      <w:r w:rsidR="00BD6EF5">
        <w:rPr>
          <w:rFonts w:ascii="Titillium" w:hAnsi="Titillium"/>
          <w:sz w:val="20"/>
          <w:szCs w:val="20"/>
        </w:rPr>
        <w:t xml:space="preserve"> il </w:t>
      </w:r>
      <w:r w:rsidR="00BD6EF5" w:rsidRPr="00BD6EF5">
        <w:rPr>
          <w:rFonts w:ascii="Titillium" w:hAnsi="Titillium"/>
          <w:sz w:val="20"/>
          <w:szCs w:val="20"/>
        </w:rPr>
        <w:t>s</w:t>
      </w:r>
      <w:r w:rsidR="00BD6EF5">
        <w:rPr>
          <w:rFonts w:ascii="Titillium" w:hAnsi="Titillium"/>
          <w:sz w:val="20"/>
          <w:szCs w:val="20"/>
        </w:rPr>
        <w:t xml:space="preserve">istema di </w:t>
      </w:r>
      <w:r w:rsidR="00BD6EF5" w:rsidRPr="00BD6EF5">
        <w:rPr>
          <w:rFonts w:ascii="Titillium" w:hAnsi="Titillium"/>
          <w:i/>
          <w:sz w:val="20"/>
          <w:szCs w:val="20"/>
        </w:rPr>
        <w:t>storage Full Flash</w:t>
      </w:r>
      <w:r w:rsidR="00BD6EF5">
        <w:rPr>
          <w:rFonts w:ascii="Titillium" w:hAnsi="Titillium"/>
          <w:sz w:val="20"/>
          <w:szCs w:val="20"/>
        </w:rPr>
        <w:t xml:space="preserve"> e i</w:t>
      </w:r>
      <w:r w:rsidR="00BD6EF5" w:rsidRPr="00BD6EF5">
        <w:rPr>
          <w:rFonts w:ascii="Titillium" w:hAnsi="Titillium"/>
          <w:sz w:val="20"/>
          <w:szCs w:val="20"/>
        </w:rPr>
        <w:t xml:space="preserve"> relativi servizi di assistenza e manutenzione</w:t>
      </w:r>
      <w:r w:rsidR="00BD6EF5">
        <w:rPr>
          <w:rFonts w:ascii="Titillium" w:hAnsi="Titillium"/>
          <w:sz w:val="20"/>
          <w:szCs w:val="20"/>
        </w:rPr>
        <w:t xml:space="preserve"> sono acquisibili </w:t>
      </w:r>
      <w:r w:rsidRPr="00B80660">
        <w:rPr>
          <w:rFonts w:ascii="Titillium" w:hAnsi="Titillium"/>
          <w:sz w:val="20"/>
          <w:szCs w:val="20"/>
        </w:rPr>
        <w:t>sul MEPA, mediant</w:t>
      </w:r>
      <w:r w:rsidR="00BD6EF5">
        <w:rPr>
          <w:rFonts w:ascii="Titillium" w:hAnsi="Titillium"/>
          <w:sz w:val="20"/>
          <w:szCs w:val="20"/>
        </w:rPr>
        <w:t xml:space="preserve">e avvio di una RdO rivolta a tutti gli </w:t>
      </w:r>
      <w:r w:rsidRPr="00B80660">
        <w:rPr>
          <w:rFonts w:ascii="Titillium" w:hAnsi="Titillium"/>
          <w:sz w:val="20"/>
          <w:szCs w:val="20"/>
        </w:rPr>
        <w:t>operatori economici ivi presenti nel settore di riferimento;</w:t>
      </w:r>
    </w:p>
    <w:p w:rsidR="00D841BB" w:rsidRDefault="004843CF" w:rsidP="00212EA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>CONSIDERATO</w:t>
      </w:r>
      <w:r w:rsidRPr="00B80660">
        <w:rPr>
          <w:rFonts w:ascii="Titillium" w:hAnsi="Titillium"/>
          <w:sz w:val="20"/>
          <w:szCs w:val="20"/>
        </w:rPr>
        <w:t xml:space="preserve"> che</w:t>
      </w:r>
      <w:r w:rsidR="00D841BB">
        <w:rPr>
          <w:rFonts w:ascii="Titillium" w:hAnsi="Titillium"/>
          <w:sz w:val="20"/>
          <w:szCs w:val="20"/>
        </w:rPr>
        <w:t xml:space="preserve"> oggetto della RdO sono servizi aventi caratteristiche standardizzate o le cui condizioni sono definite dal mercato, e che pertanto </w:t>
      </w:r>
      <w:r w:rsidR="00D841BB" w:rsidRPr="00D841BB">
        <w:rPr>
          <w:rFonts w:ascii="Titillium" w:hAnsi="Titillium"/>
          <w:sz w:val="20"/>
          <w:szCs w:val="20"/>
        </w:rPr>
        <w:t>può essere utilizzato il criterio del minor prezzo ai sensi dell’art. 108, comma 3, del d.lgs. n. 36/2023;</w:t>
      </w:r>
    </w:p>
    <w:p w:rsidR="00D841BB" w:rsidRDefault="00D841BB" w:rsidP="00D841BB">
      <w:pPr>
        <w:tabs>
          <w:tab w:val="left" w:pos="2694"/>
        </w:tabs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D131E3">
        <w:rPr>
          <w:rFonts w:ascii="Titillium" w:hAnsi="Titillium"/>
          <w:b/>
          <w:sz w:val="20"/>
          <w:szCs w:val="20"/>
        </w:rPr>
        <w:t xml:space="preserve">CONSIDERATO </w:t>
      </w:r>
      <w:r w:rsidRPr="00D131E3">
        <w:rPr>
          <w:rFonts w:ascii="Titillium" w:hAnsi="Titillium"/>
          <w:sz w:val="20"/>
          <w:szCs w:val="20"/>
        </w:rPr>
        <w:t xml:space="preserve">che i costi degli oneri di sicurezza per i rischi di natura interferenziale sono pari a zero; </w:t>
      </w:r>
    </w:p>
    <w:p w:rsidR="00332723" w:rsidRDefault="00332723" w:rsidP="00F77C35">
      <w:pPr>
        <w:widowControl w:val="0"/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b/>
          <w:sz w:val="20"/>
          <w:szCs w:val="20"/>
        </w:rPr>
        <w:t xml:space="preserve">VISTO </w:t>
      </w:r>
      <w:r w:rsidRPr="00B80660">
        <w:rPr>
          <w:rFonts w:ascii="Titillium" w:hAnsi="Titillium"/>
          <w:sz w:val="20"/>
          <w:szCs w:val="20"/>
        </w:rPr>
        <w:t xml:space="preserve">l’art. </w:t>
      </w:r>
      <w:r w:rsidR="00D841BB">
        <w:rPr>
          <w:rFonts w:ascii="Titillium" w:hAnsi="Titillium"/>
          <w:sz w:val="20"/>
          <w:szCs w:val="20"/>
        </w:rPr>
        <w:t xml:space="preserve">50, comma 1, lett. </w:t>
      </w:r>
      <w:r w:rsidR="00D841BB" w:rsidRPr="00D841BB">
        <w:rPr>
          <w:rFonts w:ascii="Titillium" w:hAnsi="Titillium"/>
          <w:sz w:val="20"/>
          <w:szCs w:val="20"/>
        </w:rPr>
        <w:t>e</w:t>
      </w:r>
      <w:r w:rsidR="00D841BB">
        <w:rPr>
          <w:rFonts w:ascii="Titillium" w:hAnsi="Titillium"/>
          <w:sz w:val="20"/>
          <w:szCs w:val="20"/>
        </w:rPr>
        <w:t xml:space="preserve">), </w:t>
      </w:r>
      <w:r w:rsidRPr="00B80660">
        <w:rPr>
          <w:rFonts w:ascii="Titillium" w:hAnsi="Titillium"/>
          <w:sz w:val="20"/>
          <w:szCs w:val="20"/>
        </w:rPr>
        <w:t>d.lgs.</w:t>
      </w:r>
      <w:r w:rsidR="007228DC" w:rsidRPr="00B80660">
        <w:rPr>
          <w:rFonts w:ascii="Titillium" w:hAnsi="Titillium"/>
          <w:sz w:val="20"/>
          <w:szCs w:val="20"/>
        </w:rPr>
        <w:t xml:space="preserve"> </w:t>
      </w:r>
      <w:r w:rsidR="00D841BB">
        <w:rPr>
          <w:rFonts w:ascii="Titillium" w:hAnsi="Titillium"/>
          <w:sz w:val="20"/>
          <w:szCs w:val="20"/>
        </w:rPr>
        <w:t>n. 36/2023</w:t>
      </w:r>
      <w:r w:rsidRPr="00B80660">
        <w:rPr>
          <w:rFonts w:ascii="Titillium" w:hAnsi="Titillium"/>
          <w:sz w:val="20"/>
          <w:szCs w:val="20"/>
        </w:rPr>
        <w:t>;</w:t>
      </w:r>
    </w:p>
    <w:p w:rsidR="00332723" w:rsidRPr="00F703BF" w:rsidRDefault="00332723" w:rsidP="00F77C35">
      <w:pPr>
        <w:spacing w:after="120" w:line="276" w:lineRule="auto"/>
        <w:jc w:val="both"/>
        <w:rPr>
          <w:rFonts w:ascii="Titillium" w:hAnsi="Titillium"/>
          <w:sz w:val="20"/>
          <w:szCs w:val="20"/>
        </w:rPr>
      </w:pPr>
      <w:r w:rsidRPr="001F603F">
        <w:rPr>
          <w:rFonts w:ascii="Titillium" w:hAnsi="Titillium"/>
          <w:b/>
          <w:sz w:val="20"/>
          <w:szCs w:val="20"/>
        </w:rPr>
        <w:t>ACCERTATO</w:t>
      </w:r>
      <w:r w:rsidRPr="001F603F">
        <w:rPr>
          <w:rFonts w:ascii="Titillium" w:hAnsi="Titillium"/>
          <w:sz w:val="20"/>
          <w:szCs w:val="20"/>
        </w:rPr>
        <w:t xml:space="preserve"> che </w:t>
      </w:r>
      <w:r w:rsidRPr="00F703BF">
        <w:rPr>
          <w:rFonts w:ascii="Titillium" w:hAnsi="Titillium"/>
          <w:sz w:val="20"/>
          <w:szCs w:val="20"/>
        </w:rPr>
        <w:t>la disponibilità finanziaria su</w:t>
      </w:r>
      <w:r w:rsidR="00212000" w:rsidRPr="00F703BF">
        <w:rPr>
          <w:rFonts w:ascii="Titillium" w:hAnsi="Titillium"/>
          <w:sz w:val="20"/>
          <w:szCs w:val="20"/>
        </w:rPr>
        <w:t>l</w:t>
      </w:r>
      <w:r w:rsidRPr="00F703BF">
        <w:rPr>
          <w:rFonts w:ascii="Titillium" w:hAnsi="Titillium"/>
          <w:sz w:val="20"/>
          <w:szCs w:val="20"/>
        </w:rPr>
        <w:t xml:space="preserve"> pertinent</w:t>
      </w:r>
      <w:r w:rsidR="00212000" w:rsidRPr="00F703BF">
        <w:rPr>
          <w:rFonts w:ascii="Titillium" w:hAnsi="Titillium"/>
          <w:sz w:val="20"/>
          <w:szCs w:val="20"/>
        </w:rPr>
        <w:t>e capitolo n</w:t>
      </w:r>
      <w:r w:rsidRPr="00F703BF">
        <w:rPr>
          <w:rFonts w:ascii="Titillium" w:hAnsi="Titillium"/>
          <w:sz w:val="20"/>
          <w:szCs w:val="20"/>
        </w:rPr>
        <w:t xml:space="preserve">. </w:t>
      </w:r>
      <w:r w:rsidR="00D841BB">
        <w:rPr>
          <w:rFonts w:ascii="Titillium" w:hAnsi="Titillium"/>
          <w:sz w:val="20"/>
          <w:szCs w:val="20"/>
        </w:rPr>
        <w:t>2102</w:t>
      </w:r>
      <w:r w:rsidR="00472286" w:rsidRPr="00F703BF">
        <w:rPr>
          <w:rFonts w:ascii="Titillium" w:hAnsi="Titillium"/>
          <w:sz w:val="20"/>
          <w:szCs w:val="20"/>
        </w:rPr>
        <w:t>.2</w:t>
      </w:r>
      <w:r w:rsidR="00D17E5C" w:rsidRPr="00F703BF">
        <w:rPr>
          <w:rFonts w:ascii="Titillium" w:hAnsi="Titillium"/>
          <w:sz w:val="20"/>
          <w:szCs w:val="20"/>
        </w:rPr>
        <w:t xml:space="preserve"> </w:t>
      </w:r>
      <w:r w:rsidR="00F50B94" w:rsidRPr="00F703BF">
        <w:rPr>
          <w:rFonts w:ascii="Titillium" w:hAnsi="Titillium"/>
          <w:sz w:val="20"/>
          <w:szCs w:val="20"/>
        </w:rPr>
        <w:t>del</w:t>
      </w:r>
      <w:r w:rsidR="007228DC" w:rsidRPr="00F703BF">
        <w:rPr>
          <w:rFonts w:ascii="Titillium" w:hAnsi="Titillium"/>
          <w:sz w:val="20"/>
          <w:szCs w:val="20"/>
        </w:rPr>
        <w:t xml:space="preserve"> bilanci</w:t>
      </w:r>
      <w:r w:rsidR="00F50B94" w:rsidRPr="00F703BF">
        <w:rPr>
          <w:rFonts w:ascii="Titillium" w:hAnsi="Titillium"/>
          <w:sz w:val="20"/>
          <w:szCs w:val="20"/>
        </w:rPr>
        <w:t>o</w:t>
      </w:r>
      <w:r w:rsidRPr="00F703BF">
        <w:rPr>
          <w:rFonts w:ascii="Titillium" w:hAnsi="Titillium"/>
          <w:sz w:val="20"/>
          <w:szCs w:val="20"/>
        </w:rPr>
        <w:t xml:space="preserve"> 20</w:t>
      </w:r>
      <w:r w:rsidR="008F78F0">
        <w:rPr>
          <w:rFonts w:ascii="Titillium" w:hAnsi="Titillium"/>
          <w:sz w:val="20"/>
          <w:szCs w:val="20"/>
        </w:rPr>
        <w:t>23</w:t>
      </w:r>
      <w:r w:rsidR="00212000" w:rsidRPr="00F703BF">
        <w:rPr>
          <w:rFonts w:ascii="Titillium" w:hAnsi="Titillium"/>
          <w:sz w:val="20"/>
          <w:szCs w:val="20"/>
        </w:rPr>
        <w:t xml:space="preserve"> nonché del bilancio pluriennale dell’</w:t>
      </w:r>
      <w:r w:rsidR="008460B1" w:rsidRPr="00F703BF">
        <w:rPr>
          <w:rFonts w:ascii="Titillium" w:hAnsi="Titillium"/>
          <w:sz w:val="20"/>
          <w:szCs w:val="20"/>
        </w:rPr>
        <w:t>Autorità,</w:t>
      </w:r>
      <w:r w:rsidRPr="00F703BF">
        <w:rPr>
          <w:rFonts w:ascii="Titillium" w:hAnsi="Titillium"/>
          <w:sz w:val="20"/>
          <w:szCs w:val="20"/>
        </w:rPr>
        <w:t xml:space="preserve"> è congrua per accogliere la spesa stimata per l’affidamento del servizio in esame;</w:t>
      </w:r>
    </w:p>
    <w:p w:rsidR="00B80660" w:rsidRPr="00E0422F" w:rsidRDefault="00332723" w:rsidP="00E0422F">
      <w:pPr>
        <w:spacing w:before="120" w:after="120" w:line="276" w:lineRule="auto"/>
        <w:jc w:val="center"/>
        <w:rPr>
          <w:rFonts w:ascii="Gotham Light" w:hAnsi="Gotham Light" w:cs="Arial"/>
          <w:b/>
          <w:color w:val="2E74B5"/>
        </w:rPr>
      </w:pPr>
      <w:r w:rsidRPr="00B6390B">
        <w:rPr>
          <w:rFonts w:ascii="Gotham Light" w:hAnsi="Gotham Light" w:cs="Arial"/>
          <w:b/>
          <w:color w:val="2E74B5"/>
        </w:rPr>
        <w:t>D I S P O N E</w:t>
      </w:r>
    </w:p>
    <w:p w:rsidR="00332723" w:rsidRPr="004072EB" w:rsidRDefault="00332723" w:rsidP="00D841BB">
      <w:pPr>
        <w:pStyle w:val="Paragrafoelenco"/>
        <w:numPr>
          <w:ilvl w:val="0"/>
          <w:numId w:val="1"/>
        </w:numPr>
        <w:spacing w:after="240" w:line="276" w:lineRule="auto"/>
        <w:contextualSpacing w:val="0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sz w:val="20"/>
          <w:szCs w:val="20"/>
        </w:rPr>
        <w:t>l’espletamento di apposita RDO sul mercato delle PP.AA</w:t>
      </w:r>
      <w:r w:rsidR="00414BA9" w:rsidRPr="00B80660">
        <w:rPr>
          <w:rFonts w:ascii="Titillium" w:hAnsi="Titillium"/>
          <w:sz w:val="20"/>
          <w:szCs w:val="20"/>
        </w:rPr>
        <w:t xml:space="preserve">., </w:t>
      </w:r>
      <w:r w:rsidRPr="00B80660">
        <w:rPr>
          <w:rFonts w:ascii="Titillium" w:hAnsi="Titillium"/>
          <w:sz w:val="20"/>
          <w:szCs w:val="20"/>
        </w:rPr>
        <w:t>da aggiudicare con il criterio</w:t>
      </w:r>
      <w:r w:rsidR="008460B1" w:rsidRPr="00B80660">
        <w:rPr>
          <w:rFonts w:ascii="Titillium" w:hAnsi="Titillium"/>
          <w:sz w:val="20"/>
          <w:szCs w:val="20"/>
        </w:rPr>
        <w:t xml:space="preserve"> </w:t>
      </w:r>
      <w:r w:rsidR="00D841BB">
        <w:rPr>
          <w:rFonts w:ascii="Titillium" w:hAnsi="Titillium"/>
          <w:sz w:val="20"/>
          <w:szCs w:val="20"/>
        </w:rPr>
        <w:t xml:space="preserve">del minor prezzo ai sensi dell’art. 108, comma 3, d.lgs. n. 36/2023, </w:t>
      </w:r>
      <w:r w:rsidR="00414BA9" w:rsidRPr="00B80660">
        <w:rPr>
          <w:rFonts w:ascii="Titillium" w:hAnsi="Titillium"/>
          <w:sz w:val="20"/>
          <w:szCs w:val="20"/>
        </w:rPr>
        <w:t>per l’a</w:t>
      </w:r>
      <w:r w:rsidR="00D841BB">
        <w:rPr>
          <w:rFonts w:ascii="Titillium" w:hAnsi="Titillium"/>
          <w:sz w:val="20"/>
          <w:szCs w:val="20"/>
        </w:rPr>
        <w:t xml:space="preserve">cquisizione di un sistema di </w:t>
      </w:r>
      <w:r w:rsidR="00D841BB">
        <w:rPr>
          <w:rFonts w:ascii="Titillium" w:hAnsi="Titillium"/>
          <w:i/>
          <w:sz w:val="20"/>
          <w:szCs w:val="20"/>
        </w:rPr>
        <w:t xml:space="preserve">storage Full Flash </w:t>
      </w:r>
      <w:r w:rsidR="00D841BB">
        <w:rPr>
          <w:rFonts w:ascii="Titillium" w:hAnsi="Titillium"/>
          <w:sz w:val="20"/>
          <w:szCs w:val="20"/>
        </w:rPr>
        <w:t xml:space="preserve">e dei relativi servizi di assistenza e manutenzione per n. 48 mesi </w:t>
      </w:r>
      <w:r w:rsidR="00F703BF">
        <w:rPr>
          <w:rFonts w:ascii="Titillium" w:hAnsi="Titillium"/>
          <w:sz w:val="20"/>
          <w:szCs w:val="20"/>
        </w:rPr>
        <w:t xml:space="preserve">a decorrere dalla data </w:t>
      </w:r>
      <w:r w:rsidR="00D841BB">
        <w:rPr>
          <w:rFonts w:ascii="Titillium" w:hAnsi="Titillium"/>
          <w:sz w:val="20"/>
          <w:szCs w:val="20"/>
        </w:rPr>
        <w:t xml:space="preserve">di stipula del contratto, </w:t>
      </w:r>
      <w:r w:rsidRPr="004072EB">
        <w:rPr>
          <w:rFonts w:ascii="Titillium" w:hAnsi="Titillium"/>
          <w:sz w:val="20"/>
          <w:szCs w:val="20"/>
        </w:rPr>
        <w:t>per una spesa complessiva massima stimata così specificata:</w:t>
      </w:r>
    </w:p>
    <w:tbl>
      <w:tblPr>
        <w:tblStyle w:val="Grigliatabella"/>
        <w:tblW w:w="929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5"/>
        <w:gridCol w:w="1615"/>
      </w:tblGrid>
      <w:tr w:rsidR="002175C6" w:rsidRPr="004072EB" w:rsidTr="00211561">
        <w:trPr>
          <w:trHeight w:val="425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072EB" w:rsidRDefault="00385D7E" w:rsidP="00385D7E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servizi oggetto del contratto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B04539" w:rsidRDefault="002175C6" w:rsidP="00D841BB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0"/>
                <w:szCs w:val="20"/>
              </w:rPr>
            </w:pPr>
            <w:r w:rsidRPr="00B04539">
              <w:rPr>
                <w:rFonts w:ascii="Titillium" w:hAnsi="Titillium"/>
                <w:sz w:val="20"/>
                <w:szCs w:val="20"/>
              </w:rPr>
              <w:t xml:space="preserve">€ </w:t>
            </w:r>
            <w:r w:rsidR="00B04539" w:rsidRPr="00B04539">
              <w:rPr>
                <w:rFonts w:ascii="Titillium" w:hAnsi="Titillium"/>
                <w:sz w:val="20"/>
                <w:szCs w:val="20"/>
              </w:rPr>
              <w:t>1</w:t>
            </w:r>
            <w:r w:rsidR="00D841BB">
              <w:rPr>
                <w:rFonts w:ascii="Titillium" w:hAnsi="Titillium"/>
                <w:sz w:val="20"/>
                <w:szCs w:val="20"/>
              </w:rPr>
              <w:t>80</w:t>
            </w:r>
            <w:r w:rsidR="006A6E3E" w:rsidRPr="00B04539">
              <w:rPr>
                <w:rFonts w:ascii="Titillium" w:hAnsi="Titillium"/>
                <w:sz w:val="20"/>
                <w:szCs w:val="20"/>
              </w:rPr>
              <w:t>.</w:t>
            </w:r>
            <w:r w:rsidR="00D841BB">
              <w:rPr>
                <w:rFonts w:ascii="Titillium" w:hAnsi="Titillium"/>
                <w:sz w:val="20"/>
                <w:szCs w:val="20"/>
              </w:rPr>
              <w:t>000</w:t>
            </w:r>
            <w:r w:rsidRPr="00B04539">
              <w:rPr>
                <w:rFonts w:ascii="Titillium" w:hAnsi="Titillium"/>
                <w:sz w:val="20"/>
                <w:szCs w:val="20"/>
              </w:rPr>
              <w:t>,00</w:t>
            </w:r>
          </w:p>
        </w:tc>
      </w:tr>
      <w:tr w:rsidR="002175C6" w:rsidRPr="004072EB" w:rsidTr="00211561">
        <w:trPr>
          <w:trHeight w:val="436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072EB" w:rsidRDefault="002175C6" w:rsidP="00212EAF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4072EB">
              <w:rPr>
                <w:rFonts w:ascii="Titillium" w:hAnsi="Titillium"/>
                <w:sz w:val="20"/>
                <w:szCs w:val="20"/>
              </w:rPr>
              <w:t>oneri della sicurezza derivanti dai rischi di natura interferenziale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B04539" w:rsidRDefault="002175C6" w:rsidP="007679A2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sz w:val="20"/>
                <w:szCs w:val="20"/>
              </w:rPr>
            </w:pPr>
            <w:r w:rsidRPr="00B04539">
              <w:rPr>
                <w:rFonts w:ascii="Titillium" w:hAnsi="Titillium"/>
                <w:sz w:val="20"/>
                <w:szCs w:val="20"/>
              </w:rPr>
              <w:t xml:space="preserve">€ </w:t>
            </w:r>
            <w:r w:rsidR="00D841BB">
              <w:rPr>
                <w:rFonts w:ascii="Titillium" w:hAnsi="Titillium"/>
                <w:sz w:val="20"/>
                <w:szCs w:val="20"/>
              </w:rPr>
              <w:t>0,0</w:t>
            </w:r>
            <w:r w:rsidR="00B04539" w:rsidRPr="00B04539">
              <w:rPr>
                <w:rFonts w:ascii="Titillium" w:hAnsi="Titillium"/>
                <w:sz w:val="20"/>
                <w:szCs w:val="20"/>
              </w:rPr>
              <w:t>0</w:t>
            </w:r>
          </w:p>
        </w:tc>
      </w:tr>
      <w:tr w:rsidR="002175C6" w:rsidRPr="00385D7E" w:rsidTr="00211561">
        <w:trPr>
          <w:trHeight w:val="425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072EB" w:rsidRDefault="002175C6" w:rsidP="00212EAF">
            <w:pPr>
              <w:pStyle w:val="Paragrafoelenco"/>
              <w:numPr>
                <w:ilvl w:val="0"/>
                <w:numId w:val="3"/>
              </w:numPr>
              <w:spacing w:after="100" w:line="276" w:lineRule="auto"/>
              <w:ind w:left="459" w:hanging="425"/>
              <w:contextualSpacing w:val="0"/>
              <w:jc w:val="both"/>
              <w:rPr>
                <w:rFonts w:ascii="Titillium" w:hAnsi="Titillium"/>
                <w:sz w:val="20"/>
                <w:szCs w:val="20"/>
              </w:rPr>
            </w:pPr>
            <w:r w:rsidRPr="004072EB">
              <w:rPr>
                <w:rFonts w:ascii="Titillium" w:hAnsi="Titillium"/>
                <w:sz w:val="20"/>
                <w:szCs w:val="20"/>
              </w:rPr>
              <w:t>IVA al 22% sulle voci di cui ai punti a) e b)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B04539" w:rsidRDefault="00C108D7" w:rsidP="00FA4424">
            <w:pPr>
              <w:pStyle w:val="Paragrafoelenco"/>
              <w:spacing w:after="100" w:line="276" w:lineRule="auto"/>
              <w:ind w:left="0"/>
              <w:contextualSpacing w:val="0"/>
              <w:rPr>
                <w:rFonts w:ascii="Titillium" w:hAnsi="Titillium"/>
                <w:sz w:val="20"/>
                <w:szCs w:val="20"/>
              </w:rPr>
            </w:pPr>
            <w:r w:rsidRPr="00B04539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B80660" w:rsidRPr="00B04539">
              <w:rPr>
                <w:rFonts w:ascii="Titillium" w:hAnsi="Titillium"/>
                <w:sz w:val="20"/>
                <w:szCs w:val="20"/>
              </w:rPr>
              <w:t xml:space="preserve">    </w:t>
            </w:r>
            <w:r w:rsidRPr="00B04539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7679A2" w:rsidRPr="00B04539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2175C6" w:rsidRPr="00B04539">
              <w:rPr>
                <w:rFonts w:ascii="Titillium" w:hAnsi="Titillium"/>
                <w:sz w:val="20"/>
                <w:szCs w:val="20"/>
              </w:rPr>
              <w:t xml:space="preserve">€   </w:t>
            </w:r>
            <w:r w:rsidR="00D841BB">
              <w:rPr>
                <w:rFonts w:ascii="Titillium" w:hAnsi="Titillium"/>
                <w:sz w:val="20"/>
                <w:szCs w:val="20"/>
              </w:rPr>
              <w:t>39.600,00</w:t>
            </w:r>
          </w:p>
        </w:tc>
      </w:tr>
      <w:tr w:rsidR="002175C6" w:rsidRPr="00385D7E" w:rsidTr="00211561">
        <w:trPr>
          <w:trHeight w:val="787"/>
          <w:jc w:val="right"/>
        </w:trPr>
        <w:tc>
          <w:tcPr>
            <w:tcW w:w="76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4072EB" w:rsidRDefault="002175C6" w:rsidP="00212EAF">
            <w:pPr>
              <w:tabs>
                <w:tab w:val="left" w:pos="7371"/>
              </w:tabs>
              <w:spacing w:after="100" w:line="276" w:lineRule="auto"/>
              <w:rPr>
                <w:rFonts w:ascii="Titillium" w:hAnsi="Titillium"/>
                <w:b/>
                <w:sz w:val="20"/>
                <w:szCs w:val="20"/>
              </w:rPr>
            </w:pPr>
            <w:r w:rsidRPr="004072EB">
              <w:rPr>
                <w:rFonts w:ascii="Titillium" w:hAnsi="Titillium"/>
                <w:b/>
                <w:sz w:val="20"/>
                <w:szCs w:val="20"/>
              </w:rPr>
              <w:t>Spesa complessiva stimata</w:t>
            </w:r>
          </w:p>
        </w:tc>
        <w:tc>
          <w:tcPr>
            <w:tcW w:w="161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175C6" w:rsidRPr="00B04539" w:rsidRDefault="002175C6" w:rsidP="00D841BB">
            <w:pPr>
              <w:pStyle w:val="Paragrafoelenco"/>
              <w:spacing w:after="100" w:line="276" w:lineRule="auto"/>
              <w:ind w:left="0"/>
              <w:contextualSpacing w:val="0"/>
              <w:jc w:val="right"/>
              <w:rPr>
                <w:rFonts w:ascii="Titillium" w:hAnsi="Titillium"/>
                <w:b/>
                <w:sz w:val="20"/>
                <w:szCs w:val="20"/>
              </w:rPr>
            </w:pPr>
            <w:r w:rsidRPr="00B04539">
              <w:rPr>
                <w:rFonts w:ascii="Titillium" w:hAnsi="Titillium"/>
                <w:b/>
                <w:sz w:val="20"/>
                <w:szCs w:val="20"/>
              </w:rPr>
              <w:t xml:space="preserve">€ </w:t>
            </w:r>
            <w:r w:rsidR="00D841BB">
              <w:rPr>
                <w:rFonts w:ascii="Titillium" w:hAnsi="Titillium"/>
                <w:b/>
                <w:sz w:val="20"/>
                <w:szCs w:val="20"/>
              </w:rPr>
              <w:t>219.600,00</w:t>
            </w:r>
          </w:p>
        </w:tc>
      </w:tr>
    </w:tbl>
    <w:p w:rsidR="00332723" w:rsidRPr="00D343E7" w:rsidRDefault="0063524C" w:rsidP="00212EAF">
      <w:pPr>
        <w:pStyle w:val="Paragrafoelenco"/>
        <w:numPr>
          <w:ilvl w:val="0"/>
          <w:numId w:val="2"/>
        </w:numPr>
        <w:spacing w:after="100" w:line="276" w:lineRule="auto"/>
        <w:ind w:left="284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B80660">
        <w:rPr>
          <w:rFonts w:ascii="Titillium" w:hAnsi="Titillium"/>
          <w:sz w:val="20"/>
          <w:szCs w:val="20"/>
        </w:rPr>
        <w:lastRenderedPageBreak/>
        <w:t>d</w:t>
      </w:r>
      <w:r w:rsidR="00332723" w:rsidRPr="00B80660">
        <w:rPr>
          <w:rFonts w:ascii="Titillium" w:hAnsi="Titillium"/>
          <w:sz w:val="20"/>
          <w:szCs w:val="20"/>
        </w:rPr>
        <w:t>i riconoscere la facoltà di non procedere all’aggiudi</w:t>
      </w:r>
      <w:r w:rsidR="00D841BB">
        <w:rPr>
          <w:rFonts w:ascii="Titillium" w:hAnsi="Titillium"/>
          <w:sz w:val="20"/>
          <w:szCs w:val="20"/>
        </w:rPr>
        <w:t>cazione ai sensi dell’art. 108, comma 10</w:t>
      </w:r>
      <w:r w:rsidR="007228DC" w:rsidRPr="00B80660">
        <w:rPr>
          <w:rFonts w:ascii="Titillium" w:hAnsi="Titillium"/>
          <w:sz w:val="20"/>
          <w:szCs w:val="20"/>
        </w:rPr>
        <w:t xml:space="preserve">, </w:t>
      </w:r>
      <w:r w:rsidR="00D841BB">
        <w:rPr>
          <w:rFonts w:ascii="Titillium" w:hAnsi="Titillium"/>
          <w:sz w:val="20"/>
          <w:szCs w:val="20"/>
        </w:rPr>
        <w:t>d.lgs. n. 36/2023</w:t>
      </w:r>
      <w:r w:rsidR="00332723" w:rsidRPr="00B80660">
        <w:rPr>
          <w:rFonts w:ascii="Titillium" w:hAnsi="Titillium"/>
          <w:sz w:val="20"/>
          <w:szCs w:val="20"/>
        </w:rPr>
        <w:t xml:space="preserve">, </w:t>
      </w:r>
      <w:r w:rsidR="00332723" w:rsidRPr="00D343E7">
        <w:rPr>
          <w:rFonts w:ascii="Titillium" w:hAnsi="Titillium"/>
          <w:sz w:val="20"/>
          <w:szCs w:val="20"/>
        </w:rPr>
        <w:t>qualora nessuna offerta risulti conveniente o idonea in relazione all’oggetto del contratto.</w:t>
      </w:r>
    </w:p>
    <w:p w:rsidR="00E0422F" w:rsidRPr="00D343E7" w:rsidRDefault="007228DC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D343E7">
        <w:rPr>
          <w:rFonts w:ascii="Titillium" w:hAnsi="Titillium"/>
          <w:sz w:val="20"/>
          <w:szCs w:val="20"/>
        </w:rPr>
        <w:t xml:space="preserve">3. </w:t>
      </w:r>
      <w:r w:rsidR="00332723" w:rsidRPr="00D343E7">
        <w:rPr>
          <w:rFonts w:ascii="Titillium" w:hAnsi="Titillium"/>
          <w:sz w:val="20"/>
          <w:szCs w:val="20"/>
        </w:rPr>
        <w:t xml:space="preserve">di autorizzare la spesa complessiva stimata da porsi a carico del bilancio di previsione dell’Autorità per </w:t>
      </w:r>
      <w:r w:rsidR="008F78F0" w:rsidRPr="00D343E7">
        <w:rPr>
          <w:rFonts w:ascii="Titillium" w:hAnsi="Titillium"/>
          <w:sz w:val="20"/>
          <w:szCs w:val="20"/>
        </w:rPr>
        <w:t xml:space="preserve">l’anno 2023 </w:t>
      </w:r>
      <w:r w:rsidR="00D17E5C" w:rsidRPr="00D343E7">
        <w:rPr>
          <w:rFonts w:ascii="Titillium" w:hAnsi="Titillium"/>
          <w:sz w:val="20"/>
          <w:szCs w:val="20"/>
        </w:rPr>
        <w:t>su</w:t>
      </w:r>
      <w:r w:rsidR="00E07DDB" w:rsidRPr="00D343E7">
        <w:rPr>
          <w:rFonts w:ascii="Titillium" w:hAnsi="Titillium"/>
          <w:sz w:val="20"/>
          <w:szCs w:val="20"/>
        </w:rPr>
        <w:t>l</w:t>
      </w:r>
      <w:r w:rsidR="00332723" w:rsidRPr="00D343E7">
        <w:rPr>
          <w:rFonts w:ascii="Titillium" w:hAnsi="Titillium"/>
          <w:sz w:val="20"/>
          <w:szCs w:val="20"/>
        </w:rPr>
        <w:t xml:space="preserve"> </w:t>
      </w:r>
      <w:r w:rsidR="00D17E5C" w:rsidRPr="00D343E7">
        <w:rPr>
          <w:rFonts w:ascii="Titillium" w:hAnsi="Titillium"/>
          <w:sz w:val="20"/>
          <w:szCs w:val="20"/>
        </w:rPr>
        <w:t>capitol</w:t>
      </w:r>
      <w:r w:rsidR="00E07DDB" w:rsidRPr="00D343E7">
        <w:rPr>
          <w:rFonts w:ascii="Titillium" w:hAnsi="Titillium"/>
          <w:sz w:val="20"/>
          <w:szCs w:val="20"/>
        </w:rPr>
        <w:t>o</w:t>
      </w:r>
      <w:r w:rsidR="004F7CCE" w:rsidRPr="00D343E7">
        <w:rPr>
          <w:rFonts w:ascii="Titillium" w:hAnsi="Titillium"/>
          <w:sz w:val="20"/>
          <w:szCs w:val="20"/>
        </w:rPr>
        <w:t xml:space="preserve"> n. 2102</w:t>
      </w:r>
      <w:r w:rsidR="00472286" w:rsidRPr="00D343E7">
        <w:rPr>
          <w:rFonts w:ascii="Titillium" w:hAnsi="Titillium"/>
          <w:sz w:val="20"/>
          <w:szCs w:val="20"/>
        </w:rPr>
        <w:t>.2</w:t>
      </w:r>
      <w:r w:rsidR="00406276" w:rsidRPr="00D343E7">
        <w:rPr>
          <w:rFonts w:ascii="Titillium" w:hAnsi="Titillium"/>
          <w:sz w:val="20"/>
          <w:szCs w:val="20"/>
        </w:rPr>
        <w:t xml:space="preserve">, </w:t>
      </w:r>
      <w:r w:rsidR="00632F5C" w:rsidRPr="00D343E7">
        <w:rPr>
          <w:rFonts w:ascii="Titillium" w:hAnsi="Titillium"/>
          <w:sz w:val="20"/>
          <w:szCs w:val="20"/>
        </w:rPr>
        <w:t xml:space="preserve">per l’importo di </w:t>
      </w:r>
      <w:r w:rsidR="00632F5C" w:rsidRPr="00D343E7">
        <w:rPr>
          <w:rFonts w:ascii="Titillium" w:hAnsi="Titillium" w:hint="eastAsia"/>
          <w:sz w:val="20"/>
          <w:szCs w:val="20"/>
        </w:rPr>
        <w:t>€</w:t>
      </w:r>
      <w:r w:rsidR="008F78F0" w:rsidRPr="00D343E7">
        <w:rPr>
          <w:rFonts w:ascii="Titillium" w:hAnsi="Titillium"/>
          <w:sz w:val="20"/>
          <w:szCs w:val="20"/>
        </w:rPr>
        <w:t xml:space="preserve"> 219.600,00</w:t>
      </w:r>
      <w:r w:rsidR="00B04539" w:rsidRPr="00D343E7">
        <w:rPr>
          <w:rFonts w:ascii="Titillium" w:hAnsi="Titillium"/>
          <w:sz w:val="20"/>
          <w:szCs w:val="20"/>
        </w:rPr>
        <w:t>.</w:t>
      </w:r>
    </w:p>
    <w:p w:rsidR="00F36FF7" w:rsidRDefault="00F36FF7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D343E7">
        <w:rPr>
          <w:rFonts w:ascii="Titillium" w:hAnsi="Titillium"/>
          <w:sz w:val="20"/>
          <w:szCs w:val="20"/>
        </w:rPr>
        <w:t>4. nelle more dell’adozione, da parte dell’Autorità, del provvedimento concernente la definizione dei criteri di riparto di cui all’art. 45, comma 3, del d.lgs. n. 36/2023, di riservarsi di impegnare definitivamente, con apposito provvedimento di impegno della spesa, gli importi relativi</w:t>
      </w:r>
      <w:r w:rsidRPr="00F36FF7">
        <w:rPr>
          <w:rFonts w:ascii="Titillium" w:hAnsi="Titillium"/>
          <w:sz w:val="20"/>
          <w:szCs w:val="20"/>
        </w:rPr>
        <w:t xml:space="preserve"> agli incentivi per funzioni tecniche entro la misura massima stabilita dalla legge, individuata nel 2% dell’importo dei servizi, pari ad € </w:t>
      </w:r>
      <w:r>
        <w:rPr>
          <w:rFonts w:ascii="Titillium" w:hAnsi="Titillium"/>
          <w:sz w:val="20"/>
          <w:szCs w:val="20"/>
        </w:rPr>
        <w:t>3.600,00</w:t>
      </w:r>
      <w:r w:rsidRPr="00F36FF7">
        <w:rPr>
          <w:rFonts w:ascii="Titillium" w:hAnsi="Titillium"/>
          <w:sz w:val="20"/>
          <w:szCs w:val="20"/>
        </w:rPr>
        <w:t>, a valere sugli stanziamenti previsti per il presente a</w:t>
      </w:r>
      <w:r>
        <w:rPr>
          <w:rFonts w:ascii="Titillium" w:hAnsi="Titillium"/>
          <w:sz w:val="20"/>
          <w:szCs w:val="20"/>
        </w:rPr>
        <w:t>ppalto sul capitolo n. 2102.2.</w:t>
      </w:r>
      <w:r w:rsidRPr="00F36FF7">
        <w:rPr>
          <w:rFonts w:ascii="Titillium" w:hAnsi="Titillium"/>
          <w:sz w:val="20"/>
          <w:szCs w:val="20"/>
        </w:rPr>
        <w:t xml:space="preserve"> del bilancio pluriennale dell’Autorità medesima;</w:t>
      </w:r>
    </w:p>
    <w:p w:rsidR="00E0422F" w:rsidRDefault="00F36FF7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5</w:t>
      </w:r>
      <w:r w:rsidR="00E0422F">
        <w:rPr>
          <w:rFonts w:ascii="Titillium" w:hAnsi="Titillium"/>
          <w:sz w:val="20"/>
          <w:szCs w:val="20"/>
        </w:rPr>
        <w:t xml:space="preserve">. </w:t>
      </w:r>
      <w:r w:rsidR="00332723" w:rsidRPr="00E0422F">
        <w:rPr>
          <w:rFonts w:ascii="Titillium" w:hAnsi="Titillium"/>
          <w:sz w:val="20"/>
          <w:szCs w:val="20"/>
        </w:rPr>
        <w:t xml:space="preserve">Il Responsabile unico </w:t>
      </w:r>
      <w:r w:rsidR="008F78F0">
        <w:rPr>
          <w:rFonts w:ascii="Titillium" w:hAnsi="Titillium"/>
          <w:sz w:val="20"/>
          <w:szCs w:val="20"/>
        </w:rPr>
        <w:t>del progetto di cui all’art. 15</w:t>
      </w:r>
      <w:r w:rsidR="00332723" w:rsidRPr="00E0422F">
        <w:rPr>
          <w:rFonts w:ascii="Titillium" w:hAnsi="Titillium"/>
          <w:sz w:val="20"/>
          <w:szCs w:val="20"/>
        </w:rPr>
        <w:t xml:space="preserve"> del d.lgs. </w:t>
      </w:r>
      <w:r w:rsidR="007228DC" w:rsidRPr="00E0422F">
        <w:rPr>
          <w:rFonts w:ascii="Titillium" w:hAnsi="Titillium"/>
          <w:sz w:val="20"/>
          <w:szCs w:val="20"/>
        </w:rPr>
        <w:t xml:space="preserve">n. </w:t>
      </w:r>
      <w:r w:rsidR="008F78F0">
        <w:rPr>
          <w:rFonts w:ascii="Titillium" w:hAnsi="Titillium"/>
          <w:sz w:val="20"/>
          <w:szCs w:val="20"/>
        </w:rPr>
        <w:t>36/2023</w:t>
      </w:r>
      <w:r w:rsidR="00356FF4" w:rsidRPr="00E0422F">
        <w:rPr>
          <w:rFonts w:ascii="Titillium" w:hAnsi="Titillium"/>
          <w:sz w:val="20"/>
          <w:szCs w:val="20"/>
        </w:rPr>
        <w:t xml:space="preserve"> è </w:t>
      </w:r>
      <w:r>
        <w:rPr>
          <w:rFonts w:ascii="Titillium" w:hAnsi="Titillium"/>
          <w:sz w:val="20"/>
          <w:szCs w:val="20"/>
        </w:rPr>
        <w:t xml:space="preserve">l’Ing. Francesco Vargiu, dirigente dell’Ufficio USIS. </w:t>
      </w:r>
    </w:p>
    <w:p w:rsidR="00F36FF7" w:rsidRPr="00D343E7" w:rsidRDefault="00F36FF7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6. </w:t>
      </w:r>
      <w:r w:rsidRPr="00F36FF7">
        <w:rPr>
          <w:rFonts w:ascii="Titillium" w:hAnsi="Titillium"/>
          <w:sz w:val="20"/>
          <w:szCs w:val="20"/>
        </w:rPr>
        <w:t>Fermo restando quanto indicato al punto pre</w:t>
      </w:r>
      <w:r>
        <w:rPr>
          <w:rFonts w:ascii="Titillium" w:hAnsi="Titillium"/>
          <w:sz w:val="20"/>
          <w:szCs w:val="20"/>
        </w:rPr>
        <w:t xml:space="preserve">cedente, ai </w:t>
      </w:r>
      <w:r w:rsidRPr="00D343E7">
        <w:rPr>
          <w:rFonts w:ascii="Titillium" w:hAnsi="Titillium"/>
          <w:sz w:val="20"/>
          <w:szCs w:val="20"/>
        </w:rPr>
        <w:t>sensi dell’art 15, comma 4, del d.lgs. n. 36/2023, il responsabile di procedimento per la sola fase di affidamento è il Dott. Paolo Fontana, funzionario dell’Ufficio UGARE.</w:t>
      </w:r>
    </w:p>
    <w:p w:rsidR="00E70CFA" w:rsidRPr="00E0422F" w:rsidRDefault="00F36FF7" w:rsidP="00E0422F">
      <w:pPr>
        <w:spacing w:after="100" w:line="276" w:lineRule="auto"/>
        <w:jc w:val="both"/>
        <w:rPr>
          <w:rFonts w:ascii="Titillium" w:hAnsi="Titillium"/>
          <w:sz w:val="20"/>
          <w:szCs w:val="20"/>
        </w:rPr>
      </w:pPr>
      <w:r w:rsidRPr="00D343E7">
        <w:rPr>
          <w:rFonts w:ascii="Titillium" w:hAnsi="Titillium"/>
          <w:sz w:val="20"/>
          <w:szCs w:val="20"/>
        </w:rPr>
        <w:t>7</w:t>
      </w:r>
      <w:r w:rsidR="00E0422F" w:rsidRPr="00D343E7">
        <w:rPr>
          <w:rFonts w:ascii="Titillium" w:hAnsi="Titillium"/>
          <w:sz w:val="20"/>
          <w:szCs w:val="20"/>
        </w:rPr>
        <w:t xml:space="preserve">. </w:t>
      </w:r>
      <w:r w:rsidR="00332723" w:rsidRPr="00D343E7">
        <w:rPr>
          <w:rFonts w:ascii="Titillium" w:hAnsi="Titillium"/>
          <w:sz w:val="20"/>
          <w:szCs w:val="20"/>
        </w:rPr>
        <w:t>Il direttore dell’esec</w:t>
      </w:r>
      <w:r w:rsidR="00385D7E" w:rsidRPr="00D343E7">
        <w:rPr>
          <w:rFonts w:ascii="Titillium" w:hAnsi="Titillium"/>
          <w:sz w:val="20"/>
          <w:szCs w:val="20"/>
        </w:rPr>
        <w:t>uzione del contratto</w:t>
      </w:r>
      <w:r w:rsidR="008F78F0" w:rsidRPr="00D343E7">
        <w:rPr>
          <w:rFonts w:ascii="Titillium" w:hAnsi="Titillium"/>
          <w:sz w:val="20"/>
          <w:szCs w:val="20"/>
        </w:rPr>
        <w:t xml:space="preserve"> (il quale non coincide con il RUP in quanto sussistono le condizioni di cui all’art. 8, comma 4, lett. </w:t>
      </w:r>
      <w:r w:rsidR="008F78F0" w:rsidRPr="00D343E7">
        <w:rPr>
          <w:rFonts w:ascii="Titillium" w:hAnsi="Titillium"/>
          <w:i/>
          <w:sz w:val="20"/>
          <w:szCs w:val="20"/>
        </w:rPr>
        <w:t>b</w:t>
      </w:r>
      <w:r w:rsidR="008F78F0" w:rsidRPr="00D343E7">
        <w:rPr>
          <w:rFonts w:ascii="Titillium" w:hAnsi="Titillium"/>
          <w:sz w:val="20"/>
          <w:szCs w:val="20"/>
        </w:rPr>
        <w:t xml:space="preserve">) e </w:t>
      </w:r>
      <w:r w:rsidR="008F78F0" w:rsidRPr="00D343E7">
        <w:rPr>
          <w:rFonts w:ascii="Titillium" w:hAnsi="Titillium"/>
          <w:i/>
          <w:sz w:val="20"/>
          <w:szCs w:val="20"/>
        </w:rPr>
        <w:t>c</w:t>
      </w:r>
      <w:r w:rsidR="008F78F0" w:rsidRPr="00D343E7">
        <w:rPr>
          <w:rFonts w:ascii="Titillium" w:hAnsi="Titillium"/>
          <w:sz w:val="20"/>
          <w:szCs w:val="20"/>
        </w:rPr>
        <w:t>) dell’Allegato I.2 al Codice)</w:t>
      </w:r>
      <w:r w:rsidR="00385D7E" w:rsidRPr="00D343E7">
        <w:rPr>
          <w:rFonts w:ascii="Titillium" w:hAnsi="Titillium"/>
          <w:sz w:val="20"/>
          <w:szCs w:val="20"/>
        </w:rPr>
        <w:t xml:space="preserve"> è </w:t>
      </w:r>
      <w:r w:rsidR="00D343E7" w:rsidRPr="00D343E7">
        <w:rPr>
          <w:rFonts w:ascii="Titillium" w:hAnsi="Titillium"/>
          <w:sz w:val="20"/>
          <w:szCs w:val="20"/>
        </w:rPr>
        <w:t>il Dott. Gaetano Giarrusso</w:t>
      </w:r>
      <w:r w:rsidRPr="00D343E7">
        <w:rPr>
          <w:rFonts w:ascii="Titillium" w:hAnsi="Titillium"/>
          <w:sz w:val="20"/>
          <w:szCs w:val="20"/>
        </w:rPr>
        <w:t>, funzionario</w:t>
      </w:r>
      <w:r w:rsidR="00385D7E" w:rsidRPr="00D343E7">
        <w:rPr>
          <w:rFonts w:ascii="Titillium" w:hAnsi="Titillium"/>
          <w:sz w:val="20"/>
          <w:szCs w:val="20"/>
        </w:rPr>
        <w:t xml:space="preserve"> dell’Ufficio</w:t>
      </w:r>
      <w:r w:rsidR="00385D7E" w:rsidRPr="00E0422F">
        <w:rPr>
          <w:rFonts w:ascii="Titillium" w:hAnsi="Titillium"/>
          <w:sz w:val="20"/>
          <w:szCs w:val="20"/>
        </w:rPr>
        <w:t xml:space="preserve"> </w:t>
      </w:r>
      <w:r w:rsidR="008F78F0">
        <w:rPr>
          <w:rFonts w:ascii="Titillium" w:hAnsi="Titillium"/>
          <w:sz w:val="20"/>
          <w:szCs w:val="20"/>
        </w:rPr>
        <w:t>USIS</w:t>
      </w:r>
      <w:r w:rsidR="000209F6" w:rsidRPr="00E0422F">
        <w:rPr>
          <w:rFonts w:ascii="Titillium" w:hAnsi="Titillium"/>
          <w:sz w:val="20"/>
          <w:szCs w:val="20"/>
        </w:rPr>
        <w:t>.</w:t>
      </w: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2549"/>
        <w:gridCol w:w="2697"/>
      </w:tblGrid>
      <w:tr w:rsidR="00E70CFA" w:rsidRPr="00B23DE4" w:rsidTr="00E70CFA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362" w:type="pct"/>
            <w:shd w:val="clear" w:color="auto" w:fill="2770B7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441" w:type="pct"/>
            <w:shd w:val="clear" w:color="auto" w:fill="2770B7"/>
            <w:vAlign w:val="center"/>
          </w:tcPr>
          <w:p w:rsidR="00E70CFA" w:rsidRPr="00B23DE4" w:rsidRDefault="00E70CFA" w:rsidP="009536A8">
            <w:pPr>
              <w:pStyle w:val="ANCATABELLATITOLOBIANCO"/>
              <w:ind w:left="0"/>
              <w:rPr>
                <w:lang w:val="it-IT"/>
              </w:rPr>
            </w:pPr>
            <w:r w:rsidRPr="00B23DE4">
              <w:rPr>
                <w:lang w:val="it-IT"/>
              </w:rPr>
              <w:t xml:space="preserve">Il </w:t>
            </w:r>
            <w:r>
              <w:rPr>
                <w:lang w:val="it-IT"/>
              </w:rPr>
              <w:t>Segretario Generale</w:t>
            </w:r>
            <w:r w:rsidRPr="00B23DE4">
              <w:rPr>
                <w:lang w:val="it-IT"/>
              </w:rPr>
              <w:t xml:space="preserve"> </w:t>
            </w:r>
          </w:p>
        </w:tc>
      </w:tr>
    </w:tbl>
    <w:p w:rsidR="008B6ABE" w:rsidRPr="00385D7E" w:rsidRDefault="004A53E6" w:rsidP="00332723">
      <w:pPr>
        <w:spacing w:before="120" w:after="120" w:line="276" w:lineRule="auto"/>
        <w:rPr>
          <w:rFonts w:ascii="Titillium" w:hAnsi="Titillium"/>
          <w:sz w:val="20"/>
          <w:szCs w:val="20"/>
        </w:rPr>
      </w:pP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Pr="00C95049">
        <w:rPr>
          <w:rFonts w:ascii="Titilium Regular" w:hAnsi="Titilium Regular"/>
          <w:i/>
        </w:rPr>
        <w:tab/>
      </w:r>
      <w:r w:rsidR="00E70CFA">
        <w:rPr>
          <w:rFonts w:ascii="Titilium Regular" w:hAnsi="Titilium Regular"/>
          <w:i/>
        </w:rPr>
        <w:t xml:space="preserve">                                </w:t>
      </w:r>
      <w:r w:rsidR="004072EB">
        <w:rPr>
          <w:rFonts w:ascii="Titilium Regular" w:hAnsi="Titilium Regular"/>
          <w:i/>
        </w:rPr>
        <w:t xml:space="preserve">                        </w:t>
      </w:r>
      <w:r w:rsidR="00E70CFA">
        <w:rPr>
          <w:rFonts w:ascii="Titilium Regular" w:hAnsi="Titilium Regular"/>
          <w:i/>
        </w:rPr>
        <w:t xml:space="preserve"> </w:t>
      </w:r>
      <w:r w:rsidR="00385D7E">
        <w:rPr>
          <w:rFonts w:ascii="Titilium Regular" w:hAnsi="Titilium Regular"/>
        </w:rPr>
        <w:t xml:space="preserve">           </w:t>
      </w:r>
      <w:r w:rsidR="008F78F0">
        <w:rPr>
          <w:rFonts w:ascii="Titillium" w:hAnsi="Titillium"/>
          <w:sz w:val="20"/>
          <w:szCs w:val="20"/>
        </w:rPr>
        <w:t>Ing. Filippo Romano</w:t>
      </w:r>
    </w:p>
    <w:p w:rsidR="00E70CFA" w:rsidRDefault="00E70CFA" w:rsidP="00332723">
      <w:pPr>
        <w:spacing w:line="276" w:lineRule="auto"/>
        <w:rPr>
          <w:rFonts w:ascii="Titilium Regular" w:hAnsi="Titilium Regular"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2549"/>
        <w:gridCol w:w="2697"/>
      </w:tblGrid>
      <w:tr w:rsidR="00E70CFA" w:rsidRPr="00B23DE4" w:rsidTr="009536A8">
        <w:trPr>
          <w:trHeight w:val="658"/>
        </w:trPr>
        <w:tc>
          <w:tcPr>
            <w:tcW w:w="2197" w:type="pct"/>
            <w:shd w:val="clear" w:color="auto" w:fill="2770B7"/>
            <w:vAlign w:val="center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362" w:type="pct"/>
            <w:shd w:val="clear" w:color="auto" w:fill="2770B7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441" w:type="pct"/>
            <w:shd w:val="clear" w:color="auto" w:fill="2770B7"/>
            <w:vAlign w:val="center"/>
          </w:tcPr>
          <w:p w:rsidR="00E70CFA" w:rsidRPr="00B23DE4" w:rsidRDefault="00E70CFA" w:rsidP="009536A8">
            <w:pPr>
              <w:pStyle w:val="ANCATABELLATITOLOBIANCO"/>
              <w:ind w:left="0"/>
              <w:rPr>
                <w:lang w:val="it-IT"/>
              </w:rPr>
            </w:pPr>
            <w:r>
              <w:rPr>
                <w:lang w:val="it-IT"/>
              </w:rPr>
              <w:t>VISTO: Il Dirigente dell’Ufficio gare e logistica</w:t>
            </w:r>
          </w:p>
        </w:tc>
      </w:tr>
    </w:tbl>
    <w:p w:rsidR="00E70CFA" w:rsidRDefault="00E70CFA" w:rsidP="00332723">
      <w:pPr>
        <w:spacing w:line="276" w:lineRule="auto"/>
        <w:rPr>
          <w:rFonts w:ascii="Titilium Regular" w:hAnsi="Titilium Regular"/>
        </w:rPr>
      </w:pPr>
    </w:p>
    <w:p w:rsidR="00E70CFA" w:rsidRPr="00022368" w:rsidRDefault="00022368" w:rsidP="00332723">
      <w:pPr>
        <w:spacing w:line="276" w:lineRule="auto"/>
        <w:rPr>
          <w:rFonts w:ascii="Titilium Regular" w:hAnsi="Titilium Regular"/>
        </w:rPr>
      </w:pPr>
      <w:r>
        <w:rPr>
          <w:i/>
        </w:rPr>
        <w:t xml:space="preserve">                                                                                  </w:t>
      </w:r>
      <w:r w:rsidR="00E0422F">
        <w:rPr>
          <w:i/>
        </w:rPr>
        <w:t xml:space="preserve">                                  </w:t>
      </w:r>
      <w:r w:rsidR="008F78F0">
        <w:rPr>
          <w:rFonts w:ascii="Titillium" w:hAnsi="Titillium"/>
          <w:sz w:val="20"/>
          <w:szCs w:val="20"/>
        </w:rPr>
        <w:t>Ing. Settimio Picca</w:t>
      </w:r>
    </w:p>
    <w:p w:rsidR="00E70CFA" w:rsidRDefault="00E70CFA" w:rsidP="00332723">
      <w:pPr>
        <w:spacing w:line="276" w:lineRule="auto"/>
        <w:rPr>
          <w:rFonts w:ascii="Titilium Regular" w:hAnsi="Titilium Regular"/>
        </w:rPr>
      </w:pPr>
    </w:p>
    <w:tbl>
      <w:tblPr>
        <w:tblW w:w="4854" w:type="pct"/>
        <w:tblInd w:w="14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2549"/>
        <w:gridCol w:w="2697"/>
      </w:tblGrid>
      <w:tr w:rsidR="00E70CFA" w:rsidRPr="00B23DE4" w:rsidTr="00F36FF7">
        <w:trPr>
          <w:trHeight w:val="1898"/>
        </w:trPr>
        <w:tc>
          <w:tcPr>
            <w:tcW w:w="2197" w:type="pct"/>
            <w:shd w:val="clear" w:color="auto" w:fill="2770B7"/>
            <w:vAlign w:val="center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362" w:type="pct"/>
            <w:shd w:val="clear" w:color="auto" w:fill="2770B7"/>
          </w:tcPr>
          <w:p w:rsidR="00E70CFA" w:rsidRPr="000E1983" w:rsidRDefault="00E70CFA" w:rsidP="009536A8">
            <w:pPr>
              <w:pStyle w:val="ANCATABELLATITOLOBIANCO"/>
              <w:ind w:left="0"/>
            </w:pPr>
          </w:p>
        </w:tc>
        <w:tc>
          <w:tcPr>
            <w:tcW w:w="1441" w:type="pct"/>
            <w:shd w:val="clear" w:color="auto" w:fill="2770B7"/>
            <w:vAlign w:val="center"/>
          </w:tcPr>
          <w:p w:rsidR="00E70CFA" w:rsidRPr="00B23DE4" w:rsidRDefault="00E70CFA" w:rsidP="009536A8">
            <w:pPr>
              <w:pStyle w:val="ANCATABELLATITOLOBIANCO"/>
              <w:ind w:left="0"/>
              <w:rPr>
                <w:lang w:val="it-IT"/>
              </w:rPr>
            </w:pPr>
            <w:r>
              <w:rPr>
                <w:lang w:val="it-IT"/>
              </w:rPr>
              <w:t>VISTO PER LA COPERTURA FINANZIARIA: Il Dirigente dell’Ufficio programm</w:t>
            </w:r>
            <w:r w:rsidR="00406276">
              <w:rPr>
                <w:lang w:val="it-IT"/>
              </w:rPr>
              <w:t>azione delle risorse finanziarie</w:t>
            </w:r>
            <w:r>
              <w:rPr>
                <w:lang w:val="it-IT"/>
              </w:rPr>
              <w:t>, bilancio e contabilit</w:t>
            </w:r>
            <w:r w:rsidR="00F36FF7">
              <w:rPr>
                <w:lang w:val="it-IT"/>
              </w:rPr>
              <w:t>à</w:t>
            </w:r>
          </w:p>
        </w:tc>
      </w:tr>
    </w:tbl>
    <w:p w:rsidR="00E70CFA" w:rsidRPr="00C95049" w:rsidRDefault="00E70CFA" w:rsidP="00332723">
      <w:pPr>
        <w:spacing w:line="276" w:lineRule="auto"/>
        <w:rPr>
          <w:rFonts w:ascii="Titilium Regular" w:hAnsi="Titilium Regular"/>
        </w:rPr>
      </w:pPr>
    </w:p>
    <w:p w:rsidR="00022368" w:rsidRPr="00385D7E" w:rsidRDefault="0063524C" w:rsidP="00332723">
      <w:pPr>
        <w:spacing w:line="276" w:lineRule="auto"/>
        <w:rPr>
          <w:rFonts w:ascii="Titillium" w:hAnsi="Titillium"/>
          <w:sz w:val="20"/>
          <w:szCs w:val="20"/>
        </w:rPr>
      </w:pPr>
      <w:r w:rsidRPr="00C95049">
        <w:rPr>
          <w:rFonts w:ascii="Titilium Regular" w:hAnsi="Titilium Regular"/>
        </w:rPr>
        <w:t xml:space="preserve">                     </w:t>
      </w:r>
      <w:r w:rsidR="00022368">
        <w:rPr>
          <w:rFonts w:ascii="Titilium Regular" w:hAnsi="Titilium Regular"/>
        </w:rPr>
        <w:t xml:space="preserve">                                                                                           </w:t>
      </w:r>
      <w:r w:rsidR="004072EB">
        <w:rPr>
          <w:rFonts w:ascii="Titilium Regular" w:hAnsi="Titilium Regular"/>
          <w:i/>
        </w:rPr>
        <w:t xml:space="preserve"> </w:t>
      </w:r>
      <w:r w:rsidR="008F78F0">
        <w:rPr>
          <w:rFonts w:ascii="Titillium" w:hAnsi="Titillium"/>
          <w:sz w:val="20"/>
          <w:szCs w:val="20"/>
        </w:rPr>
        <w:t xml:space="preserve">   Dott. Stefano Ceccarelli</w:t>
      </w:r>
    </w:p>
    <w:p w:rsidR="00022368" w:rsidRPr="00C95049" w:rsidRDefault="0063524C" w:rsidP="00022368">
      <w:pPr>
        <w:spacing w:line="276" w:lineRule="auto"/>
        <w:rPr>
          <w:rFonts w:ascii="Titilium Regular" w:hAnsi="Titilium Regular"/>
          <w:i/>
        </w:rPr>
      </w:pPr>
      <w:r w:rsidRPr="00C95049">
        <w:rPr>
          <w:rFonts w:ascii="Titilium Regular" w:hAnsi="Titilium Regular"/>
        </w:rPr>
        <w:t xml:space="preserve"> </w:t>
      </w:r>
    </w:p>
    <w:p w:rsidR="004A53E6" w:rsidRPr="00C95049" w:rsidRDefault="004A53E6" w:rsidP="00332723">
      <w:pPr>
        <w:spacing w:line="276" w:lineRule="auto"/>
        <w:rPr>
          <w:rFonts w:ascii="Titilium Regular" w:hAnsi="Titilium Regular"/>
          <w:i/>
        </w:rPr>
      </w:pPr>
    </w:p>
    <w:sectPr w:rsidR="004A53E6" w:rsidRPr="00C95049" w:rsidSect="00F77C35">
      <w:headerReference w:type="default" r:id="rId8"/>
      <w:pgSz w:w="11906" w:h="16838"/>
      <w:pgMar w:top="567" w:right="1134" w:bottom="1276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F9" w:rsidRDefault="00952CF9" w:rsidP="00332723">
      <w:r>
        <w:separator/>
      </w:r>
    </w:p>
  </w:endnote>
  <w:endnote w:type="continuationSeparator" w:id="0">
    <w:p w:rsidR="00952CF9" w:rsidRDefault="00952CF9" w:rsidP="0033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4D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ium Regular">
    <w:altName w:val="Times New Roman"/>
    <w:panose1 w:val="00000000000000000000"/>
    <w:charset w:val="00"/>
    <w:family w:val="roman"/>
    <w:notTrueType/>
    <w:pitch w:val="default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F9" w:rsidRDefault="00952CF9" w:rsidP="00332723">
      <w:r>
        <w:separator/>
      </w:r>
    </w:p>
  </w:footnote>
  <w:footnote w:type="continuationSeparator" w:id="0">
    <w:p w:rsidR="00952CF9" w:rsidRDefault="00952CF9" w:rsidP="0033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49" w:rsidRDefault="00C95049" w:rsidP="008B6ABE">
    <w:pPr>
      <w:tabs>
        <w:tab w:val="center" w:pos="4678"/>
      </w:tabs>
      <w:spacing w:before="120"/>
      <w:ind w:right="284"/>
      <w:rPr>
        <w:i/>
        <w:color w:val="1F497D"/>
        <w:sz w:val="20"/>
        <w:szCs w:val="20"/>
      </w:rPr>
    </w:pPr>
    <w:r>
      <w:rPr>
        <w:noProof/>
      </w:rPr>
      <w:drawing>
        <wp:inline distT="0" distB="0" distL="0" distR="0" wp14:anchorId="6CF98EE3" wp14:editId="3CEB9739">
          <wp:extent cx="3169920" cy="4025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32723" w:rsidRPr="008B6ABE" w:rsidRDefault="008B6ABE" w:rsidP="008B6ABE">
    <w:pPr>
      <w:tabs>
        <w:tab w:val="center" w:pos="4678"/>
      </w:tabs>
      <w:spacing w:before="120"/>
      <w:ind w:right="284"/>
      <w:rPr>
        <w:rFonts w:ascii="Gotham Light" w:hAnsi="Gotham Light"/>
        <w:i/>
        <w:color w:val="1F497D"/>
        <w:sz w:val="20"/>
        <w:szCs w:val="20"/>
      </w:rPr>
    </w:pPr>
    <w:r>
      <w:rPr>
        <w:rFonts w:ascii="Gotham" w:hAnsi="Gotham" w:cs="Arial"/>
        <w:color w:val="2E74B5"/>
      </w:rPr>
      <w:t xml:space="preserve">           </w:t>
    </w:r>
    <w:r w:rsidR="00C95049" w:rsidRPr="008B6ABE">
      <w:rPr>
        <w:rFonts w:ascii="Gotham Light" w:hAnsi="Gotham Light" w:cs="Arial"/>
        <w:color w:val="2E74B5"/>
      </w:rPr>
      <w:t>Il Segretario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3466D"/>
    <w:multiLevelType w:val="hybridMultilevel"/>
    <w:tmpl w:val="AFEECC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52"/>
    <w:rsid w:val="000209F6"/>
    <w:rsid w:val="00022368"/>
    <w:rsid w:val="000458D6"/>
    <w:rsid w:val="000650BE"/>
    <w:rsid w:val="00110EE1"/>
    <w:rsid w:val="0012593E"/>
    <w:rsid w:val="001F06BC"/>
    <w:rsid w:val="001F603F"/>
    <w:rsid w:val="001F74B3"/>
    <w:rsid w:val="00211561"/>
    <w:rsid w:val="00212000"/>
    <w:rsid w:val="00212EAF"/>
    <w:rsid w:val="002175C6"/>
    <w:rsid w:val="00231CCC"/>
    <w:rsid w:val="0023328A"/>
    <w:rsid w:val="002578C0"/>
    <w:rsid w:val="0026529A"/>
    <w:rsid w:val="00315207"/>
    <w:rsid w:val="00332723"/>
    <w:rsid w:val="00334539"/>
    <w:rsid w:val="00356FF4"/>
    <w:rsid w:val="003574BE"/>
    <w:rsid w:val="00366BF6"/>
    <w:rsid w:val="00385D7E"/>
    <w:rsid w:val="003A7A5A"/>
    <w:rsid w:val="003B4801"/>
    <w:rsid w:val="003D4614"/>
    <w:rsid w:val="003E5D79"/>
    <w:rsid w:val="00404289"/>
    <w:rsid w:val="00406276"/>
    <w:rsid w:val="004072EB"/>
    <w:rsid w:val="00414BA9"/>
    <w:rsid w:val="00463CE9"/>
    <w:rsid w:val="00472286"/>
    <w:rsid w:val="004843CF"/>
    <w:rsid w:val="004854B5"/>
    <w:rsid w:val="00485612"/>
    <w:rsid w:val="00487647"/>
    <w:rsid w:val="004A53E6"/>
    <w:rsid w:val="004D7473"/>
    <w:rsid w:val="004E0347"/>
    <w:rsid w:val="004E12C3"/>
    <w:rsid w:val="004F7CCE"/>
    <w:rsid w:val="0052461B"/>
    <w:rsid w:val="005273C2"/>
    <w:rsid w:val="005565FA"/>
    <w:rsid w:val="0058739E"/>
    <w:rsid w:val="005A2153"/>
    <w:rsid w:val="005E6E80"/>
    <w:rsid w:val="005F5C0C"/>
    <w:rsid w:val="00632F5C"/>
    <w:rsid w:val="0063524C"/>
    <w:rsid w:val="00695A16"/>
    <w:rsid w:val="006979D2"/>
    <w:rsid w:val="006A4252"/>
    <w:rsid w:val="006A6E3E"/>
    <w:rsid w:val="007228DC"/>
    <w:rsid w:val="00723555"/>
    <w:rsid w:val="00727CF5"/>
    <w:rsid w:val="00727FF0"/>
    <w:rsid w:val="007662B8"/>
    <w:rsid w:val="007679A2"/>
    <w:rsid w:val="007840EA"/>
    <w:rsid w:val="00793F70"/>
    <w:rsid w:val="007B5FA8"/>
    <w:rsid w:val="007E37F5"/>
    <w:rsid w:val="008460B1"/>
    <w:rsid w:val="008B6ABE"/>
    <w:rsid w:val="008D46D1"/>
    <w:rsid w:val="008F78F0"/>
    <w:rsid w:val="00952CF9"/>
    <w:rsid w:val="009723AB"/>
    <w:rsid w:val="009B2060"/>
    <w:rsid w:val="009B7148"/>
    <w:rsid w:val="00A6677D"/>
    <w:rsid w:val="00A67C23"/>
    <w:rsid w:val="00A80E47"/>
    <w:rsid w:val="00A90DE9"/>
    <w:rsid w:val="00AE6E4B"/>
    <w:rsid w:val="00B04539"/>
    <w:rsid w:val="00B37CA5"/>
    <w:rsid w:val="00B613FA"/>
    <w:rsid w:val="00B6390B"/>
    <w:rsid w:val="00B7127D"/>
    <w:rsid w:val="00B80660"/>
    <w:rsid w:val="00B80C02"/>
    <w:rsid w:val="00B9335C"/>
    <w:rsid w:val="00BA5196"/>
    <w:rsid w:val="00BC1267"/>
    <w:rsid w:val="00BD1180"/>
    <w:rsid w:val="00BD6EF5"/>
    <w:rsid w:val="00BF15B5"/>
    <w:rsid w:val="00C108D7"/>
    <w:rsid w:val="00C17086"/>
    <w:rsid w:val="00C60786"/>
    <w:rsid w:val="00C95049"/>
    <w:rsid w:val="00CA5AA2"/>
    <w:rsid w:val="00D03AB2"/>
    <w:rsid w:val="00D16FF5"/>
    <w:rsid w:val="00D17E5C"/>
    <w:rsid w:val="00D343E7"/>
    <w:rsid w:val="00D666CA"/>
    <w:rsid w:val="00D841BB"/>
    <w:rsid w:val="00D844E1"/>
    <w:rsid w:val="00DB1F58"/>
    <w:rsid w:val="00DD2A6C"/>
    <w:rsid w:val="00E0422F"/>
    <w:rsid w:val="00E07DDB"/>
    <w:rsid w:val="00E27E0A"/>
    <w:rsid w:val="00E54758"/>
    <w:rsid w:val="00E637CD"/>
    <w:rsid w:val="00E70CFA"/>
    <w:rsid w:val="00EA39F0"/>
    <w:rsid w:val="00EE5A02"/>
    <w:rsid w:val="00F36FF7"/>
    <w:rsid w:val="00F50B94"/>
    <w:rsid w:val="00F703BF"/>
    <w:rsid w:val="00F72632"/>
    <w:rsid w:val="00F779A2"/>
    <w:rsid w:val="00F77C35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7741"/>
  <w15:chartTrackingRefBased/>
  <w15:docId w15:val="{0E96DBE6-CEEE-4BB2-BAFC-3A680CF9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327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27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2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7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4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4B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727FF0"/>
    <w:pPr>
      <w:spacing w:before="100" w:beforeAutospacing="1" w:after="119"/>
    </w:pPr>
    <w:rPr>
      <w:rFonts w:eastAsiaTheme="minorHAnsi"/>
    </w:rPr>
  </w:style>
  <w:style w:type="paragraph" w:customStyle="1" w:styleId="ANCATABELLATITOLOBIANCO">
    <w:name w:val="ANCA_TABELLA_TITOLO BIANCO"/>
    <w:basedOn w:val="Normale"/>
    <w:qFormat/>
    <w:rsid w:val="008B6ABE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BB64E-DE5F-4296-A505-263D555FC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4AC82-2656-4251-8C36-65AB8E459B2B}"/>
</file>

<file path=customXml/itemProps3.xml><?xml version="1.0" encoding="utf-8"?>
<ds:datastoreItem xmlns:ds="http://schemas.openxmlformats.org/officeDocument/2006/customXml" ds:itemID="{6A9ED99C-79AB-4E91-8841-BB8CD0034338}"/>
</file>

<file path=customXml/itemProps4.xml><?xml version="1.0" encoding="utf-8"?>
<ds:datastoreItem xmlns:ds="http://schemas.openxmlformats.org/officeDocument/2006/customXml" ds:itemID="{83D4727F-0606-4765-AE68-2069605EF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Nazionale Anticorruzione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Fontana</dc:creator>
  <cp:keywords/>
  <dc:description/>
  <cp:lastModifiedBy>Fontana Paolo</cp:lastModifiedBy>
  <cp:revision>19</cp:revision>
  <cp:lastPrinted>2019-06-04T13:34:00Z</cp:lastPrinted>
  <dcterms:created xsi:type="dcterms:W3CDTF">2020-10-02T08:57:00Z</dcterms:created>
  <dcterms:modified xsi:type="dcterms:W3CDTF">2023-09-19T10:56:00Z</dcterms:modified>
</cp:coreProperties>
</file>