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60" w:rsidRPr="00E0422F" w:rsidRDefault="004B6C64" w:rsidP="00E0422F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/>
          <w:b/>
          <w:sz w:val="36"/>
          <w:szCs w:val="36"/>
        </w:rPr>
      </w:pPr>
      <w:r>
        <w:rPr>
          <w:rFonts w:ascii="Gotham Light" w:hAnsi="Gotham Light" w:cs="Arial"/>
          <w:b/>
          <w:color w:val="2E74B5"/>
          <w:sz w:val="36"/>
          <w:szCs w:val="36"/>
        </w:rPr>
        <w:t>DECISIONE DI</w:t>
      </w:r>
      <w:r w:rsidR="00C95049" w:rsidRPr="008B6ABE">
        <w:rPr>
          <w:rFonts w:ascii="Gotham Light" w:hAnsi="Gotham Light" w:cs="Arial"/>
          <w:b/>
          <w:color w:val="2E74B5"/>
          <w:sz w:val="36"/>
          <w:szCs w:val="36"/>
        </w:rPr>
        <w:t xml:space="preserve"> CONTRARRE</w:t>
      </w:r>
    </w:p>
    <w:p w:rsidR="004B6C64" w:rsidRPr="00491A31" w:rsidRDefault="00332723" w:rsidP="00212EAF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VISTO</w:t>
      </w:r>
      <w:r w:rsidRPr="00491A31">
        <w:rPr>
          <w:rFonts w:ascii="Titillium" w:hAnsi="Titillium"/>
          <w:sz w:val="22"/>
          <w:szCs w:val="22"/>
        </w:rPr>
        <w:t xml:space="preserve"> il decreto legislativo </w:t>
      </w:r>
      <w:r w:rsidR="004B6C64" w:rsidRPr="00491A31">
        <w:rPr>
          <w:rFonts w:ascii="Titillium" w:hAnsi="Titillium"/>
          <w:sz w:val="22"/>
          <w:szCs w:val="22"/>
        </w:rPr>
        <w:t>31 marzo 2023, n. 36, ed in particolare il comma 1 dell’art. 17, il quale prevede che,</w:t>
      </w:r>
      <w:r w:rsidRPr="00491A31">
        <w:rPr>
          <w:rFonts w:ascii="Titillium" w:hAnsi="Titillium"/>
          <w:sz w:val="22"/>
          <w:szCs w:val="22"/>
        </w:rPr>
        <w:t xml:space="preserve"> prima dell’avvio delle procedure di aff</w:t>
      </w:r>
      <w:r w:rsidR="004B6C64" w:rsidRPr="00491A31">
        <w:rPr>
          <w:rFonts w:ascii="Titillium" w:hAnsi="Titillium"/>
          <w:sz w:val="22"/>
          <w:szCs w:val="22"/>
        </w:rPr>
        <w:t>idamento dei contratti pubblici, le stazioni appaltanti -</w:t>
      </w:r>
      <w:r w:rsidRPr="00491A31">
        <w:rPr>
          <w:rFonts w:ascii="Titillium" w:hAnsi="Titillium"/>
          <w:sz w:val="22"/>
          <w:szCs w:val="22"/>
        </w:rPr>
        <w:t xml:space="preserve"> </w:t>
      </w:r>
      <w:r w:rsidR="004B6C64" w:rsidRPr="00491A31">
        <w:rPr>
          <w:rFonts w:ascii="Titillium" w:hAnsi="Titillium"/>
          <w:sz w:val="22"/>
          <w:szCs w:val="22"/>
        </w:rPr>
        <w:t>con apposito atto - adottano la decisione di contrarre individuando gli elementi essenziali del contratto e i criteri di selezione degli operatori economici e delle offerte;</w:t>
      </w:r>
    </w:p>
    <w:p w:rsidR="00332723" w:rsidRDefault="00332723" w:rsidP="00212EAF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VISTO</w:t>
      </w:r>
      <w:r w:rsidRPr="00491A31">
        <w:rPr>
          <w:rFonts w:ascii="Titillium" w:hAnsi="Titillium"/>
          <w:sz w:val="22"/>
          <w:szCs w:val="22"/>
        </w:rPr>
        <w:t xml:space="preserve"> il </w:t>
      </w:r>
      <w:r w:rsidR="00BD1180" w:rsidRPr="00491A31">
        <w:rPr>
          <w:rFonts w:ascii="Titillium" w:hAnsi="Titillium"/>
          <w:sz w:val="22"/>
          <w:szCs w:val="22"/>
        </w:rPr>
        <w:t>Regolamento per la disciplina dei contratti pubblici di servizi e forniture stipulati dall’Autorità approvato con Delibera n. 538 del 7.7.2021 e pubblicato in data 21.7.2021</w:t>
      </w:r>
      <w:r w:rsidRPr="00491A31">
        <w:rPr>
          <w:rFonts w:ascii="Titillium" w:hAnsi="Titillium"/>
          <w:sz w:val="22"/>
          <w:szCs w:val="22"/>
        </w:rPr>
        <w:t>;</w:t>
      </w:r>
    </w:p>
    <w:p w:rsidR="00A55094" w:rsidRPr="00A55094" w:rsidRDefault="00A55094" w:rsidP="00A55094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A55094">
        <w:rPr>
          <w:rFonts w:ascii="Titillium" w:hAnsi="Titillium"/>
          <w:b/>
          <w:sz w:val="22"/>
          <w:szCs w:val="22"/>
        </w:rPr>
        <w:t xml:space="preserve">VISTO </w:t>
      </w:r>
      <w:r w:rsidRPr="00A55094">
        <w:rPr>
          <w:rFonts w:ascii="Titillium" w:hAnsi="Titillium"/>
          <w:sz w:val="22"/>
          <w:szCs w:val="22"/>
        </w:rPr>
        <w:t>il Regolamento concernente la disciplina contabile dell’Autorità Nazionale Anticorruzione approvato dal Consiglio dell’Autorità nella seduta del 7 luglio 2021 ed entrato in vigore il 1° gennaio 2022;</w:t>
      </w:r>
    </w:p>
    <w:p w:rsidR="00CA2405" w:rsidRPr="00491A31" w:rsidRDefault="00CA2405" w:rsidP="00CA2405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VISTO </w:t>
      </w:r>
      <w:r w:rsidR="004A02A4" w:rsidRPr="00491A31">
        <w:rPr>
          <w:rFonts w:ascii="Titillium" w:hAnsi="Titillium"/>
          <w:sz w:val="22"/>
          <w:szCs w:val="22"/>
        </w:rPr>
        <w:t xml:space="preserve">il contratto </w:t>
      </w:r>
      <w:proofErr w:type="spellStart"/>
      <w:r w:rsidR="004A02A4" w:rsidRPr="00491A31">
        <w:rPr>
          <w:rFonts w:ascii="Titillium" w:hAnsi="Titillium"/>
          <w:sz w:val="22"/>
          <w:szCs w:val="22"/>
        </w:rPr>
        <w:t>prot</w:t>
      </w:r>
      <w:proofErr w:type="spellEnd"/>
      <w:r w:rsidR="004A02A4" w:rsidRPr="00491A31">
        <w:rPr>
          <w:rFonts w:ascii="Titillium" w:hAnsi="Titillium"/>
          <w:sz w:val="22"/>
          <w:szCs w:val="22"/>
        </w:rPr>
        <w:t>. n. 18031 dell’11.3.2022</w:t>
      </w:r>
      <w:r w:rsidRPr="00491A31">
        <w:rPr>
          <w:rFonts w:ascii="Titillium" w:hAnsi="Titillium"/>
          <w:sz w:val="22"/>
          <w:szCs w:val="22"/>
        </w:rPr>
        <w:t>, stipulato dall</w:t>
      </w:r>
      <w:r w:rsidR="004A02A4" w:rsidRPr="00491A31">
        <w:rPr>
          <w:rFonts w:ascii="Titillium" w:hAnsi="Titillium"/>
          <w:sz w:val="22"/>
          <w:szCs w:val="22"/>
        </w:rPr>
        <w:t>’Autorità con P.C.C. Impianti</w:t>
      </w:r>
      <w:r w:rsidRPr="00491A31">
        <w:rPr>
          <w:rFonts w:ascii="Titillium" w:hAnsi="Titillium"/>
          <w:sz w:val="22"/>
          <w:szCs w:val="22"/>
        </w:rPr>
        <w:t xml:space="preserve"> S.r.l. e avente ad oggetto il servizio di conduzione e manutenzione ordinaria degli impianti</w:t>
      </w:r>
      <w:r w:rsidR="004A02A4" w:rsidRPr="00491A31">
        <w:rPr>
          <w:rFonts w:ascii="Titillium" w:hAnsi="Titillium"/>
          <w:sz w:val="22"/>
          <w:szCs w:val="22"/>
        </w:rPr>
        <w:t xml:space="preserve"> di climatizzazione centralizzati, dei climatizzatori autonomi e degli impianti idrico-sanitari installati presso la sede dell’A.N.AC.</w:t>
      </w:r>
      <w:r w:rsidRPr="00491A31">
        <w:rPr>
          <w:rFonts w:ascii="Titillium" w:hAnsi="Titillium"/>
          <w:sz w:val="22"/>
          <w:szCs w:val="22"/>
        </w:rPr>
        <w:t>;</w:t>
      </w:r>
    </w:p>
    <w:p w:rsidR="004A02A4" w:rsidRPr="00491A31" w:rsidRDefault="004A02A4" w:rsidP="00CA2405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VISTO </w:t>
      </w:r>
      <w:r w:rsidRPr="00491A31">
        <w:rPr>
          <w:rFonts w:ascii="Titillium" w:hAnsi="Titillium"/>
          <w:sz w:val="22"/>
          <w:szCs w:val="22"/>
        </w:rPr>
        <w:t xml:space="preserve">il contratto </w:t>
      </w:r>
      <w:proofErr w:type="spellStart"/>
      <w:r w:rsidRPr="00491A31">
        <w:rPr>
          <w:rFonts w:ascii="Titillium" w:hAnsi="Titillium"/>
          <w:sz w:val="22"/>
          <w:szCs w:val="22"/>
        </w:rPr>
        <w:t>prot</w:t>
      </w:r>
      <w:proofErr w:type="spellEnd"/>
      <w:r w:rsidRPr="00491A31">
        <w:rPr>
          <w:rFonts w:ascii="Titillium" w:hAnsi="Titillium"/>
          <w:sz w:val="22"/>
          <w:szCs w:val="22"/>
        </w:rPr>
        <w:t>. n. 30662 del 22.4.2022, stipulato dall</w:t>
      </w:r>
      <w:r w:rsidR="00A24B0E" w:rsidRPr="00491A31">
        <w:rPr>
          <w:rFonts w:ascii="Titillium" w:hAnsi="Titillium"/>
          <w:sz w:val="22"/>
          <w:szCs w:val="22"/>
        </w:rPr>
        <w:t>’Autorità con T.I.R.E.S.</w:t>
      </w:r>
      <w:r w:rsidRPr="00491A31">
        <w:rPr>
          <w:rFonts w:ascii="Titillium" w:hAnsi="Titillium"/>
          <w:sz w:val="22"/>
          <w:szCs w:val="22"/>
        </w:rPr>
        <w:t xml:space="preserve"> S.r.l. e avente ad oggetto il servizio di conduzione e manutenzione ordinaria degli impianti elettrici, di sicurezza e controllo accessi, reti e antincendio installati presso la sede dell’A.N.AC.;</w:t>
      </w:r>
    </w:p>
    <w:p w:rsidR="00CA2405" w:rsidRPr="00491A31" w:rsidRDefault="00CA2405" w:rsidP="00CA2405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CONSIDERATO</w:t>
      </w:r>
      <w:r w:rsidRPr="00491A31">
        <w:rPr>
          <w:rFonts w:ascii="Titillium" w:hAnsi="Titillium"/>
          <w:sz w:val="22"/>
          <w:szCs w:val="22"/>
        </w:rPr>
        <w:t xml:space="preserve"> che</w:t>
      </w:r>
      <w:r w:rsidR="009811A0" w:rsidRPr="00491A31">
        <w:rPr>
          <w:rFonts w:ascii="Titillium" w:hAnsi="Titillium"/>
          <w:sz w:val="22"/>
          <w:szCs w:val="22"/>
        </w:rPr>
        <w:t xml:space="preserve"> i</w:t>
      </w:r>
      <w:r w:rsidRPr="00491A31">
        <w:rPr>
          <w:rFonts w:ascii="Titillium" w:hAnsi="Titillium"/>
          <w:sz w:val="22"/>
          <w:szCs w:val="22"/>
        </w:rPr>
        <w:t xml:space="preserve"> pre</w:t>
      </w:r>
      <w:r w:rsidR="009811A0" w:rsidRPr="00491A31">
        <w:rPr>
          <w:rFonts w:ascii="Titillium" w:hAnsi="Titillium"/>
          <w:sz w:val="22"/>
          <w:szCs w:val="22"/>
        </w:rPr>
        <w:t>detti contratti scadranno rispettivamente</w:t>
      </w:r>
      <w:r w:rsidR="004A02A4" w:rsidRPr="00491A31">
        <w:rPr>
          <w:rFonts w:ascii="Titillium" w:hAnsi="Titillium"/>
          <w:sz w:val="22"/>
          <w:szCs w:val="22"/>
        </w:rPr>
        <w:t xml:space="preserve"> in data 8.9</w:t>
      </w:r>
      <w:r w:rsidRPr="00491A31">
        <w:rPr>
          <w:rFonts w:ascii="Titillium" w:hAnsi="Titillium"/>
          <w:sz w:val="22"/>
          <w:szCs w:val="22"/>
        </w:rPr>
        <w:t>.2023</w:t>
      </w:r>
      <w:r w:rsidR="009811A0" w:rsidRPr="00491A31">
        <w:rPr>
          <w:rFonts w:ascii="Titillium" w:hAnsi="Titillium"/>
          <w:sz w:val="22"/>
          <w:szCs w:val="22"/>
        </w:rPr>
        <w:t xml:space="preserve"> e 7.10.2023</w:t>
      </w:r>
      <w:r w:rsidRPr="00491A31">
        <w:rPr>
          <w:rFonts w:ascii="Titillium" w:hAnsi="Titillium"/>
          <w:sz w:val="22"/>
          <w:szCs w:val="22"/>
        </w:rPr>
        <w:t>;</w:t>
      </w:r>
    </w:p>
    <w:p w:rsidR="006C6C74" w:rsidRPr="00491A31" w:rsidRDefault="006C6C74" w:rsidP="00CA2405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TENUTO CONTO </w:t>
      </w:r>
      <w:r w:rsidRPr="00491A31">
        <w:rPr>
          <w:rFonts w:ascii="Titillium" w:hAnsi="Titillium"/>
          <w:sz w:val="22"/>
          <w:szCs w:val="22"/>
        </w:rPr>
        <w:t>della necessit</w:t>
      </w:r>
      <w:r w:rsidR="009811A0" w:rsidRPr="00491A31">
        <w:rPr>
          <w:rFonts w:ascii="Titillium" w:hAnsi="Titillium"/>
          <w:sz w:val="22"/>
          <w:szCs w:val="22"/>
        </w:rPr>
        <w:t>à di garantire la continuità dei</w:t>
      </w:r>
      <w:r w:rsidRPr="00491A31">
        <w:rPr>
          <w:rFonts w:ascii="Titillium" w:hAnsi="Titillium"/>
          <w:sz w:val="22"/>
          <w:szCs w:val="22"/>
        </w:rPr>
        <w:t xml:space="preserve"> s</w:t>
      </w:r>
      <w:r w:rsidR="009811A0" w:rsidRPr="00491A31">
        <w:rPr>
          <w:rFonts w:ascii="Titillium" w:hAnsi="Titillium"/>
          <w:sz w:val="22"/>
          <w:szCs w:val="22"/>
        </w:rPr>
        <w:t>ervizi</w:t>
      </w:r>
      <w:r w:rsidRPr="00491A31">
        <w:rPr>
          <w:rFonts w:ascii="Titillium" w:hAnsi="Titillium"/>
          <w:sz w:val="22"/>
          <w:szCs w:val="22"/>
        </w:rPr>
        <w:t xml:space="preserve"> in parola;</w:t>
      </w:r>
    </w:p>
    <w:p w:rsidR="00CA2405" w:rsidRPr="00491A31" w:rsidRDefault="00CA2405" w:rsidP="00CA2405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2"/>
          <w:szCs w:val="22"/>
        </w:rPr>
      </w:pPr>
      <w:r w:rsidRPr="00491A31">
        <w:rPr>
          <w:rFonts w:ascii="Titillium" w:eastAsia="Times New Roman" w:hAnsi="Titillium"/>
          <w:b/>
          <w:sz w:val="22"/>
          <w:szCs w:val="22"/>
        </w:rPr>
        <w:t>CONSIDERATO</w:t>
      </w:r>
      <w:r w:rsidRPr="00491A31">
        <w:rPr>
          <w:rFonts w:ascii="Titillium" w:eastAsia="Times New Roman" w:hAnsi="Titillium"/>
          <w:sz w:val="22"/>
          <w:szCs w:val="22"/>
        </w:rPr>
        <w:t xml:space="preserve"> che nell’Atto di programmazione biennale 2023-24 degli acquisti dell’Autorità è prevista una spesa per i servizi di manutenzione impiantistica – tra cui rientra</w:t>
      </w:r>
      <w:r w:rsidR="009811A0" w:rsidRPr="00491A31">
        <w:rPr>
          <w:rFonts w:ascii="Titillium" w:eastAsia="Times New Roman" w:hAnsi="Titillium"/>
          <w:sz w:val="22"/>
          <w:szCs w:val="22"/>
        </w:rPr>
        <w:t>no i predetti servizi</w:t>
      </w:r>
      <w:r w:rsidRPr="00491A31">
        <w:rPr>
          <w:rFonts w:ascii="Titillium" w:eastAsia="Times New Roman" w:hAnsi="Titillium"/>
          <w:sz w:val="22"/>
          <w:szCs w:val="22"/>
        </w:rPr>
        <w:t xml:space="preserve"> di </w:t>
      </w:r>
      <w:r w:rsidR="006C6C74" w:rsidRPr="00491A31">
        <w:rPr>
          <w:rFonts w:ascii="Titillium" w:eastAsia="Times New Roman" w:hAnsi="Titillium"/>
          <w:sz w:val="22"/>
          <w:szCs w:val="22"/>
        </w:rPr>
        <w:t>manut</w:t>
      </w:r>
      <w:r w:rsidR="009811A0" w:rsidRPr="00491A31">
        <w:rPr>
          <w:rFonts w:ascii="Titillium" w:eastAsia="Times New Roman" w:hAnsi="Titillium"/>
          <w:sz w:val="22"/>
          <w:szCs w:val="22"/>
        </w:rPr>
        <w:t xml:space="preserve">enzione degli impianti </w:t>
      </w:r>
      <w:r w:rsidR="009811A0" w:rsidRPr="00491A31">
        <w:rPr>
          <w:rFonts w:ascii="Titillium" w:hAnsi="Titillium"/>
          <w:sz w:val="22"/>
          <w:szCs w:val="22"/>
        </w:rPr>
        <w:t>di climatizzazione centralizzati, dei climatizzatori autonomi e degli impianti idrico-sanitari, elettrici, di sicurezza e controllo accessi, reti e antincendio</w:t>
      </w:r>
      <w:r w:rsidRPr="00491A31">
        <w:rPr>
          <w:rFonts w:ascii="Titillium" w:eastAsia="Times New Roman" w:hAnsi="Titillium"/>
          <w:sz w:val="22"/>
          <w:szCs w:val="22"/>
        </w:rPr>
        <w:t xml:space="preserve"> – per un importo triennale pari a € 915.000,00 complessivi</w:t>
      </w:r>
      <w:r w:rsidR="004C1A91">
        <w:rPr>
          <w:rFonts w:ascii="Titillium" w:eastAsia="Times New Roman" w:hAnsi="Titillium"/>
          <w:sz w:val="22"/>
          <w:szCs w:val="22"/>
        </w:rPr>
        <w:t>, IVA inclusa</w:t>
      </w:r>
      <w:r w:rsidRPr="00491A31">
        <w:rPr>
          <w:rFonts w:ascii="Titillium" w:eastAsia="Times New Roman" w:hAnsi="Titillium"/>
          <w:sz w:val="22"/>
          <w:szCs w:val="22"/>
        </w:rPr>
        <w:t>;</w:t>
      </w:r>
    </w:p>
    <w:p w:rsidR="006C6C74" w:rsidRPr="00491A31" w:rsidRDefault="006C6C74" w:rsidP="00CA2405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2"/>
          <w:szCs w:val="22"/>
        </w:rPr>
      </w:pPr>
      <w:r w:rsidRPr="00491A31">
        <w:rPr>
          <w:rFonts w:ascii="Titillium" w:eastAsia="Times New Roman" w:hAnsi="Titillium"/>
          <w:b/>
          <w:sz w:val="22"/>
          <w:szCs w:val="22"/>
        </w:rPr>
        <w:t>CONSIDERATA</w:t>
      </w:r>
      <w:r w:rsidRPr="00491A31">
        <w:rPr>
          <w:rFonts w:ascii="Titillium" w:eastAsia="Times New Roman" w:hAnsi="Titillium"/>
          <w:sz w:val="22"/>
          <w:szCs w:val="22"/>
        </w:rPr>
        <w:t xml:space="preserve"> l’intenzione dell’Autorità di avviare, nel corso dei prossimi mesi, una procedura aperta per l’affidamento congiunto di tutti i servizi di manutenzione impiantistica;</w:t>
      </w:r>
    </w:p>
    <w:p w:rsidR="006C6C74" w:rsidRPr="00491A31" w:rsidRDefault="006C6C74" w:rsidP="006C6C74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2"/>
          <w:szCs w:val="22"/>
        </w:rPr>
      </w:pPr>
      <w:r w:rsidRPr="00491A31">
        <w:rPr>
          <w:rFonts w:ascii="Titillium" w:eastAsia="Times New Roman" w:hAnsi="Titillium"/>
          <w:b/>
          <w:sz w:val="22"/>
          <w:szCs w:val="22"/>
        </w:rPr>
        <w:t>TENUTO CONTO</w:t>
      </w:r>
      <w:r w:rsidRPr="00491A31">
        <w:rPr>
          <w:rFonts w:ascii="Titillium" w:eastAsia="Times New Roman" w:hAnsi="Titillium"/>
          <w:sz w:val="22"/>
          <w:szCs w:val="22"/>
        </w:rPr>
        <w:t xml:space="preserve"> della necessità, in vista della conclusione della procedura di cui al precedente punto, d</w:t>
      </w:r>
      <w:r w:rsidR="009811A0" w:rsidRPr="00491A31">
        <w:rPr>
          <w:rFonts w:ascii="Titillium" w:eastAsia="Times New Roman" w:hAnsi="Titillium"/>
          <w:sz w:val="22"/>
          <w:szCs w:val="22"/>
        </w:rPr>
        <w:t>i allineare la durata di tutti i</w:t>
      </w:r>
      <w:r w:rsidRPr="00491A31">
        <w:rPr>
          <w:rFonts w:ascii="Titillium" w:eastAsia="Times New Roman" w:hAnsi="Titillium"/>
          <w:sz w:val="22"/>
          <w:szCs w:val="22"/>
        </w:rPr>
        <w:t xml:space="preserve"> servizi di manutenzione impiantistica affidati dall’Autorità;</w:t>
      </w:r>
    </w:p>
    <w:p w:rsidR="004774AE" w:rsidRPr="00491A31" w:rsidRDefault="00CA2405" w:rsidP="004774AE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VISTI</w:t>
      </w:r>
      <w:r w:rsidR="004774AE" w:rsidRPr="00491A31">
        <w:rPr>
          <w:rFonts w:ascii="Titillium" w:hAnsi="Titillium"/>
          <w:b/>
          <w:sz w:val="22"/>
          <w:szCs w:val="22"/>
        </w:rPr>
        <w:t xml:space="preserve"> </w:t>
      </w:r>
      <w:r w:rsidRPr="00491A31">
        <w:rPr>
          <w:rFonts w:ascii="Titillium" w:hAnsi="Titillium"/>
          <w:sz w:val="22"/>
          <w:szCs w:val="22"/>
        </w:rPr>
        <w:t xml:space="preserve">gli </w:t>
      </w:r>
      <w:r w:rsidR="004774AE" w:rsidRPr="00491A31">
        <w:rPr>
          <w:rFonts w:ascii="Titillium" w:hAnsi="Titillium"/>
          <w:sz w:val="22"/>
          <w:szCs w:val="22"/>
        </w:rPr>
        <w:t>art</w:t>
      </w:r>
      <w:r w:rsidRPr="00491A31">
        <w:rPr>
          <w:rFonts w:ascii="Titillium" w:hAnsi="Titillium"/>
          <w:sz w:val="22"/>
          <w:szCs w:val="22"/>
        </w:rPr>
        <w:t>t</w:t>
      </w:r>
      <w:r w:rsidR="004774AE" w:rsidRPr="00491A31">
        <w:rPr>
          <w:rFonts w:ascii="Titillium" w:hAnsi="Titillium"/>
          <w:sz w:val="22"/>
          <w:szCs w:val="22"/>
        </w:rPr>
        <w:t xml:space="preserve">. </w:t>
      </w:r>
      <w:r w:rsidRPr="00491A31">
        <w:rPr>
          <w:rFonts w:ascii="Titillium" w:hAnsi="Titillium"/>
          <w:sz w:val="22"/>
          <w:szCs w:val="22"/>
        </w:rPr>
        <w:t xml:space="preserve">23 e 25 del d.lgs. n. 36/2023, rispettivamente in tema di ecosistema di approvvigionamento digitale e di piattaforme di approvvigionamento digitale; </w:t>
      </w:r>
    </w:p>
    <w:p w:rsidR="006C6C74" w:rsidRPr="00491A31" w:rsidRDefault="006C6C74" w:rsidP="004774AE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VISTI </w:t>
      </w:r>
      <w:r w:rsidRPr="00491A31">
        <w:rPr>
          <w:rFonts w:ascii="Titillium" w:hAnsi="Titillium"/>
          <w:sz w:val="22"/>
          <w:szCs w:val="22"/>
        </w:rPr>
        <w:t>gli artt. 48-55 del d.lgs. n. 36/2023, recanti una specifica disciplina per le procedure di affidamento dei contratti di importo inferiore alle soglie di rilevanza europea;</w:t>
      </w:r>
    </w:p>
    <w:p w:rsidR="00B36A03" w:rsidRPr="00491A31" w:rsidRDefault="00B36A03" w:rsidP="004774AE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CONSIDERATO </w:t>
      </w:r>
      <w:r w:rsidRPr="00491A31">
        <w:rPr>
          <w:rFonts w:ascii="Titillium" w:hAnsi="Titillium"/>
          <w:sz w:val="22"/>
          <w:szCs w:val="22"/>
        </w:rPr>
        <w:t>che l’art. 50</w:t>
      </w:r>
      <w:r w:rsidR="009811A0" w:rsidRPr="00491A31">
        <w:rPr>
          <w:rFonts w:ascii="Titillium" w:hAnsi="Titillium"/>
          <w:sz w:val="22"/>
          <w:szCs w:val="22"/>
        </w:rPr>
        <w:t xml:space="preserve">, comma 1, </w:t>
      </w:r>
      <w:proofErr w:type="spellStart"/>
      <w:r w:rsidR="009811A0" w:rsidRPr="00491A31">
        <w:rPr>
          <w:rFonts w:ascii="Titillium" w:hAnsi="Titillium"/>
          <w:sz w:val="22"/>
          <w:szCs w:val="22"/>
        </w:rPr>
        <w:t>lett</w:t>
      </w:r>
      <w:proofErr w:type="spellEnd"/>
      <w:r w:rsidR="009811A0" w:rsidRPr="00491A31">
        <w:rPr>
          <w:rFonts w:ascii="Titillium" w:hAnsi="Titillium"/>
          <w:sz w:val="22"/>
          <w:szCs w:val="22"/>
        </w:rPr>
        <w:t>. b)</w:t>
      </w:r>
      <w:r w:rsidRPr="00491A31">
        <w:rPr>
          <w:rFonts w:ascii="Titillium" w:hAnsi="Titillium"/>
          <w:sz w:val="22"/>
          <w:szCs w:val="22"/>
        </w:rPr>
        <w:t xml:space="preserve"> del d.lgs. n. 36/2023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:rsidR="00B36A03" w:rsidRPr="00491A31" w:rsidRDefault="00B36A03" w:rsidP="00B36A03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lastRenderedPageBreak/>
        <w:t xml:space="preserve">RITENUTO </w:t>
      </w:r>
      <w:r w:rsidRPr="00491A31">
        <w:rPr>
          <w:rFonts w:ascii="Titillium" w:hAnsi="Titillium"/>
          <w:sz w:val="22"/>
          <w:szCs w:val="22"/>
        </w:rPr>
        <w:t>comunque di effettuare un sonda</w:t>
      </w:r>
      <w:r w:rsidR="00403E95" w:rsidRPr="00491A31">
        <w:rPr>
          <w:rFonts w:ascii="Titillium" w:hAnsi="Titillium"/>
          <w:sz w:val="22"/>
          <w:szCs w:val="22"/>
        </w:rPr>
        <w:t>ggio di mercato interpellando qualificati</w:t>
      </w:r>
      <w:r w:rsidRPr="00491A31">
        <w:rPr>
          <w:rFonts w:ascii="Titillium" w:hAnsi="Titillium"/>
          <w:sz w:val="22"/>
          <w:szCs w:val="22"/>
        </w:rPr>
        <w:t xml:space="preserve"> operatori economici del settore,</w:t>
      </w:r>
      <w:r w:rsidR="00276D2A" w:rsidRPr="00491A31">
        <w:rPr>
          <w:rFonts w:ascii="Titillium" w:hAnsi="Titillium"/>
          <w:sz w:val="22"/>
          <w:szCs w:val="22"/>
        </w:rPr>
        <w:t xml:space="preserve"> che risultino aver eseguito prestazioni analoghe in favore di altre pubbliche amministrazioni,</w:t>
      </w:r>
      <w:r w:rsidRPr="00491A31">
        <w:rPr>
          <w:rFonts w:ascii="Titillium" w:hAnsi="Titillium"/>
          <w:sz w:val="22"/>
          <w:szCs w:val="22"/>
        </w:rPr>
        <w:t xml:space="preserve"> al fine di poter ottenere per l’Autorità le migliori condizioni contrattuali possibili;</w:t>
      </w:r>
    </w:p>
    <w:p w:rsidR="000A6F83" w:rsidRPr="00491A31" w:rsidRDefault="00B36A03" w:rsidP="00B36A03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RITENUTO </w:t>
      </w:r>
      <w:r w:rsidRPr="00491A31">
        <w:rPr>
          <w:rFonts w:ascii="Titillium" w:hAnsi="Titillium"/>
          <w:sz w:val="22"/>
          <w:szCs w:val="22"/>
        </w:rPr>
        <w:t>di coinvolgere, in tal</w:t>
      </w:r>
      <w:r w:rsidR="00CC7586" w:rsidRPr="00491A31">
        <w:rPr>
          <w:rFonts w:ascii="Titillium" w:hAnsi="Titillium"/>
          <w:sz w:val="22"/>
          <w:szCs w:val="22"/>
        </w:rPr>
        <w:t>e sondaggio di mercato, anche i fornitori uscenti P.C.C. Impianti</w:t>
      </w:r>
      <w:r w:rsidRPr="00491A31">
        <w:rPr>
          <w:rFonts w:ascii="Titillium" w:hAnsi="Titillium"/>
          <w:sz w:val="22"/>
          <w:szCs w:val="22"/>
        </w:rPr>
        <w:t xml:space="preserve"> S.r.l.</w:t>
      </w:r>
      <w:r w:rsidR="00B82187">
        <w:rPr>
          <w:rFonts w:ascii="Titillium" w:hAnsi="Titillium"/>
          <w:sz w:val="22"/>
          <w:szCs w:val="22"/>
        </w:rPr>
        <w:t xml:space="preserve"> e T.I.R.E.S.</w:t>
      </w:r>
      <w:r w:rsidR="00CC7586" w:rsidRPr="00491A31">
        <w:rPr>
          <w:rFonts w:ascii="Titillium" w:hAnsi="Titillium"/>
          <w:sz w:val="22"/>
          <w:szCs w:val="22"/>
        </w:rPr>
        <w:t xml:space="preserve"> S.r.l.</w:t>
      </w:r>
      <w:r w:rsidRPr="00491A31">
        <w:rPr>
          <w:rFonts w:ascii="Titillium" w:hAnsi="Titillium"/>
          <w:sz w:val="22"/>
          <w:szCs w:val="22"/>
        </w:rPr>
        <w:t>, in ragione dell’affidabilit</w:t>
      </w:r>
      <w:r w:rsidR="00CC7586" w:rsidRPr="00491A31">
        <w:rPr>
          <w:rFonts w:ascii="Titillium" w:hAnsi="Titillium"/>
          <w:sz w:val="22"/>
          <w:szCs w:val="22"/>
        </w:rPr>
        <w:t>à dimostrata nell’esecuzione dei contratti</w:t>
      </w:r>
      <w:r w:rsidRPr="00491A31">
        <w:rPr>
          <w:rFonts w:ascii="Titillium" w:hAnsi="Titillium"/>
          <w:sz w:val="22"/>
          <w:szCs w:val="22"/>
        </w:rPr>
        <w:t xml:space="preserve"> attualmente in essere</w:t>
      </w:r>
      <w:r w:rsidR="00D731D4" w:rsidRPr="00491A31">
        <w:rPr>
          <w:rFonts w:ascii="Titillium" w:hAnsi="Titillium"/>
          <w:sz w:val="22"/>
          <w:szCs w:val="22"/>
        </w:rPr>
        <w:t xml:space="preserve">, in forza di quanto </w:t>
      </w:r>
      <w:r w:rsidR="00CC7586" w:rsidRPr="00491A31">
        <w:rPr>
          <w:rFonts w:ascii="Titillium" w:hAnsi="Titillium"/>
          <w:sz w:val="22"/>
          <w:szCs w:val="22"/>
        </w:rPr>
        <w:t xml:space="preserve">previsto dall’art. 49, comma 4 del </w:t>
      </w:r>
      <w:r w:rsidR="00D731D4" w:rsidRPr="00491A31">
        <w:rPr>
          <w:rFonts w:ascii="Titillium" w:hAnsi="Titillium"/>
          <w:sz w:val="22"/>
          <w:szCs w:val="22"/>
        </w:rPr>
        <w:t>d.lgs. n. 36/2023</w:t>
      </w:r>
      <w:r w:rsidRPr="00491A31">
        <w:rPr>
          <w:rFonts w:ascii="Titillium" w:hAnsi="Titillium"/>
          <w:sz w:val="22"/>
          <w:szCs w:val="22"/>
        </w:rPr>
        <w:t>;</w:t>
      </w:r>
    </w:p>
    <w:p w:rsidR="00C70912" w:rsidRPr="00491A31" w:rsidRDefault="00C70912" w:rsidP="00276D2A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VISTE </w:t>
      </w:r>
      <w:r w:rsidRPr="00491A31">
        <w:rPr>
          <w:rFonts w:ascii="Titillium" w:hAnsi="Titillium"/>
          <w:sz w:val="22"/>
          <w:szCs w:val="22"/>
        </w:rPr>
        <w:t>le lette</w:t>
      </w:r>
      <w:r w:rsidR="00B82187">
        <w:rPr>
          <w:rFonts w:ascii="Titillium" w:hAnsi="Titillium"/>
          <w:sz w:val="22"/>
          <w:szCs w:val="22"/>
        </w:rPr>
        <w:t>re di richiesta di quotazione della</w:t>
      </w:r>
      <w:r w:rsidRPr="00491A31">
        <w:rPr>
          <w:rFonts w:ascii="Titillium" w:hAnsi="Titillium"/>
          <w:sz w:val="22"/>
          <w:szCs w:val="22"/>
        </w:rPr>
        <w:t xml:space="preserve"> spesa per i servizi sopra descritti </w:t>
      </w:r>
      <w:proofErr w:type="spellStart"/>
      <w:r w:rsidRPr="00491A31">
        <w:rPr>
          <w:rFonts w:ascii="Titillium" w:hAnsi="Titillium"/>
          <w:sz w:val="22"/>
          <w:szCs w:val="22"/>
        </w:rPr>
        <w:t>prot</w:t>
      </w:r>
      <w:proofErr w:type="spellEnd"/>
      <w:r w:rsidRPr="00491A31">
        <w:rPr>
          <w:rFonts w:ascii="Titillium" w:hAnsi="Titillium"/>
          <w:sz w:val="22"/>
          <w:szCs w:val="22"/>
        </w:rPr>
        <w:t xml:space="preserve">. </w:t>
      </w:r>
      <w:proofErr w:type="spellStart"/>
      <w:r w:rsidRPr="00491A31">
        <w:rPr>
          <w:rFonts w:ascii="Titillium" w:hAnsi="Titillium"/>
          <w:sz w:val="22"/>
          <w:szCs w:val="22"/>
        </w:rPr>
        <w:t>nn</w:t>
      </w:r>
      <w:proofErr w:type="spellEnd"/>
      <w:r w:rsidRPr="00491A31">
        <w:rPr>
          <w:rFonts w:ascii="Titillium" w:hAnsi="Titillium"/>
          <w:sz w:val="22"/>
          <w:szCs w:val="22"/>
        </w:rPr>
        <w:t xml:space="preserve">. </w:t>
      </w:r>
      <w:r w:rsidR="00F94CB1" w:rsidRPr="00491A31">
        <w:rPr>
          <w:rFonts w:ascii="Titillium" w:hAnsi="Titillium"/>
          <w:sz w:val="22"/>
          <w:szCs w:val="22"/>
        </w:rPr>
        <w:t xml:space="preserve">55172, </w:t>
      </w:r>
      <w:r w:rsidRPr="00491A31">
        <w:rPr>
          <w:rFonts w:ascii="Titillium" w:hAnsi="Titillium"/>
          <w:sz w:val="22"/>
          <w:szCs w:val="22"/>
        </w:rPr>
        <w:t>55175</w:t>
      </w:r>
      <w:r w:rsidR="00F94CB1" w:rsidRPr="00491A31">
        <w:rPr>
          <w:rFonts w:ascii="Titillium" w:hAnsi="Titillium"/>
          <w:sz w:val="22"/>
          <w:szCs w:val="22"/>
        </w:rPr>
        <w:t xml:space="preserve">, 55179 del 10.7.2023 e </w:t>
      </w:r>
      <w:proofErr w:type="spellStart"/>
      <w:r w:rsidR="00F94CB1" w:rsidRPr="00491A31">
        <w:rPr>
          <w:rFonts w:ascii="Titillium" w:hAnsi="Titillium"/>
          <w:sz w:val="22"/>
          <w:szCs w:val="22"/>
        </w:rPr>
        <w:t>nn</w:t>
      </w:r>
      <w:proofErr w:type="spellEnd"/>
      <w:r w:rsidR="00F94CB1" w:rsidRPr="00491A31">
        <w:rPr>
          <w:rFonts w:ascii="Titillium" w:hAnsi="Titillium"/>
          <w:sz w:val="22"/>
          <w:szCs w:val="22"/>
        </w:rPr>
        <w:t xml:space="preserve">. 56081 e 56091 del 12.7.2023, trasmesse rispettivamente agli operatori economici </w:t>
      </w:r>
      <w:proofErr w:type="spellStart"/>
      <w:r w:rsidR="00A24B0E" w:rsidRPr="00491A31">
        <w:rPr>
          <w:rFonts w:ascii="Titillium" w:hAnsi="Titillium"/>
          <w:sz w:val="22"/>
          <w:szCs w:val="22"/>
        </w:rPr>
        <w:t>Gogepo</w:t>
      </w:r>
      <w:proofErr w:type="spellEnd"/>
      <w:r w:rsidR="00A24B0E" w:rsidRPr="00491A31">
        <w:rPr>
          <w:rFonts w:ascii="Titillium" w:hAnsi="Titillium"/>
          <w:sz w:val="22"/>
          <w:szCs w:val="22"/>
        </w:rPr>
        <w:t xml:space="preserve"> S.r.l., Recir S.r.l., </w:t>
      </w:r>
      <w:proofErr w:type="spellStart"/>
      <w:r w:rsidR="00A24B0E" w:rsidRPr="00491A31">
        <w:rPr>
          <w:rFonts w:ascii="Titillium" w:hAnsi="Titillium"/>
          <w:sz w:val="22"/>
          <w:szCs w:val="22"/>
        </w:rPr>
        <w:t>Edil</w:t>
      </w:r>
      <w:proofErr w:type="spellEnd"/>
      <w:r w:rsidR="00A24B0E" w:rsidRPr="00491A31">
        <w:rPr>
          <w:rFonts w:ascii="Titillium" w:hAnsi="Titillium"/>
          <w:sz w:val="22"/>
          <w:szCs w:val="22"/>
        </w:rPr>
        <w:t xml:space="preserve"> </w:t>
      </w:r>
      <w:proofErr w:type="spellStart"/>
      <w:r w:rsidR="00A24B0E" w:rsidRPr="00491A31">
        <w:rPr>
          <w:rFonts w:ascii="Titillium" w:hAnsi="Titillium"/>
          <w:sz w:val="22"/>
          <w:szCs w:val="22"/>
        </w:rPr>
        <w:t>Sama</w:t>
      </w:r>
      <w:proofErr w:type="spellEnd"/>
      <w:r w:rsidR="00A24B0E" w:rsidRPr="00491A31">
        <w:rPr>
          <w:rFonts w:ascii="Titillium" w:hAnsi="Titillium"/>
          <w:sz w:val="22"/>
          <w:szCs w:val="22"/>
        </w:rPr>
        <w:t xml:space="preserve"> Service House S.r.l., P.C.C. Impianti S.r.l. e T.I.R.E.S. S.r.l.</w:t>
      </w:r>
      <w:r w:rsidRPr="00491A31">
        <w:rPr>
          <w:rFonts w:ascii="Titillium" w:hAnsi="Titillium"/>
          <w:sz w:val="22"/>
          <w:szCs w:val="22"/>
        </w:rPr>
        <w:t>;</w:t>
      </w:r>
    </w:p>
    <w:p w:rsidR="00A24B0E" w:rsidRPr="00491A31" w:rsidRDefault="00C70912" w:rsidP="00276D2A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RILEVATO</w:t>
      </w:r>
      <w:r w:rsidRPr="00491A31">
        <w:rPr>
          <w:rFonts w:ascii="Titillium" w:hAnsi="Titillium"/>
          <w:sz w:val="22"/>
          <w:szCs w:val="22"/>
        </w:rPr>
        <w:t xml:space="preserve"> che</w:t>
      </w:r>
      <w:r w:rsidR="00276D2A" w:rsidRPr="00491A31">
        <w:rPr>
          <w:rFonts w:ascii="Titillium" w:hAnsi="Titillium"/>
          <w:sz w:val="22"/>
          <w:szCs w:val="22"/>
        </w:rPr>
        <w:t xml:space="preserve"> entro il termine assegnato</w:t>
      </w:r>
      <w:r w:rsidRPr="00491A31">
        <w:rPr>
          <w:rFonts w:ascii="Titillium" w:hAnsi="Titillium"/>
          <w:sz w:val="22"/>
          <w:szCs w:val="22"/>
        </w:rPr>
        <w:t xml:space="preserve"> sono pervenute n. </w:t>
      </w:r>
      <w:r w:rsidR="00276D2A" w:rsidRPr="00491A31">
        <w:rPr>
          <w:rFonts w:ascii="Titillium" w:hAnsi="Titillium"/>
          <w:sz w:val="22"/>
          <w:szCs w:val="22"/>
        </w:rPr>
        <w:t>4 (quattro</w:t>
      </w:r>
      <w:r w:rsidRPr="00491A31">
        <w:rPr>
          <w:rFonts w:ascii="Titillium" w:hAnsi="Titillium"/>
          <w:sz w:val="22"/>
          <w:szCs w:val="22"/>
        </w:rPr>
        <w:t>) offerte, da parte degli operatori economici</w:t>
      </w:r>
      <w:r w:rsidR="00A24B0E" w:rsidRPr="00491A31">
        <w:rPr>
          <w:rFonts w:ascii="Titillium" w:hAnsi="Titillium"/>
          <w:sz w:val="22"/>
          <w:szCs w:val="22"/>
        </w:rPr>
        <w:t xml:space="preserve"> </w:t>
      </w:r>
      <w:r w:rsidR="00276D2A" w:rsidRPr="00491A31">
        <w:rPr>
          <w:rFonts w:ascii="Titillium" w:hAnsi="Titillium"/>
          <w:sz w:val="22"/>
          <w:szCs w:val="22"/>
        </w:rPr>
        <w:t xml:space="preserve">Recir S.r.l., </w:t>
      </w:r>
      <w:proofErr w:type="spellStart"/>
      <w:r w:rsidR="00276D2A" w:rsidRPr="00491A31">
        <w:rPr>
          <w:rFonts w:ascii="Titillium" w:hAnsi="Titillium"/>
          <w:sz w:val="22"/>
          <w:szCs w:val="22"/>
        </w:rPr>
        <w:t>Edil</w:t>
      </w:r>
      <w:proofErr w:type="spellEnd"/>
      <w:r w:rsidR="00276D2A" w:rsidRPr="00491A31">
        <w:rPr>
          <w:rFonts w:ascii="Titillium" w:hAnsi="Titillium"/>
          <w:sz w:val="22"/>
          <w:szCs w:val="22"/>
        </w:rPr>
        <w:t xml:space="preserve"> </w:t>
      </w:r>
      <w:proofErr w:type="spellStart"/>
      <w:r w:rsidR="00276D2A" w:rsidRPr="00491A31">
        <w:rPr>
          <w:rFonts w:ascii="Titillium" w:hAnsi="Titillium"/>
          <w:sz w:val="22"/>
          <w:szCs w:val="22"/>
        </w:rPr>
        <w:t>Sama</w:t>
      </w:r>
      <w:proofErr w:type="spellEnd"/>
      <w:r w:rsidR="00276D2A" w:rsidRPr="00491A31">
        <w:rPr>
          <w:rFonts w:ascii="Titillium" w:hAnsi="Titillium"/>
          <w:sz w:val="22"/>
          <w:szCs w:val="22"/>
        </w:rPr>
        <w:t xml:space="preserve"> Service House S.r.l., </w:t>
      </w:r>
      <w:proofErr w:type="spellStart"/>
      <w:r w:rsidR="00276D2A" w:rsidRPr="00491A31">
        <w:rPr>
          <w:rFonts w:ascii="Titillium" w:hAnsi="Titillium"/>
          <w:sz w:val="22"/>
          <w:szCs w:val="22"/>
        </w:rPr>
        <w:t>Cogepo</w:t>
      </w:r>
      <w:proofErr w:type="spellEnd"/>
      <w:r w:rsidR="00276D2A" w:rsidRPr="00491A31">
        <w:rPr>
          <w:rFonts w:ascii="Titillium" w:hAnsi="Titillium"/>
          <w:sz w:val="22"/>
          <w:szCs w:val="22"/>
        </w:rPr>
        <w:t xml:space="preserve"> S.r.l. e T.I.R.E.S. S.r.l.</w:t>
      </w:r>
      <w:r w:rsidRPr="00491A31">
        <w:rPr>
          <w:rFonts w:ascii="Titillium" w:hAnsi="Titillium"/>
          <w:sz w:val="22"/>
          <w:szCs w:val="22"/>
        </w:rPr>
        <w:t>, registrate al protocollo in ingresso dell’Autor</w:t>
      </w:r>
      <w:r w:rsidR="00A24B0E" w:rsidRPr="00491A31">
        <w:rPr>
          <w:rFonts w:ascii="Titillium" w:hAnsi="Titillium"/>
          <w:sz w:val="22"/>
          <w:szCs w:val="22"/>
        </w:rPr>
        <w:t xml:space="preserve">ità rispettivamente ai </w:t>
      </w:r>
      <w:proofErr w:type="spellStart"/>
      <w:r w:rsidR="00A24B0E" w:rsidRPr="00491A31">
        <w:rPr>
          <w:rFonts w:ascii="Titillium" w:hAnsi="Titillium"/>
          <w:sz w:val="22"/>
          <w:szCs w:val="22"/>
        </w:rPr>
        <w:t>nn</w:t>
      </w:r>
      <w:proofErr w:type="spellEnd"/>
      <w:r w:rsidR="00A24B0E" w:rsidRPr="00491A31">
        <w:rPr>
          <w:rFonts w:ascii="Titillium" w:hAnsi="Titillium"/>
          <w:sz w:val="22"/>
          <w:szCs w:val="22"/>
        </w:rPr>
        <w:t xml:space="preserve">. </w:t>
      </w:r>
      <w:r w:rsidR="00276D2A" w:rsidRPr="00491A31">
        <w:rPr>
          <w:rFonts w:ascii="Titillium" w:hAnsi="Titillium"/>
          <w:sz w:val="22"/>
          <w:szCs w:val="22"/>
        </w:rPr>
        <w:t>60398, 60431, 60501 e 60563</w:t>
      </w:r>
      <w:r w:rsidR="00A24B0E" w:rsidRPr="00491A31">
        <w:rPr>
          <w:rFonts w:ascii="Titillium" w:hAnsi="Titillium"/>
          <w:sz w:val="22"/>
          <w:szCs w:val="22"/>
        </w:rPr>
        <w:t xml:space="preserve"> del </w:t>
      </w:r>
      <w:r w:rsidR="00276D2A" w:rsidRPr="00491A31">
        <w:rPr>
          <w:rFonts w:ascii="Titillium" w:hAnsi="Titillium"/>
          <w:sz w:val="22"/>
          <w:szCs w:val="22"/>
        </w:rPr>
        <w:t>25.7.2023</w:t>
      </w:r>
      <w:r w:rsidRPr="00491A31">
        <w:rPr>
          <w:rFonts w:ascii="Titillium" w:hAnsi="Titillium"/>
          <w:sz w:val="22"/>
          <w:szCs w:val="22"/>
        </w:rPr>
        <w:t>;</w:t>
      </w:r>
    </w:p>
    <w:p w:rsidR="00BE0050" w:rsidRPr="00491A31" w:rsidRDefault="00276D2A" w:rsidP="004774AE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RILEVATO </w:t>
      </w:r>
      <w:r w:rsidRPr="00491A31">
        <w:rPr>
          <w:rFonts w:ascii="Titillium" w:hAnsi="Titillium"/>
          <w:sz w:val="22"/>
          <w:szCs w:val="22"/>
        </w:rPr>
        <w:t>inoltre</w:t>
      </w:r>
      <w:r w:rsidR="000A6F83" w:rsidRPr="00491A31">
        <w:rPr>
          <w:rFonts w:ascii="Titillium" w:hAnsi="Titillium"/>
          <w:sz w:val="22"/>
          <w:szCs w:val="22"/>
        </w:rPr>
        <w:t xml:space="preserve"> che, tra tali preventivi di spesa, quello maggiormente conveniente per l’Autorità </w:t>
      </w:r>
      <w:r w:rsidR="00263208">
        <w:rPr>
          <w:rFonts w:ascii="Titillium" w:hAnsi="Titillium"/>
          <w:sz w:val="22"/>
          <w:szCs w:val="22"/>
        </w:rPr>
        <w:t xml:space="preserve">è </w:t>
      </w:r>
      <w:r w:rsidR="000A6F83" w:rsidRPr="00491A31">
        <w:rPr>
          <w:rFonts w:ascii="Titillium" w:hAnsi="Titillium"/>
          <w:sz w:val="22"/>
          <w:szCs w:val="22"/>
        </w:rPr>
        <w:t>risulta</w:t>
      </w:r>
      <w:r w:rsidR="00263208">
        <w:rPr>
          <w:rFonts w:ascii="Titillium" w:hAnsi="Titillium"/>
          <w:sz w:val="22"/>
          <w:szCs w:val="22"/>
        </w:rPr>
        <w:t>to</w:t>
      </w:r>
      <w:r w:rsidR="000A6F83" w:rsidRPr="00491A31">
        <w:rPr>
          <w:rFonts w:ascii="Titillium" w:hAnsi="Titillium"/>
          <w:sz w:val="22"/>
          <w:szCs w:val="22"/>
        </w:rPr>
        <w:t xml:space="preserve"> essere quello propo</w:t>
      </w:r>
      <w:r w:rsidR="00A24B0E" w:rsidRPr="00491A31">
        <w:rPr>
          <w:rFonts w:ascii="Titillium" w:hAnsi="Titillium"/>
          <w:sz w:val="22"/>
          <w:szCs w:val="22"/>
        </w:rPr>
        <w:t xml:space="preserve">sto da </w:t>
      </w:r>
      <w:r w:rsidRPr="00491A31">
        <w:rPr>
          <w:rFonts w:ascii="Titillium" w:hAnsi="Titillium"/>
          <w:sz w:val="22"/>
          <w:szCs w:val="22"/>
        </w:rPr>
        <w:t>Recir</w:t>
      </w:r>
      <w:r w:rsidR="00BE0050" w:rsidRPr="00491A31">
        <w:rPr>
          <w:rFonts w:ascii="Titillium" w:hAnsi="Titillium"/>
          <w:sz w:val="22"/>
          <w:szCs w:val="22"/>
        </w:rPr>
        <w:t xml:space="preserve"> S.r.l.</w:t>
      </w:r>
      <w:r w:rsidR="000A6F83" w:rsidRPr="00491A31">
        <w:rPr>
          <w:rFonts w:ascii="Titillium" w:hAnsi="Titillium"/>
          <w:sz w:val="22"/>
          <w:szCs w:val="22"/>
        </w:rPr>
        <w:t xml:space="preserve">, </w:t>
      </w:r>
      <w:proofErr w:type="spellStart"/>
      <w:r w:rsidR="00BE0050" w:rsidRPr="00491A31">
        <w:rPr>
          <w:rFonts w:ascii="Titillium" w:hAnsi="Titillium"/>
          <w:sz w:val="22"/>
          <w:szCs w:val="22"/>
        </w:rPr>
        <w:t>nn</w:t>
      </w:r>
      <w:proofErr w:type="spellEnd"/>
      <w:r w:rsidR="00BE0050" w:rsidRPr="00491A31">
        <w:rPr>
          <w:rFonts w:ascii="Titillium" w:hAnsi="Titillium"/>
          <w:sz w:val="22"/>
          <w:szCs w:val="22"/>
        </w:rPr>
        <w:t>. 115-2023</w:t>
      </w:r>
      <w:r w:rsidR="00263208">
        <w:rPr>
          <w:rFonts w:ascii="Titillium" w:hAnsi="Titillium"/>
          <w:sz w:val="22"/>
          <w:szCs w:val="22"/>
        </w:rPr>
        <w:t xml:space="preserve"> Rev. 0</w:t>
      </w:r>
      <w:r w:rsidR="00BE0050" w:rsidRPr="00491A31">
        <w:rPr>
          <w:rFonts w:ascii="Titillium" w:hAnsi="Titillium"/>
          <w:sz w:val="22"/>
          <w:szCs w:val="22"/>
        </w:rPr>
        <w:t xml:space="preserve"> e 116-2023 Rev. 0 del 24.7.2023, </w:t>
      </w:r>
      <w:r w:rsidR="000A6F83" w:rsidRPr="00491A31">
        <w:rPr>
          <w:rFonts w:ascii="Titillium" w:hAnsi="Titillium"/>
          <w:sz w:val="22"/>
          <w:szCs w:val="22"/>
        </w:rPr>
        <w:t>registrato al protocollo in in</w:t>
      </w:r>
      <w:r w:rsidR="00A24B0E" w:rsidRPr="00491A31">
        <w:rPr>
          <w:rFonts w:ascii="Titillium" w:hAnsi="Titillium"/>
          <w:sz w:val="22"/>
          <w:szCs w:val="22"/>
        </w:rPr>
        <w:t xml:space="preserve">gresso dell’Autorità al n. </w:t>
      </w:r>
      <w:r w:rsidR="00BE0050" w:rsidRPr="00491A31">
        <w:rPr>
          <w:rFonts w:ascii="Titillium" w:hAnsi="Titillium"/>
          <w:sz w:val="22"/>
          <w:szCs w:val="22"/>
        </w:rPr>
        <w:t>60398</w:t>
      </w:r>
      <w:r w:rsidR="00A24B0E" w:rsidRPr="00491A31">
        <w:rPr>
          <w:rFonts w:ascii="Titillium" w:hAnsi="Titillium"/>
          <w:sz w:val="22"/>
          <w:szCs w:val="22"/>
        </w:rPr>
        <w:t xml:space="preserve"> del </w:t>
      </w:r>
      <w:r w:rsidR="00BE0050" w:rsidRPr="00491A31">
        <w:rPr>
          <w:rFonts w:ascii="Titillium" w:hAnsi="Titillium"/>
          <w:sz w:val="22"/>
          <w:szCs w:val="22"/>
        </w:rPr>
        <w:t xml:space="preserve">25.7.2023, per un importo complessivo pari ad € 97.000,00, IVA esclusa, mentre la </w:t>
      </w:r>
      <w:proofErr w:type="spellStart"/>
      <w:r w:rsidR="00BE0050" w:rsidRPr="00491A31">
        <w:rPr>
          <w:rFonts w:ascii="Titillium" w:hAnsi="Titillium"/>
          <w:sz w:val="22"/>
          <w:szCs w:val="22"/>
        </w:rPr>
        <w:t>Edil</w:t>
      </w:r>
      <w:proofErr w:type="spellEnd"/>
      <w:r w:rsidR="00BE0050" w:rsidRPr="00491A31">
        <w:rPr>
          <w:rFonts w:ascii="Titillium" w:hAnsi="Titillium"/>
          <w:sz w:val="22"/>
          <w:szCs w:val="22"/>
        </w:rPr>
        <w:t xml:space="preserve"> </w:t>
      </w:r>
      <w:proofErr w:type="spellStart"/>
      <w:r w:rsidR="00BE0050" w:rsidRPr="00491A31">
        <w:rPr>
          <w:rFonts w:ascii="Titillium" w:hAnsi="Titillium"/>
          <w:sz w:val="22"/>
          <w:szCs w:val="22"/>
        </w:rPr>
        <w:t>Sama</w:t>
      </w:r>
      <w:proofErr w:type="spellEnd"/>
      <w:r w:rsidR="00BE0050" w:rsidRPr="00491A31">
        <w:rPr>
          <w:rFonts w:ascii="Titillium" w:hAnsi="Titillium"/>
          <w:sz w:val="22"/>
          <w:szCs w:val="22"/>
        </w:rPr>
        <w:t xml:space="preserve"> Service House S.r.l., la </w:t>
      </w:r>
      <w:proofErr w:type="spellStart"/>
      <w:r w:rsidR="00BE0050" w:rsidRPr="00491A31">
        <w:rPr>
          <w:rFonts w:ascii="Titillium" w:hAnsi="Titillium"/>
          <w:sz w:val="22"/>
          <w:szCs w:val="22"/>
        </w:rPr>
        <w:t>Cogepo</w:t>
      </w:r>
      <w:proofErr w:type="spellEnd"/>
      <w:r w:rsidR="00BE0050" w:rsidRPr="00491A31">
        <w:rPr>
          <w:rFonts w:ascii="Titillium" w:hAnsi="Titillium"/>
          <w:sz w:val="22"/>
          <w:szCs w:val="22"/>
        </w:rPr>
        <w:t xml:space="preserve"> S.r.l. e la T.I.R.E.S. S.r.l.</w:t>
      </w:r>
      <w:r w:rsidR="00263208">
        <w:rPr>
          <w:rFonts w:ascii="Titillium" w:hAnsi="Titillium"/>
          <w:sz w:val="22"/>
          <w:szCs w:val="22"/>
        </w:rPr>
        <w:t xml:space="preserve"> hanno proposto quotazioni</w:t>
      </w:r>
      <w:r w:rsidR="00BE0050" w:rsidRPr="00491A31">
        <w:rPr>
          <w:rFonts w:ascii="Titillium" w:hAnsi="Titillium"/>
          <w:sz w:val="22"/>
          <w:szCs w:val="22"/>
        </w:rPr>
        <w:t xml:space="preserve"> di spesa rispettivamente di € 132.300,00, IVA esclusa, di € 190.900,00, IVA esclusa, e di € 128.100,00, IVA esclusa;</w:t>
      </w:r>
    </w:p>
    <w:p w:rsidR="00BE0050" w:rsidRPr="00491A31" w:rsidRDefault="00BE0050" w:rsidP="004774AE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RITENUTO</w:t>
      </w:r>
      <w:r w:rsidRPr="00491A31">
        <w:rPr>
          <w:rFonts w:ascii="Titillium" w:hAnsi="Titillium"/>
          <w:sz w:val="22"/>
          <w:szCs w:val="22"/>
        </w:rPr>
        <w:t xml:space="preserve"> di invitare il predetto operatore economico Recir S.r.l. a fornire alcun</w:t>
      </w:r>
      <w:r w:rsidR="00EE191B" w:rsidRPr="00491A31">
        <w:rPr>
          <w:rFonts w:ascii="Titillium" w:hAnsi="Titillium"/>
          <w:sz w:val="22"/>
          <w:szCs w:val="22"/>
        </w:rPr>
        <w:t>i chiarimenti in merito ai preventivi</w:t>
      </w:r>
      <w:r w:rsidRPr="00491A31">
        <w:rPr>
          <w:rFonts w:ascii="Titillium" w:hAnsi="Titillium"/>
          <w:sz w:val="22"/>
          <w:szCs w:val="22"/>
        </w:rPr>
        <w:t xml:space="preserve"> di spesa pres</w:t>
      </w:r>
      <w:r w:rsidR="00EE191B" w:rsidRPr="00491A31">
        <w:rPr>
          <w:rFonts w:ascii="Titillium" w:hAnsi="Titillium"/>
          <w:sz w:val="22"/>
          <w:szCs w:val="22"/>
        </w:rPr>
        <w:t>entati, al fine di consentire la puntuale definizione di ogni aspetto t</w:t>
      </w:r>
      <w:r w:rsidR="00F35878">
        <w:rPr>
          <w:rFonts w:ascii="Titillium" w:hAnsi="Titillium"/>
          <w:sz w:val="22"/>
          <w:szCs w:val="22"/>
        </w:rPr>
        <w:t>ecnico relativo all’esecuzione</w:t>
      </w:r>
      <w:r w:rsidR="00EE191B" w:rsidRPr="00491A31">
        <w:rPr>
          <w:rFonts w:ascii="Titillium" w:hAnsi="Titillium"/>
          <w:sz w:val="22"/>
          <w:szCs w:val="22"/>
        </w:rPr>
        <w:t xml:space="preserve"> del servizio in parola;</w:t>
      </w:r>
    </w:p>
    <w:p w:rsidR="00EE191B" w:rsidRPr="00491A31" w:rsidRDefault="00EE191B" w:rsidP="004774AE">
      <w:pPr>
        <w:widowControl w:val="0"/>
        <w:spacing w:after="120" w:line="276" w:lineRule="auto"/>
        <w:jc w:val="both"/>
        <w:rPr>
          <w:rFonts w:ascii="Titillium" w:hAnsi="Titillium" w:cs="Titillium Web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VISTA</w:t>
      </w:r>
      <w:r w:rsidRPr="00491A31">
        <w:rPr>
          <w:rFonts w:ascii="Titillium" w:hAnsi="Titillium"/>
          <w:sz w:val="22"/>
          <w:szCs w:val="22"/>
        </w:rPr>
        <w:t xml:space="preserve"> la nota </w:t>
      </w:r>
      <w:proofErr w:type="spellStart"/>
      <w:r w:rsidRPr="00491A31">
        <w:rPr>
          <w:rFonts w:ascii="Titillium" w:hAnsi="Titillium"/>
          <w:sz w:val="22"/>
          <w:szCs w:val="22"/>
        </w:rPr>
        <w:t>prot</w:t>
      </w:r>
      <w:proofErr w:type="spellEnd"/>
      <w:r w:rsidRPr="00491A31">
        <w:rPr>
          <w:rFonts w:ascii="Titillium" w:hAnsi="Titillium"/>
          <w:sz w:val="22"/>
          <w:szCs w:val="22"/>
        </w:rPr>
        <w:t>. n. 60627 del 25.7.2023 con la quale la società Recir S.r.l. è stata</w:t>
      </w:r>
      <w:r w:rsidR="00F21AC6" w:rsidRPr="00491A31">
        <w:rPr>
          <w:rFonts w:ascii="Titillium" w:hAnsi="Titillium"/>
          <w:sz w:val="22"/>
          <w:szCs w:val="22"/>
        </w:rPr>
        <w:t xml:space="preserve"> quindi</w:t>
      </w:r>
      <w:r w:rsidRPr="00491A31">
        <w:rPr>
          <w:rFonts w:ascii="Titillium" w:hAnsi="Titillium"/>
          <w:sz w:val="22"/>
          <w:szCs w:val="22"/>
        </w:rPr>
        <w:t xml:space="preserve"> invitata </w:t>
      </w:r>
      <w:r w:rsidR="00F21AC6" w:rsidRPr="00491A31">
        <w:rPr>
          <w:rFonts w:ascii="Titillium" w:hAnsi="Titillium"/>
          <w:sz w:val="22"/>
          <w:szCs w:val="22"/>
        </w:rPr>
        <w:t xml:space="preserve">a fornire alcuni chiarimenti in merito ai preventivi di spesa </w:t>
      </w:r>
      <w:proofErr w:type="spellStart"/>
      <w:r w:rsidR="00F21AC6" w:rsidRPr="00491A31">
        <w:rPr>
          <w:rFonts w:ascii="Titillium" w:hAnsi="Titillium"/>
          <w:sz w:val="22"/>
          <w:szCs w:val="22"/>
        </w:rPr>
        <w:t>nn</w:t>
      </w:r>
      <w:proofErr w:type="spellEnd"/>
      <w:r w:rsidR="00F21AC6" w:rsidRPr="00491A31">
        <w:rPr>
          <w:rFonts w:ascii="Titillium" w:hAnsi="Titillium"/>
          <w:sz w:val="22"/>
          <w:szCs w:val="22"/>
        </w:rPr>
        <w:t xml:space="preserve">. 115-2023 </w:t>
      </w:r>
      <w:r w:rsidR="00607BD9" w:rsidRPr="00491A31">
        <w:rPr>
          <w:rFonts w:ascii="Titillium" w:hAnsi="Titillium"/>
          <w:sz w:val="22"/>
          <w:szCs w:val="22"/>
        </w:rPr>
        <w:t xml:space="preserve">Rev. 0 </w:t>
      </w:r>
      <w:r w:rsidR="00F21AC6" w:rsidRPr="00491A31">
        <w:rPr>
          <w:rFonts w:ascii="Titillium" w:hAnsi="Titillium"/>
          <w:sz w:val="22"/>
          <w:szCs w:val="22"/>
        </w:rPr>
        <w:t xml:space="preserve">e 116-2023 Rev. 0 del 24.7.2023 e </w:t>
      </w:r>
      <w:r w:rsidRPr="00491A31">
        <w:rPr>
          <w:rFonts w:ascii="Titillium" w:hAnsi="Titillium"/>
          <w:sz w:val="22"/>
          <w:szCs w:val="22"/>
        </w:rPr>
        <w:t>ad aggiornare</w:t>
      </w:r>
      <w:r w:rsidR="00F21AC6" w:rsidRPr="00491A31">
        <w:rPr>
          <w:rFonts w:ascii="Titillium" w:hAnsi="Titillium"/>
          <w:sz w:val="22"/>
          <w:szCs w:val="22"/>
        </w:rPr>
        <w:t xml:space="preserve"> o confermare gli stessi</w:t>
      </w:r>
      <w:r w:rsidRPr="00491A31">
        <w:rPr>
          <w:rFonts w:ascii="Titillium" w:hAnsi="Titillium"/>
          <w:sz w:val="22"/>
          <w:szCs w:val="22"/>
        </w:rPr>
        <w:t>, alla luce dell’esigen</w:t>
      </w:r>
      <w:r w:rsidR="00F21AC6" w:rsidRPr="00491A31">
        <w:rPr>
          <w:rFonts w:ascii="Titillium" w:hAnsi="Titillium"/>
          <w:sz w:val="22"/>
          <w:szCs w:val="22"/>
        </w:rPr>
        <w:t>za di ricomprendervi</w:t>
      </w:r>
      <w:r w:rsidRPr="00491A31">
        <w:rPr>
          <w:rFonts w:ascii="Titillium" w:hAnsi="Titillium"/>
          <w:sz w:val="22"/>
          <w:szCs w:val="22"/>
        </w:rPr>
        <w:t xml:space="preserve"> anche le voci di spesa riferite ai </w:t>
      </w:r>
      <w:r w:rsidRPr="00491A31">
        <w:rPr>
          <w:rFonts w:ascii="Titillium" w:hAnsi="Titillium" w:cs="Titillium Web"/>
          <w:sz w:val="22"/>
          <w:szCs w:val="22"/>
        </w:rPr>
        <w:t xml:space="preserve">servizi di reperibilità e di intervento in caso di guasto o anomalia degli impianti, nonché alla fornitura di una scheda SIM con abbonamento per la garanzia dell’operatività del quadro sinottico dialogante con il gruppo elettrogeno e la centrale allarme sita nella portineria della sede dell’Autorità, tenuto altresì conto del monte ore complessivo occorrente per l’esecuzione dell’appalto e dell’inquadramento </w:t>
      </w:r>
      <w:r w:rsidR="000E32B5" w:rsidRPr="00491A31">
        <w:rPr>
          <w:rFonts w:ascii="Titillium" w:hAnsi="Titillium" w:cs="Titillium Web"/>
          <w:sz w:val="22"/>
          <w:szCs w:val="22"/>
        </w:rPr>
        <w:t>contrattuale del personale attualmente impiegato nell’erogazione delle prestazioni;</w:t>
      </w:r>
    </w:p>
    <w:p w:rsidR="000E32B5" w:rsidRDefault="00607BD9" w:rsidP="000E32B5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VISTI</w:t>
      </w:r>
      <w:r w:rsidRPr="00491A31">
        <w:rPr>
          <w:rFonts w:ascii="Titillium" w:hAnsi="Titillium"/>
          <w:sz w:val="22"/>
          <w:szCs w:val="22"/>
        </w:rPr>
        <w:t xml:space="preserve"> i</w:t>
      </w:r>
      <w:r w:rsidR="000E32B5" w:rsidRPr="00491A31">
        <w:rPr>
          <w:rFonts w:ascii="Titillium" w:hAnsi="Titillium"/>
          <w:sz w:val="22"/>
          <w:szCs w:val="22"/>
        </w:rPr>
        <w:t xml:space="preserve"> de</w:t>
      </w:r>
      <w:r w:rsidRPr="00491A31">
        <w:rPr>
          <w:rFonts w:ascii="Titillium" w:hAnsi="Titillium"/>
          <w:sz w:val="22"/>
          <w:szCs w:val="22"/>
        </w:rPr>
        <w:t>finitivi</w:t>
      </w:r>
      <w:r w:rsidR="000E32B5" w:rsidRPr="00491A31">
        <w:rPr>
          <w:rFonts w:ascii="Titillium" w:hAnsi="Titillium"/>
          <w:sz w:val="22"/>
          <w:szCs w:val="22"/>
        </w:rPr>
        <w:t xml:space="preserve"> </w:t>
      </w:r>
      <w:r w:rsidRPr="00491A31">
        <w:rPr>
          <w:rFonts w:ascii="Titillium" w:hAnsi="Titillium"/>
          <w:sz w:val="22"/>
          <w:szCs w:val="22"/>
        </w:rPr>
        <w:t>preventivi di spesa prodotti</w:t>
      </w:r>
      <w:r w:rsidR="000E32B5" w:rsidRPr="00491A31">
        <w:rPr>
          <w:rFonts w:ascii="Titillium" w:hAnsi="Titillium"/>
          <w:sz w:val="22"/>
          <w:szCs w:val="22"/>
        </w:rPr>
        <w:t xml:space="preserve"> dalla società Recir S.r.l. in data </w:t>
      </w:r>
      <w:r w:rsidRPr="00491A31">
        <w:rPr>
          <w:rFonts w:ascii="Titillium" w:hAnsi="Titillium"/>
          <w:sz w:val="22"/>
          <w:szCs w:val="22"/>
        </w:rPr>
        <w:t>28.7.2023</w:t>
      </w:r>
      <w:r w:rsidR="000E32B5" w:rsidRPr="00491A31">
        <w:rPr>
          <w:rFonts w:ascii="Titillium" w:hAnsi="Titillium"/>
          <w:sz w:val="22"/>
          <w:szCs w:val="22"/>
        </w:rPr>
        <w:t xml:space="preserve">, </w:t>
      </w:r>
      <w:proofErr w:type="spellStart"/>
      <w:r w:rsidRPr="00491A31">
        <w:rPr>
          <w:rFonts w:ascii="Titillium" w:hAnsi="Titillium"/>
          <w:sz w:val="22"/>
          <w:szCs w:val="22"/>
        </w:rPr>
        <w:t>nn</w:t>
      </w:r>
      <w:proofErr w:type="spellEnd"/>
      <w:r w:rsidRPr="00491A31">
        <w:rPr>
          <w:rFonts w:ascii="Titillium" w:hAnsi="Titillium"/>
          <w:sz w:val="22"/>
          <w:szCs w:val="22"/>
        </w:rPr>
        <w:t>. 115-2023 Rev. 1 e 116-2023 Rev. 1, registrati</w:t>
      </w:r>
      <w:r w:rsidR="000E32B5" w:rsidRPr="00491A31">
        <w:rPr>
          <w:rFonts w:ascii="Titillium" w:hAnsi="Titillium"/>
          <w:sz w:val="22"/>
          <w:szCs w:val="22"/>
        </w:rPr>
        <w:t xml:space="preserve"> </w:t>
      </w:r>
      <w:r w:rsidRPr="00491A31">
        <w:rPr>
          <w:rFonts w:ascii="Titillium" w:hAnsi="Titillium"/>
          <w:sz w:val="22"/>
          <w:szCs w:val="22"/>
        </w:rPr>
        <w:t>in data 31.7.2023</w:t>
      </w:r>
      <w:r w:rsidR="000E32B5" w:rsidRPr="00491A31">
        <w:rPr>
          <w:rFonts w:ascii="Titillium" w:hAnsi="Titillium"/>
          <w:sz w:val="22"/>
          <w:szCs w:val="22"/>
        </w:rPr>
        <w:t xml:space="preserve"> al protocollo </w:t>
      </w:r>
      <w:r w:rsidRPr="00491A31">
        <w:rPr>
          <w:rFonts w:ascii="Titillium" w:hAnsi="Titillium"/>
          <w:sz w:val="22"/>
          <w:szCs w:val="22"/>
        </w:rPr>
        <w:t>in ingresso dell’Autorità al n. 62233, relativi</w:t>
      </w:r>
      <w:r w:rsidR="000E32B5" w:rsidRPr="00491A31">
        <w:rPr>
          <w:rFonts w:ascii="Titillium" w:hAnsi="Titillium"/>
          <w:sz w:val="22"/>
          <w:szCs w:val="22"/>
        </w:rPr>
        <w:t xml:space="preserve"> ai servizi di manutenzione impiantis</w:t>
      </w:r>
      <w:r w:rsidR="00942520">
        <w:rPr>
          <w:rFonts w:ascii="Titillium" w:hAnsi="Titillium"/>
          <w:sz w:val="22"/>
          <w:szCs w:val="22"/>
        </w:rPr>
        <w:t>tica sopra descritti e integrati</w:t>
      </w:r>
      <w:r w:rsidR="000E32B5" w:rsidRPr="00491A31">
        <w:rPr>
          <w:rFonts w:ascii="Titillium" w:hAnsi="Titillium"/>
          <w:sz w:val="22"/>
          <w:szCs w:val="22"/>
        </w:rPr>
        <w:t xml:space="preserve"> alla luce delle precisazioni fornite </w:t>
      </w:r>
      <w:r w:rsidR="00942520">
        <w:rPr>
          <w:rFonts w:ascii="Titillium" w:hAnsi="Titillium"/>
          <w:sz w:val="22"/>
          <w:szCs w:val="22"/>
        </w:rPr>
        <w:t xml:space="preserve">da A.N.AC. </w:t>
      </w:r>
      <w:r w:rsidR="000E32B5" w:rsidRPr="00491A31">
        <w:rPr>
          <w:rFonts w:ascii="Titillium" w:hAnsi="Titillium"/>
          <w:sz w:val="22"/>
          <w:szCs w:val="22"/>
        </w:rPr>
        <w:t xml:space="preserve">con la citata nota </w:t>
      </w:r>
      <w:proofErr w:type="spellStart"/>
      <w:r w:rsidR="000E32B5" w:rsidRPr="00491A31">
        <w:rPr>
          <w:rFonts w:ascii="Titillium" w:hAnsi="Titillium"/>
          <w:sz w:val="22"/>
          <w:szCs w:val="22"/>
        </w:rPr>
        <w:t>prot</w:t>
      </w:r>
      <w:proofErr w:type="spellEnd"/>
      <w:r w:rsidR="000E32B5" w:rsidRPr="00491A31">
        <w:rPr>
          <w:rFonts w:ascii="Titillium" w:hAnsi="Titillium"/>
          <w:sz w:val="22"/>
          <w:szCs w:val="22"/>
        </w:rPr>
        <w:t>. n. 60627 del 25.7.2023;</w:t>
      </w:r>
    </w:p>
    <w:p w:rsidR="00DF50E4" w:rsidRPr="00491A31" w:rsidRDefault="00DF50E4" w:rsidP="000E32B5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DF50E4">
        <w:rPr>
          <w:rFonts w:ascii="Titillium" w:hAnsi="Titillium"/>
          <w:b/>
          <w:sz w:val="22"/>
          <w:szCs w:val="22"/>
        </w:rPr>
        <w:t>RILEVATO</w:t>
      </w:r>
      <w:r>
        <w:rPr>
          <w:rFonts w:ascii="Titillium" w:hAnsi="Titillium"/>
          <w:sz w:val="22"/>
          <w:szCs w:val="22"/>
        </w:rPr>
        <w:t xml:space="preserve"> che i preventivi di spesa prodotti dalla Recir S.r.l., anche a seguito dell’integrazione di cui al punto precedente, per un importo complessivo pari ad € 106.000,00 oltre IVA, presentano condizioni contrattuali più vantaggiose per l’Autorità di quelle proposte dagli ulteriori operatori economici interpellati;</w:t>
      </w:r>
    </w:p>
    <w:p w:rsidR="006C6C74" w:rsidRPr="00491A31" w:rsidRDefault="000A6F83" w:rsidP="000A6F83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lastRenderedPageBreak/>
        <w:t xml:space="preserve">RITENUTO </w:t>
      </w:r>
      <w:r w:rsidRPr="00491A31">
        <w:rPr>
          <w:rFonts w:ascii="Titillium" w:hAnsi="Titillium"/>
          <w:sz w:val="22"/>
          <w:szCs w:val="22"/>
        </w:rPr>
        <w:t>quindi di accettare la ci</w:t>
      </w:r>
      <w:r w:rsidR="00D9010F" w:rsidRPr="00491A31">
        <w:rPr>
          <w:rFonts w:ascii="Titillium" w:hAnsi="Titillium"/>
          <w:sz w:val="22"/>
          <w:szCs w:val="22"/>
        </w:rPr>
        <w:t xml:space="preserve">tata offerta </w:t>
      </w:r>
      <w:proofErr w:type="spellStart"/>
      <w:r w:rsidR="00D9010F" w:rsidRPr="00491A31">
        <w:rPr>
          <w:rFonts w:ascii="Titillium" w:hAnsi="Titillium"/>
          <w:sz w:val="22"/>
          <w:szCs w:val="22"/>
        </w:rPr>
        <w:t>prot</w:t>
      </w:r>
      <w:proofErr w:type="spellEnd"/>
      <w:r w:rsidR="00D9010F" w:rsidRPr="00491A31">
        <w:rPr>
          <w:rFonts w:ascii="Titillium" w:hAnsi="Titillium"/>
          <w:sz w:val="22"/>
          <w:szCs w:val="22"/>
        </w:rPr>
        <w:t>. n. 62233 del 31.7.2023 di Recir S.r.l., che prevede un importo di € 53.100,00</w:t>
      </w:r>
      <w:r w:rsidR="006E0721" w:rsidRPr="00491A31">
        <w:rPr>
          <w:rFonts w:ascii="Titillium" w:hAnsi="Titillium"/>
          <w:sz w:val="22"/>
          <w:szCs w:val="22"/>
        </w:rPr>
        <w:t xml:space="preserve"> oltre IVA per </w:t>
      </w:r>
      <w:r w:rsidR="00A24B0E" w:rsidRPr="00491A31">
        <w:rPr>
          <w:rFonts w:ascii="Titillium" w:hAnsi="Titillium"/>
          <w:sz w:val="22"/>
          <w:szCs w:val="22"/>
        </w:rPr>
        <w:t xml:space="preserve">il </w:t>
      </w:r>
      <w:r w:rsidR="00A24B0E" w:rsidRPr="00491A31">
        <w:rPr>
          <w:rFonts w:ascii="Titillium" w:hAnsi="Titillium"/>
          <w:noProof/>
          <w:sz w:val="22"/>
          <w:szCs w:val="22"/>
        </w:rPr>
        <w:t xml:space="preserve">servizio di </w:t>
      </w:r>
      <w:r w:rsidR="00A24B0E" w:rsidRPr="00491A31">
        <w:rPr>
          <w:rFonts w:ascii="Titillium" w:hAnsi="Titillium"/>
          <w:sz w:val="22"/>
          <w:szCs w:val="22"/>
        </w:rPr>
        <w:t xml:space="preserve">conduzione e manutenzione ordinaria degli impianti elettrici, </w:t>
      </w:r>
      <w:r w:rsidR="003C7760">
        <w:rPr>
          <w:rFonts w:ascii="Titillium" w:hAnsi="Titillium"/>
          <w:sz w:val="22"/>
          <w:szCs w:val="22"/>
        </w:rPr>
        <w:t xml:space="preserve">di </w:t>
      </w:r>
      <w:r w:rsidR="00A24B0E" w:rsidRPr="00491A31">
        <w:rPr>
          <w:rFonts w:ascii="Titillium" w:hAnsi="Titillium"/>
          <w:sz w:val="22"/>
          <w:szCs w:val="22"/>
        </w:rPr>
        <w:t xml:space="preserve">sicurezza e controllo accessi, reti e antincendio </w:t>
      </w:r>
      <w:r w:rsidR="00D9010F" w:rsidRPr="00491A31">
        <w:rPr>
          <w:rFonts w:ascii="Titillium" w:hAnsi="Titillium"/>
          <w:sz w:val="22"/>
          <w:szCs w:val="22"/>
        </w:rPr>
        <w:t>per una durata di n. 10 mesi, a decorrere dal 8.10.2023, e un importo</w:t>
      </w:r>
      <w:r w:rsidR="00A24B0E" w:rsidRPr="00491A31">
        <w:rPr>
          <w:rFonts w:ascii="Titillium" w:hAnsi="Titillium"/>
          <w:sz w:val="22"/>
          <w:szCs w:val="22"/>
        </w:rPr>
        <w:t xml:space="preserve"> di € </w:t>
      </w:r>
      <w:r w:rsidR="00D9010F" w:rsidRPr="00491A31">
        <w:rPr>
          <w:rFonts w:ascii="Titillium" w:hAnsi="Titillium"/>
          <w:sz w:val="22"/>
          <w:szCs w:val="22"/>
        </w:rPr>
        <w:t>52.900,00</w:t>
      </w:r>
      <w:r w:rsidR="00A24B0E" w:rsidRPr="00491A31">
        <w:rPr>
          <w:rFonts w:ascii="Titillium" w:hAnsi="Titillium"/>
          <w:sz w:val="22"/>
          <w:szCs w:val="22"/>
        </w:rPr>
        <w:t xml:space="preserve"> oltre IVA per il servizio </w:t>
      </w:r>
      <w:r w:rsidR="00A24B0E" w:rsidRPr="00491A31">
        <w:rPr>
          <w:rFonts w:ascii="Titillium" w:hAnsi="Titillium"/>
          <w:noProof/>
          <w:sz w:val="22"/>
          <w:szCs w:val="22"/>
        </w:rPr>
        <w:t xml:space="preserve">di conduzione e manutenzione degli impianti di climatizzazione </w:t>
      </w:r>
      <w:r w:rsidR="00A24B0E" w:rsidRPr="00491A31">
        <w:rPr>
          <w:rFonts w:ascii="Titillium" w:hAnsi="Titillium"/>
          <w:sz w:val="22"/>
          <w:szCs w:val="22"/>
        </w:rPr>
        <w:t>centralizzati, dei climatizzatori autonomi e degli impianti idrico-sanitari</w:t>
      </w:r>
      <w:r w:rsidR="00D9010F" w:rsidRPr="00491A31">
        <w:rPr>
          <w:rFonts w:ascii="Titillium" w:hAnsi="Titillium"/>
          <w:sz w:val="22"/>
          <w:szCs w:val="22"/>
        </w:rPr>
        <w:t xml:space="preserve"> per una durata di n. 11 mesi</w:t>
      </w:r>
      <w:r w:rsidR="008C2DD8" w:rsidRPr="00491A31">
        <w:rPr>
          <w:rFonts w:ascii="Titillium" w:hAnsi="Titillium"/>
          <w:sz w:val="22"/>
          <w:szCs w:val="22"/>
        </w:rPr>
        <w:t>,</w:t>
      </w:r>
      <w:r w:rsidR="00D9010F" w:rsidRPr="00491A31">
        <w:rPr>
          <w:rFonts w:ascii="Titillium" w:hAnsi="Titillium"/>
          <w:sz w:val="22"/>
          <w:szCs w:val="22"/>
        </w:rPr>
        <w:t xml:space="preserve"> </w:t>
      </w:r>
      <w:r w:rsidR="003C7760">
        <w:rPr>
          <w:rFonts w:ascii="Titillium" w:hAnsi="Titillium"/>
          <w:sz w:val="22"/>
          <w:szCs w:val="22"/>
        </w:rPr>
        <w:t>a decorrere dal 9.9.2023;</w:t>
      </w:r>
    </w:p>
    <w:p w:rsidR="00603567" w:rsidRPr="00491A31" w:rsidRDefault="00603567" w:rsidP="000A6F83">
      <w:pPr>
        <w:widowControl w:val="0"/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CONSIDERATO </w:t>
      </w:r>
      <w:r w:rsidRPr="00491A31">
        <w:rPr>
          <w:rFonts w:ascii="Titillium" w:hAnsi="Titillium"/>
          <w:sz w:val="22"/>
          <w:szCs w:val="22"/>
        </w:rPr>
        <w:t>che gli oneri della sicurezza per rischi di natura</w:t>
      </w:r>
      <w:r w:rsidR="00D9010F" w:rsidRPr="00491A31">
        <w:rPr>
          <w:rFonts w:ascii="Titillium" w:hAnsi="Titillium"/>
          <w:sz w:val="22"/>
          <w:szCs w:val="22"/>
        </w:rPr>
        <w:t xml:space="preserve"> in</w:t>
      </w:r>
      <w:r w:rsidR="0057580A" w:rsidRPr="00491A31">
        <w:rPr>
          <w:rFonts w:ascii="Titillium" w:hAnsi="Titillium"/>
          <w:sz w:val="22"/>
          <w:szCs w:val="22"/>
        </w:rPr>
        <w:t>terferenziale sono pari ad € 366</w:t>
      </w:r>
      <w:r w:rsidR="00D9010F" w:rsidRPr="00491A31">
        <w:rPr>
          <w:rFonts w:ascii="Titillium" w:hAnsi="Titillium"/>
          <w:sz w:val="22"/>
          <w:szCs w:val="22"/>
        </w:rPr>
        <w:t>,46</w:t>
      </w:r>
      <w:r w:rsidRPr="00491A31">
        <w:rPr>
          <w:rFonts w:ascii="Titillium" w:hAnsi="Titillium"/>
          <w:sz w:val="22"/>
          <w:szCs w:val="22"/>
        </w:rPr>
        <w:t>, come da apposito DUVRI</w:t>
      </w:r>
      <w:r w:rsidR="0040726A" w:rsidRPr="00491A31">
        <w:rPr>
          <w:rFonts w:ascii="Titillium" w:hAnsi="Titillium"/>
          <w:sz w:val="22"/>
          <w:szCs w:val="22"/>
        </w:rPr>
        <w:t xml:space="preserve"> redatto</w:t>
      </w:r>
      <w:r w:rsidRPr="00491A31">
        <w:rPr>
          <w:rFonts w:ascii="Titillium" w:hAnsi="Titillium"/>
          <w:sz w:val="22"/>
          <w:szCs w:val="22"/>
        </w:rPr>
        <w:t>;</w:t>
      </w:r>
    </w:p>
    <w:p w:rsidR="002750CE" w:rsidRPr="00491A31" w:rsidRDefault="002750CE" w:rsidP="00F77C35">
      <w:pPr>
        <w:spacing w:after="120" w:line="276" w:lineRule="auto"/>
        <w:jc w:val="both"/>
        <w:rPr>
          <w:rFonts w:ascii="Titillium" w:hAnsi="Titillium"/>
          <w:b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 xml:space="preserve">CONSIDERATO </w:t>
      </w:r>
      <w:r w:rsidR="00FA472B" w:rsidRPr="00491A31">
        <w:rPr>
          <w:rFonts w:ascii="Titillium" w:hAnsi="Titillium"/>
          <w:sz w:val="22"/>
          <w:szCs w:val="22"/>
        </w:rPr>
        <w:t xml:space="preserve">che i servizi di gestione delle proprietà immobiliari sono ricompresi dall’art. 32, comma 2, </w:t>
      </w:r>
      <w:proofErr w:type="spellStart"/>
      <w:r w:rsidR="00FA472B" w:rsidRPr="00491A31">
        <w:rPr>
          <w:rFonts w:ascii="Titillium" w:hAnsi="Titillium"/>
          <w:sz w:val="22"/>
          <w:szCs w:val="22"/>
        </w:rPr>
        <w:t>lett</w:t>
      </w:r>
      <w:proofErr w:type="spellEnd"/>
      <w:r w:rsidR="00FA472B" w:rsidRPr="00491A31">
        <w:rPr>
          <w:rFonts w:ascii="Titillium" w:hAnsi="Titillium"/>
          <w:sz w:val="22"/>
          <w:szCs w:val="22"/>
        </w:rPr>
        <w:t xml:space="preserve">. f) dell’Allegato II.14 al d.lgs. 36/2023 tra i servizi di particolare </w:t>
      </w:r>
      <w:r w:rsidR="00D40F1F">
        <w:rPr>
          <w:rFonts w:ascii="Titillium" w:hAnsi="Titillium"/>
          <w:sz w:val="22"/>
          <w:szCs w:val="22"/>
        </w:rPr>
        <w:t xml:space="preserve">importanza per </w:t>
      </w:r>
      <w:r w:rsidR="0057580A" w:rsidRPr="00491A31">
        <w:rPr>
          <w:rFonts w:ascii="Titillium" w:hAnsi="Titillium"/>
          <w:sz w:val="22"/>
          <w:szCs w:val="22"/>
        </w:rPr>
        <w:t>i quali è previsto, ai sensi dell’art. 114, comma 8, del decreto medesimo, che il direttore dell’esecuzione deve essere individuato in un soggetto diverso dal RUP</w:t>
      </w:r>
      <w:r w:rsidRPr="00491A31">
        <w:rPr>
          <w:rFonts w:ascii="Titillium" w:hAnsi="Titillium"/>
          <w:sz w:val="22"/>
          <w:szCs w:val="22"/>
        </w:rPr>
        <w:t>;</w:t>
      </w:r>
    </w:p>
    <w:p w:rsidR="000E32B5" w:rsidRDefault="00332723" w:rsidP="00F77C35">
      <w:pPr>
        <w:spacing w:after="12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b/>
          <w:sz w:val="22"/>
          <w:szCs w:val="22"/>
        </w:rPr>
        <w:t>ACCERTATO</w:t>
      </w:r>
      <w:r w:rsidRPr="00491A31">
        <w:rPr>
          <w:rFonts w:ascii="Titillium" w:hAnsi="Titillium"/>
          <w:sz w:val="22"/>
          <w:szCs w:val="22"/>
        </w:rPr>
        <w:t xml:space="preserve"> che </w:t>
      </w:r>
      <w:r w:rsidR="008C2DD8" w:rsidRPr="00491A31">
        <w:rPr>
          <w:rFonts w:ascii="Titillium" w:hAnsi="Titillium"/>
          <w:sz w:val="22"/>
          <w:szCs w:val="22"/>
        </w:rPr>
        <w:t>la disponibilità finanziaria sul pertinente capitolo n. 1307.2 del bilancio di previsione per l’anno 2023 e del bilancio pluriennale</w:t>
      </w:r>
      <w:r w:rsidR="008C2DD8" w:rsidRPr="00491A31">
        <w:rPr>
          <w:rFonts w:ascii="Titillium" w:hAnsi="Titillium"/>
          <w:b/>
          <w:sz w:val="22"/>
          <w:szCs w:val="22"/>
        </w:rPr>
        <w:t xml:space="preserve"> </w:t>
      </w:r>
      <w:r w:rsidR="008C2DD8" w:rsidRPr="00491A31">
        <w:rPr>
          <w:rFonts w:ascii="Titillium" w:hAnsi="Titillium"/>
          <w:sz w:val="22"/>
          <w:szCs w:val="22"/>
        </w:rPr>
        <w:t>è congrua per accogliere la spesa stimata per i servizi in argomento;</w:t>
      </w:r>
    </w:p>
    <w:p w:rsidR="00491A31" w:rsidRPr="00491A31" w:rsidRDefault="00491A31" w:rsidP="00F77C35">
      <w:pPr>
        <w:spacing w:after="120" w:line="276" w:lineRule="auto"/>
        <w:jc w:val="both"/>
        <w:rPr>
          <w:rFonts w:ascii="Titillium" w:hAnsi="Titillium"/>
          <w:sz w:val="22"/>
          <w:szCs w:val="22"/>
        </w:rPr>
      </w:pPr>
    </w:p>
    <w:p w:rsidR="00B80660" w:rsidRPr="00150097" w:rsidRDefault="00332723" w:rsidP="00E0422F">
      <w:pPr>
        <w:spacing w:before="120" w:after="120" w:line="276" w:lineRule="auto"/>
        <w:jc w:val="center"/>
        <w:rPr>
          <w:rFonts w:ascii="Gotham Light" w:hAnsi="Gotham Light" w:cs="Arial"/>
          <w:b/>
          <w:color w:val="2E74B5"/>
        </w:rPr>
      </w:pPr>
      <w:r w:rsidRPr="00150097">
        <w:rPr>
          <w:rFonts w:ascii="Gotham Light" w:hAnsi="Gotham Light" w:cs="Arial"/>
          <w:b/>
          <w:color w:val="2E74B5"/>
        </w:rPr>
        <w:t>D I S P O N E</w:t>
      </w:r>
    </w:p>
    <w:p w:rsidR="00332723" w:rsidRPr="00491A31" w:rsidRDefault="000A6F83" w:rsidP="004609AF">
      <w:pPr>
        <w:pStyle w:val="Paragrafoelenco"/>
        <w:numPr>
          <w:ilvl w:val="0"/>
          <w:numId w:val="8"/>
        </w:numPr>
        <w:spacing w:after="120" w:line="276" w:lineRule="auto"/>
        <w:ind w:left="0" w:right="-1" w:firstLine="0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sz w:val="22"/>
          <w:szCs w:val="22"/>
        </w:rPr>
        <w:t>l’affidamento diretto</w:t>
      </w:r>
      <w:r w:rsidR="008C2DD8" w:rsidRPr="00491A31">
        <w:rPr>
          <w:rFonts w:ascii="Titillium" w:hAnsi="Titillium"/>
          <w:sz w:val="22"/>
          <w:szCs w:val="22"/>
        </w:rPr>
        <w:t xml:space="preserve">, ai sensi dell’art. 50, comma 1, </w:t>
      </w:r>
      <w:proofErr w:type="spellStart"/>
      <w:r w:rsidR="008C2DD8" w:rsidRPr="00491A31">
        <w:rPr>
          <w:rFonts w:ascii="Titillium" w:hAnsi="Titillium"/>
          <w:sz w:val="22"/>
          <w:szCs w:val="22"/>
        </w:rPr>
        <w:t>lett</w:t>
      </w:r>
      <w:proofErr w:type="spellEnd"/>
      <w:r w:rsidR="008C2DD8" w:rsidRPr="00491A31">
        <w:rPr>
          <w:rFonts w:ascii="Titillium" w:hAnsi="Titillium"/>
          <w:sz w:val="22"/>
          <w:szCs w:val="22"/>
        </w:rPr>
        <w:t>. b) del d.lgs. n. 36/2023, mediante apposita Trattativa diretta da espletarsi sul</w:t>
      </w:r>
      <w:r w:rsidR="00D40F1F">
        <w:rPr>
          <w:rFonts w:ascii="Titillium" w:hAnsi="Titillium"/>
          <w:sz w:val="22"/>
          <w:szCs w:val="22"/>
        </w:rPr>
        <w:t>la piattaforma del</w:t>
      </w:r>
      <w:r w:rsidR="008C2DD8" w:rsidRPr="00491A31">
        <w:rPr>
          <w:rFonts w:ascii="Titillium" w:hAnsi="Titillium"/>
          <w:sz w:val="22"/>
          <w:szCs w:val="22"/>
        </w:rPr>
        <w:t xml:space="preserve"> Mercato elettronico della Pubblica Amministrazione (Me.PA.),</w:t>
      </w:r>
      <w:r w:rsidRPr="00491A31">
        <w:rPr>
          <w:rFonts w:ascii="Titillium" w:hAnsi="Titillium"/>
          <w:sz w:val="22"/>
          <w:szCs w:val="22"/>
        </w:rPr>
        <w:t xml:space="preserve"> </w:t>
      </w:r>
      <w:r w:rsidR="0057580A" w:rsidRPr="00491A31">
        <w:rPr>
          <w:rFonts w:ascii="Titillium" w:hAnsi="Titillium"/>
          <w:sz w:val="22"/>
          <w:szCs w:val="22"/>
        </w:rPr>
        <w:t>alla Società Recir S.r.l.</w:t>
      </w:r>
      <w:r w:rsidR="008C2DD8" w:rsidRPr="00491A31">
        <w:rPr>
          <w:rFonts w:ascii="Titillium" w:hAnsi="Titillium"/>
          <w:sz w:val="22"/>
          <w:szCs w:val="22"/>
        </w:rPr>
        <w:t xml:space="preserve"> </w:t>
      </w:r>
      <w:r w:rsidRPr="00491A31">
        <w:rPr>
          <w:rFonts w:ascii="Titillium" w:hAnsi="Titillium"/>
          <w:sz w:val="22"/>
          <w:szCs w:val="22"/>
        </w:rPr>
        <w:t>(sede legale in</w:t>
      </w:r>
      <w:r w:rsidR="0057580A" w:rsidRPr="00491A31">
        <w:rPr>
          <w:rFonts w:ascii="Titillium" w:hAnsi="Titillium"/>
          <w:sz w:val="22"/>
          <w:szCs w:val="22"/>
        </w:rPr>
        <w:t xml:space="preserve"> Via Frascati Antica n. 31/L, 00078 Monte Porzio Catone (RM), C.F. 05111260583 e P.IVA 01357541000</w:t>
      </w:r>
      <w:r w:rsidR="004609AF" w:rsidRPr="00491A31">
        <w:rPr>
          <w:rFonts w:ascii="Titillium" w:hAnsi="Titillium"/>
          <w:sz w:val="22"/>
          <w:szCs w:val="22"/>
        </w:rPr>
        <w:t xml:space="preserve">), </w:t>
      </w:r>
      <w:r w:rsidRPr="00491A31">
        <w:rPr>
          <w:rFonts w:ascii="Titillium" w:hAnsi="Titillium"/>
          <w:sz w:val="22"/>
          <w:szCs w:val="22"/>
        </w:rPr>
        <w:t>del servizio di conduzione e manute</w:t>
      </w:r>
      <w:r w:rsidR="008C2DD8" w:rsidRPr="00491A31">
        <w:rPr>
          <w:rFonts w:ascii="Titillium" w:hAnsi="Titillium"/>
          <w:sz w:val="22"/>
          <w:szCs w:val="22"/>
        </w:rPr>
        <w:t>nzione ordinaria degli impianti elettrici, di sicurezza e controllo accessi, reti e antincendio installati</w:t>
      </w:r>
      <w:r w:rsidRPr="00491A31">
        <w:rPr>
          <w:rFonts w:ascii="Titillium" w:hAnsi="Titillium"/>
          <w:sz w:val="22"/>
          <w:szCs w:val="22"/>
        </w:rPr>
        <w:t xml:space="preserve"> nella </w:t>
      </w:r>
      <w:r w:rsidR="008C2DD8" w:rsidRPr="00491A31">
        <w:rPr>
          <w:rFonts w:ascii="Titillium" w:hAnsi="Titillium"/>
          <w:sz w:val="22"/>
          <w:szCs w:val="22"/>
        </w:rPr>
        <w:t>sede istituzionale dell’A.N.AC.</w:t>
      </w:r>
      <w:r w:rsidR="00503FFE" w:rsidRPr="00491A31">
        <w:rPr>
          <w:rFonts w:ascii="Titillium" w:hAnsi="Titillium"/>
          <w:sz w:val="22"/>
          <w:szCs w:val="22"/>
        </w:rPr>
        <w:t>, per una durata di n. 10</w:t>
      </w:r>
      <w:r w:rsidR="004609AF" w:rsidRPr="00491A31">
        <w:rPr>
          <w:rFonts w:ascii="Titillium" w:hAnsi="Titillium"/>
          <w:sz w:val="22"/>
          <w:szCs w:val="22"/>
        </w:rPr>
        <w:t xml:space="preserve"> </w:t>
      </w:r>
      <w:r w:rsidRPr="00491A31">
        <w:rPr>
          <w:rFonts w:ascii="Titillium" w:hAnsi="Titillium"/>
          <w:sz w:val="22"/>
          <w:szCs w:val="22"/>
        </w:rPr>
        <w:t>mes</w:t>
      </w:r>
      <w:r w:rsidR="00A128BC" w:rsidRPr="00491A31">
        <w:rPr>
          <w:rFonts w:ascii="Titillium" w:hAnsi="Titillium"/>
          <w:sz w:val="22"/>
          <w:szCs w:val="22"/>
        </w:rPr>
        <w:t>i</w:t>
      </w:r>
      <w:r w:rsidR="00821134" w:rsidRPr="00491A31">
        <w:rPr>
          <w:rFonts w:ascii="Titillium" w:hAnsi="Titillium"/>
          <w:sz w:val="22"/>
          <w:szCs w:val="22"/>
        </w:rPr>
        <w:t>,</w:t>
      </w:r>
      <w:r w:rsidR="00A128BC" w:rsidRPr="00491A31">
        <w:rPr>
          <w:rFonts w:ascii="Titillium" w:hAnsi="Titillium"/>
          <w:sz w:val="22"/>
          <w:szCs w:val="22"/>
        </w:rPr>
        <w:t xml:space="preserve"> decorrenti dal 8</w:t>
      </w:r>
      <w:r w:rsidR="00503FFE" w:rsidRPr="00491A31">
        <w:rPr>
          <w:rFonts w:ascii="Titillium" w:hAnsi="Titillium"/>
          <w:sz w:val="22"/>
          <w:szCs w:val="22"/>
        </w:rPr>
        <w:t xml:space="preserve">.10.2023, nonché del servizio di </w:t>
      </w:r>
      <w:r w:rsidR="00503FFE" w:rsidRPr="00491A31">
        <w:rPr>
          <w:rFonts w:ascii="Titillium" w:hAnsi="Titillium"/>
          <w:noProof/>
          <w:sz w:val="22"/>
          <w:szCs w:val="22"/>
        </w:rPr>
        <w:t xml:space="preserve">conduzione e manutenzione degli impianti di climatizzazione </w:t>
      </w:r>
      <w:r w:rsidR="00503FFE" w:rsidRPr="00491A31">
        <w:rPr>
          <w:rFonts w:ascii="Titillium" w:hAnsi="Titillium"/>
          <w:sz w:val="22"/>
          <w:szCs w:val="22"/>
        </w:rPr>
        <w:t>centralizzati, dei climatizzatori autonomi e degli impianti idrico-sanitari</w:t>
      </w:r>
      <w:r w:rsidR="00EB1306" w:rsidRPr="00491A31">
        <w:rPr>
          <w:rFonts w:ascii="Titillium" w:hAnsi="Titillium"/>
          <w:sz w:val="22"/>
          <w:szCs w:val="22"/>
        </w:rPr>
        <w:t xml:space="preserve"> ubicati presso la sede dell’Autorità medesima</w:t>
      </w:r>
      <w:r w:rsidR="00503FFE" w:rsidRPr="00491A31">
        <w:rPr>
          <w:rFonts w:ascii="Titillium" w:hAnsi="Titillium"/>
          <w:sz w:val="22"/>
          <w:szCs w:val="22"/>
        </w:rPr>
        <w:t xml:space="preserve">, per una durata di n. 11 mesi, </w:t>
      </w:r>
      <w:r w:rsidRPr="00491A31">
        <w:rPr>
          <w:rFonts w:ascii="Titillium" w:hAnsi="Titillium"/>
          <w:sz w:val="22"/>
          <w:szCs w:val="22"/>
        </w:rPr>
        <w:t xml:space="preserve"> </w:t>
      </w:r>
      <w:r w:rsidR="00821134" w:rsidRPr="00491A31">
        <w:rPr>
          <w:rFonts w:ascii="Titillium" w:hAnsi="Titillium"/>
          <w:sz w:val="22"/>
          <w:szCs w:val="22"/>
        </w:rPr>
        <w:t>decorrenti dal 9</w:t>
      </w:r>
      <w:r w:rsidR="00503FFE" w:rsidRPr="00491A31">
        <w:rPr>
          <w:rFonts w:ascii="Titillium" w:hAnsi="Titillium"/>
          <w:sz w:val="22"/>
          <w:szCs w:val="22"/>
        </w:rPr>
        <w:t>.9.2023</w:t>
      </w:r>
      <w:r w:rsidR="00FC067F">
        <w:rPr>
          <w:rFonts w:ascii="Titillium" w:hAnsi="Titillium"/>
          <w:sz w:val="22"/>
          <w:szCs w:val="22"/>
        </w:rPr>
        <w:t xml:space="preserve"> –</w:t>
      </w:r>
      <w:r w:rsidR="004609AF" w:rsidRPr="00491A31">
        <w:rPr>
          <w:rFonts w:ascii="Titillium" w:hAnsi="Titillium"/>
          <w:sz w:val="22"/>
          <w:szCs w:val="22"/>
        </w:rPr>
        <w:t xml:space="preserve"> </w:t>
      </w:r>
      <w:r w:rsidR="00491190">
        <w:rPr>
          <w:rFonts w:ascii="Titillium" w:hAnsi="Titillium"/>
          <w:sz w:val="22"/>
          <w:szCs w:val="22"/>
        </w:rPr>
        <w:t>salvo minor</w:t>
      </w:r>
      <w:r w:rsidR="00FC067F">
        <w:rPr>
          <w:rFonts w:ascii="Titillium" w:hAnsi="Titillium"/>
          <w:sz w:val="22"/>
          <w:szCs w:val="22"/>
        </w:rPr>
        <w:t>e</w:t>
      </w:r>
      <w:r w:rsidR="00491190">
        <w:rPr>
          <w:rFonts w:ascii="Titillium" w:hAnsi="Titillium"/>
          <w:sz w:val="22"/>
          <w:szCs w:val="22"/>
        </w:rPr>
        <w:t xml:space="preserve"> </w:t>
      </w:r>
      <w:r w:rsidR="000B1C05">
        <w:rPr>
          <w:rFonts w:ascii="Titillium" w:hAnsi="Titillium"/>
          <w:sz w:val="22"/>
          <w:szCs w:val="22"/>
        </w:rPr>
        <w:t xml:space="preserve">o maggior </w:t>
      </w:r>
      <w:r w:rsidR="00491190">
        <w:rPr>
          <w:rFonts w:ascii="Titillium" w:hAnsi="Titillium"/>
          <w:sz w:val="22"/>
          <w:szCs w:val="22"/>
        </w:rPr>
        <w:t>durata</w:t>
      </w:r>
      <w:r w:rsidR="00FC067F">
        <w:rPr>
          <w:rFonts w:ascii="Titillium" w:hAnsi="Titillium"/>
          <w:sz w:val="22"/>
          <w:szCs w:val="22"/>
        </w:rPr>
        <w:t>,</w:t>
      </w:r>
      <w:r w:rsidR="00491190">
        <w:rPr>
          <w:rFonts w:ascii="Titillium" w:hAnsi="Titillium"/>
          <w:sz w:val="22"/>
          <w:szCs w:val="22"/>
        </w:rPr>
        <w:t xml:space="preserve"> </w:t>
      </w:r>
      <w:r w:rsidR="00491190" w:rsidRPr="00491190">
        <w:rPr>
          <w:rFonts w:ascii="Titillium" w:hAnsi="Titillium"/>
          <w:sz w:val="22"/>
          <w:szCs w:val="22"/>
        </w:rPr>
        <w:t>fino a concorrenza del quinto dell'importo del contratto</w:t>
      </w:r>
      <w:r w:rsidR="00491190">
        <w:rPr>
          <w:rFonts w:ascii="Titillium" w:hAnsi="Titillium"/>
          <w:sz w:val="22"/>
          <w:szCs w:val="22"/>
        </w:rPr>
        <w:t>, ai sensi dell’art. 120, comma 9, del d.lgs. 36/2023</w:t>
      </w:r>
      <w:r w:rsidR="00FC067F">
        <w:rPr>
          <w:rFonts w:ascii="Titillium" w:hAnsi="Titillium"/>
          <w:sz w:val="22"/>
          <w:szCs w:val="22"/>
        </w:rPr>
        <w:t>,</w:t>
      </w:r>
      <w:r w:rsidR="00491190">
        <w:rPr>
          <w:rFonts w:ascii="Titillium" w:hAnsi="Titillium"/>
          <w:sz w:val="22"/>
          <w:szCs w:val="22"/>
        </w:rPr>
        <w:t xml:space="preserve">  in caso di aggiudicazione della procedura di gara che sarà prossimamente indetta per l’affidamento </w:t>
      </w:r>
      <w:r w:rsidR="00FC067F">
        <w:rPr>
          <w:rFonts w:ascii="Titillium" w:hAnsi="Titillium"/>
          <w:sz w:val="22"/>
          <w:szCs w:val="22"/>
        </w:rPr>
        <w:t>congiunto dei servizi in parola –</w:t>
      </w:r>
      <w:r w:rsidR="00491190">
        <w:rPr>
          <w:rFonts w:ascii="Titillium" w:hAnsi="Titillium"/>
          <w:sz w:val="22"/>
          <w:szCs w:val="22"/>
        </w:rPr>
        <w:t xml:space="preserve"> </w:t>
      </w:r>
      <w:r w:rsidR="004609AF" w:rsidRPr="00491A31">
        <w:rPr>
          <w:rFonts w:ascii="Titillium" w:hAnsi="Titillium"/>
          <w:sz w:val="22"/>
          <w:szCs w:val="22"/>
        </w:rPr>
        <w:t>per una spesa complessiva massima così specificata:</w:t>
      </w:r>
    </w:p>
    <w:p w:rsidR="004609AF" w:rsidRPr="00491A31" w:rsidRDefault="004609AF" w:rsidP="004609AF">
      <w:pPr>
        <w:pStyle w:val="Paragrafoelenco"/>
        <w:spacing w:after="120" w:line="276" w:lineRule="auto"/>
        <w:ind w:left="0" w:right="-1"/>
        <w:jc w:val="both"/>
        <w:rPr>
          <w:rFonts w:ascii="Titillium" w:hAnsi="Titillium"/>
          <w:sz w:val="22"/>
          <w:szCs w:val="22"/>
        </w:rPr>
      </w:pPr>
    </w:p>
    <w:tbl>
      <w:tblPr>
        <w:tblStyle w:val="Grigliatabella"/>
        <w:tblW w:w="92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5"/>
        <w:gridCol w:w="1615"/>
      </w:tblGrid>
      <w:tr w:rsidR="002175C6" w:rsidRPr="00491A31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F88" w:rsidRPr="00491A31" w:rsidRDefault="00385D7E" w:rsidP="001F0F88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2"/>
                <w:szCs w:val="22"/>
              </w:rPr>
            </w:pPr>
            <w:r w:rsidRPr="00491A31">
              <w:rPr>
                <w:rFonts w:ascii="Titillium" w:hAnsi="Titillium"/>
                <w:sz w:val="22"/>
                <w:szCs w:val="22"/>
              </w:rPr>
              <w:t>servizi oggetto del contratto</w:t>
            </w:r>
          </w:p>
          <w:p w:rsidR="006E0721" w:rsidRPr="00491A31" w:rsidRDefault="006E0721" w:rsidP="001F0F88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2"/>
                <w:szCs w:val="22"/>
              </w:rPr>
            </w:pPr>
            <w:r w:rsidRPr="00491A31">
              <w:rPr>
                <w:rFonts w:ascii="Titillium" w:hAnsi="Titillium"/>
                <w:sz w:val="22"/>
                <w:szCs w:val="22"/>
              </w:rPr>
              <w:t>oneri di sicurezza per rischi di natura interferenziale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F88" w:rsidRPr="00491A31" w:rsidRDefault="002175C6" w:rsidP="001F0F88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2"/>
                <w:szCs w:val="22"/>
              </w:rPr>
            </w:pPr>
            <w:r w:rsidRPr="00491A31">
              <w:rPr>
                <w:rFonts w:ascii="Titillium" w:hAnsi="Titillium"/>
                <w:sz w:val="22"/>
                <w:szCs w:val="22"/>
              </w:rPr>
              <w:t xml:space="preserve">€ </w:t>
            </w:r>
            <w:r w:rsidR="0057580A" w:rsidRPr="00491A31">
              <w:rPr>
                <w:rFonts w:ascii="Titillium" w:hAnsi="Titillium"/>
                <w:sz w:val="22"/>
                <w:szCs w:val="22"/>
              </w:rPr>
              <w:t>106.000,00</w:t>
            </w:r>
          </w:p>
          <w:p w:rsidR="006E0721" w:rsidRPr="00491A31" w:rsidRDefault="006E0721" w:rsidP="001F0F88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2"/>
                <w:szCs w:val="22"/>
              </w:rPr>
            </w:pPr>
            <w:r w:rsidRPr="00491A31">
              <w:rPr>
                <w:rFonts w:ascii="Titillium" w:hAnsi="Titillium"/>
                <w:sz w:val="22"/>
                <w:szCs w:val="22"/>
              </w:rPr>
              <w:t xml:space="preserve">€ </w:t>
            </w:r>
            <w:r w:rsidR="0057580A" w:rsidRPr="00491A31">
              <w:rPr>
                <w:rFonts w:ascii="Titillium" w:hAnsi="Titillium"/>
                <w:sz w:val="22"/>
                <w:szCs w:val="22"/>
              </w:rPr>
              <w:t>366,46</w:t>
            </w:r>
          </w:p>
        </w:tc>
      </w:tr>
      <w:tr w:rsidR="002175C6" w:rsidRPr="00491A31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91A31" w:rsidRDefault="004609AF" w:rsidP="00212EAF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2"/>
                <w:szCs w:val="22"/>
              </w:rPr>
            </w:pPr>
            <w:r w:rsidRPr="00491A31">
              <w:rPr>
                <w:rFonts w:ascii="Titillium" w:hAnsi="Titillium"/>
                <w:sz w:val="22"/>
                <w:szCs w:val="22"/>
              </w:rPr>
              <w:t xml:space="preserve">IVA al 22% </w:t>
            </w:r>
            <w:r w:rsidR="006E0721" w:rsidRPr="00491A31">
              <w:rPr>
                <w:rFonts w:ascii="Titillium" w:hAnsi="Titillium"/>
                <w:sz w:val="22"/>
                <w:szCs w:val="22"/>
              </w:rPr>
              <w:t xml:space="preserve">sulle voci a) e b) 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91A31" w:rsidRDefault="00C108D7" w:rsidP="00405F29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2"/>
                <w:szCs w:val="22"/>
              </w:rPr>
            </w:pPr>
            <w:r w:rsidRPr="00491A31">
              <w:rPr>
                <w:rFonts w:ascii="Titillium" w:hAnsi="Titillium"/>
                <w:sz w:val="22"/>
                <w:szCs w:val="22"/>
              </w:rPr>
              <w:t xml:space="preserve"> </w:t>
            </w:r>
            <w:r w:rsidR="00B80660" w:rsidRPr="00491A31">
              <w:rPr>
                <w:rFonts w:ascii="Titillium" w:hAnsi="Titillium"/>
                <w:sz w:val="22"/>
                <w:szCs w:val="22"/>
              </w:rPr>
              <w:t xml:space="preserve">    </w:t>
            </w:r>
            <w:r w:rsidRPr="00491A31">
              <w:rPr>
                <w:rFonts w:ascii="Titillium" w:hAnsi="Titillium"/>
                <w:sz w:val="22"/>
                <w:szCs w:val="22"/>
              </w:rPr>
              <w:t xml:space="preserve"> </w:t>
            </w:r>
            <w:r w:rsidR="00405F29" w:rsidRPr="00491A31">
              <w:rPr>
                <w:rFonts w:ascii="Titillium" w:hAnsi="Titillium"/>
                <w:sz w:val="22"/>
                <w:szCs w:val="22"/>
              </w:rPr>
              <w:t xml:space="preserve">€ </w:t>
            </w:r>
            <w:r w:rsidR="0057580A" w:rsidRPr="00491A31">
              <w:rPr>
                <w:rFonts w:ascii="Titillium" w:hAnsi="Titillium"/>
                <w:sz w:val="22"/>
                <w:szCs w:val="22"/>
              </w:rPr>
              <w:t>23.400,62</w:t>
            </w:r>
          </w:p>
        </w:tc>
      </w:tr>
      <w:tr w:rsidR="002175C6" w:rsidRPr="00491A31" w:rsidTr="00211561">
        <w:trPr>
          <w:trHeight w:val="787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91A31" w:rsidRDefault="002175C6" w:rsidP="00212EAF">
            <w:pPr>
              <w:tabs>
                <w:tab w:val="left" w:pos="7371"/>
              </w:tabs>
              <w:spacing w:after="100" w:line="276" w:lineRule="auto"/>
              <w:rPr>
                <w:rFonts w:ascii="Titillium" w:hAnsi="Titillium"/>
                <w:b/>
                <w:sz w:val="22"/>
                <w:szCs w:val="22"/>
              </w:rPr>
            </w:pPr>
            <w:r w:rsidRPr="00491A31">
              <w:rPr>
                <w:rFonts w:ascii="Titillium" w:hAnsi="Titillium"/>
                <w:b/>
                <w:sz w:val="22"/>
                <w:szCs w:val="22"/>
              </w:rPr>
              <w:t>Spesa complessiva stimata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91A31" w:rsidRDefault="002175C6" w:rsidP="00404289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b/>
                <w:sz w:val="22"/>
                <w:szCs w:val="22"/>
              </w:rPr>
            </w:pPr>
            <w:r w:rsidRPr="00491A31">
              <w:rPr>
                <w:rFonts w:ascii="Titillium" w:hAnsi="Titillium"/>
                <w:b/>
                <w:sz w:val="22"/>
                <w:szCs w:val="22"/>
              </w:rPr>
              <w:t xml:space="preserve">€ </w:t>
            </w:r>
            <w:r w:rsidR="0057580A" w:rsidRPr="00491A31">
              <w:rPr>
                <w:rFonts w:ascii="Titillium" w:hAnsi="Titillium"/>
                <w:b/>
                <w:sz w:val="22"/>
                <w:szCs w:val="22"/>
              </w:rPr>
              <w:t>129.767,08</w:t>
            </w:r>
          </w:p>
        </w:tc>
      </w:tr>
    </w:tbl>
    <w:p w:rsidR="00503FFE" w:rsidRPr="00491A31" w:rsidRDefault="00503FFE" w:rsidP="00503FFE">
      <w:pPr>
        <w:pStyle w:val="Paragrafoelenco"/>
        <w:spacing w:after="120" w:line="276" w:lineRule="auto"/>
        <w:ind w:left="0" w:right="-1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sz w:val="22"/>
          <w:szCs w:val="22"/>
        </w:rPr>
        <w:lastRenderedPageBreak/>
        <w:t xml:space="preserve">2.  di autorizzare la spesa complessiva stimata di euro </w:t>
      </w:r>
      <w:r w:rsidR="0057580A" w:rsidRPr="00491A31">
        <w:rPr>
          <w:rFonts w:ascii="Titillium" w:hAnsi="Titillium"/>
          <w:sz w:val="22"/>
          <w:szCs w:val="22"/>
        </w:rPr>
        <w:t>129.767,08</w:t>
      </w:r>
      <w:r w:rsidRPr="00491A31">
        <w:rPr>
          <w:rFonts w:ascii="Titillium" w:hAnsi="Titillium"/>
          <w:sz w:val="22"/>
          <w:szCs w:val="22"/>
        </w:rPr>
        <w:t>, IVA inclusa, per i servizi sopra indicati da porsi a carico del bilancio di previsione per l’anno 2023 e del bilancio pluriennale dell’Autorità, sul capitolo n. 1307.2, come di seguito indicato:</w:t>
      </w:r>
    </w:p>
    <w:p w:rsidR="00503FFE" w:rsidRPr="00491A31" w:rsidRDefault="00503FFE" w:rsidP="00503FFE">
      <w:pPr>
        <w:pStyle w:val="Paragrafoelenco"/>
        <w:spacing w:after="120" w:line="276" w:lineRule="auto"/>
        <w:ind w:left="0" w:right="-1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sz w:val="22"/>
          <w:szCs w:val="22"/>
        </w:rPr>
        <w:t xml:space="preserve">(i) per l’anno 2023: euro </w:t>
      </w:r>
      <w:r w:rsidR="00491A31" w:rsidRPr="00491A31">
        <w:rPr>
          <w:rFonts w:ascii="Titillium" w:hAnsi="Titillium"/>
          <w:sz w:val="22"/>
          <w:szCs w:val="22"/>
        </w:rPr>
        <w:t>43.052,04</w:t>
      </w:r>
      <w:r w:rsidRPr="00491A31">
        <w:rPr>
          <w:rFonts w:ascii="Titillium" w:hAnsi="Titillium"/>
          <w:sz w:val="22"/>
          <w:szCs w:val="22"/>
        </w:rPr>
        <w:t>, IVA inclusa;</w:t>
      </w:r>
    </w:p>
    <w:p w:rsidR="00503FFE" w:rsidRPr="00491A31" w:rsidRDefault="00491A31" w:rsidP="00503FFE">
      <w:pPr>
        <w:pStyle w:val="Paragrafoelenco"/>
        <w:spacing w:after="120" w:line="276" w:lineRule="auto"/>
        <w:ind w:left="0" w:right="-1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sz w:val="22"/>
          <w:szCs w:val="22"/>
        </w:rPr>
        <w:t>(ii) per l’anno 2024: euro 86.715,04</w:t>
      </w:r>
      <w:r w:rsidR="00503FFE" w:rsidRPr="00491A31">
        <w:rPr>
          <w:rFonts w:ascii="Titillium" w:hAnsi="Titillium"/>
          <w:sz w:val="22"/>
          <w:szCs w:val="22"/>
        </w:rPr>
        <w:t>, IVA inclusa;</w:t>
      </w:r>
    </w:p>
    <w:p w:rsidR="00503FFE" w:rsidRPr="00491A31" w:rsidRDefault="001F0F88" w:rsidP="00E0422F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5046BE">
        <w:rPr>
          <w:rFonts w:ascii="Titillium" w:hAnsi="Titillium"/>
          <w:sz w:val="22"/>
          <w:szCs w:val="22"/>
        </w:rPr>
        <w:t>3</w:t>
      </w:r>
      <w:r w:rsidR="00E0422F" w:rsidRPr="005046BE">
        <w:rPr>
          <w:rFonts w:ascii="Titillium" w:hAnsi="Titillium"/>
          <w:sz w:val="22"/>
          <w:szCs w:val="22"/>
        </w:rPr>
        <w:t xml:space="preserve">. </w:t>
      </w:r>
      <w:r w:rsidR="00503FFE" w:rsidRPr="005046BE">
        <w:rPr>
          <w:rFonts w:ascii="Titillium" w:hAnsi="Titillium"/>
          <w:sz w:val="22"/>
          <w:szCs w:val="22"/>
        </w:rPr>
        <w:t xml:space="preserve"> nell</w:t>
      </w:r>
      <w:r w:rsidR="00491A31" w:rsidRPr="005046BE">
        <w:rPr>
          <w:rFonts w:ascii="Titillium" w:hAnsi="Titillium"/>
          <w:sz w:val="22"/>
          <w:szCs w:val="22"/>
        </w:rPr>
        <w:t xml:space="preserve">e more dell’adozione, da parte dell’Autorità, del provvedimento concernente la definizione </w:t>
      </w:r>
      <w:r w:rsidR="00503FFE" w:rsidRPr="005046BE">
        <w:rPr>
          <w:rFonts w:ascii="Titillium" w:hAnsi="Titillium"/>
          <w:sz w:val="22"/>
          <w:szCs w:val="22"/>
        </w:rPr>
        <w:t>dei</w:t>
      </w:r>
      <w:r w:rsidR="00505F86" w:rsidRPr="005046BE">
        <w:rPr>
          <w:rFonts w:ascii="Titillium" w:hAnsi="Titillium"/>
          <w:sz w:val="22"/>
          <w:szCs w:val="22"/>
        </w:rPr>
        <w:t xml:space="preserve"> </w:t>
      </w:r>
      <w:r w:rsidR="00503FFE" w:rsidRPr="005046BE">
        <w:rPr>
          <w:rFonts w:ascii="Titillium" w:hAnsi="Titillium"/>
          <w:sz w:val="22"/>
          <w:szCs w:val="22"/>
        </w:rPr>
        <w:t>criteri di riparto</w:t>
      </w:r>
      <w:r w:rsidR="00505F86" w:rsidRPr="005046BE">
        <w:rPr>
          <w:rFonts w:ascii="Titillium" w:hAnsi="Titillium"/>
          <w:sz w:val="22"/>
          <w:szCs w:val="22"/>
        </w:rPr>
        <w:t xml:space="preserve"> di cui all’art. 45, comma 3, del d.lgs. n. 36/2023,</w:t>
      </w:r>
      <w:r w:rsidR="00503FFE" w:rsidRPr="005046BE">
        <w:rPr>
          <w:rFonts w:ascii="Titillium" w:hAnsi="Titillium"/>
          <w:sz w:val="22"/>
          <w:szCs w:val="22"/>
        </w:rPr>
        <w:t xml:space="preserve"> di riservarsi di impegnare definitivamente, con apposito provvedimento di impegno della spesa, gli importi relativi agli incentivi per funzioni tecniche </w:t>
      </w:r>
      <w:r w:rsidR="00505F86" w:rsidRPr="005046BE">
        <w:rPr>
          <w:rFonts w:ascii="Titillium" w:hAnsi="Titillium"/>
          <w:sz w:val="22"/>
          <w:szCs w:val="22"/>
        </w:rPr>
        <w:t>entro la misura massima stabilita</w:t>
      </w:r>
      <w:r w:rsidR="00503FFE" w:rsidRPr="005046BE">
        <w:rPr>
          <w:rFonts w:ascii="Titillium" w:hAnsi="Titillium"/>
          <w:sz w:val="22"/>
          <w:szCs w:val="22"/>
        </w:rPr>
        <w:t xml:space="preserve"> dalla legge, </w:t>
      </w:r>
      <w:r w:rsidR="00BF732F" w:rsidRPr="005046BE">
        <w:rPr>
          <w:rFonts w:ascii="Titillium" w:hAnsi="Titillium"/>
          <w:sz w:val="22"/>
          <w:szCs w:val="22"/>
        </w:rPr>
        <w:t xml:space="preserve">individuata nel 2% dell’importo dei servizi, pari ad € 2.127,33, </w:t>
      </w:r>
      <w:r w:rsidR="00503FFE" w:rsidRPr="005046BE">
        <w:rPr>
          <w:rFonts w:ascii="Titillium" w:hAnsi="Titillium"/>
          <w:sz w:val="22"/>
          <w:szCs w:val="22"/>
        </w:rPr>
        <w:t>a valere s</w:t>
      </w:r>
      <w:r w:rsidR="00505F86" w:rsidRPr="005046BE">
        <w:rPr>
          <w:rFonts w:ascii="Titillium" w:hAnsi="Titillium"/>
          <w:sz w:val="22"/>
          <w:szCs w:val="22"/>
        </w:rPr>
        <w:t>ugli stanziamenti previsti per il presente appalto sul capitolo n. 1307.2 del bilancio pluriennale dell’Autorità medesima;</w:t>
      </w:r>
      <w:bookmarkStart w:id="0" w:name="_GoBack"/>
      <w:bookmarkEnd w:id="0"/>
    </w:p>
    <w:p w:rsidR="00E0422F" w:rsidRPr="00491A31" w:rsidRDefault="00505F86" w:rsidP="00E0422F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sz w:val="22"/>
          <w:szCs w:val="22"/>
        </w:rPr>
        <w:t xml:space="preserve">4.  </w:t>
      </w:r>
      <w:r w:rsidR="00332723" w:rsidRPr="00491A31">
        <w:rPr>
          <w:rFonts w:ascii="Titillium" w:hAnsi="Titillium"/>
          <w:sz w:val="22"/>
          <w:szCs w:val="22"/>
        </w:rPr>
        <w:t xml:space="preserve">Il Responsabile unico </w:t>
      </w:r>
      <w:r w:rsidR="00470540">
        <w:rPr>
          <w:rFonts w:ascii="Titillium" w:hAnsi="Titillium"/>
          <w:sz w:val="22"/>
          <w:szCs w:val="22"/>
        </w:rPr>
        <w:t>del</w:t>
      </w:r>
      <w:r w:rsidR="00581C85" w:rsidRPr="00491A31">
        <w:rPr>
          <w:rFonts w:ascii="Titillium" w:hAnsi="Titillium"/>
          <w:sz w:val="22"/>
          <w:szCs w:val="22"/>
        </w:rPr>
        <w:t xml:space="preserve"> progetto</w:t>
      </w:r>
      <w:r w:rsidR="00332723" w:rsidRPr="00491A31">
        <w:rPr>
          <w:rFonts w:ascii="Titillium" w:hAnsi="Titillium"/>
          <w:sz w:val="22"/>
          <w:szCs w:val="22"/>
        </w:rPr>
        <w:t xml:space="preserve"> di cui all’art. </w:t>
      </w:r>
      <w:r w:rsidR="00581C85" w:rsidRPr="00491A31">
        <w:rPr>
          <w:rFonts w:ascii="Titillium" w:hAnsi="Titillium"/>
          <w:sz w:val="22"/>
          <w:szCs w:val="22"/>
        </w:rPr>
        <w:t>15 del d.lgs. n. 36/2023</w:t>
      </w:r>
      <w:r w:rsidR="00491A31" w:rsidRPr="00491A31">
        <w:rPr>
          <w:rFonts w:ascii="Titillium" w:hAnsi="Titillium"/>
          <w:sz w:val="22"/>
          <w:szCs w:val="22"/>
        </w:rPr>
        <w:t xml:space="preserve"> coincide con il Dirigente dell’Ufficio Gare e Logistica, Ing. Settimio Picca;</w:t>
      </w:r>
      <w:r w:rsidR="006E0721" w:rsidRPr="00491A31">
        <w:rPr>
          <w:rFonts w:ascii="Titillium" w:hAnsi="Titillium"/>
          <w:sz w:val="22"/>
          <w:szCs w:val="22"/>
        </w:rPr>
        <w:t xml:space="preserve"> </w:t>
      </w:r>
    </w:p>
    <w:p w:rsidR="00491A31" w:rsidRPr="00491A31" w:rsidRDefault="00491A31" w:rsidP="00E0422F">
      <w:pPr>
        <w:spacing w:after="100" w:line="276" w:lineRule="auto"/>
        <w:jc w:val="both"/>
        <w:rPr>
          <w:rFonts w:ascii="Titillium" w:hAnsi="Titillium"/>
          <w:sz w:val="22"/>
          <w:szCs w:val="22"/>
        </w:rPr>
      </w:pPr>
      <w:r w:rsidRPr="00491A31">
        <w:rPr>
          <w:rFonts w:ascii="Titillium" w:hAnsi="Titillium"/>
          <w:sz w:val="22"/>
          <w:szCs w:val="22"/>
        </w:rPr>
        <w:t xml:space="preserve">5. </w:t>
      </w:r>
      <w:r w:rsidR="00204A71">
        <w:rPr>
          <w:rFonts w:ascii="Titillium" w:hAnsi="Titillium"/>
          <w:sz w:val="22"/>
          <w:szCs w:val="22"/>
        </w:rPr>
        <w:t xml:space="preserve"> </w:t>
      </w:r>
      <w:r w:rsidRPr="00491A31">
        <w:rPr>
          <w:rFonts w:ascii="Titillium" w:hAnsi="Titillium"/>
          <w:sz w:val="22"/>
          <w:szCs w:val="22"/>
        </w:rPr>
        <w:t>Il direttore dell’esecuzione del contratto è l’Arch. Rosaria Rizzacasa, funzionario in servizio presso l’Ufficio Gare e Logistica dell’Autorità.</w:t>
      </w:r>
    </w:p>
    <w:p w:rsidR="00EB1306" w:rsidRDefault="00EB1306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</w:p>
    <w:tbl>
      <w:tblPr>
        <w:tblW w:w="4118" w:type="pct"/>
        <w:tblInd w:w="15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2548"/>
        <w:gridCol w:w="2697"/>
      </w:tblGrid>
      <w:tr w:rsidR="00EB1306" w:rsidRPr="00491A31" w:rsidTr="008C2E72">
        <w:trPr>
          <w:trHeight w:val="343"/>
        </w:trPr>
        <w:tc>
          <w:tcPr>
            <w:tcW w:w="1696" w:type="pct"/>
            <w:shd w:val="clear" w:color="auto" w:fill="2770B7"/>
            <w:vAlign w:val="center"/>
          </w:tcPr>
          <w:p w:rsidR="00EB1306" w:rsidRPr="00491A31" w:rsidRDefault="00EB1306" w:rsidP="008C2E72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605" w:type="pct"/>
            <w:shd w:val="clear" w:color="auto" w:fill="2770B7"/>
            <w:vAlign w:val="center"/>
          </w:tcPr>
          <w:p w:rsidR="00EB1306" w:rsidRPr="00491A31" w:rsidRDefault="00EB1306" w:rsidP="008C2E72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shd w:val="clear" w:color="auto" w:fill="2770B7"/>
            <w:vAlign w:val="center"/>
          </w:tcPr>
          <w:p w:rsidR="00EB1306" w:rsidRPr="00491A31" w:rsidRDefault="00EB1306" w:rsidP="008C2E72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</w:pPr>
            <w:r w:rsidRPr="00491A31"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  <w:t xml:space="preserve">Il Segretario Generale </w:t>
            </w:r>
          </w:p>
        </w:tc>
      </w:tr>
      <w:tr w:rsidR="00EB1306" w:rsidRPr="00491A31" w:rsidTr="008C2E72">
        <w:trPr>
          <w:trHeight w:val="434"/>
        </w:trPr>
        <w:tc>
          <w:tcPr>
            <w:tcW w:w="1696" w:type="pct"/>
            <w:shd w:val="clear" w:color="auto" w:fill="auto"/>
            <w:vAlign w:val="center"/>
          </w:tcPr>
          <w:p w:rsidR="00EB1306" w:rsidRPr="00491A31" w:rsidRDefault="00EB1306" w:rsidP="008C2E72">
            <w:pPr>
              <w:rPr>
                <w:i/>
                <w:sz w:val="22"/>
                <w:szCs w:val="22"/>
              </w:rPr>
            </w:pPr>
          </w:p>
        </w:tc>
        <w:tc>
          <w:tcPr>
            <w:tcW w:w="1605" w:type="pct"/>
            <w:vAlign w:val="center"/>
          </w:tcPr>
          <w:p w:rsidR="00EB1306" w:rsidRPr="00491A31" w:rsidRDefault="00EB1306" w:rsidP="008C2E72">
            <w:pPr>
              <w:rPr>
                <w:rFonts w:ascii="Titillium" w:hAnsi="Titillium"/>
                <w:i/>
                <w:sz w:val="22"/>
                <w:szCs w:val="22"/>
              </w:rPr>
            </w:pPr>
          </w:p>
        </w:tc>
        <w:tc>
          <w:tcPr>
            <w:tcW w:w="1699" w:type="pct"/>
            <w:shd w:val="clear" w:color="auto" w:fill="auto"/>
            <w:vAlign w:val="center"/>
          </w:tcPr>
          <w:p w:rsidR="00EB1306" w:rsidRPr="00491A31" w:rsidRDefault="00EB1306" w:rsidP="008C2E72">
            <w:pPr>
              <w:rPr>
                <w:rFonts w:ascii="Titillium" w:hAnsi="Titillium"/>
                <w:i/>
                <w:sz w:val="22"/>
                <w:szCs w:val="22"/>
              </w:rPr>
            </w:pPr>
            <w:r w:rsidRPr="00491A31">
              <w:rPr>
                <w:rFonts w:ascii="Titillium" w:hAnsi="Titillium"/>
                <w:i/>
                <w:sz w:val="22"/>
                <w:szCs w:val="22"/>
              </w:rPr>
              <w:t xml:space="preserve">     Ing. Filippo Romano</w:t>
            </w:r>
          </w:p>
        </w:tc>
      </w:tr>
    </w:tbl>
    <w:p w:rsidR="00EB1306" w:rsidRDefault="00EB1306" w:rsidP="00EB1306">
      <w:pPr>
        <w:spacing w:after="120" w:line="276" w:lineRule="auto"/>
        <w:jc w:val="both"/>
        <w:rPr>
          <w:rFonts w:ascii="Garamond" w:hAnsi="Garamond"/>
        </w:rPr>
      </w:pPr>
    </w:p>
    <w:p w:rsidR="00491A31" w:rsidRDefault="00491A31" w:rsidP="00EB1306">
      <w:pPr>
        <w:spacing w:after="120" w:line="276" w:lineRule="auto"/>
        <w:jc w:val="both"/>
        <w:rPr>
          <w:rFonts w:ascii="Garamond" w:hAnsi="Garamond"/>
        </w:rPr>
      </w:pPr>
    </w:p>
    <w:p w:rsidR="00EB1306" w:rsidRDefault="00EB1306" w:rsidP="00EB1306">
      <w:pPr>
        <w:spacing w:after="120" w:line="276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tblpY="1"/>
        <w:tblOverlap w:val="never"/>
        <w:tblW w:w="247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3"/>
      </w:tblGrid>
      <w:tr w:rsidR="00EB1306" w:rsidRPr="00491A31" w:rsidTr="008C2E72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:rsidR="00EB1306" w:rsidRPr="00491A31" w:rsidRDefault="00EB1306" w:rsidP="008C2E72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</w:pPr>
            <w:r w:rsidRPr="00491A31"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  <w:t>Visto</w:t>
            </w:r>
          </w:p>
          <w:p w:rsidR="00EB1306" w:rsidRPr="00491A31" w:rsidRDefault="00EB1306" w:rsidP="008C2E72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</w:pPr>
            <w:r w:rsidRPr="00491A31"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  <w:t>Il Dirigente dell’Ufficio Gare e logistica</w:t>
            </w:r>
          </w:p>
        </w:tc>
      </w:tr>
      <w:tr w:rsidR="00EB1306" w:rsidRPr="00491A31" w:rsidTr="008C2E72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:rsidR="00EB1306" w:rsidRPr="00491A31" w:rsidRDefault="00EB1306" w:rsidP="008C2E72">
            <w:pPr>
              <w:jc w:val="center"/>
              <w:rPr>
                <w:i/>
                <w:sz w:val="22"/>
                <w:szCs w:val="22"/>
              </w:rPr>
            </w:pPr>
            <w:r w:rsidRPr="00491A31">
              <w:rPr>
                <w:rFonts w:ascii="Titillium" w:hAnsi="Titillium"/>
                <w:i/>
                <w:sz w:val="22"/>
                <w:szCs w:val="22"/>
              </w:rPr>
              <w:t>Ing. Settimio Picca</w:t>
            </w:r>
          </w:p>
        </w:tc>
      </w:tr>
    </w:tbl>
    <w:p w:rsidR="00EB1306" w:rsidRPr="00491A31" w:rsidRDefault="00EB1306" w:rsidP="00EB1306">
      <w:pPr>
        <w:rPr>
          <w:rFonts w:ascii="Garamond" w:hAnsi="Garamond"/>
          <w:sz w:val="22"/>
          <w:szCs w:val="22"/>
        </w:rPr>
      </w:pPr>
      <w:r w:rsidRPr="00491A31">
        <w:rPr>
          <w:rFonts w:ascii="Garamond" w:hAnsi="Garamond"/>
          <w:sz w:val="22"/>
          <w:szCs w:val="22"/>
        </w:rPr>
        <w:t xml:space="preserve">  </w:t>
      </w:r>
    </w:p>
    <w:p w:rsidR="00EB1306" w:rsidRPr="00A10E00" w:rsidRDefault="00EB1306" w:rsidP="00EB1306">
      <w:pPr>
        <w:rPr>
          <w:rFonts w:ascii="Garamond" w:hAnsi="Garamond"/>
        </w:rPr>
      </w:pPr>
    </w:p>
    <w:p w:rsidR="00EB1306" w:rsidRPr="00A10E00" w:rsidRDefault="00EB1306" w:rsidP="00EB1306">
      <w:pPr>
        <w:rPr>
          <w:rFonts w:ascii="Garamond" w:hAnsi="Garamond"/>
        </w:rPr>
      </w:pPr>
    </w:p>
    <w:p w:rsidR="00EB1306" w:rsidRPr="00A10E00" w:rsidRDefault="00EB1306" w:rsidP="00EB1306">
      <w:pPr>
        <w:rPr>
          <w:rFonts w:ascii="Garamond" w:hAnsi="Garamond"/>
        </w:rPr>
      </w:pPr>
    </w:p>
    <w:p w:rsidR="00EB1306" w:rsidRPr="00A10E00" w:rsidRDefault="00EB1306" w:rsidP="00EB1306">
      <w:pPr>
        <w:rPr>
          <w:rFonts w:ascii="Garamond" w:hAnsi="Garamond"/>
        </w:rPr>
      </w:pPr>
    </w:p>
    <w:p w:rsidR="00EB1306" w:rsidRDefault="00EB1306" w:rsidP="00EB1306">
      <w:pPr>
        <w:rPr>
          <w:rFonts w:ascii="Garamond" w:hAnsi="Garamond"/>
        </w:rPr>
      </w:pPr>
    </w:p>
    <w:p w:rsidR="00EB1306" w:rsidRDefault="00EB1306" w:rsidP="00EB1306">
      <w:pPr>
        <w:rPr>
          <w:rFonts w:ascii="Garamond" w:hAnsi="Garamond"/>
        </w:rPr>
      </w:pPr>
    </w:p>
    <w:p w:rsidR="00EB1306" w:rsidRDefault="00EB1306" w:rsidP="00EB1306">
      <w:pPr>
        <w:rPr>
          <w:rFonts w:ascii="Garamond" w:hAnsi="Garamond"/>
        </w:rPr>
      </w:pPr>
    </w:p>
    <w:p w:rsidR="00470540" w:rsidRPr="00A10E00" w:rsidRDefault="00470540" w:rsidP="00EB1306">
      <w:pPr>
        <w:rPr>
          <w:rFonts w:ascii="Garamond" w:hAnsi="Garamond"/>
        </w:rPr>
      </w:pPr>
    </w:p>
    <w:p w:rsidR="00EB1306" w:rsidRPr="00A10E00" w:rsidRDefault="00EB1306" w:rsidP="00EB1306">
      <w:pPr>
        <w:rPr>
          <w:rFonts w:ascii="Garamond" w:hAnsi="Garamond"/>
        </w:rPr>
      </w:pPr>
    </w:p>
    <w:tbl>
      <w:tblPr>
        <w:tblpPr w:leftFromText="141" w:rightFromText="141" w:vertAnchor="text" w:tblpY="1"/>
        <w:tblOverlap w:val="never"/>
        <w:tblW w:w="247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3"/>
      </w:tblGrid>
      <w:tr w:rsidR="00EB1306" w:rsidRPr="00491A31" w:rsidTr="008C2E72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:rsidR="00EB1306" w:rsidRPr="00491A31" w:rsidRDefault="00EB1306" w:rsidP="008C2E72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</w:pPr>
            <w:r w:rsidRPr="00491A31"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  <w:t>Visto per la copertura finanziaria</w:t>
            </w:r>
          </w:p>
          <w:p w:rsidR="00EB1306" w:rsidRPr="00491A31" w:rsidRDefault="00EB1306" w:rsidP="008C2E72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</w:pPr>
            <w:r w:rsidRPr="00491A31"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  <w:t>Il Dirigente dell’Ufficio Programmazione</w:t>
            </w:r>
          </w:p>
          <w:p w:rsidR="00EB1306" w:rsidRPr="00491A31" w:rsidRDefault="00EB1306" w:rsidP="008C2E72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</w:pPr>
            <w:r w:rsidRPr="00491A31">
              <w:rPr>
                <w:rFonts w:ascii="Gotham Book" w:eastAsia="Calibri" w:hAnsi="Gotham Book" w:cs="Titillium Web"/>
                <w:color w:val="FFFFFF"/>
                <w:sz w:val="22"/>
                <w:szCs w:val="22"/>
                <w:lang w:eastAsia="en-US"/>
              </w:rPr>
              <w:t>delle risorse finanziarie, bilancio e contabilità</w:t>
            </w:r>
          </w:p>
        </w:tc>
      </w:tr>
      <w:tr w:rsidR="00EB1306" w:rsidRPr="00491A31" w:rsidTr="008C2E72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:rsidR="00EB1306" w:rsidRPr="00491A31" w:rsidRDefault="00EB1306" w:rsidP="008C2E72">
            <w:pPr>
              <w:jc w:val="center"/>
              <w:rPr>
                <w:i/>
                <w:sz w:val="22"/>
                <w:szCs w:val="22"/>
              </w:rPr>
            </w:pPr>
            <w:r w:rsidRPr="00491A31">
              <w:rPr>
                <w:rFonts w:ascii="Titillium" w:hAnsi="Titillium"/>
                <w:i/>
                <w:sz w:val="22"/>
                <w:szCs w:val="22"/>
              </w:rPr>
              <w:t>Dott. Stefano Ceccarelli</w:t>
            </w:r>
          </w:p>
        </w:tc>
      </w:tr>
    </w:tbl>
    <w:p w:rsidR="00EB1306" w:rsidRDefault="00EB1306" w:rsidP="00EB1306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</w:p>
    <w:p w:rsidR="00EB1306" w:rsidRDefault="00EB1306" w:rsidP="00EB1306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</w:p>
    <w:p w:rsidR="00E70CFA" w:rsidRPr="00E0422F" w:rsidRDefault="00E70CFA" w:rsidP="00982D00">
      <w:pPr>
        <w:spacing w:after="240" w:line="276" w:lineRule="auto"/>
        <w:jc w:val="both"/>
        <w:rPr>
          <w:rFonts w:ascii="Titillium" w:hAnsi="Titillium"/>
          <w:sz w:val="20"/>
          <w:szCs w:val="20"/>
        </w:rPr>
      </w:pPr>
    </w:p>
    <w:sectPr w:rsidR="00E70CFA" w:rsidRPr="00E0422F" w:rsidSect="00F77C35">
      <w:headerReference w:type="default" r:id="rId8"/>
      <w:pgSz w:w="11906" w:h="16838"/>
      <w:pgMar w:top="567" w:right="1134" w:bottom="1276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81" w:rsidRDefault="001E5B81" w:rsidP="00332723">
      <w:r>
        <w:separator/>
      </w:r>
    </w:p>
  </w:endnote>
  <w:endnote w:type="continuationSeparator" w:id="0">
    <w:p w:rsidR="001E5B81" w:rsidRDefault="001E5B81" w:rsidP="003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7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81" w:rsidRDefault="001E5B81" w:rsidP="00332723">
      <w:r>
        <w:separator/>
      </w:r>
    </w:p>
  </w:footnote>
  <w:footnote w:type="continuationSeparator" w:id="0">
    <w:p w:rsidR="001E5B81" w:rsidRDefault="001E5B81" w:rsidP="003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49" w:rsidRDefault="00C95049" w:rsidP="008B6ABE">
    <w:pPr>
      <w:tabs>
        <w:tab w:val="center" w:pos="4678"/>
      </w:tabs>
      <w:spacing w:before="120"/>
      <w:ind w:right="284"/>
      <w:rPr>
        <w:i/>
        <w:color w:val="1F497D"/>
        <w:sz w:val="20"/>
        <w:szCs w:val="20"/>
      </w:rPr>
    </w:pPr>
    <w:r>
      <w:rPr>
        <w:noProof/>
      </w:rPr>
      <w:drawing>
        <wp:inline distT="0" distB="0" distL="0" distR="0" wp14:anchorId="6CF98EE3" wp14:editId="3CEB9739">
          <wp:extent cx="3169920" cy="4025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2723" w:rsidRDefault="00332723" w:rsidP="008B6ABE">
    <w:pPr>
      <w:tabs>
        <w:tab w:val="center" w:pos="4678"/>
      </w:tabs>
      <w:spacing w:before="120"/>
      <w:ind w:right="284"/>
      <w:rPr>
        <w:rFonts w:ascii="Gotham Light" w:hAnsi="Gotham Light" w:cs="Arial"/>
        <w:color w:val="2E74B5"/>
      </w:rPr>
    </w:pPr>
  </w:p>
  <w:p w:rsidR="000A6F83" w:rsidRPr="008B6ABE" w:rsidRDefault="000A6F83" w:rsidP="008B6ABE">
    <w:pPr>
      <w:tabs>
        <w:tab w:val="center" w:pos="4678"/>
      </w:tabs>
      <w:spacing w:before="120"/>
      <w:ind w:right="284"/>
      <w:rPr>
        <w:rFonts w:ascii="Gotham Light" w:hAnsi="Gotham Light"/>
        <w:i/>
        <w:color w:val="1F497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56576D"/>
    <w:multiLevelType w:val="hybridMultilevel"/>
    <w:tmpl w:val="440E28C8"/>
    <w:lvl w:ilvl="0" w:tplc="0410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6520"/>
    <w:multiLevelType w:val="hybridMultilevel"/>
    <w:tmpl w:val="71E03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00598A"/>
    <w:rsid w:val="000209F6"/>
    <w:rsid w:val="00022368"/>
    <w:rsid w:val="000458D6"/>
    <w:rsid w:val="000522EB"/>
    <w:rsid w:val="000650BE"/>
    <w:rsid w:val="000952B3"/>
    <w:rsid w:val="000A6F83"/>
    <w:rsid w:val="000B1C05"/>
    <w:rsid w:val="000E32B5"/>
    <w:rsid w:val="00110EE1"/>
    <w:rsid w:val="00116D45"/>
    <w:rsid w:val="00116E66"/>
    <w:rsid w:val="0012593E"/>
    <w:rsid w:val="00150097"/>
    <w:rsid w:val="0015728D"/>
    <w:rsid w:val="001E05C1"/>
    <w:rsid w:val="001E136E"/>
    <w:rsid w:val="001E27E3"/>
    <w:rsid w:val="001E5B81"/>
    <w:rsid w:val="001F06BC"/>
    <w:rsid w:val="001F0F88"/>
    <w:rsid w:val="001F603F"/>
    <w:rsid w:val="001F74B3"/>
    <w:rsid w:val="00204A71"/>
    <w:rsid w:val="00211561"/>
    <w:rsid w:val="00212000"/>
    <w:rsid w:val="00212EAF"/>
    <w:rsid w:val="002175C6"/>
    <w:rsid w:val="00231CCC"/>
    <w:rsid w:val="0023328A"/>
    <w:rsid w:val="002578C0"/>
    <w:rsid w:val="00263208"/>
    <w:rsid w:val="0026529A"/>
    <w:rsid w:val="002750CE"/>
    <w:rsid w:val="00276D2A"/>
    <w:rsid w:val="00315207"/>
    <w:rsid w:val="00332723"/>
    <w:rsid w:val="00334539"/>
    <w:rsid w:val="00356FF4"/>
    <w:rsid w:val="003574BE"/>
    <w:rsid w:val="00366BF6"/>
    <w:rsid w:val="003802B6"/>
    <w:rsid w:val="00385D7E"/>
    <w:rsid w:val="003A7A5A"/>
    <w:rsid w:val="003B4801"/>
    <w:rsid w:val="003C7760"/>
    <w:rsid w:val="003D4614"/>
    <w:rsid w:val="003E5D79"/>
    <w:rsid w:val="00403E95"/>
    <w:rsid w:val="00404289"/>
    <w:rsid w:val="00405F29"/>
    <w:rsid w:val="00406276"/>
    <w:rsid w:val="0040726A"/>
    <w:rsid w:val="004072EB"/>
    <w:rsid w:val="00414BA9"/>
    <w:rsid w:val="004609AF"/>
    <w:rsid w:val="00463CE9"/>
    <w:rsid w:val="00470540"/>
    <w:rsid w:val="00472286"/>
    <w:rsid w:val="004774AE"/>
    <w:rsid w:val="004843CF"/>
    <w:rsid w:val="004854B5"/>
    <w:rsid w:val="00485612"/>
    <w:rsid w:val="00487647"/>
    <w:rsid w:val="00491190"/>
    <w:rsid w:val="00491A31"/>
    <w:rsid w:val="004A02A4"/>
    <w:rsid w:val="004A53E6"/>
    <w:rsid w:val="004B6C64"/>
    <w:rsid w:val="004C1A91"/>
    <w:rsid w:val="004D7473"/>
    <w:rsid w:val="004E0347"/>
    <w:rsid w:val="004E12C3"/>
    <w:rsid w:val="004E54CF"/>
    <w:rsid w:val="00503FFE"/>
    <w:rsid w:val="005046BE"/>
    <w:rsid w:val="00505F86"/>
    <w:rsid w:val="00514E05"/>
    <w:rsid w:val="0052461B"/>
    <w:rsid w:val="005273C2"/>
    <w:rsid w:val="005565FA"/>
    <w:rsid w:val="0057580A"/>
    <w:rsid w:val="00581C85"/>
    <w:rsid w:val="0058739E"/>
    <w:rsid w:val="005A2153"/>
    <w:rsid w:val="005E6E80"/>
    <w:rsid w:val="005F5C0C"/>
    <w:rsid w:val="00603567"/>
    <w:rsid w:val="00607BD9"/>
    <w:rsid w:val="00607DAC"/>
    <w:rsid w:val="006318AA"/>
    <w:rsid w:val="00632F5C"/>
    <w:rsid w:val="0063524C"/>
    <w:rsid w:val="00672053"/>
    <w:rsid w:val="00695A16"/>
    <w:rsid w:val="006979D2"/>
    <w:rsid w:val="006A2327"/>
    <w:rsid w:val="006A4252"/>
    <w:rsid w:val="006A6E3E"/>
    <w:rsid w:val="006C6232"/>
    <w:rsid w:val="006C6C74"/>
    <w:rsid w:val="006E0721"/>
    <w:rsid w:val="007228DC"/>
    <w:rsid w:val="00723555"/>
    <w:rsid w:val="00727CF5"/>
    <w:rsid w:val="00727FF0"/>
    <w:rsid w:val="007679A2"/>
    <w:rsid w:val="007840EA"/>
    <w:rsid w:val="00792C50"/>
    <w:rsid w:val="00793F70"/>
    <w:rsid w:val="007B5FA8"/>
    <w:rsid w:val="007C6B00"/>
    <w:rsid w:val="007E37F5"/>
    <w:rsid w:val="007F3D76"/>
    <w:rsid w:val="00821134"/>
    <w:rsid w:val="008460B1"/>
    <w:rsid w:val="008B6ABE"/>
    <w:rsid w:val="008C2DD8"/>
    <w:rsid w:val="008D46D1"/>
    <w:rsid w:val="008E15C8"/>
    <w:rsid w:val="00942520"/>
    <w:rsid w:val="00952CF9"/>
    <w:rsid w:val="009723AB"/>
    <w:rsid w:val="009811A0"/>
    <w:rsid w:val="00982D00"/>
    <w:rsid w:val="009B2060"/>
    <w:rsid w:val="009B7148"/>
    <w:rsid w:val="00A128BC"/>
    <w:rsid w:val="00A24B0E"/>
    <w:rsid w:val="00A55094"/>
    <w:rsid w:val="00A6677D"/>
    <w:rsid w:val="00A67C23"/>
    <w:rsid w:val="00A708D2"/>
    <w:rsid w:val="00A80E47"/>
    <w:rsid w:val="00A90DE9"/>
    <w:rsid w:val="00AB2C6E"/>
    <w:rsid w:val="00AE6E4B"/>
    <w:rsid w:val="00B04539"/>
    <w:rsid w:val="00B36A03"/>
    <w:rsid w:val="00B37CA5"/>
    <w:rsid w:val="00B613FA"/>
    <w:rsid w:val="00B6390B"/>
    <w:rsid w:val="00B67094"/>
    <w:rsid w:val="00B7127D"/>
    <w:rsid w:val="00B80660"/>
    <w:rsid w:val="00B80C02"/>
    <w:rsid w:val="00B82187"/>
    <w:rsid w:val="00B9335C"/>
    <w:rsid w:val="00BA5196"/>
    <w:rsid w:val="00BC1267"/>
    <w:rsid w:val="00BD1180"/>
    <w:rsid w:val="00BE0050"/>
    <w:rsid w:val="00BF15B5"/>
    <w:rsid w:val="00BF732F"/>
    <w:rsid w:val="00C05EF6"/>
    <w:rsid w:val="00C108D7"/>
    <w:rsid w:val="00C17086"/>
    <w:rsid w:val="00C41C91"/>
    <w:rsid w:val="00C60786"/>
    <w:rsid w:val="00C70912"/>
    <w:rsid w:val="00C83149"/>
    <w:rsid w:val="00C95049"/>
    <w:rsid w:val="00CA2405"/>
    <w:rsid w:val="00CA5AA2"/>
    <w:rsid w:val="00CC7586"/>
    <w:rsid w:val="00D03AB2"/>
    <w:rsid w:val="00D17E5C"/>
    <w:rsid w:val="00D40F1F"/>
    <w:rsid w:val="00D666CA"/>
    <w:rsid w:val="00D731D4"/>
    <w:rsid w:val="00D844E1"/>
    <w:rsid w:val="00D87614"/>
    <w:rsid w:val="00D9010F"/>
    <w:rsid w:val="00DB1F58"/>
    <w:rsid w:val="00DB4DF6"/>
    <w:rsid w:val="00DB4E64"/>
    <w:rsid w:val="00DD2A6C"/>
    <w:rsid w:val="00DF50E4"/>
    <w:rsid w:val="00E0422F"/>
    <w:rsid w:val="00E07DDB"/>
    <w:rsid w:val="00E27E0A"/>
    <w:rsid w:val="00E54758"/>
    <w:rsid w:val="00E637CD"/>
    <w:rsid w:val="00E70CFA"/>
    <w:rsid w:val="00EA39F0"/>
    <w:rsid w:val="00EB1306"/>
    <w:rsid w:val="00EE191B"/>
    <w:rsid w:val="00EE5A02"/>
    <w:rsid w:val="00F21AC6"/>
    <w:rsid w:val="00F35878"/>
    <w:rsid w:val="00F50B94"/>
    <w:rsid w:val="00F703BF"/>
    <w:rsid w:val="00F72632"/>
    <w:rsid w:val="00F779A2"/>
    <w:rsid w:val="00F77C35"/>
    <w:rsid w:val="00F94CB1"/>
    <w:rsid w:val="00FA4424"/>
    <w:rsid w:val="00FA472B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96DBE6-CEEE-4BB2-BAFC-3A680C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327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B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727FF0"/>
    <w:pPr>
      <w:spacing w:before="100" w:beforeAutospacing="1" w:after="119"/>
    </w:pPr>
    <w:rPr>
      <w:rFonts w:eastAsiaTheme="minorHAnsi"/>
    </w:rPr>
  </w:style>
  <w:style w:type="paragraph" w:customStyle="1" w:styleId="ANCATABELLATITOLOBIANCO">
    <w:name w:val="ANCA_TABELLA_TITOLO BIANCO"/>
    <w:basedOn w:val="Normale"/>
    <w:qFormat/>
    <w:rsid w:val="008B6AB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0118D-0249-4986-A942-E5E57B2B7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B4573-D346-4E17-9E63-9933595C1A0E}"/>
</file>

<file path=customXml/itemProps3.xml><?xml version="1.0" encoding="utf-8"?>
<ds:datastoreItem xmlns:ds="http://schemas.openxmlformats.org/officeDocument/2006/customXml" ds:itemID="{26B75093-69CF-4217-AD9D-DBA8A983CC90}"/>
</file>

<file path=customXml/itemProps4.xml><?xml version="1.0" encoding="utf-8"?>
<ds:datastoreItem xmlns:ds="http://schemas.openxmlformats.org/officeDocument/2006/customXml" ds:itemID="{2F9E6A29-31D6-48F5-9B71-64EF69F35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Mazzotti Eleonora</cp:lastModifiedBy>
  <cp:revision>152</cp:revision>
  <cp:lastPrinted>2023-07-31T09:54:00Z</cp:lastPrinted>
  <dcterms:created xsi:type="dcterms:W3CDTF">2020-10-02T08:57:00Z</dcterms:created>
  <dcterms:modified xsi:type="dcterms:W3CDTF">2023-08-09T13:35:00Z</dcterms:modified>
</cp:coreProperties>
</file>