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90B" w:rsidRDefault="00B6390B" w:rsidP="00E0422F">
      <w:pPr>
        <w:tabs>
          <w:tab w:val="left" w:pos="2774"/>
        </w:tabs>
        <w:spacing w:before="120" w:after="120" w:line="276" w:lineRule="auto"/>
        <w:rPr>
          <w:rFonts w:ascii="Gotham Book" w:hAnsi="Gotham Book" w:cs="Arial"/>
          <w:b/>
          <w:color w:val="2E74B5"/>
        </w:rPr>
      </w:pPr>
    </w:p>
    <w:p w:rsidR="00B80660" w:rsidRPr="00E0422F" w:rsidRDefault="00C95049" w:rsidP="00E0422F">
      <w:pPr>
        <w:tabs>
          <w:tab w:val="left" w:pos="2774"/>
        </w:tabs>
        <w:spacing w:before="120" w:after="120" w:line="276" w:lineRule="auto"/>
        <w:jc w:val="center"/>
        <w:rPr>
          <w:rFonts w:ascii="Gotham Light" w:hAnsi="Gotham Light"/>
          <w:b/>
          <w:sz w:val="36"/>
          <w:szCs w:val="36"/>
        </w:rPr>
      </w:pPr>
      <w:r w:rsidRPr="008B6ABE">
        <w:rPr>
          <w:rFonts w:ascii="Gotham Light" w:hAnsi="Gotham Light" w:cs="Arial"/>
          <w:b/>
          <w:color w:val="2E74B5"/>
          <w:sz w:val="36"/>
          <w:szCs w:val="36"/>
        </w:rPr>
        <w:t>DETERMINA A CONTRARRE</w:t>
      </w:r>
    </w:p>
    <w:p w:rsidR="00332723" w:rsidRPr="00B80660" w:rsidRDefault="00332723" w:rsidP="00212EAF">
      <w:pPr>
        <w:spacing w:after="100" w:line="276" w:lineRule="auto"/>
        <w:jc w:val="both"/>
        <w:rPr>
          <w:rFonts w:ascii="Titillium" w:hAnsi="Titillium"/>
          <w:sz w:val="20"/>
          <w:szCs w:val="20"/>
        </w:rPr>
      </w:pPr>
      <w:r w:rsidRPr="00B80660">
        <w:rPr>
          <w:rFonts w:ascii="Titillium" w:hAnsi="Titillium"/>
          <w:b/>
          <w:sz w:val="20"/>
          <w:szCs w:val="20"/>
        </w:rPr>
        <w:t>VISTO</w:t>
      </w:r>
      <w:r w:rsidRPr="00B80660">
        <w:rPr>
          <w:rFonts w:ascii="Titillium" w:hAnsi="Titillium"/>
          <w:sz w:val="20"/>
          <w:szCs w:val="20"/>
        </w:rPr>
        <w:t xml:space="preserve"> il decreto legislativo 18 aprile 2016, n. 50, ed in particolare il comma 2 dell’art. 32, il quale prevede che, prima dell’avvio delle procedure di affidamento dei contratti pubblici, le stazioni appaltanti, in conformità ai propri ordinamenti, decretino o determinino di contrarre, individuando gli elementi essenziali del contratto e i criteri di selezione degli operatori economici e delle </w:t>
      </w:r>
      <w:r w:rsidR="00B80660" w:rsidRPr="00B81D80">
        <w:rPr>
          <w:rFonts w:ascii="Titillium" w:hAnsi="Titillium"/>
          <w:sz w:val="20"/>
          <w:szCs w:val="20"/>
        </w:rPr>
        <w:t>offerte</w:t>
      </w:r>
      <w:r w:rsidRPr="00B80660">
        <w:rPr>
          <w:rFonts w:ascii="Titillium" w:hAnsi="Titillium"/>
          <w:sz w:val="20"/>
          <w:szCs w:val="20"/>
        </w:rPr>
        <w:t>;</w:t>
      </w:r>
    </w:p>
    <w:p w:rsidR="00332723" w:rsidRDefault="00332723" w:rsidP="00212EAF">
      <w:pPr>
        <w:spacing w:after="100" w:line="276" w:lineRule="auto"/>
        <w:jc w:val="both"/>
        <w:rPr>
          <w:rFonts w:ascii="Titillium" w:hAnsi="Titillium"/>
          <w:sz w:val="20"/>
          <w:szCs w:val="20"/>
        </w:rPr>
      </w:pPr>
      <w:r w:rsidRPr="00B80660">
        <w:rPr>
          <w:rFonts w:ascii="Titillium" w:hAnsi="Titillium"/>
          <w:b/>
          <w:sz w:val="20"/>
          <w:szCs w:val="20"/>
        </w:rPr>
        <w:t>VISTO</w:t>
      </w:r>
      <w:r w:rsidRPr="00B80660">
        <w:rPr>
          <w:rFonts w:ascii="Titillium" w:hAnsi="Titillium"/>
          <w:sz w:val="20"/>
          <w:szCs w:val="20"/>
        </w:rPr>
        <w:t xml:space="preserve"> il </w:t>
      </w:r>
      <w:r w:rsidR="00BD1180" w:rsidRPr="00BD1180">
        <w:rPr>
          <w:rFonts w:ascii="Titillium" w:hAnsi="Titillium"/>
          <w:sz w:val="20"/>
          <w:szCs w:val="20"/>
        </w:rPr>
        <w:t>Regolamento per la disciplina dei contratti pubblici di servizi e forniture stipulati dall’Autorità approvato con Delibera n. 538 del 7.7.2021</w:t>
      </w:r>
      <w:r w:rsidR="00BD1180">
        <w:rPr>
          <w:rFonts w:ascii="Titillium" w:hAnsi="Titillium"/>
          <w:sz w:val="20"/>
          <w:szCs w:val="20"/>
        </w:rPr>
        <w:t xml:space="preserve"> e pubblicato in data 21.7.2021</w:t>
      </w:r>
      <w:r w:rsidRPr="00B80660">
        <w:rPr>
          <w:rFonts w:ascii="Titillium" w:hAnsi="Titillium"/>
          <w:sz w:val="20"/>
          <w:szCs w:val="20"/>
        </w:rPr>
        <w:t>;</w:t>
      </w:r>
    </w:p>
    <w:p w:rsidR="00116D45" w:rsidRDefault="00116D45" w:rsidP="00212EAF">
      <w:pPr>
        <w:spacing w:after="100" w:line="276" w:lineRule="auto"/>
        <w:jc w:val="both"/>
        <w:rPr>
          <w:rFonts w:ascii="Titillium" w:hAnsi="Titillium"/>
          <w:sz w:val="20"/>
          <w:szCs w:val="20"/>
        </w:rPr>
      </w:pPr>
      <w:r w:rsidRPr="00B80660">
        <w:rPr>
          <w:rFonts w:ascii="Titillium" w:hAnsi="Titillium"/>
          <w:b/>
          <w:sz w:val="20"/>
          <w:szCs w:val="20"/>
        </w:rPr>
        <w:t>CONSIDERATO</w:t>
      </w:r>
      <w:r w:rsidRPr="00B80660">
        <w:rPr>
          <w:rFonts w:ascii="Titillium" w:hAnsi="Titillium"/>
          <w:sz w:val="20"/>
          <w:szCs w:val="20"/>
        </w:rPr>
        <w:t xml:space="preserve"> che</w:t>
      </w:r>
      <w:r>
        <w:rPr>
          <w:rFonts w:ascii="Titillium" w:hAnsi="Titillium"/>
          <w:sz w:val="20"/>
          <w:szCs w:val="20"/>
        </w:rPr>
        <w:t xml:space="preserve">, nell’ambito degli interventi legati all’attuazione del nuovo Codice dei contratti pubblici di cui al d.lgs. n. 36/2023, l’Autorità è chiamata ad </w:t>
      </w:r>
      <w:r w:rsidRPr="00116D45">
        <w:rPr>
          <w:rFonts w:ascii="Titillium" w:hAnsi="Titillium"/>
          <w:sz w:val="20"/>
          <w:szCs w:val="20"/>
        </w:rPr>
        <w:t>implementare e rendere op</w:t>
      </w:r>
      <w:r>
        <w:rPr>
          <w:rFonts w:ascii="Titillium" w:hAnsi="Titillium"/>
          <w:sz w:val="20"/>
          <w:szCs w:val="20"/>
        </w:rPr>
        <w:t xml:space="preserve">erativo, a partire dal </w:t>
      </w:r>
      <w:r w:rsidRPr="00116D45">
        <w:rPr>
          <w:rFonts w:ascii="Titillium" w:hAnsi="Titillium"/>
          <w:sz w:val="20"/>
          <w:szCs w:val="20"/>
        </w:rPr>
        <w:t>mese di luglio</w:t>
      </w:r>
      <w:r>
        <w:rPr>
          <w:rFonts w:ascii="Titillium" w:hAnsi="Titillium"/>
          <w:sz w:val="20"/>
          <w:szCs w:val="20"/>
        </w:rPr>
        <w:t xml:space="preserve"> 2023</w:t>
      </w:r>
      <w:r w:rsidRPr="00116D45">
        <w:rPr>
          <w:rFonts w:ascii="Titillium" w:hAnsi="Titillium"/>
          <w:sz w:val="20"/>
          <w:szCs w:val="20"/>
        </w:rPr>
        <w:t xml:space="preserve">, un primo nucleo di nuovi servizi IT al fine di svolgere le attività di test e qualificazione delle piattaforme digitali di approvvigionamento utilizzate dalle stazioni appaltanti nell’ambito dell’ecosistema di </w:t>
      </w:r>
      <w:proofErr w:type="spellStart"/>
      <w:r w:rsidRPr="00116D45">
        <w:rPr>
          <w:rFonts w:ascii="Titillium" w:hAnsi="Titillium"/>
          <w:i/>
          <w:sz w:val="20"/>
          <w:szCs w:val="20"/>
        </w:rPr>
        <w:t>eProcurement</w:t>
      </w:r>
      <w:proofErr w:type="spellEnd"/>
      <w:r w:rsidRPr="00116D45">
        <w:rPr>
          <w:rFonts w:ascii="Titillium" w:hAnsi="Titillium"/>
          <w:sz w:val="20"/>
          <w:szCs w:val="20"/>
        </w:rPr>
        <w:t xml:space="preserve"> nazionale</w:t>
      </w:r>
      <w:r>
        <w:rPr>
          <w:rFonts w:ascii="Titillium" w:hAnsi="Titillium"/>
          <w:sz w:val="20"/>
          <w:szCs w:val="20"/>
        </w:rPr>
        <w:t>;</w:t>
      </w:r>
    </w:p>
    <w:p w:rsidR="00116D45" w:rsidRDefault="00116D45" w:rsidP="00212EAF">
      <w:pPr>
        <w:spacing w:after="100" w:line="276" w:lineRule="auto"/>
        <w:jc w:val="both"/>
        <w:rPr>
          <w:rFonts w:ascii="Titillium" w:hAnsi="Titillium"/>
          <w:sz w:val="20"/>
          <w:szCs w:val="20"/>
        </w:rPr>
      </w:pPr>
      <w:r>
        <w:rPr>
          <w:rFonts w:ascii="Titillium" w:hAnsi="Titillium"/>
          <w:b/>
          <w:sz w:val="20"/>
          <w:szCs w:val="20"/>
        </w:rPr>
        <w:t>CONSIDERATA</w:t>
      </w:r>
      <w:r>
        <w:rPr>
          <w:rFonts w:ascii="Titillium" w:hAnsi="Titillium"/>
          <w:sz w:val="20"/>
          <w:szCs w:val="20"/>
        </w:rPr>
        <w:t xml:space="preserve"> la necessità, in tale contesto, di </w:t>
      </w:r>
      <w:r w:rsidR="00DB4DF6">
        <w:rPr>
          <w:rFonts w:ascii="Titillium" w:hAnsi="Titillium"/>
          <w:sz w:val="20"/>
          <w:szCs w:val="20"/>
        </w:rPr>
        <w:t xml:space="preserve">potenziare urgentemente </w:t>
      </w:r>
      <w:r w:rsidRPr="00116D45">
        <w:rPr>
          <w:rFonts w:ascii="Titillium" w:hAnsi="Titillium"/>
          <w:sz w:val="20"/>
          <w:szCs w:val="20"/>
        </w:rPr>
        <w:t xml:space="preserve">l’attuale infrastruttura IT deputata alla gestione e conservazione dei dati dei contratti pubblici raccolti in BDNCP, implementata attraverso la piattaforma </w:t>
      </w:r>
      <w:proofErr w:type="spellStart"/>
      <w:r w:rsidRPr="00116D45">
        <w:rPr>
          <w:rFonts w:ascii="Titillium" w:hAnsi="Titillium"/>
          <w:sz w:val="20"/>
          <w:szCs w:val="20"/>
        </w:rPr>
        <w:t>MongoDB</w:t>
      </w:r>
      <w:proofErr w:type="spellEnd"/>
      <w:r>
        <w:rPr>
          <w:rFonts w:ascii="Titillium" w:hAnsi="Titillium"/>
          <w:sz w:val="20"/>
          <w:szCs w:val="20"/>
        </w:rPr>
        <w:t>;</w:t>
      </w:r>
    </w:p>
    <w:p w:rsidR="00116D45" w:rsidRDefault="00116D45" w:rsidP="00212EAF">
      <w:pPr>
        <w:spacing w:after="100" w:line="276" w:lineRule="auto"/>
        <w:jc w:val="both"/>
        <w:rPr>
          <w:rFonts w:ascii="Titillium" w:hAnsi="Titillium"/>
          <w:sz w:val="20"/>
          <w:szCs w:val="20"/>
        </w:rPr>
      </w:pPr>
      <w:r>
        <w:rPr>
          <w:rFonts w:ascii="Titillium" w:hAnsi="Titillium"/>
          <w:b/>
          <w:sz w:val="20"/>
          <w:szCs w:val="20"/>
        </w:rPr>
        <w:t>RITENU</w:t>
      </w:r>
      <w:r w:rsidRPr="00B80660">
        <w:rPr>
          <w:rFonts w:ascii="Titillium" w:hAnsi="Titillium"/>
          <w:b/>
          <w:sz w:val="20"/>
          <w:szCs w:val="20"/>
        </w:rPr>
        <w:t>TO</w:t>
      </w:r>
      <w:r w:rsidR="00DB4DF6">
        <w:rPr>
          <w:rFonts w:ascii="Titillium" w:hAnsi="Titillium"/>
          <w:sz w:val="20"/>
          <w:szCs w:val="20"/>
        </w:rPr>
        <w:t>, in particolare, d</w:t>
      </w:r>
      <w:r>
        <w:rPr>
          <w:rFonts w:ascii="Titillium" w:hAnsi="Titillium"/>
          <w:sz w:val="20"/>
          <w:szCs w:val="20"/>
        </w:rPr>
        <w:t xml:space="preserve">i dover aggiungere </w:t>
      </w:r>
      <w:r w:rsidRPr="00116D45">
        <w:rPr>
          <w:rFonts w:ascii="Titillium" w:hAnsi="Titillium"/>
          <w:sz w:val="20"/>
          <w:szCs w:val="20"/>
        </w:rPr>
        <w:t xml:space="preserve">alla piattaforma </w:t>
      </w:r>
      <w:proofErr w:type="spellStart"/>
      <w:r w:rsidRPr="00116D45">
        <w:rPr>
          <w:rFonts w:ascii="Titillium" w:hAnsi="Titillium"/>
          <w:sz w:val="20"/>
          <w:szCs w:val="20"/>
        </w:rPr>
        <w:t>MongoDB</w:t>
      </w:r>
      <w:proofErr w:type="spellEnd"/>
      <w:r>
        <w:rPr>
          <w:rFonts w:ascii="Titillium" w:hAnsi="Titillium"/>
          <w:sz w:val="20"/>
          <w:szCs w:val="20"/>
        </w:rPr>
        <w:t xml:space="preserve"> già presente presso l’Autorità n. 4 </w:t>
      </w:r>
      <w:r w:rsidRPr="00116D45">
        <w:rPr>
          <w:rFonts w:ascii="Titillium" w:hAnsi="Titillium"/>
          <w:sz w:val="20"/>
          <w:szCs w:val="20"/>
        </w:rPr>
        <w:t>ulteriori nodi server n</w:t>
      </w:r>
      <w:r>
        <w:rPr>
          <w:rFonts w:ascii="Titillium" w:hAnsi="Titillium"/>
          <w:sz w:val="20"/>
          <w:szCs w:val="20"/>
        </w:rPr>
        <w:t>ell’ambiente di produzione e n. 6</w:t>
      </w:r>
      <w:r w:rsidR="00DB4DF6">
        <w:rPr>
          <w:rFonts w:ascii="Titillium" w:hAnsi="Titillium"/>
          <w:sz w:val="20"/>
          <w:szCs w:val="20"/>
        </w:rPr>
        <w:t xml:space="preserve"> ulteriori</w:t>
      </w:r>
      <w:r w:rsidRPr="00116D45">
        <w:rPr>
          <w:rFonts w:ascii="Titillium" w:hAnsi="Titillium"/>
          <w:sz w:val="20"/>
          <w:szCs w:val="20"/>
        </w:rPr>
        <w:t xml:space="preserve"> nodi </w:t>
      </w:r>
      <w:r>
        <w:rPr>
          <w:rFonts w:ascii="Titillium" w:hAnsi="Titillium"/>
          <w:sz w:val="20"/>
          <w:szCs w:val="20"/>
        </w:rPr>
        <w:t xml:space="preserve">server nell’ambiente </w:t>
      </w:r>
      <w:r w:rsidRPr="00116D45">
        <w:rPr>
          <w:rFonts w:ascii="Titillium" w:hAnsi="Titillium"/>
          <w:sz w:val="20"/>
          <w:szCs w:val="20"/>
        </w:rPr>
        <w:t>di test/qualificazione</w:t>
      </w:r>
      <w:r>
        <w:rPr>
          <w:rFonts w:ascii="Titillium" w:hAnsi="Titillium"/>
          <w:sz w:val="20"/>
          <w:szCs w:val="20"/>
        </w:rPr>
        <w:t>;</w:t>
      </w:r>
    </w:p>
    <w:p w:rsidR="00116D45" w:rsidRDefault="00116D45" w:rsidP="00212EAF">
      <w:pPr>
        <w:spacing w:after="100" w:line="276" w:lineRule="auto"/>
        <w:jc w:val="both"/>
        <w:rPr>
          <w:rFonts w:ascii="Titillium" w:hAnsi="Titillium"/>
          <w:sz w:val="20"/>
          <w:szCs w:val="20"/>
        </w:rPr>
      </w:pPr>
      <w:r w:rsidRPr="00B80660">
        <w:rPr>
          <w:rFonts w:ascii="Titillium" w:hAnsi="Titillium"/>
          <w:b/>
          <w:sz w:val="20"/>
          <w:szCs w:val="20"/>
        </w:rPr>
        <w:t>CONSIDERATO</w:t>
      </w:r>
      <w:r w:rsidRPr="00B80660">
        <w:rPr>
          <w:rFonts w:ascii="Titillium" w:hAnsi="Titillium"/>
          <w:sz w:val="20"/>
          <w:szCs w:val="20"/>
        </w:rPr>
        <w:t xml:space="preserve"> che</w:t>
      </w:r>
      <w:r>
        <w:rPr>
          <w:rFonts w:ascii="Titillium" w:hAnsi="Titillium"/>
          <w:sz w:val="20"/>
          <w:szCs w:val="20"/>
        </w:rPr>
        <w:t xml:space="preserve"> tali urgenti necess</w:t>
      </w:r>
      <w:r w:rsidR="00514E05">
        <w:rPr>
          <w:rFonts w:ascii="Titillium" w:hAnsi="Titillium"/>
          <w:sz w:val="20"/>
          <w:szCs w:val="20"/>
        </w:rPr>
        <w:t xml:space="preserve">ità non risultano coperte dal contratto attualmente in essere </w:t>
      </w:r>
      <w:r w:rsidR="00C05EF6">
        <w:rPr>
          <w:rFonts w:ascii="Titillium" w:hAnsi="Titillium"/>
          <w:sz w:val="20"/>
          <w:szCs w:val="20"/>
        </w:rPr>
        <w:t xml:space="preserve">per l’erogazione dei servizi di supporto </w:t>
      </w:r>
      <w:proofErr w:type="spellStart"/>
      <w:r w:rsidR="00C05EF6">
        <w:rPr>
          <w:rFonts w:ascii="Titillium" w:hAnsi="Titillium"/>
          <w:i/>
          <w:sz w:val="20"/>
          <w:szCs w:val="20"/>
        </w:rPr>
        <w:t>enterprise</w:t>
      </w:r>
      <w:proofErr w:type="spellEnd"/>
      <w:r w:rsidR="00C05EF6">
        <w:rPr>
          <w:rFonts w:ascii="Titillium" w:hAnsi="Titillium"/>
          <w:i/>
          <w:sz w:val="20"/>
          <w:szCs w:val="20"/>
        </w:rPr>
        <w:t xml:space="preserve"> </w:t>
      </w:r>
      <w:r w:rsidR="00C05EF6">
        <w:rPr>
          <w:rFonts w:ascii="Titillium" w:hAnsi="Titillium"/>
          <w:sz w:val="20"/>
          <w:szCs w:val="20"/>
        </w:rPr>
        <w:t xml:space="preserve">per la piattaforma </w:t>
      </w:r>
      <w:proofErr w:type="spellStart"/>
      <w:r w:rsidR="00C05EF6">
        <w:rPr>
          <w:rFonts w:ascii="Titillium" w:hAnsi="Titillium"/>
          <w:sz w:val="20"/>
          <w:szCs w:val="20"/>
        </w:rPr>
        <w:t>MongoDB</w:t>
      </w:r>
      <w:proofErr w:type="spellEnd"/>
      <w:r w:rsidR="00C05EF6">
        <w:rPr>
          <w:rFonts w:ascii="Titillium" w:hAnsi="Titillium"/>
          <w:sz w:val="20"/>
          <w:szCs w:val="20"/>
        </w:rPr>
        <w:t xml:space="preserve">, ossia dal contratto </w:t>
      </w:r>
      <w:proofErr w:type="spellStart"/>
      <w:r w:rsidR="00C05EF6">
        <w:rPr>
          <w:rFonts w:ascii="Titillium" w:hAnsi="Titillium"/>
          <w:sz w:val="20"/>
          <w:szCs w:val="20"/>
        </w:rPr>
        <w:t>prot</w:t>
      </w:r>
      <w:proofErr w:type="spellEnd"/>
      <w:r w:rsidR="00C05EF6">
        <w:rPr>
          <w:rFonts w:ascii="Titillium" w:hAnsi="Titillium"/>
          <w:sz w:val="20"/>
          <w:szCs w:val="20"/>
        </w:rPr>
        <w:t xml:space="preserve">. n. 30644/2022, stipulato con </w:t>
      </w:r>
      <w:proofErr w:type="spellStart"/>
      <w:r w:rsidR="00C05EF6">
        <w:rPr>
          <w:rFonts w:ascii="Titillium" w:hAnsi="Titillium"/>
          <w:sz w:val="20"/>
          <w:szCs w:val="20"/>
        </w:rPr>
        <w:t>Kay</w:t>
      </w:r>
      <w:proofErr w:type="spellEnd"/>
      <w:r w:rsidR="00C05EF6">
        <w:rPr>
          <w:rFonts w:ascii="Titillium" w:hAnsi="Titillium"/>
          <w:sz w:val="20"/>
          <w:szCs w:val="20"/>
        </w:rPr>
        <w:t xml:space="preserve"> Systems </w:t>
      </w:r>
      <w:r w:rsidR="00B67094">
        <w:rPr>
          <w:rFonts w:ascii="Titillium" w:hAnsi="Titillium"/>
          <w:sz w:val="20"/>
          <w:szCs w:val="20"/>
        </w:rPr>
        <w:t xml:space="preserve">Italia </w:t>
      </w:r>
      <w:r w:rsidR="00C05EF6">
        <w:rPr>
          <w:rFonts w:ascii="Titillium" w:hAnsi="Titillium"/>
          <w:sz w:val="20"/>
          <w:szCs w:val="20"/>
        </w:rPr>
        <w:t>S.r.l.;</w:t>
      </w:r>
    </w:p>
    <w:p w:rsidR="00C05EF6" w:rsidRDefault="00C05EF6" w:rsidP="00212EAF">
      <w:pPr>
        <w:spacing w:after="100" w:line="276" w:lineRule="auto"/>
        <w:jc w:val="both"/>
        <w:rPr>
          <w:rFonts w:ascii="Titillium" w:hAnsi="Titillium"/>
          <w:sz w:val="20"/>
          <w:szCs w:val="20"/>
        </w:rPr>
      </w:pPr>
      <w:r w:rsidRPr="00B80660">
        <w:rPr>
          <w:rFonts w:ascii="Titillium" w:hAnsi="Titillium"/>
          <w:b/>
          <w:sz w:val="20"/>
          <w:szCs w:val="20"/>
        </w:rPr>
        <w:t>CONSIDERATO</w:t>
      </w:r>
      <w:r w:rsidRPr="00B80660">
        <w:rPr>
          <w:rFonts w:ascii="Titillium" w:hAnsi="Titillium"/>
          <w:sz w:val="20"/>
          <w:szCs w:val="20"/>
        </w:rPr>
        <w:t xml:space="preserve"> che</w:t>
      </w:r>
      <w:r>
        <w:rPr>
          <w:rFonts w:ascii="Titillium" w:hAnsi="Titillium"/>
          <w:sz w:val="20"/>
          <w:szCs w:val="20"/>
        </w:rPr>
        <w:t xml:space="preserve"> i servizi di supporto e manutenzione </w:t>
      </w:r>
      <w:proofErr w:type="spellStart"/>
      <w:r>
        <w:rPr>
          <w:rFonts w:ascii="Titillium" w:hAnsi="Titillium"/>
          <w:i/>
          <w:sz w:val="20"/>
          <w:szCs w:val="20"/>
        </w:rPr>
        <w:t>enterprise</w:t>
      </w:r>
      <w:proofErr w:type="spellEnd"/>
      <w:r>
        <w:rPr>
          <w:rFonts w:ascii="Titillium" w:hAnsi="Titillium"/>
          <w:i/>
          <w:sz w:val="20"/>
          <w:szCs w:val="20"/>
        </w:rPr>
        <w:t xml:space="preserve"> </w:t>
      </w:r>
      <w:r>
        <w:rPr>
          <w:rFonts w:ascii="Titillium" w:hAnsi="Titillium"/>
          <w:sz w:val="20"/>
          <w:szCs w:val="20"/>
        </w:rPr>
        <w:t xml:space="preserve">per la piattaforma </w:t>
      </w:r>
      <w:proofErr w:type="spellStart"/>
      <w:r>
        <w:rPr>
          <w:rFonts w:ascii="Titillium" w:hAnsi="Titillium"/>
          <w:sz w:val="20"/>
          <w:szCs w:val="20"/>
        </w:rPr>
        <w:t>MongoDB</w:t>
      </w:r>
      <w:proofErr w:type="spellEnd"/>
      <w:r>
        <w:rPr>
          <w:rFonts w:ascii="Titillium" w:hAnsi="Titillium"/>
          <w:sz w:val="20"/>
          <w:szCs w:val="20"/>
        </w:rPr>
        <w:t xml:space="preserve"> </w:t>
      </w:r>
      <w:r w:rsidR="00DB4DF6">
        <w:rPr>
          <w:rFonts w:ascii="Titillium" w:hAnsi="Titillium"/>
          <w:sz w:val="20"/>
          <w:szCs w:val="20"/>
        </w:rPr>
        <w:t xml:space="preserve">– attualmente non disponibili in alcuna Convenzione o Accordo quadro </w:t>
      </w:r>
      <w:proofErr w:type="spellStart"/>
      <w:r w:rsidR="00DB4DF6">
        <w:rPr>
          <w:rFonts w:ascii="Titillium" w:hAnsi="Titillium"/>
          <w:sz w:val="20"/>
          <w:szCs w:val="20"/>
        </w:rPr>
        <w:t>Consip</w:t>
      </w:r>
      <w:proofErr w:type="spellEnd"/>
      <w:r w:rsidR="00DB4DF6">
        <w:rPr>
          <w:rFonts w:ascii="Titillium" w:hAnsi="Titillium"/>
          <w:sz w:val="20"/>
          <w:szCs w:val="20"/>
        </w:rPr>
        <w:t xml:space="preserve"> attivo - </w:t>
      </w:r>
      <w:r>
        <w:rPr>
          <w:rFonts w:ascii="Titillium" w:hAnsi="Titillium"/>
          <w:sz w:val="20"/>
          <w:szCs w:val="20"/>
        </w:rPr>
        <w:t>sono erogati direttamente dall’omonimo produttore della piattaforma e sono rivenduti sul mercato esclusivamente attraverso la rete di partner e rivenditori ufficiali;</w:t>
      </w:r>
    </w:p>
    <w:p w:rsidR="00C05EF6" w:rsidRDefault="00C05EF6" w:rsidP="00212EAF">
      <w:pPr>
        <w:spacing w:after="100" w:line="276" w:lineRule="auto"/>
        <w:jc w:val="both"/>
        <w:rPr>
          <w:rFonts w:ascii="Titillium" w:hAnsi="Titillium"/>
          <w:sz w:val="20"/>
          <w:szCs w:val="20"/>
        </w:rPr>
      </w:pPr>
      <w:r w:rsidRPr="00B80660">
        <w:rPr>
          <w:rFonts w:ascii="Titillium" w:hAnsi="Titillium"/>
          <w:b/>
          <w:sz w:val="20"/>
          <w:szCs w:val="20"/>
        </w:rPr>
        <w:t>CONSIDERATO</w:t>
      </w:r>
      <w:r w:rsidRPr="00B80660">
        <w:rPr>
          <w:rFonts w:ascii="Titillium" w:hAnsi="Titillium"/>
          <w:sz w:val="20"/>
          <w:szCs w:val="20"/>
        </w:rPr>
        <w:t xml:space="preserve"> che</w:t>
      </w:r>
      <w:r>
        <w:rPr>
          <w:rFonts w:ascii="Titillium" w:hAnsi="Titillium"/>
          <w:sz w:val="20"/>
          <w:szCs w:val="20"/>
        </w:rPr>
        <w:t xml:space="preserve"> il prezzo di riferimento </w:t>
      </w:r>
      <w:r w:rsidRPr="00C05EF6">
        <w:rPr>
          <w:rFonts w:ascii="Titillium" w:hAnsi="Titillium"/>
          <w:sz w:val="20"/>
          <w:szCs w:val="20"/>
        </w:rPr>
        <w:t xml:space="preserve">di tali servizi per la piattaforma </w:t>
      </w:r>
      <w:proofErr w:type="spellStart"/>
      <w:r w:rsidRPr="00C05EF6">
        <w:rPr>
          <w:rFonts w:ascii="Titillium" w:hAnsi="Titillium"/>
          <w:sz w:val="20"/>
          <w:szCs w:val="20"/>
        </w:rPr>
        <w:t>MongoDB</w:t>
      </w:r>
      <w:proofErr w:type="spellEnd"/>
      <w:r w:rsidRPr="00C05EF6">
        <w:rPr>
          <w:rFonts w:ascii="Titillium" w:hAnsi="Titillium"/>
          <w:sz w:val="20"/>
          <w:szCs w:val="20"/>
        </w:rPr>
        <w:t xml:space="preserve"> attualmente praticato sul mercato italiano è di euro 14.400,00</w:t>
      </w:r>
      <w:r>
        <w:rPr>
          <w:rFonts w:ascii="Titillium" w:hAnsi="Titillium"/>
          <w:sz w:val="20"/>
          <w:szCs w:val="20"/>
        </w:rPr>
        <w:t xml:space="preserve"> per </w:t>
      </w:r>
      <w:r w:rsidRPr="00C05EF6">
        <w:rPr>
          <w:rFonts w:ascii="Titillium" w:hAnsi="Titillium"/>
          <w:sz w:val="20"/>
          <w:szCs w:val="20"/>
        </w:rPr>
        <w:t>ciascun nodo di produzione</w:t>
      </w:r>
      <w:r>
        <w:rPr>
          <w:rFonts w:ascii="Titillium" w:hAnsi="Titillium"/>
          <w:sz w:val="20"/>
          <w:szCs w:val="20"/>
        </w:rPr>
        <w:t xml:space="preserve"> e che tale tariffa sarebbe superiore rispetto ai costi applicati da </w:t>
      </w:r>
      <w:proofErr w:type="spellStart"/>
      <w:r>
        <w:rPr>
          <w:rFonts w:ascii="Titillium" w:hAnsi="Titillium"/>
          <w:sz w:val="20"/>
          <w:szCs w:val="20"/>
        </w:rPr>
        <w:t>Kay</w:t>
      </w:r>
      <w:proofErr w:type="spellEnd"/>
      <w:r>
        <w:rPr>
          <w:rFonts w:ascii="Titillium" w:hAnsi="Titillium"/>
          <w:sz w:val="20"/>
          <w:szCs w:val="20"/>
        </w:rPr>
        <w:t xml:space="preserve"> Systems</w:t>
      </w:r>
      <w:r w:rsidR="00B67094">
        <w:rPr>
          <w:rFonts w:ascii="Titillium" w:hAnsi="Titillium"/>
          <w:sz w:val="20"/>
          <w:szCs w:val="20"/>
        </w:rPr>
        <w:t xml:space="preserve"> Italia</w:t>
      </w:r>
      <w:r>
        <w:rPr>
          <w:rFonts w:ascii="Titillium" w:hAnsi="Titillium"/>
          <w:sz w:val="20"/>
          <w:szCs w:val="20"/>
        </w:rPr>
        <w:t xml:space="preserve"> S.r.l. nell’ambito del contratto </w:t>
      </w:r>
      <w:proofErr w:type="spellStart"/>
      <w:r>
        <w:rPr>
          <w:rFonts w:ascii="Titillium" w:hAnsi="Titillium"/>
          <w:sz w:val="20"/>
          <w:szCs w:val="20"/>
        </w:rPr>
        <w:t>prot</w:t>
      </w:r>
      <w:proofErr w:type="spellEnd"/>
      <w:r>
        <w:rPr>
          <w:rFonts w:ascii="Titillium" w:hAnsi="Titillium"/>
          <w:sz w:val="20"/>
          <w:szCs w:val="20"/>
        </w:rPr>
        <w:t>. n. 306</w:t>
      </w:r>
      <w:r w:rsidR="001E136E">
        <w:rPr>
          <w:rFonts w:ascii="Titillium" w:hAnsi="Titillium"/>
          <w:sz w:val="20"/>
          <w:szCs w:val="20"/>
        </w:rPr>
        <w:t>44/2022, attualmente in essere;</w:t>
      </w:r>
    </w:p>
    <w:p w:rsidR="001E136E" w:rsidRPr="00C05EF6" w:rsidRDefault="001E136E" w:rsidP="00116E66">
      <w:pPr>
        <w:spacing w:after="100" w:line="276" w:lineRule="auto"/>
        <w:jc w:val="both"/>
        <w:rPr>
          <w:rFonts w:ascii="Titillium" w:hAnsi="Titillium"/>
          <w:sz w:val="20"/>
          <w:szCs w:val="20"/>
        </w:rPr>
      </w:pPr>
      <w:r w:rsidRPr="00B80660">
        <w:rPr>
          <w:rFonts w:ascii="Titillium" w:hAnsi="Titillium"/>
          <w:b/>
          <w:sz w:val="20"/>
          <w:szCs w:val="20"/>
        </w:rPr>
        <w:t>CONSIDERATO</w:t>
      </w:r>
      <w:r w:rsidRPr="00B80660">
        <w:rPr>
          <w:rFonts w:ascii="Titillium" w:hAnsi="Titillium"/>
          <w:sz w:val="20"/>
          <w:szCs w:val="20"/>
        </w:rPr>
        <w:t xml:space="preserve"> che</w:t>
      </w:r>
      <w:r>
        <w:rPr>
          <w:rFonts w:ascii="Titillium" w:hAnsi="Titillium"/>
          <w:sz w:val="20"/>
          <w:szCs w:val="20"/>
        </w:rPr>
        <w:t xml:space="preserve"> il produttore </w:t>
      </w:r>
      <w:proofErr w:type="spellStart"/>
      <w:r>
        <w:rPr>
          <w:rFonts w:ascii="Titillium" w:hAnsi="Titillium"/>
          <w:sz w:val="20"/>
          <w:szCs w:val="20"/>
        </w:rPr>
        <w:t>Mongo</w:t>
      </w:r>
      <w:proofErr w:type="spellEnd"/>
      <w:r>
        <w:rPr>
          <w:rFonts w:ascii="Titillium" w:hAnsi="Titillium"/>
          <w:sz w:val="20"/>
          <w:szCs w:val="20"/>
        </w:rPr>
        <w:t xml:space="preserve"> DB, al fine di assicurare continuità rispetto alle condizioni pattuite nell’ambito del citato contratto </w:t>
      </w:r>
      <w:proofErr w:type="spellStart"/>
      <w:r>
        <w:rPr>
          <w:rFonts w:ascii="Titillium" w:hAnsi="Titillium"/>
          <w:sz w:val="20"/>
          <w:szCs w:val="20"/>
        </w:rPr>
        <w:t>prot</w:t>
      </w:r>
      <w:proofErr w:type="spellEnd"/>
      <w:r>
        <w:rPr>
          <w:rFonts w:ascii="Titillium" w:hAnsi="Titillium"/>
          <w:sz w:val="20"/>
          <w:szCs w:val="20"/>
        </w:rPr>
        <w:t>. n. 30644/2022, ha definito un</w:t>
      </w:r>
      <w:r w:rsidR="00116E66">
        <w:rPr>
          <w:rFonts w:ascii="Titillium" w:hAnsi="Titillium"/>
          <w:sz w:val="20"/>
          <w:szCs w:val="20"/>
        </w:rPr>
        <w:t>a proposta</w:t>
      </w:r>
      <w:r>
        <w:rPr>
          <w:rFonts w:ascii="Titillium" w:hAnsi="Titillium"/>
          <w:sz w:val="20"/>
          <w:szCs w:val="20"/>
        </w:rPr>
        <w:t xml:space="preserve"> dedicata esclusivamente all’Autorità, che comprende: </w:t>
      </w:r>
      <w:r w:rsidR="00116E66">
        <w:rPr>
          <w:rFonts w:ascii="Titillium" w:hAnsi="Titillium"/>
          <w:sz w:val="20"/>
          <w:szCs w:val="20"/>
        </w:rPr>
        <w:t>(</w:t>
      </w:r>
      <w:r w:rsidR="00116E66">
        <w:rPr>
          <w:rFonts w:ascii="Titillium" w:hAnsi="Titillium"/>
          <w:i/>
          <w:sz w:val="20"/>
          <w:szCs w:val="20"/>
        </w:rPr>
        <w:t>i</w:t>
      </w:r>
      <w:r w:rsidR="00116E66">
        <w:rPr>
          <w:rFonts w:ascii="Titillium" w:hAnsi="Titillium"/>
          <w:sz w:val="20"/>
          <w:szCs w:val="20"/>
        </w:rPr>
        <w:t>)</w:t>
      </w:r>
      <w:r w:rsidR="00116E66" w:rsidRPr="00116E66">
        <w:rPr>
          <w:rFonts w:ascii="Titillium" w:hAnsi="Titillium"/>
          <w:sz w:val="20"/>
          <w:szCs w:val="20"/>
        </w:rPr>
        <w:t xml:space="preserve"> </w:t>
      </w:r>
      <w:r w:rsidR="00116E66">
        <w:rPr>
          <w:rFonts w:ascii="Titillium" w:hAnsi="Titillium"/>
          <w:sz w:val="20"/>
          <w:szCs w:val="20"/>
        </w:rPr>
        <w:t xml:space="preserve">il </w:t>
      </w:r>
      <w:r w:rsidR="00116E66" w:rsidRPr="00116E66">
        <w:rPr>
          <w:rFonts w:ascii="Titillium" w:hAnsi="Titillium"/>
          <w:sz w:val="20"/>
          <w:szCs w:val="20"/>
        </w:rPr>
        <w:t xml:space="preserve">prezzo unitario di euro 12.817,44 per ciascun nodo di produzione, </w:t>
      </w:r>
      <w:r w:rsidR="00116E66">
        <w:rPr>
          <w:rFonts w:ascii="Titillium" w:hAnsi="Titillium"/>
          <w:sz w:val="20"/>
          <w:szCs w:val="20"/>
        </w:rPr>
        <w:t>più</w:t>
      </w:r>
      <w:r w:rsidR="00116E66" w:rsidRPr="00116E66">
        <w:rPr>
          <w:rFonts w:ascii="Titillium" w:hAnsi="Titillium"/>
          <w:sz w:val="20"/>
          <w:szCs w:val="20"/>
        </w:rPr>
        <w:t xml:space="preserve"> favorevole rispetto all’attuale tariffa di mercato;</w:t>
      </w:r>
      <w:r w:rsidR="00116E66">
        <w:rPr>
          <w:rFonts w:ascii="Titillium" w:hAnsi="Titillium"/>
          <w:sz w:val="20"/>
          <w:szCs w:val="20"/>
        </w:rPr>
        <w:t xml:space="preserve"> (</w:t>
      </w:r>
      <w:r w:rsidR="00116E66">
        <w:rPr>
          <w:rFonts w:ascii="Titillium" w:hAnsi="Titillium"/>
          <w:i/>
          <w:sz w:val="20"/>
          <w:szCs w:val="20"/>
        </w:rPr>
        <w:t>ii</w:t>
      </w:r>
      <w:r w:rsidR="00116E66">
        <w:rPr>
          <w:rFonts w:ascii="Titillium" w:hAnsi="Titillium"/>
          <w:sz w:val="20"/>
          <w:szCs w:val="20"/>
        </w:rPr>
        <w:t xml:space="preserve">) la messa a disposizione dell’offerta </w:t>
      </w:r>
      <w:r w:rsidR="00116E66" w:rsidRPr="00116E66">
        <w:rPr>
          <w:rFonts w:ascii="Titillium" w:hAnsi="Titillium"/>
          <w:sz w:val="20"/>
          <w:szCs w:val="20"/>
        </w:rPr>
        <w:t xml:space="preserve">attraverso il rivenditore </w:t>
      </w:r>
      <w:proofErr w:type="spellStart"/>
      <w:r w:rsidR="00116E66" w:rsidRPr="00116E66">
        <w:rPr>
          <w:rFonts w:ascii="Titillium" w:hAnsi="Titillium"/>
          <w:sz w:val="20"/>
          <w:szCs w:val="20"/>
        </w:rPr>
        <w:t>Kay</w:t>
      </w:r>
      <w:proofErr w:type="spellEnd"/>
      <w:r w:rsidR="00116E66" w:rsidRPr="00116E66">
        <w:rPr>
          <w:rFonts w:ascii="Titillium" w:hAnsi="Titillium"/>
          <w:sz w:val="20"/>
          <w:szCs w:val="20"/>
        </w:rPr>
        <w:t xml:space="preserve"> System </w:t>
      </w:r>
      <w:r w:rsidR="00B67094">
        <w:rPr>
          <w:rFonts w:ascii="Titillium" w:hAnsi="Titillium"/>
          <w:sz w:val="20"/>
          <w:szCs w:val="20"/>
        </w:rPr>
        <w:t xml:space="preserve">Italia </w:t>
      </w:r>
      <w:r w:rsidR="00116E66" w:rsidRPr="00116E66">
        <w:rPr>
          <w:rFonts w:ascii="Titillium" w:hAnsi="Titillium"/>
          <w:sz w:val="20"/>
          <w:szCs w:val="20"/>
        </w:rPr>
        <w:t xml:space="preserve">S.r.l., che è il medesimo </w:t>
      </w:r>
      <w:r w:rsidR="00116E66">
        <w:rPr>
          <w:rFonts w:ascii="Titillium" w:hAnsi="Titillium"/>
          <w:sz w:val="20"/>
          <w:szCs w:val="20"/>
        </w:rPr>
        <w:t xml:space="preserve">fornitore con cui l’ANAC ha </w:t>
      </w:r>
      <w:r w:rsidR="00116E66" w:rsidRPr="00116E66">
        <w:rPr>
          <w:rFonts w:ascii="Titillium" w:hAnsi="Titillium"/>
          <w:sz w:val="20"/>
          <w:szCs w:val="20"/>
        </w:rPr>
        <w:t>sottoscritto l’attuale contratto;</w:t>
      </w:r>
      <w:r w:rsidR="00116E66">
        <w:rPr>
          <w:rFonts w:ascii="Titillium" w:hAnsi="Titillium"/>
          <w:sz w:val="20"/>
          <w:szCs w:val="20"/>
        </w:rPr>
        <w:t xml:space="preserve"> (</w:t>
      </w:r>
      <w:r w:rsidR="00116E66">
        <w:rPr>
          <w:rFonts w:ascii="Titillium" w:hAnsi="Titillium"/>
          <w:i/>
          <w:sz w:val="20"/>
          <w:szCs w:val="20"/>
        </w:rPr>
        <w:t>iii</w:t>
      </w:r>
      <w:r w:rsidR="00116E66">
        <w:rPr>
          <w:rFonts w:ascii="Titillium" w:hAnsi="Titillium"/>
          <w:sz w:val="20"/>
          <w:szCs w:val="20"/>
        </w:rPr>
        <w:t xml:space="preserve">) la possibilità di convertire le sottoscrizioni acquisite in crediti </w:t>
      </w:r>
      <w:r w:rsidR="00116E66" w:rsidRPr="00116E66">
        <w:rPr>
          <w:rFonts w:ascii="Titillium" w:hAnsi="Titillium"/>
          <w:sz w:val="20"/>
          <w:szCs w:val="20"/>
        </w:rPr>
        <w:t xml:space="preserve">per servizi erogati in </w:t>
      </w:r>
      <w:proofErr w:type="spellStart"/>
      <w:r w:rsidR="00116E66" w:rsidRPr="00116E66">
        <w:rPr>
          <w:rFonts w:ascii="Titillium" w:hAnsi="Titillium"/>
          <w:sz w:val="20"/>
          <w:szCs w:val="20"/>
        </w:rPr>
        <w:t>Cloud</w:t>
      </w:r>
      <w:proofErr w:type="spellEnd"/>
      <w:r w:rsidR="00116E66" w:rsidRPr="00116E66">
        <w:rPr>
          <w:rFonts w:ascii="Titillium" w:hAnsi="Titillium"/>
          <w:sz w:val="20"/>
          <w:szCs w:val="20"/>
        </w:rPr>
        <w:t xml:space="preserve"> nel</w:t>
      </w:r>
      <w:r w:rsidR="00116E66">
        <w:rPr>
          <w:rFonts w:ascii="Titillium" w:hAnsi="Titillium"/>
          <w:sz w:val="20"/>
          <w:szCs w:val="20"/>
        </w:rPr>
        <w:t xml:space="preserve"> caso in cui l’Autorità dovesse valutare</w:t>
      </w:r>
      <w:r w:rsidR="00116E66" w:rsidRPr="00116E66">
        <w:rPr>
          <w:rFonts w:ascii="Titillium" w:hAnsi="Titillium"/>
          <w:sz w:val="20"/>
          <w:szCs w:val="20"/>
        </w:rPr>
        <w:t xml:space="preserve"> di trasferire i propri nodi in contesti dove sia presente la piattaforma </w:t>
      </w:r>
      <w:proofErr w:type="spellStart"/>
      <w:r w:rsidR="00116E66" w:rsidRPr="00116E66">
        <w:rPr>
          <w:rFonts w:ascii="Titillium" w:hAnsi="Titillium"/>
          <w:sz w:val="20"/>
          <w:szCs w:val="20"/>
        </w:rPr>
        <w:t>Cl</w:t>
      </w:r>
      <w:r w:rsidR="00116E66">
        <w:rPr>
          <w:rFonts w:ascii="Titillium" w:hAnsi="Titillium"/>
          <w:sz w:val="20"/>
          <w:szCs w:val="20"/>
        </w:rPr>
        <w:t>oud</w:t>
      </w:r>
      <w:proofErr w:type="spellEnd"/>
      <w:r w:rsidR="00116E66">
        <w:rPr>
          <w:rFonts w:ascii="Titillium" w:hAnsi="Titillium"/>
          <w:sz w:val="20"/>
          <w:szCs w:val="20"/>
        </w:rPr>
        <w:t xml:space="preserve"> </w:t>
      </w:r>
      <w:proofErr w:type="spellStart"/>
      <w:r w:rsidR="00116E66">
        <w:rPr>
          <w:rFonts w:ascii="Titillium" w:hAnsi="Titillium"/>
          <w:sz w:val="20"/>
          <w:szCs w:val="20"/>
        </w:rPr>
        <w:t>MongoDB</w:t>
      </w:r>
      <w:proofErr w:type="spellEnd"/>
      <w:r w:rsidR="00116E66">
        <w:rPr>
          <w:rFonts w:ascii="Titillium" w:hAnsi="Titillium"/>
          <w:sz w:val="20"/>
          <w:szCs w:val="20"/>
        </w:rPr>
        <w:t xml:space="preserve"> Atlas;</w:t>
      </w:r>
    </w:p>
    <w:p w:rsidR="00B37CA5" w:rsidRDefault="00116D45" w:rsidP="00116E66">
      <w:pPr>
        <w:spacing w:after="100" w:line="276" w:lineRule="auto"/>
        <w:jc w:val="both"/>
        <w:rPr>
          <w:rFonts w:ascii="Titillium" w:hAnsi="Titillium"/>
          <w:sz w:val="20"/>
          <w:szCs w:val="20"/>
        </w:rPr>
      </w:pPr>
      <w:r>
        <w:rPr>
          <w:rFonts w:ascii="Titillium" w:hAnsi="Titillium"/>
          <w:b/>
          <w:sz w:val="20"/>
          <w:szCs w:val="20"/>
        </w:rPr>
        <w:t>VISTA</w:t>
      </w:r>
      <w:r w:rsidRPr="00B80660">
        <w:rPr>
          <w:rFonts w:ascii="Titillium" w:hAnsi="Titillium"/>
          <w:b/>
          <w:sz w:val="20"/>
          <w:szCs w:val="20"/>
        </w:rPr>
        <w:t xml:space="preserve"> </w:t>
      </w:r>
      <w:r>
        <w:rPr>
          <w:rFonts w:ascii="Titillium" w:hAnsi="Titillium"/>
          <w:sz w:val="20"/>
          <w:szCs w:val="20"/>
        </w:rPr>
        <w:t xml:space="preserve">la nota </w:t>
      </w:r>
      <w:proofErr w:type="spellStart"/>
      <w:r>
        <w:rPr>
          <w:rFonts w:ascii="Titillium" w:hAnsi="Titillium"/>
          <w:sz w:val="20"/>
          <w:szCs w:val="20"/>
        </w:rPr>
        <w:t>prot</w:t>
      </w:r>
      <w:proofErr w:type="spellEnd"/>
      <w:r>
        <w:rPr>
          <w:rFonts w:ascii="Titillium" w:hAnsi="Titillium"/>
          <w:sz w:val="20"/>
          <w:szCs w:val="20"/>
        </w:rPr>
        <w:t>. n. 48090 del 20.6.2023, con cui gli Uffici USIS e USCP</w:t>
      </w:r>
      <w:r w:rsidR="001E136E">
        <w:rPr>
          <w:rFonts w:ascii="Titillium" w:hAnsi="Titillium"/>
          <w:sz w:val="20"/>
          <w:szCs w:val="20"/>
        </w:rPr>
        <w:t xml:space="preserve"> hanno </w:t>
      </w:r>
      <w:r w:rsidR="00116E66">
        <w:rPr>
          <w:rFonts w:ascii="Titillium" w:hAnsi="Titillium"/>
          <w:sz w:val="20"/>
          <w:szCs w:val="20"/>
        </w:rPr>
        <w:t>richiesto di procedere con la massima urgenza all’acquisizione del pacchetto offerto da</w:t>
      </w:r>
      <w:r w:rsidR="001E136E">
        <w:rPr>
          <w:rFonts w:ascii="Titillium" w:hAnsi="Titillium"/>
          <w:sz w:val="20"/>
          <w:szCs w:val="20"/>
        </w:rPr>
        <w:t xml:space="preserve">l </w:t>
      </w:r>
      <w:r w:rsidR="00116E66">
        <w:rPr>
          <w:rFonts w:ascii="Titillium" w:hAnsi="Titillium"/>
          <w:sz w:val="20"/>
          <w:szCs w:val="20"/>
        </w:rPr>
        <w:t xml:space="preserve">produttore </w:t>
      </w:r>
      <w:proofErr w:type="spellStart"/>
      <w:r w:rsidR="00116E66">
        <w:rPr>
          <w:rFonts w:ascii="Titillium" w:hAnsi="Titillium"/>
          <w:sz w:val="20"/>
          <w:szCs w:val="20"/>
        </w:rPr>
        <w:t>Mongo</w:t>
      </w:r>
      <w:proofErr w:type="spellEnd"/>
      <w:r w:rsidR="00116E66">
        <w:rPr>
          <w:rFonts w:ascii="Titillium" w:hAnsi="Titillium"/>
          <w:sz w:val="20"/>
          <w:szCs w:val="20"/>
        </w:rPr>
        <w:t xml:space="preserve"> DB tramite il rivenditore </w:t>
      </w:r>
      <w:proofErr w:type="spellStart"/>
      <w:r w:rsidR="00116E66">
        <w:rPr>
          <w:rFonts w:ascii="Titillium" w:hAnsi="Titillium"/>
          <w:sz w:val="20"/>
          <w:szCs w:val="20"/>
        </w:rPr>
        <w:t>Kay</w:t>
      </w:r>
      <w:proofErr w:type="spellEnd"/>
      <w:r w:rsidR="00116E66">
        <w:rPr>
          <w:rFonts w:ascii="Titillium" w:hAnsi="Titillium"/>
          <w:sz w:val="20"/>
          <w:szCs w:val="20"/>
        </w:rPr>
        <w:t xml:space="preserve"> Systems </w:t>
      </w:r>
      <w:r w:rsidR="00B67094">
        <w:rPr>
          <w:rFonts w:ascii="Titillium" w:hAnsi="Titillium"/>
          <w:sz w:val="20"/>
          <w:szCs w:val="20"/>
        </w:rPr>
        <w:t xml:space="preserve">Italia </w:t>
      </w:r>
      <w:r w:rsidR="00116E66">
        <w:rPr>
          <w:rFonts w:ascii="Titillium" w:hAnsi="Titillium"/>
          <w:sz w:val="20"/>
          <w:szCs w:val="20"/>
        </w:rPr>
        <w:t>S.r.l., stante la scadenza al 30.6.2023 del periodo di validità dell’offerta;</w:t>
      </w:r>
    </w:p>
    <w:p w:rsidR="00332723" w:rsidRDefault="00332723" w:rsidP="00F77C35">
      <w:pPr>
        <w:widowControl w:val="0"/>
        <w:spacing w:after="120" w:line="276" w:lineRule="auto"/>
        <w:jc w:val="both"/>
        <w:rPr>
          <w:rFonts w:ascii="Titillium" w:hAnsi="Titillium"/>
          <w:sz w:val="20"/>
          <w:szCs w:val="20"/>
        </w:rPr>
      </w:pPr>
      <w:r w:rsidRPr="00B80660">
        <w:rPr>
          <w:rFonts w:ascii="Titillium" w:hAnsi="Titillium"/>
          <w:b/>
          <w:sz w:val="20"/>
          <w:szCs w:val="20"/>
        </w:rPr>
        <w:t xml:space="preserve">VISTO </w:t>
      </w:r>
      <w:r w:rsidRPr="00B80660">
        <w:rPr>
          <w:rFonts w:ascii="Titillium" w:hAnsi="Titillium"/>
          <w:sz w:val="20"/>
          <w:szCs w:val="20"/>
        </w:rPr>
        <w:t>l’art. 36</w:t>
      </w:r>
      <w:r w:rsidR="004A53E6" w:rsidRPr="00B80660">
        <w:rPr>
          <w:rFonts w:ascii="Titillium" w:hAnsi="Titillium"/>
          <w:sz w:val="20"/>
          <w:szCs w:val="20"/>
        </w:rPr>
        <w:t>,</w:t>
      </w:r>
      <w:r w:rsidR="00C95049" w:rsidRPr="00B80660">
        <w:rPr>
          <w:rFonts w:ascii="Titillium" w:hAnsi="Titillium"/>
          <w:sz w:val="20"/>
          <w:szCs w:val="20"/>
        </w:rPr>
        <w:t xml:space="preserve"> </w:t>
      </w:r>
      <w:r w:rsidR="00110EE1" w:rsidRPr="00B80660">
        <w:rPr>
          <w:rFonts w:ascii="Titillium" w:hAnsi="Titillium"/>
          <w:sz w:val="20"/>
          <w:szCs w:val="20"/>
        </w:rPr>
        <w:t xml:space="preserve">commi 2 e </w:t>
      </w:r>
      <w:r w:rsidR="00C95049" w:rsidRPr="00B80660">
        <w:rPr>
          <w:rFonts w:ascii="Titillium" w:hAnsi="Titillium"/>
          <w:sz w:val="20"/>
          <w:szCs w:val="20"/>
        </w:rPr>
        <w:t xml:space="preserve">6, </w:t>
      </w:r>
      <w:r w:rsidRPr="00B80660">
        <w:rPr>
          <w:rFonts w:ascii="Titillium" w:hAnsi="Titillium"/>
          <w:sz w:val="20"/>
          <w:szCs w:val="20"/>
        </w:rPr>
        <w:t>del d.lgs.</w:t>
      </w:r>
      <w:r w:rsidR="007228DC" w:rsidRPr="00B80660">
        <w:rPr>
          <w:rFonts w:ascii="Titillium" w:hAnsi="Titillium"/>
          <w:sz w:val="20"/>
          <w:szCs w:val="20"/>
        </w:rPr>
        <w:t xml:space="preserve"> </w:t>
      </w:r>
      <w:r w:rsidRPr="00B80660">
        <w:rPr>
          <w:rFonts w:ascii="Titillium" w:hAnsi="Titillium"/>
          <w:sz w:val="20"/>
          <w:szCs w:val="20"/>
        </w:rPr>
        <w:t>n. 50/2016;</w:t>
      </w:r>
    </w:p>
    <w:p w:rsidR="00A67C23" w:rsidRDefault="00A67C23" w:rsidP="00F77C35">
      <w:pPr>
        <w:widowControl w:val="0"/>
        <w:spacing w:after="120" w:line="276" w:lineRule="auto"/>
        <w:jc w:val="both"/>
        <w:rPr>
          <w:rFonts w:ascii="Titillium" w:hAnsi="Titillium"/>
          <w:sz w:val="20"/>
          <w:szCs w:val="20"/>
        </w:rPr>
      </w:pPr>
      <w:r w:rsidRPr="001F603F">
        <w:rPr>
          <w:rFonts w:ascii="Titillium" w:hAnsi="Titillium"/>
          <w:b/>
          <w:sz w:val="20"/>
          <w:szCs w:val="20"/>
        </w:rPr>
        <w:t xml:space="preserve">VISTO </w:t>
      </w:r>
      <w:r w:rsidRPr="001F603F">
        <w:rPr>
          <w:rFonts w:ascii="Titillium" w:hAnsi="Titillium"/>
          <w:sz w:val="20"/>
          <w:szCs w:val="20"/>
        </w:rPr>
        <w:t xml:space="preserve">il </w:t>
      </w:r>
      <w:proofErr w:type="spellStart"/>
      <w:r w:rsidRPr="001F603F">
        <w:rPr>
          <w:rFonts w:ascii="Titillium" w:hAnsi="Titillium"/>
          <w:sz w:val="20"/>
          <w:szCs w:val="20"/>
        </w:rPr>
        <w:t>d.l.</w:t>
      </w:r>
      <w:proofErr w:type="spellEnd"/>
      <w:r w:rsidRPr="001F603F">
        <w:rPr>
          <w:rFonts w:ascii="Titillium" w:hAnsi="Titillium"/>
          <w:sz w:val="20"/>
          <w:szCs w:val="20"/>
        </w:rPr>
        <w:t xml:space="preserve"> n. 76/2020, così come convertito dalla legge n. 120/2020;</w:t>
      </w:r>
    </w:p>
    <w:p w:rsidR="00405F29" w:rsidRPr="001F603F" w:rsidRDefault="00405F29" w:rsidP="00F77C35">
      <w:pPr>
        <w:widowControl w:val="0"/>
        <w:spacing w:after="120" w:line="276" w:lineRule="auto"/>
        <w:jc w:val="both"/>
        <w:rPr>
          <w:rFonts w:ascii="Titillium" w:hAnsi="Titillium"/>
          <w:sz w:val="20"/>
          <w:szCs w:val="20"/>
        </w:rPr>
      </w:pPr>
    </w:p>
    <w:p w:rsidR="00332723" w:rsidRPr="00F703BF" w:rsidRDefault="00332723" w:rsidP="00F77C35">
      <w:pPr>
        <w:spacing w:after="120" w:line="276" w:lineRule="auto"/>
        <w:jc w:val="both"/>
        <w:rPr>
          <w:rFonts w:ascii="Titillium" w:hAnsi="Titillium"/>
          <w:sz w:val="20"/>
          <w:szCs w:val="20"/>
        </w:rPr>
      </w:pPr>
      <w:r w:rsidRPr="001F603F">
        <w:rPr>
          <w:rFonts w:ascii="Titillium" w:hAnsi="Titillium"/>
          <w:b/>
          <w:sz w:val="20"/>
          <w:szCs w:val="20"/>
        </w:rPr>
        <w:t>ACCERTATO</w:t>
      </w:r>
      <w:r w:rsidRPr="001F603F">
        <w:rPr>
          <w:rFonts w:ascii="Titillium" w:hAnsi="Titillium"/>
          <w:sz w:val="20"/>
          <w:szCs w:val="20"/>
        </w:rPr>
        <w:t xml:space="preserve"> che </w:t>
      </w:r>
      <w:r w:rsidRPr="00F703BF">
        <w:rPr>
          <w:rFonts w:ascii="Titillium" w:hAnsi="Titillium"/>
          <w:sz w:val="20"/>
          <w:szCs w:val="20"/>
        </w:rPr>
        <w:t>la disponibilità finanziaria su</w:t>
      </w:r>
      <w:r w:rsidR="00212000" w:rsidRPr="00F703BF">
        <w:rPr>
          <w:rFonts w:ascii="Titillium" w:hAnsi="Titillium"/>
          <w:sz w:val="20"/>
          <w:szCs w:val="20"/>
        </w:rPr>
        <w:t>l</w:t>
      </w:r>
      <w:r w:rsidRPr="00F703BF">
        <w:rPr>
          <w:rFonts w:ascii="Titillium" w:hAnsi="Titillium"/>
          <w:sz w:val="20"/>
          <w:szCs w:val="20"/>
        </w:rPr>
        <w:t xml:space="preserve"> pertinent</w:t>
      </w:r>
      <w:r w:rsidR="00212000" w:rsidRPr="00F703BF">
        <w:rPr>
          <w:rFonts w:ascii="Titillium" w:hAnsi="Titillium"/>
          <w:sz w:val="20"/>
          <w:szCs w:val="20"/>
        </w:rPr>
        <w:t>e capitolo n</w:t>
      </w:r>
      <w:r w:rsidRPr="00F703BF">
        <w:rPr>
          <w:rFonts w:ascii="Titillium" w:hAnsi="Titillium"/>
          <w:sz w:val="20"/>
          <w:szCs w:val="20"/>
        </w:rPr>
        <w:t xml:space="preserve">. </w:t>
      </w:r>
      <w:r w:rsidR="00116E66">
        <w:rPr>
          <w:rFonts w:ascii="Titillium" w:hAnsi="Titillium"/>
          <w:sz w:val="20"/>
          <w:szCs w:val="20"/>
        </w:rPr>
        <w:t>21050.121</w:t>
      </w:r>
      <w:r w:rsidR="00D17E5C" w:rsidRPr="00F703BF">
        <w:rPr>
          <w:rFonts w:ascii="Titillium" w:hAnsi="Titillium"/>
          <w:sz w:val="20"/>
          <w:szCs w:val="20"/>
        </w:rPr>
        <w:t xml:space="preserve"> </w:t>
      </w:r>
      <w:r w:rsidR="00F50B94" w:rsidRPr="00F703BF">
        <w:rPr>
          <w:rFonts w:ascii="Titillium" w:hAnsi="Titillium"/>
          <w:sz w:val="20"/>
          <w:szCs w:val="20"/>
        </w:rPr>
        <w:t>del</w:t>
      </w:r>
      <w:r w:rsidR="007228DC" w:rsidRPr="00F703BF">
        <w:rPr>
          <w:rFonts w:ascii="Titillium" w:hAnsi="Titillium"/>
          <w:sz w:val="20"/>
          <w:szCs w:val="20"/>
        </w:rPr>
        <w:t xml:space="preserve"> bilanci</w:t>
      </w:r>
      <w:r w:rsidR="00F50B94" w:rsidRPr="00F703BF">
        <w:rPr>
          <w:rFonts w:ascii="Titillium" w:hAnsi="Titillium"/>
          <w:sz w:val="20"/>
          <w:szCs w:val="20"/>
        </w:rPr>
        <w:t>o</w:t>
      </w:r>
      <w:r w:rsidRPr="00F703BF">
        <w:rPr>
          <w:rFonts w:ascii="Titillium" w:hAnsi="Titillium"/>
          <w:sz w:val="20"/>
          <w:szCs w:val="20"/>
        </w:rPr>
        <w:t xml:space="preserve"> 20</w:t>
      </w:r>
      <w:r w:rsidR="00116E66">
        <w:rPr>
          <w:rFonts w:ascii="Titillium" w:hAnsi="Titillium"/>
          <w:sz w:val="20"/>
          <w:szCs w:val="20"/>
        </w:rPr>
        <w:t>23</w:t>
      </w:r>
      <w:r w:rsidR="00212000" w:rsidRPr="00F703BF">
        <w:rPr>
          <w:rFonts w:ascii="Titillium" w:hAnsi="Titillium"/>
          <w:sz w:val="20"/>
          <w:szCs w:val="20"/>
        </w:rPr>
        <w:t xml:space="preserve"> </w:t>
      </w:r>
      <w:r w:rsidRPr="00F703BF">
        <w:rPr>
          <w:rFonts w:ascii="Titillium" w:hAnsi="Titillium"/>
          <w:sz w:val="20"/>
          <w:szCs w:val="20"/>
        </w:rPr>
        <w:t>è congrua per accogliere la spesa stimata per l’affidamento del servizio in esame;</w:t>
      </w:r>
    </w:p>
    <w:p w:rsidR="00B80660" w:rsidRPr="00E0422F" w:rsidRDefault="00332723" w:rsidP="00E0422F">
      <w:pPr>
        <w:spacing w:before="120" w:after="120" w:line="276" w:lineRule="auto"/>
        <w:jc w:val="center"/>
        <w:rPr>
          <w:rFonts w:ascii="Gotham Light" w:hAnsi="Gotham Light" w:cs="Arial"/>
          <w:b/>
          <w:color w:val="2E74B5"/>
        </w:rPr>
      </w:pPr>
      <w:r w:rsidRPr="00B6390B">
        <w:rPr>
          <w:rFonts w:ascii="Gotham Light" w:hAnsi="Gotham Light" w:cs="Arial"/>
          <w:b/>
          <w:color w:val="2E74B5"/>
        </w:rPr>
        <w:t>D I S P O N E</w:t>
      </w:r>
    </w:p>
    <w:p w:rsidR="00332723" w:rsidRPr="00405F29" w:rsidRDefault="00332723" w:rsidP="00405F29">
      <w:pPr>
        <w:pStyle w:val="Paragrafoelenco"/>
        <w:numPr>
          <w:ilvl w:val="0"/>
          <w:numId w:val="7"/>
        </w:numPr>
        <w:spacing w:after="100" w:line="276" w:lineRule="auto"/>
        <w:ind w:left="284" w:hanging="284"/>
        <w:jc w:val="both"/>
        <w:rPr>
          <w:rFonts w:ascii="Titillium" w:hAnsi="Titillium"/>
          <w:sz w:val="20"/>
          <w:szCs w:val="20"/>
        </w:rPr>
      </w:pPr>
      <w:r w:rsidRPr="00405F29">
        <w:rPr>
          <w:rFonts w:ascii="Titillium" w:hAnsi="Titillium"/>
          <w:sz w:val="20"/>
          <w:szCs w:val="20"/>
        </w:rPr>
        <w:t xml:space="preserve">l’espletamento di apposita </w:t>
      </w:r>
      <w:r w:rsidR="00B67094" w:rsidRPr="00405F29">
        <w:rPr>
          <w:rFonts w:ascii="Titillium" w:hAnsi="Titillium"/>
          <w:sz w:val="20"/>
          <w:szCs w:val="20"/>
        </w:rPr>
        <w:t xml:space="preserve">trattativa diretta </w:t>
      </w:r>
      <w:r w:rsidRPr="00405F29">
        <w:rPr>
          <w:rFonts w:ascii="Titillium" w:hAnsi="Titillium"/>
          <w:sz w:val="20"/>
          <w:szCs w:val="20"/>
        </w:rPr>
        <w:t>sul mercato delle PP.AA</w:t>
      </w:r>
      <w:r w:rsidR="00B67094" w:rsidRPr="00405F29">
        <w:rPr>
          <w:rFonts w:ascii="Titillium" w:hAnsi="Titillium"/>
          <w:sz w:val="20"/>
          <w:szCs w:val="20"/>
        </w:rPr>
        <w:t xml:space="preserve">. per l’affidamento a </w:t>
      </w:r>
      <w:proofErr w:type="spellStart"/>
      <w:r w:rsidR="00B67094" w:rsidRPr="00405F29">
        <w:rPr>
          <w:rFonts w:ascii="Titillium" w:hAnsi="Titillium"/>
          <w:sz w:val="20"/>
          <w:szCs w:val="20"/>
        </w:rPr>
        <w:t>Kay</w:t>
      </w:r>
      <w:proofErr w:type="spellEnd"/>
      <w:r w:rsidR="00B67094" w:rsidRPr="00405F29">
        <w:rPr>
          <w:rFonts w:ascii="Titillium" w:hAnsi="Titillium"/>
          <w:sz w:val="20"/>
          <w:szCs w:val="20"/>
        </w:rPr>
        <w:t xml:space="preserve"> Systems Italia S.r.l. (sede legale in Viale Luca </w:t>
      </w:r>
      <w:proofErr w:type="spellStart"/>
      <w:r w:rsidR="00B67094" w:rsidRPr="00405F29">
        <w:rPr>
          <w:rFonts w:ascii="Titillium" w:hAnsi="Titillium"/>
          <w:sz w:val="20"/>
          <w:szCs w:val="20"/>
        </w:rPr>
        <w:t>Gaurico</w:t>
      </w:r>
      <w:proofErr w:type="spellEnd"/>
      <w:r w:rsidR="00B67094" w:rsidRPr="00405F29">
        <w:rPr>
          <w:rFonts w:ascii="Titillium" w:hAnsi="Titillium"/>
          <w:sz w:val="20"/>
          <w:szCs w:val="20"/>
        </w:rPr>
        <w:t xml:space="preserve"> n. 9/11, 00143 Roma, </w:t>
      </w:r>
      <w:proofErr w:type="spellStart"/>
      <w:r w:rsidR="00B67094" w:rsidRPr="00405F29">
        <w:rPr>
          <w:rFonts w:ascii="Titillium" w:hAnsi="Titillium"/>
          <w:sz w:val="20"/>
          <w:szCs w:val="20"/>
        </w:rPr>
        <w:t>c.f.</w:t>
      </w:r>
      <w:proofErr w:type="spellEnd"/>
      <w:r w:rsidR="00B67094" w:rsidRPr="00405F29">
        <w:rPr>
          <w:rFonts w:ascii="Titillium" w:hAnsi="Titillium"/>
          <w:sz w:val="20"/>
          <w:szCs w:val="20"/>
        </w:rPr>
        <w:t xml:space="preserve"> e </w:t>
      </w:r>
      <w:proofErr w:type="spellStart"/>
      <w:r w:rsidR="00B67094" w:rsidRPr="00405F29">
        <w:rPr>
          <w:rFonts w:ascii="Titillium" w:hAnsi="Titillium"/>
          <w:sz w:val="20"/>
          <w:szCs w:val="20"/>
        </w:rPr>
        <w:t>p.iva</w:t>
      </w:r>
      <w:proofErr w:type="spellEnd"/>
      <w:r w:rsidR="00B67094" w:rsidRPr="00405F29">
        <w:rPr>
          <w:rFonts w:ascii="Titillium" w:hAnsi="Titillium"/>
          <w:sz w:val="20"/>
          <w:szCs w:val="20"/>
        </w:rPr>
        <w:t xml:space="preserve"> 05380651009) dei servizi di supporto e manutenzione </w:t>
      </w:r>
      <w:proofErr w:type="spellStart"/>
      <w:r w:rsidR="00B67094" w:rsidRPr="00405F29">
        <w:rPr>
          <w:rFonts w:ascii="Titillium" w:hAnsi="Titillium"/>
          <w:sz w:val="20"/>
          <w:szCs w:val="20"/>
        </w:rPr>
        <w:t>enterprise</w:t>
      </w:r>
      <w:proofErr w:type="spellEnd"/>
      <w:r w:rsidR="00B67094" w:rsidRPr="00405F29">
        <w:rPr>
          <w:rFonts w:ascii="Titillium" w:hAnsi="Titillium"/>
          <w:sz w:val="20"/>
          <w:szCs w:val="20"/>
        </w:rPr>
        <w:t xml:space="preserve"> </w:t>
      </w:r>
      <w:r w:rsidR="001F0F88" w:rsidRPr="00405F29">
        <w:rPr>
          <w:rFonts w:ascii="Titillium" w:hAnsi="Titillium"/>
          <w:sz w:val="20"/>
          <w:szCs w:val="20"/>
        </w:rPr>
        <w:t xml:space="preserve">per la piattaforma </w:t>
      </w:r>
      <w:proofErr w:type="spellStart"/>
      <w:r w:rsidR="001F0F88" w:rsidRPr="00405F29">
        <w:rPr>
          <w:rFonts w:ascii="Titillium" w:hAnsi="Titillium"/>
          <w:sz w:val="20"/>
          <w:szCs w:val="20"/>
        </w:rPr>
        <w:t>MongoDB</w:t>
      </w:r>
      <w:proofErr w:type="spellEnd"/>
      <w:r w:rsidR="001F0F88" w:rsidRPr="00405F29">
        <w:rPr>
          <w:rFonts w:ascii="Titillium" w:hAnsi="Titillium"/>
          <w:sz w:val="20"/>
          <w:szCs w:val="20"/>
        </w:rPr>
        <w:t xml:space="preserve">, per un periodo di n. 12 mesi decorrenti per ciascun servizio dalla relativa sottoscrizione, </w:t>
      </w:r>
      <w:r w:rsidRPr="00405F29">
        <w:rPr>
          <w:rFonts w:ascii="Titillium" w:hAnsi="Titillium"/>
          <w:sz w:val="20"/>
          <w:szCs w:val="20"/>
        </w:rPr>
        <w:t>per una spesa complessiva massima stimata così specificata:</w:t>
      </w:r>
    </w:p>
    <w:tbl>
      <w:tblPr>
        <w:tblStyle w:val="Grigliatabella"/>
        <w:tblW w:w="9290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75"/>
        <w:gridCol w:w="1615"/>
      </w:tblGrid>
      <w:tr w:rsidR="002175C6" w:rsidRPr="004072EB" w:rsidTr="00211561">
        <w:trPr>
          <w:trHeight w:val="425"/>
          <w:jc w:val="right"/>
        </w:trPr>
        <w:tc>
          <w:tcPr>
            <w:tcW w:w="767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1F0F88" w:rsidRPr="001F0F88" w:rsidRDefault="00385D7E" w:rsidP="001F0F88">
            <w:pPr>
              <w:pStyle w:val="Paragrafoelenco"/>
              <w:numPr>
                <w:ilvl w:val="0"/>
                <w:numId w:val="3"/>
              </w:numPr>
              <w:spacing w:after="100" w:line="276" w:lineRule="auto"/>
              <w:ind w:left="459" w:hanging="425"/>
              <w:contextualSpacing w:val="0"/>
              <w:jc w:val="both"/>
              <w:rPr>
                <w:rFonts w:ascii="Titillium" w:hAnsi="Titillium"/>
                <w:sz w:val="20"/>
                <w:szCs w:val="20"/>
              </w:rPr>
            </w:pPr>
            <w:r>
              <w:rPr>
                <w:rFonts w:ascii="Titillium" w:hAnsi="Titillium"/>
                <w:sz w:val="20"/>
                <w:szCs w:val="20"/>
              </w:rPr>
              <w:t>servizi oggetto del contratto</w:t>
            </w:r>
          </w:p>
        </w:tc>
        <w:tc>
          <w:tcPr>
            <w:tcW w:w="161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1F0F88" w:rsidRPr="00B04539" w:rsidRDefault="002175C6" w:rsidP="001F0F88">
            <w:pPr>
              <w:pStyle w:val="Paragrafoelenco"/>
              <w:spacing w:after="100" w:line="276" w:lineRule="auto"/>
              <w:ind w:left="0"/>
              <w:contextualSpacing w:val="0"/>
              <w:jc w:val="right"/>
              <w:rPr>
                <w:rFonts w:ascii="Titillium" w:hAnsi="Titillium"/>
                <w:sz w:val="20"/>
                <w:szCs w:val="20"/>
              </w:rPr>
            </w:pPr>
            <w:r w:rsidRPr="00B04539">
              <w:rPr>
                <w:rFonts w:ascii="Titillium" w:hAnsi="Titillium"/>
                <w:sz w:val="20"/>
                <w:szCs w:val="20"/>
              </w:rPr>
              <w:t xml:space="preserve">€ </w:t>
            </w:r>
            <w:r w:rsidR="001F0F88">
              <w:rPr>
                <w:rFonts w:ascii="Titillium" w:hAnsi="Titillium"/>
                <w:sz w:val="20"/>
                <w:szCs w:val="20"/>
              </w:rPr>
              <w:t>89.722,08</w:t>
            </w:r>
          </w:p>
        </w:tc>
      </w:tr>
      <w:tr w:rsidR="002175C6" w:rsidRPr="00385D7E" w:rsidTr="00211561">
        <w:trPr>
          <w:trHeight w:val="425"/>
          <w:jc w:val="right"/>
        </w:trPr>
        <w:tc>
          <w:tcPr>
            <w:tcW w:w="767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2175C6" w:rsidRPr="004072EB" w:rsidRDefault="002175C6" w:rsidP="00212EAF">
            <w:pPr>
              <w:pStyle w:val="Paragrafoelenco"/>
              <w:numPr>
                <w:ilvl w:val="0"/>
                <w:numId w:val="3"/>
              </w:numPr>
              <w:spacing w:after="100" w:line="276" w:lineRule="auto"/>
              <w:ind w:left="459" w:hanging="425"/>
              <w:contextualSpacing w:val="0"/>
              <w:jc w:val="both"/>
              <w:rPr>
                <w:rFonts w:ascii="Titillium" w:hAnsi="Titillium"/>
                <w:sz w:val="20"/>
                <w:szCs w:val="20"/>
              </w:rPr>
            </w:pPr>
            <w:r w:rsidRPr="004072EB">
              <w:rPr>
                <w:rFonts w:ascii="Titillium" w:hAnsi="Titillium"/>
                <w:sz w:val="20"/>
                <w:szCs w:val="20"/>
              </w:rPr>
              <w:t>IVA al 22% sulle voci di cui ai punti a) e b)</w:t>
            </w:r>
          </w:p>
        </w:tc>
        <w:tc>
          <w:tcPr>
            <w:tcW w:w="161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2175C6" w:rsidRPr="00B04539" w:rsidRDefault="00C108D7" w:rsidP="00405F29">
            <w:pPr>
              <w:pStyle w:val="Paragrafoelenco"/>
              <w:spacing w:after="100" w:line="276" w:lineRule="auto"/>
              <w:ind w:left="0"/>
              <w:contextualSpacing w:val="0"/>
              <w:jc w:val="right"/>
              <w:rPr>
                <w:rFonts w:ascii="Titillium" w:hAnsi="Titillium"/>
                <w:sz w:val="20"/>
                <w:szCs w:val="20"/>
              </w:rPr>
            </w:pPr>
            <w:r w:rsidRPr="00B04539">
              <w:rPr>
                <w:rFonts w:ascii="Titillium" w:hAnsi="Titillium"/>
                <w:sz w:val="20"/>
                <w:szCs w:val="20"/>
              </w:rPr>
              <w:t xml:space="preserve"> </w:t>
            </w:r>
            <w:r w:rsidR="00B80660" w:rsidRPr="00B04539">
              <w:rPr>
                <w:rFonts w:ascii="Titillium" w:hAnsi="Titillium"/>
                <w:sz w:val="20"/>
                <w:szCs w:val="20"/>
              </w:rPr>
              <w:t xml:space="preserve">    </w:t>
            </w:r>
            <w:r w:rsidRPr="00B04539">
              <w:rPr>
                <w:rFonts w:ascii="Titillium" w:hAnsi="Titillium"/>
                <w:sz w:val="20"/>
                <w:szCs w:val="20"/>
              </w:rPr>
              <w:t xml:space="preserve"> </w:t>
            </w:r>
            <w:r w:rsidR="007679A2" w:rsidRPr="00B04539">
              <w:rPr>
                <w:rFonts w:ascii="Titillium" w:hAnsi="Titillium"/>
                <w:sz w:val="20"/>
                <w:szCs w:val="20"/>
              </w:rPr>
              <w:t xml:space="preserve"> </w:t>
            </w:r>
            <w:r w:rsidR="00405F29">
              <w:rPr>
                <w:rFonts w:ascii="Titillium" w:hAnsi="Titillium"/>
                <w:sz w:val="20"/>
                <w:szCs w:val="20"/>
              </w:rPr>
              <w:t xml:space="preserve">€ </w:t>
            </w:r>
            <w:r w:rsidR="001F0F88">
              <w:rPr>
                <w:rFonts w:ascii="Titillium" w:hAnsi="Titillium"/>
                <w:sz w:val="20"/>
                <w:szCs w:val="20"/>
              </w:rPr>
              <w:t>19.749,86</w:t>
            </w:r>
          </w:p>
        </w:tc>
      </w:tr>
      <w:tr w:rsidR="002175C6" w:rsidRPr="00385D7E" w:rsidTr="00211561">
        <w:trPr>
          <w:trHeight w:val="787"/>
          <w:jc w:val="right"/>
        </w:trPr>
        <w:tc>
          <w:tcPr>
            <w:tcW w:w="767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2175C6" w:rsidRPr="004072EB" w:rsidRDefault="002175C6" w:rsidP="00212EAF">
            <w:pPr>
              <w:tabs>
                <w:tab w:val="left" w:pos="7371"/>
              </w:tabs>
              <w:spacing w:after="100" w:line="276" w:lineRule="auto"/>
              <w:rPr>
                <w:rFonts w:ascii="Titillium" w:hAnsi="Titillium"/>
                <w:b/>
                <w:sz w:val="20"/>
                <w:szCs w:val="20"/>
              </w:rPr>
            </w:pPr>
            <w:r w:rsidRPr="004072EB">
              <w:rPr>
                <w:rFonts w:ascii="Titillium" w:hAnsi="Titillium"/>
                <w:b/>
                <w:sz w:val="20"/>
                <w:szCs w:val="20"/>
              </w:rPr>
              <w:t>Spesa complessiva stimata</w:t>
            </w:r>
          </w:p>
        </w:tc>
        <w:tc>
          <w:tcPr>
            <w:tcW w:w="161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2175C6" w:rsidRPr="00B04539" w:rsidRDefault="002175C6" w:rsidP="00404289">
            <w:pPr>
              <w:pStyle w:val="Paragrafoelenco"/>
              <w:spacing w:after="100" w:line="276" w:lineRule="auto"/>
              <w:ind w:left="0"/>
              <w:contextualSpacing w:val="0"/>
              <w:jc w:val="right"/>
              <w:rPr>
                <w:rFonts w:ascii="Titillium" w:hAnsi="Titillium"/>
                <w:b/>
                <w:sz w:val="20"/>
                <w:szCs w:val="20"/>
              </w:rPr>
            </w:pPr>
            <w:r w:rsidRPr="00B04539">
              <w:rPr>
                <w:rFonts w:ascii="Titillium" w:hAnsi="Titillium"/>
                <w:b/>
                <w:sz w:val="20"/>
                <w:szCs w:val="20"/>
              </w:rPr>
              <w:t xml:space="preserve">€ </w:t>
            </w:r>
            <w:r w:rsidR="001F0F88">
              <w:rPr>
                <w:rFonts w:ascii="Titillium" w:hAnsi="Titillium"/>
                <w:b/>
                <w:sz w:val="20"/>
                <w:szCs w:val="20"/>
              </w:rPr>
              <w:t>1</w:t>
            </w:r>
            <w:r w:rsidR="00B04539" w:rsidRPr="00B04539">
              <w:rPr>
                <w:rFonts w:ascii="Titillium" w:hAnsi="Titillium"/>
                <w:b/>
                <w:sz w:val="20"/>
                <w:szCs w:val="20"/>
              </w:rPr>
              <w:t>0</w:t>
            </w:r>
            <w:r w:rsidR="001F0F88">
              <w:rPr>
                <w:rFonts w:ascii="Titillium" w:hAnsi="Titillium"/>
                <w:b/>
                <w:sz w:val="20"/>
                <w:szCs w:val="20"/>
              </w:rPr>
              <w:t>9.460,94</w:t>
            </w:r>
          </w:p>
        </w:tc>
      </w:tr>
    </w:tbl>
    <w:p w:rsidR="00E0422F" w:rsidRDefault="001F0F88" w:rsidP="00E0422F">
      <w:pPr>
        <w:spacing w:after="100" w:line="276" w:lineRule="auto"/>
        <w:jc w:val="both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 xml:space="preserve">2. </w:t>
      </w:r>
      <w:r w:rsidR="007228DC" w:rsidRPr="00B04539">
        <w:rPr>
          <w:rFonts w:ascii="Titillium" w:hAnsi="Titillium"/>
          <w:sz w:val="20"/>
          <w:szCs w:val="20"/>
        </w:rPr>
        <w:t xml:space="preserve"> </w:t>
      </w:r>
      <w:r w:rsidR="00332723" w:rsidRPr="00B04539">
        <w:rPr>
          <w:rFonts w:ascii="Titillium" w:hAnsi="Titillium"/>
          <w:sz w:val="20"/>
          <w:szCs w:val="20"/>
        </w:rPr>
        <w:t xml:space="preserve">di autorizzare la spesa complessiva stimata da porsi a carico del bilancio di previsione dell’Autorità per </w:t>
      </w:r>
      <w:r>
        <w:rPr>
          <w:rFonts w:ascii="Titillium" w:hAnsi="Titillium"/>
          <w:sz w:val="20"/>
          <w:szCs w:val="20"/>
        </w:rPr>
        <w:t>l’</w:t>
      </w:r>
      <w:r w:rsidR="00DB4DF6">
        <w:rPr>
          <w:rFonts w:ascii="Titillium" w:hAnsi="Titillium"/>
          <w:sz w:val="20"/>
          <w:szCs w:val="20"/>
        </w:rPr>
        <w:t>anno</w:t>
      </w:r>
      <w:r>
        <w:rPr>
          <w:rFonts w:ascii="Titillium" w:hAnsi="Titillium"/>
          <w:sz w:val="20"/>
          <w:szCs w:val="20"/>
        </w:rPr>
        <w:t xml:space="preserve"> 2023, </w:t>
      </w:r>
      <w:r w:rsidR="00D17E5C" w:rsidRPr="00B04539">
        <w:rPr>
          <w:rFonts w:ascii="Titillium" w:hAnsi="Titillium"/>
          <w:sz w:val="20"/>
          <w:szCs w:val="20"/>
        </w:rPr>
        <w:t>su</w:t>
      </w:r>
      <w:r w:rsidR="00E07DDB" w:rsidRPr="00B04539">
        <w:rPr>
          <w:rFonts w:ascii="Titillium" w:hAnsi="Titillium"/>
          <w:sz w:val="20"/>
          <w:szCs w:val="20"/>
        </w:rPr>
        <w:t>l</w:t>
      </w:r>
      <w:r w:rsidR="00332723" w:rsidRPr="00B04539">
        <w:rPr>
          <w:rFonts w:ascii="Titillium" w:hAnsi="Titillium"/>
          <w:sz w:val="20"/>
          <w:szCs w:val="20"/>
        </w:rPr>
        <w:t xml:space="preserve"> </w:t>
      </w:r>
      <w:r w:rsidR="00D17E5C" w:rsidRPr="00B04539">
        <w:rPr>
          <w:rFonts w:ascii="Titillium" w:hAnsi="Titillium"/>
          <w:sz w:val="20"/>
          <w:szCs w:val="20"/>
        </w:rPr>
        <w:t>capitol</w:t>
      </w:r>
      <w:r w:rsidR="00E07DDB" w:rsidRPr="00B04539">
        <w:rPr>
          <w:rFonts w:ascii="Titillium" w:hAnsi="Titillium"/>
          <w:sz w:val="20"/>
          <w:szCs w:val="20"/>
        </w:rPr>
        <w:t>o</w:t>
      </w:r>
      <w:r>
        <w:rPr>
          <w:rFonts w:ascii="Titillium" w:hAnsi="Titillium"/>
          <w:sz w:val="20"/>
          <w:szCs w:val="20"/>
        </w:rPr>
        <w:t xml:space="preserve"> n. 21050.121</w:t>
      </w:r>
      <w:r w:rsidR="00406276" w:rsidRPr="00B04539">
        <w:rPr>
          <w:rFonts w:ascii="Titillium" w:hAnsi="Titillium"/>
          <w:sz w:val="20"/>
          <w:szCs w:val="20"/>
        </w:rPr>
        <w:t xml:space="preserve">, </w:t>
      </w:r>
      <w:r w:rsidR="00632F5C" w:rsidRPr="00B04539">
        <w:rPr>
          <w:rFonts w:ascii="Titillium" w:hAnsi="Titillium"/>
          <w:sz w:val="20"/>
          <w:szCs w:val="20"/>
        </w:rPr>
        <w:t xml:space="preserve">per l’importo di </w:t>
      </w:r>
      <w:r w:rsidR="00632F5C" w:rsidRPr="00B04539">
        <w:rPr>
          <w:rFonts w:ascii="Titillium" w:hAnsi="Titillium" w:hint="eastAsia"/>
          <w:sz w:val="20"/>
          <w:szCs w:val="20"/>
        </w:rPr>
        <w:t>€</w:t>
      </w:r>
      <w:r>
        <w:rPr>
          <w:rFonts w:ascii="Titillium" w:hAnsi="Titillium"/>
          <w:sz w:val="20"/>
          <w:szCs w:val="20"/>
        </w:rPr>
        <w:t xml:space="preserve"> 1</w:t>
      </w:r>
      <w:r w:rsidR="00B04539" w:rsidRPr="00B04539">
        <w:rPr>
          <w:rFonts w:ascii="Titillium" w:hAnsi="Titillium"/>
          <w:sz w:val="20"/>
          <w:szCs w:val="20"/>
        </w:rPr>
        <w:t>0</w:t>
      </w:r>
      <w:r>
        <w:rPr>
          <w:rFonts w:ascii="Titillium" w:hAnsi="Titillium"/>
          <w:sz w:val="20"/>
          <w:szCs w:val="20"/>
        </w:rPr>
        <w:t>9.460,94</w:t>
      </w:r>
      <w:r w:rsidR="00B04539" w:rsidRPr="00B04539">
        <w:rPr>
          <w:rFonts w:ascii="Titillium" w:hAnsi="Titillium"/>
          <w:sz w:val="20"/>
          <w:szCs w:val="20"/>
        </w:rPr>
        <w:t>.</w:t>
      </w:r>
    </w:p>
    <w:p w:rsidR="00E0422F" w:rsidRDefault="001F0F88" w:rsidP="00E0422F">
      <w:pPr>
        <w:spacing w:after="100" w:line="276" w:lineRule="auto"/>
        <w:jc w:val="both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>3</w:t>
      </w:r>
      <w:r w:rsidR="00E0422F">
        <w:rPr>
          <w:rFonts w:ascii="Titillium" w:hAnsi="Titillium"/>
          <w:sz w:val="20"/>
          <w:szCs w:val="20"/>
        </w:rPr>
        <w:t xml:space="preserve">. </w:t>
      </w:r>
      <w:r w:rsidR="00332723" w:rsidRPr="00E0422F">
        <w:rPr>
          <w:rFonts w:ascii="Titillium" w:hAnsi="Titillium"/>
          <w:sz w:val="20"/>
          <w:szCs w:val="20"/>
        </w:rPr>
        <w:t xml:space="preserve">Il Responsabile unico del procedimento di cui all’art. 31 del d.lgs. </w:t>
      </w:r>
      <w:r w:rsidR="007228DC" w:rsidRPr="00E0422F">
        <w:rPr>
          <w:rFonts w:ascii="Titillium" w:hAnsi="Titillium"/>
          <w:sz w:val="20"/>
          <w:szCs w:val="20"/>
        </w:rPr>
        <w:t xml:space="preserve">n. </w:t>
      </w:r>
      <w:r w:rsidR="00356FF4" w:rsidRPr="00E0422F">
        <w:rPr>
          <w:rFonts w:ascii="Titillium" w:hAnsi="Titillium"/>
          <w:sz w:val="20"/>
          <w:szCs w:val="20"/>
        </w:rPr>
        <w:t xml:space="preserve">50/2016 è </w:t>
      </w:r>
      <w:r>
        <w:rPr>
          <w:rFonts w:ascii="Titillium" w:hAnsi="Titillium"/>
          <w:sz w:val="20"/>
          <w:szCs w:val="20"/>
        </w:rPr>
        <w:t>l’Ing. Settimio Picca, dirigente</w:t>
      </w:r>
      <w:r w:rsidR="00B04539" w:rsidRPr="00E0422F">
        <w:rPr>
          <w:rFonts w:ascii="Titillium" w:hAnsi="Titillium"/>
          <w:sz w:val="20"/>
          <w:szCs w:val="20"/>
        </w:rPr>
        <w:t xml:space="preserve"> dell’Ufficio </w:t>
      </w:r>
      <w:r>
        <w:rPr>
          <w:rFonts w:ascii="Titillium" w:hAnsi="Titillium"/>
          <w:sz w:val="20"/>
          <w:szCs w:val="20"/>
        </w:rPr>
        <w:t>UGARE dell’Autorità</w:t>
      </w:r>
      <w:r w:rsidR="00B04539" w:rsidRPr="00E0422F">
        <w:rPr>
          <w:rFonts w:ascii="Titillium" w:hAnsi="Titillium"/>
          <w:sz w:val="20"/>
          <w:szCs w:val="20"/>
        </w:rPr>
        <w:t>.</w:t>
      </w:r>
    </w:p>
    <w:p w:rsidR="00E70CFA" w:rsidRPr="00E0422F" w:rsidRDefault="001F0F88" w:rsidP="00982D00">
      <w:pPr>
        <w:spacing w:after="240" w:line="276" w:lineRule="auto"/>
        <w:jc w:val="both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>4.</w:t>
      </w:r>
      <w:r w:rsidR="00E0422F">
        <w:rPr>
          <w:rFonts w:ascii="Titillium" w:hAnsi="Titillium"/>
          <w:sz w:val="20"/>
          <w:szCs w:val="20"/>
        </w:rPr>
        <w:t xml:space="preserve">. </w:t>
      </w:r>
      <w:r w:rsidR="00332723" w:rsidRPr="00E0422F">
        <w:rPr>
          <w:rFonts w:ascii="Titillium" w:hAnsi="Titillium"/>
          <w:sz w:val="20"/>
          <w:szCs w:val="20"/>
        </w:rPr>
        <w:t>Il direttore dell’esec</w:t>
      </w:r>
      <w:r w:rsidR="00385D7E" w:rsidRPr="00E0422F">
        <w:rPr>
          <w:rFonts w:ascii="Titillium" w:hAnsi="Titillium"/>
          <w:sz w:val="20"/>
          <w:szCs w:val="20"/>
        </w:rPr>
        <w:t>uzione del contratto è</w:t>
      </w:r>
      <w:r>
        <w:rPr>
          <w:rFonts w:ascii="Titillium" w:hAnsi="Titillium"/>
          <w:sz w:val="20"/>
          <w:szCs w:val="20"/>
        </w:rPr>
        <w:t xml:space="preserve"> l’Ing. Francesco </w:t>
      </w:r>
      <w:proofErr w:type="spellStart"/>
      <w:r>
        <w:rPr>
          <w:rFonts w:ascii="Titillium" w:hAnsi="Titillium"/>
          <w:sz w:val="20"/>
          <w:szCs w:val="20"/>
        </w:rPr>
        <w:t>Appratto</w:t>
      </w:r>
      <w:proofErr w:type="spellEnd"/>
      <w:r>
        <w:rPr>
          <w:rFonts w:ascii="Titillium" w:hAnsi="Titillium"/>
          <w:sz w:val="20"/>
          <w:szCs w:val="20"/>
        </w:rPr>
        <w:t>, funzionario</w:t>
      </w:r>
      <w:r w:rsidR="00385D7E" w:rsidRPr="00E0422F">
        <w:rPr>
          <w:rFonts w:ascii="Titillium" w:hAnsi="Titillium"/>
          <w:sz w:val="20"/>
          <w:szCs w:val="20"/>
        </w:rPr>
        <w:t xml:space="preserve"> dell’Ufficio </w:t>
      </w:r>
      <w:r>
        <w:rPr>
          <w:rFonts w:ascii="Titillium" w:hAnsi="Titillium"/>
          <w:sz w:val="20"/>
          <w:szCs w:val="20"/>
        </w:rPr>
        <w:t>USCP dell’Autorità.</w:t>
      </w:r>
      <w:bookmarkStart w:id="0" w:name="_GoBack"/>
    </w:p>
    <w:bookmarkEnd w:id="0"/>
    <w:tbl>
      <w:tblPr>
        <w:tblW w:w="4854" w:type="pct"/>
        <w:tblInd w:w="142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112"/>
        <w:gridCol w:w="1843"/>
        <w:gridCol w:w="3402"/>
      </w:tblGrid>
      <w:tr w:rsidR="00E70CFA" w:rsidRPr="00B23DE4" w:rsidTr="00982D00">
        <w:trPr>
          <w:trHeight w:val="658"/>
        </w:trPr>
        <w:tc>
          <w:tcPr>
            <w:tcW w:w="2197" w:type="pct"/>
            <w:shd w:val="clear" w:color="auto" w:fill="2770B7"/>
            <w:vAlign w:val="center"/>
          </w:tcPr>
          <w:p w:rsidR="00E70CFA" w:rsidRPr="00405F29" w:rsidRDefault="00E70CFA" w:rsidP="009536A8">
            <w:pPr>
              <w:pStyle w:val="ANCATABELLATITOLOBIANCO"/>
              <w:ind w:left="0"/>
              <w:rPr>
                <w:lang w:val="it-IT"/>
              </w:rPr>
            </w:pPr>
          </w:p>
        </w:tc>
        <w:tc>
          <w:tcPr>
            <w:tcW w:w="985" w:type="pct"/>
            <w:shd w:val="clear" w:color="auto" w:fill="2770B7"/>
          </w:tcPr>
          <w:p w:rsidR="00E70CFA" w:rsidRPr="00405F29" w:rsidRDefault="00E70CFA" w:rsidP="009536A8">
            <w:pPr>
              <w:pStyle w:val="ANCATABELLATITOLOBIANCO"/>
              <w:ind w:left="0"/>
              <w:rPr>
                <w:lang w:val="it-IT"/>
              </w:rPr>
            </w:pPr>
          </w:p>
        </w:tc>
        <w:tc>
          <w:tcPr>
            <w:tcW w:w="1818" w:type="pct"/>
            <w:shd w:val="clear" w:color="auto" w:fill="2770B7"/>
            <w:vAlign w:val="center"/>
          </w:tcPr>
          <w:p w:rsidR="00E70CFA" w:rsidRPr="00B23DE4" w:rsidRDefault="00E70CFA" w:rsidP="00982D00">
            <w:pPr>
              <w:pStyle w:val="ANCATABELLATITOLOBIANCO"/>
              <w:ind w:left="0"/>
              <w:jc w:val="center"/>
              <w:rPr>
                <w:lang w:val="it-IT"/>
              </w:rPr>
            </w:pPr>
            <w:r w:rsidRPr="00B23DE4">
              <w:rPr>
                <w:lang w:val="it-IT"/>
              </w:rPr>
              <w:t xml:space="preserve">Il </w:t>
            </w:r>
            <w:r>
              <w:rPr>
                <w:lang w:val="it-IT"/>
              </w:rPr>
              <w:t>Segretario Generale</w:t>
            </w:r>
          </w:p>
        </w:tc>
      </w:tr>
    </w:tbl>
    <w:p w:rsidR="008B6ABE" w:rsidRDefault="004A53E6" w:rsidP="00332723">
      <w:pPr>
        <w:spacing w:before="120" w:after="120" w:line="276" w:lineRule="auto"/>
        <w:rPr>
          <w:rFonts w:ascii="Titillium" w:hAnsi="Titillium"/>
          <w:sz w:val="20"/>
          <w:szCs w:val="20"/>
        </w:rPr>
      </w:pPr>
      <w:r w:rsidRPr="00C95049">
        <w:rPr>
          <w:rFonts w:ascii="Titilium Regular" w:hAnsi="Titilium Regular"/>
          <w:i/>
        </w:rPr>
        <w:tab/>
      </w:r>
      <w:r w:rsidRPr="00C95049">
        <w:rPr>
          <w:rFonts w:ascii="Titilium Regular" w:hAnsi="Titilium Regular"/>
          <w:i/>
        </w:rPr>
        <w:tab/>
      </w:r>
      <w:r w:rsidRPr="00C95049">
        <w:rPr>
          <w:rFonts w:ascii="Titilium Regular" w:hAnsi="Titilium Regular"/>
          <w:i/>
        </w:rPr>
        <w:tab/>
      </w:r>
      <w:r w:rsidRPr="00C95049">
        <w:rPr>
          <w:rFonts w:ascii="Titilium Regular" w:hAnsi="Titilium Regular"/>
          <w:i/>
        </w:rPr>
        <w:tab/>
      </w:r>
      <w:r w:rsidR="00E70CFA">
        <w:rPr>
          <w:rFonts w:ascii="Titilium Regular" w:hAnsi="Titilium Regular"/>
          <w:i/>
        </w:rPr>
        <w:t xml:space="preserve">                                </w:t>
      </w:r>
      <w:r w:rsidR="004072EB">
        <w:rPr>
          <w:rFonts w:ascii="Titilium Regular" w:hAnsi="Titilium Regular"/>
          <w:i/>
        </w:rPr>
        <w:t xml:space="preserve">                        </w:t>
      </w:r>
      <w:r w:rsidR="00E70CFA">
        <w:rPr>
          <w:rFonts w:ascii="Titilium Regular" w:hAnsi="Titilium Regular"/>
          <w:i/>
        </w:rPr>
        <w:t xml:space="preserve"> </w:t>
      </w:r>
      <w:r w:rsidR="00385D7E">
        <w:rPr>
          <w:rFonts w:ascii="Titilium Regular" w:hAnsi="Titilium Regular"/>
        </w:rPr>
        <w:t xml:space="preserve">           </w:t>
      </w:r>
      <w:r w:rsidR="001F0F88">
        <w:rPr>
          <w:rFonts w:ascii="Titillium" w:hAnsi="Titillium"/>
          <w:sz w:val="20"/>
          <w:szCs w:val="20"/>
        </w:rPr>
        <w:t>Ing. Filippo Romano</w:t>
      </w:r>
    </w:p>
    <w:p w:rsidR="00DB4DF6" w:rsidRPr="00385D7E" w:rsidRDefault="00DB4DF6" w:rsidP="00332723">
      <w:pPr>
        <w:spacing w:before="120" w:after="120" w:line="276" w:lineRule="auto"/>
        <w:rPr>
          <w:rFonts w:ascii="Titillium" w:hAnsi="Titillium"/>
          <w:sz w:val="20"/>
          <w:szCs w:val="20"/>
        </w:rPr>
      </w:pPr>
    </w:p>
    <w:p w:rsidR="00E70CFA" w:rsidRDefault="00E70CFA" w:rsidP="00332723">
      <w:pPr>
        <w:spacing w:line="276" w:lineRule="auto"/>
        <w:rPr>
          <w:rFonts w:ascii="Titilium Regular" w:hAnsi="Titilium Regular"/>
        </w:rPr>
      </w:pPr>
    </w:p>
    <w:tbl>
      <w:tblPr>
        <w:tblW w:w="4854" w:type="pct"/>
        <w:tblInd w:w="142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112"/>
        <w:gridCol w:w="1843"/>
        <w:gridCol w:w="3402"/>
      </w:tblGrid>
      <w:tr w:rsidR="00E70CFA" w:rsidRPr="00B23DE4" w:rsidTr="00982D00">
        <w:trPr>
          <w:trHeight w:val="658"/>
        </w:trPr>
        <w:tc>
          <w:tcPr>
            <w:tcW w:w="2197" w:type="pct"/>
            <w:shd w:val="clear" w:color="auto" w:fill="2770B7"/>
            <w:vAlign w:val="center"/>
          </w:tcPr>
          <w:p w:rsidR="00E70CFA" w:rsidRPr="000E1983" w:rsidRDefault="00E70CFA" w:rsidP="009536A8">
            <w:pPr>
              <w:pStyle w:val="ANCATABELLATITOLOBIANCO"/>
              <w:ind w:left="0"/>
            </w:pPr>
          </w:p>
        </w:tc>
        <w:tc>
          <w:tcPr>
            <w:tcW w:w="985" w:type="pct"/>
            <w:shd w:val="clear" w:color="auto" w:fill="2770B7"/>
          </w:tcPr>
          <w:p w:rsidR="00E70CFA" w:rsidRPr="000E1983" w:rsidRDefault="00E70CFA" w:rsidP="009536A8">
            <w:pPr>
              <w:pStyle w:val="ANCATABELLATITOLOBIANCO"/>
              <w:ind w:left="0"/>
            </w:pPr>
          </w:p>
        </w:tc>
        <w:tc>
          <w:tcPr>
            <w:tcW w:w="1818" w:type="pct"/>
            <w:shd w:val="clear" w:color="auto" w:fill="2770B7"/>
            <w:vAlign w:val="center"/>
          </w:tcPr>
          <w:p w:rsidR="00E70CFA" w:rsidRPr="00B23DE4" w:rsidRDefault="00E70CFA" w:rsidP="009536A8">
            <w:pPr>
              <w:pStyle w:val="ANCATABELLATITOLOBIANCO"/>
              <w:ind w:left="0"/>
              <w:rPr>
                <w:lang w:val="it-IT"/>
              </w:rPr>
            </w:pPr>
            <w:r>
              <w:rPr>
                <w:lang w:val="it-IT"/>
              </w:rPr>
              <w:t>VISTO: Il Dirigente dell’Ufficio gare e logistica</w:t>
            </w:r>
          </w:p>
        </w:tc>
      </w:tr>
    </w:tbl>
    <w:p w:rsidR="00E70CFA" w:rsidRDefault="001F0F88" w:rsidP="00332723">
      <w:pPr>
        <w:spacing w:line="276" w:lineRule="auto"/>
        <w:rPr>
          <w:rFonts w:ascii="Titillium" w:hAnsi="Titillium"/>
          <w:sz w:val="20"/>
          <w:szCs w:val="20"/>
        </w:rPr>
      </w:pPr>
      <w:r>
        <w:rPr>
          <w:rFonts w:ascii="Titilium Regular" w:hAnsi="Titilium Regular"/>
        </w:rPr>
        <w:t xml:space="preserve"> </w:t>
      </w:r>
      <w:r>
        <w:rPr>
          <w:rFonts w:ascii="Titilium Regular" w:hAnsi="Titilium Regular"/>
        </w:rPr>
        <w:tab/>
      </w:r>
      <w:r>
        <w:rPr>
          <w:rFonts w:ascii="Titilium Regular" w:hAnsi="Titilium Regular"/>
        </w:rPr>
        <w:tab/>
      </w:r>
      <w:r>
        <w:rPr>
          <w:rFonts w:ascii="Titilium Regular" w:hAnsi="Titilium Regular"/>
        </w:rPr>
        <w:tab/>
      </w:r>
      <w:r>
        <w:rPr>
          <w:rFonts w:ascii="Titilium Regular" w:hAnsi="Titilium Regular"/>
        </w:rPr>
        <w:tab/>
      </w:r>
      <w:r>
        <w:rPr>
          <w:rFonts w:ascii="Titilium Regular" w:hAnsi="Titilium Regular"/>
        </w:rPr>
        <w:tab/>
      </w:r>
      <w:r>
        <w:rPr>
          <w:rFonts w:ascii="Titilium Regular" w:hAnsi="Titilium Regular"/>
        </w:rPr>
        <w:tab/>
      </w:r>
      <w:r>
        <w:rPr>
          <w:rFonts w:ascii="Titilium Regular" w:hAnsi="Titilium Regular"/>
        </w:rPr>
        <w:tab/>
      </w:r>
      <w:r>
        <w:rPr>
          <w:rFonts w:ascii="Titilium Regular" w:hAnsi="Titilium Regular"/>
        </w:rPr>
        <w:tab/>
      </w:r>
      <w:r>
        <w:rPr>
          <w:rFonts w:ascii="Titilium Regular" w:hAnsi="Titilium Regular"/>
        </w:rPr>
        <w:tab/>
      </w:r>
      <w:r>
        <w:rPr>
          <w:rFonts w:ascii="Titilium Regular" w:hAnsi="Titilium Regular"/>
        </w:rPr>
        <w:tab/>
      </w:r>
      <w:r w:rsidRPr="001F0F88">
        <w:rPr>
          <w:rFonts w:ascii="Titillium" w:hAnsi="Titillium"/>
          <w:sz w:val="20"/>
          <w:szCs w:val="20"/>
        </w:rPr>
        <w:t>Ing. Settimio Picca</w:t>
      </w:r>
    </w:p>
    <w:p w:rsidR="00DB4DF6" w:rsidRPr="001F0F88" w:rsidRDefault="00DB4DF6" w:rsidP="00332723">
      <w:pPr>
        <w:spacing w:line="276" w:lineRule="auto"/>
        <w:rPr>
          <w:rFonts w:ascii="Titilium Regular" w:hAnsi="Titilium Regular"/>
        </w:rPr>
      </w:pPr>
    </w:p>
    <w:p w:rsidR="001F0F88" w:rsidRDefault="001F0F88" w:rsidP="00332723">
      <w:pPr>
        <w:spacing w:line="276" w:lineRule="auto"/>
        <w:rPr>
          <w:rFonts w:ascii="Titilium Regular" w:hAnsi="Titilium Regular"/>
        </w:rPr>
      </w:pPr>
    </w:p>
    <w:tbl>
      <w:tblPr>
        <w:tblW w:w="4854" w:type="pct"/>
        <w:tblInd w:w="142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112"/>
        <w:gridCol w:w="1843"/>
        <w:gridCol w:w="3402"/>
      </w:tblGrid>
      <w:tr w:rsidR="00E70CFA" w:rsidRPr="00B23DE4" w:rsidTr="00982D00">
        <w:trPr>
          <w:trHeight w:val="658"/>
        </w:trPr>
        <w:tc>
          <w:tcPr>
            <w:tcW w:w="2197" w:type="pct"/>
            <w:shd w:val="clear" w:color="auto" w:fill="2770B7"/>
            <w:vAlign w:val="center"/>
          </w:tcPr>
          <w:p w:rsidR="00E70CFA" w:rsidRPr="000E1983" w:rsidRDefault="00E70CFA" w:rsidP="009536A8">
            <w:pPr>
              <w:pStyle w:val="ANCATABELLATITOLOBIANCO"/>
              <w:ind w:left="0"/>
            </w:pPr>
          </w:p>
        </w:tc>
        <w:tc>
          <w:tcPr>
            <w:tcW w:w="985" w:type="pct"/>
            <w:shd w:val="clear" w:color="auto" w:fill="2770B7"/>
          </w:tcPr>
          <w:p w:rsidR="00E70CFA" w:rsidRPr="000E1983" w:rsidRDefault="00E70CFA" w:rsidP="009536A8">
            <w:pPr>
              <w:pStyle w:val="ANCATABELLATITOLOBIANCO"/>
              <w:ind w:left="0"/>
            </w:pPr>
          </w:p>
        </w:tc>
        <w:tc>
          <w:tcPr>
            <w:tcW w:w="1818" w:type="pct"/>
            <w:shd w:val="clear" w:color="auto" w:fill="2770B7"/>
            <w:vAlign w:val="center"/>
          </w:tcPr>
          <w:p w:rsidR="00E70CFA" w:rsidRPr="00B23DE4" w:rsidRDefault="00E70CFA" w:rsidP="001F0F88">
            <w:pPr>
              <w:pStyle w:val="ANCATABELLATITOLOBIANCO"/>
              <w:ind w:left="0"/>
              <w:rPr>
                <w:lang w:val="it-IT"/>
              </w:rPr>
            </w:pPr>
            <w:r>
              <w:rPr>
                <w:lang w:val="it-IT"/>
              </w:rPr>
              <w:t>VISTO PER LA COPERTURA FINANZIARIA: Il Dirigente dell’Ufficio programm</w:t>
            </w:r>
            <w:r w:rsidR="00406276">
              <w:rPr>
                <w:lang w:val="it-IT"/>
              </w:rPr>
              <w:t>azione delle risorse finanziarie</w:t>
            </w:r>
            <w:r>
              <w:rPr>
                <w:lang w:val="it-IT"/>
              </w:rPr>
              <w:t>, bilancio e contabilit</w:t>
            </w:r>
            <w:r w:rsidR="001F0F88">
              <w:rPr>
                <w:lang w:val="it-IT"/>
              </w:rPr>
              <w:t>à</w:t>
            </w:r>
          </w:p>
        </w:tc>
      </w:tr>
    </w:tbl>
    <w:p w:rsidR="00E70CFA" w:rsidRPr="00C95049" w:rsidRDefault="00E70CFA" w:rsidP="00332723">
      <w:pPr>
        <w:spacing w:line="276" w:lineRule="auto"/>
        <w:rPr>
          <w:rFonts w:ascii="Titilium Regular" w:hAnsi="Titilium Regular"/>
        </w:rPr>
      </w:pPr>
    </w:p>
    <w:p w:rsidR="00022368" w:rsidRPr="00385D7E" w:rsidRDefault="0063524C" w:rsidP="00332723">
      <w:pPr>
        <w:spacing w:line="276" w:lineRule="auto"/>
        <w:rPr>
          <w:rFonts w:ascii="Titillium" w:hAnsi="Titillium"/>
          <w:sz w:val="20"/>
          <w:szCs w:val="20"/>
        </w:rPr>
      </w:pPr>
      <w:r w:rsidRPr="00C95049">
        <w:rPr>
          <w:rFonts w:ascii="Titilium Regular" w:hAnsi="Titilium Regular"/>
        </w:rPr>
        <w:t xml:space="preserve">                     </w:t>
      </w:r>
      <w:r w:rsidR="00022368">
        <w:rPr>
          <w:rFonts w:ascii="Titilium Regular" w:hAnsi="Titilium Regular"/>
        </w:rPr>
        <w:t xml:space="preserve">                                                        </w:t>
      </w:r>
      <w:r w:rsidR="001F0F88">
        <w:rPr>
          <w:rFonts w:ascii="Titilium Regular" w:hAnsi="Titilium Regular"/>
        </w:rPr>
        <w:t xml:space="preserve">                                </w:t>
      </w:r>
      <w:r w:rsidR="00022368">
        <w:rPr>
          <w:rFonts w:ascii="Titilium Regular" w:hAnsi="Titilium Regular"/>
        </w:rPr>
        <w:t xml:space="preserve">   </w:t>
      </w:r>
      <w:r w:rsidR="004072EB">
        <w:rPr>
          <w:rFonts w:ascii="Titilium Regular" w:hAnsi="Titilium Regular"/>
          <w:i/>
        </w:rPr>
        <w:t xml:space="preserve"> </w:t>
      </w:r>
      <w:r w:rsidR="004072EB" w:rsidRPr="00385D7E">
        <w:rPr>
          <w:rFonts w:ascii="Titillium" w:hAnsi="Titillium"/>
          <w:sz w:val="20"/>
          <w:szCs w:val="20"/>
        </w:rPr>
        <w:t>Dott. S</w:t>
      </w:r>
      <w:r w:rsidR="00022368" w:rsidRPr="00385D7E">
        <w:rPr>
          <w:rFonts w:ascii="Titillium" w:hAnsi="Titillium"/>
          <w:sz w:val="20"/>
          <w:szCs w:val="20"/>
        </w:rPr>
        <w:t>tefano Ceccarelli</w:t>
      </w:r>
    </w:p>
    <w:p w:rsidR="00022368" w:rsidRPr="00C95049" w:rsidRDefault="0063524C" w:rsidP="00022368">
      <w:pPr>
        <w:spacing w:line="276" w:lineRule="auto"/>
        <w:rPr>
          <w:rFonts w:ascii="Titilium Regular" w:hAnsi="Titilium Regular"/>
          <w:i/>
        </w:rPr>
      </w:pPr>
      <w:r w:rsidRPr="00C95049">
        <w:rPr>
          <w:rFonts w:ascii="Titilium Regular" w:hAnsi="Titilium Regular"/>
        </w:rPr>
        <w:t xml:space="preserve"> </w:t>
      </w:r>
    </w:p>
    <w:p w:rsidR="004A53E6" w:rsidRPr="00C95049" w:rsidRDefault="004A53E6" w:rsidP="00332723">
      <w:pPr>
        <w:spacing w:line="276" w:lineRule="auto"/>
        <w:rPr>
          <w:rFonts w:ascii="Titilium Regular" w:hAnsi="Titilium Regular"/>
          <w:i/>
        </w:rPr>
      </w:pPr>
    </w:p>
    <w:sectPr w:rsidR="004A53E6" w:rsidRPr="00C95049" w:rsidSect="00F77C35">
      <w:headerReference w:type="default" r:id="rId8"/>
      <w:pgSz w:w="11906" w:h="16838"/>
      <w:pgMar w:top="567" w:right="1134" w:bottom="1276" w:left="1134" w:header="284" w:footer="3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CF9" w:rsidRDefault="00952CF9" w:rsidP="00332723">
      <w:r>
        <w:separator/>
      </w:r>
    </w:p>
  </w:endnote>
  <w:endnote w:type="continuationSeparator" w:id="0">
    <w:p w:rsidR="00952CF9" w:rsidRDefault="00952CF9" w:rsidP="00332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Titillium Web">
    <w:altName w:val="Courier New"/>
    <w:charset w:val="4D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Light"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Titilliu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itilium Regular">
    <w:altName w:val="Times New Roman"/>
    <w:panose1 w:val="00000000000000000000"/>
    <w:charset w:val="00"/>
    <w:family w:val="roman"/>
    <w:notTrueType/>
    <w:pitch w:val="default"/>
  </w:font>
  <w:font w:name="Gotham">
    <w:panose1 w:val="02000804040000020004"/>
    <w:charset w:val="00"/>
    <w:family w:val="auto"/>
    <w:pitch w:val="variable"/>
    <w:sig w:usb0="A00000AF" w:usb1="50000048" w:usb2="00000000" w:usb3="00000000" w:csb0="0000011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CF9" w:rsidRDefault="00952CF9" w:rsidP="00332723">
      <w:r>
        <w:separator/>
      </w:r>
    </w:p>
  </w:footnote>
  <w:footnote w:type="continuationSeparator" w:id="0">
    <w:p w:rsidR="00952CF9" w:rsidRDefault="00952CF9" w:rsidP="003327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049" w:rsidRDefault="00C95049" w:rsidP="008B6ABE">
    <w:pPr>
      <w:tabs>
        <w:tab w:val="center" w:pos="4678"/>
      </w:tabs>
      <w:spacing w:before="120"/>
      <w:ind w:right="284"/>
      <w:rPr>
        <w:i/>
        <w:color w:val="1F497D"/>
        <w:sz w:val="20"/>
        <w:szCs w:val="20"/>
      </w:rPr>
    </w:pPr>
    <w:r>
      <w:rPr>
        <w:noProof/>
      </w:rPr>
      <w:drawing>
        <wp:inline distT="0" distB="0" distL="0" distR="0" wp14:anchorId="6CF98EE3" wp14:editId="3CEB9739">
          <wp:extent cx="3169920" cy="40259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9920" cy="402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32723" w:rsidRPr="008B6ABE" w:rsidRDefault="008B6ABE" w:rsidP="008B6ABE">
    <w:pPr>
      <w:tabs>
        <w:tab w:val="center" w:pos="4678"/>
      </w:tabs>
      <w:spacing w:before="120"/>
      <w:ind w:right="284"/>
      <w:rPr>
        <w:rFonts w:ascii="Gotham Light" w:hAnsi="Gotham Light"/>
        <w:i/>
        <w:color w:val="1F497D"/>
        <w:sz w:val="20"/>
        <w:szCs w:val="20"/>
      </w:rPr>
    </w:pPr>
    <w:r>
      <w:rPr>
        <w:rFonts w:ascii="Gotham" w:hAnsi="Gotham" w:cs="Arial"/>
        <w:color w:val="2E74B5"/>
      </w:rPr>
      <w:t xml:space="preserve">           </w:t>
    </w:r>
    <w:r w:rsidR="00C95049" w:rsidRPr="008B6ABE">
      <w:rPr>
        <w:rFonts w:ascii="Gotham Light" w:hAnsi="Gotham Light" w:cs="Arial"/>
        <w:color w:val="2E74B5"/>
      </w:rPr>
      <w:t>Il Segretario Generale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5704E"/>
    <w:multiLevelType w:val="hybridMultilevel"/>
    <w:tmpl w:val="7E7CF69E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>
      <w:start w:val="1"/>
      <w:numFmt w:val="lowerLetter"/>
      <w:lvlText w:val="%2."/>
      <w:lvlJc w:val="left"/>
      <w:pPr>
        <w:ind w:left="1500" w:hanging="360"/>
      </w:pPr>
    </w:lvl>
    <w:lvl w:ilvl="2" w:tplc="0410001B">
      <w:start w:val="1"/>
      <w:numFmt w:val="lowerRoman"/>
      <w:lvlText w:val="%3."/>
      <w:lvlJc w:val="right"/>
      <w:pPr>
        <w:ind w:left="2220" w:hanging="180"/>
      </w:pPr>
    </w:lvl>
    <w:lvl w:ilvl="3" w:tplc="0410000F">
      <w:start w:val="1"/>
      <w:numFmt w:val="decimal"/>
      <w:lvlText w:val="%4."/>
      <w:lvlJc w:val="left"/>
      <w:pPr>
        <w:ind w:left="2940" w:hanging="360"/>
      </w:pPr>
    </w:lvl>
    <w:lvl w:ilvl="4" w:tplc="04100019">
      <w:start w:val="1"/>
      <w:numFmt w:val="lowerLetter"/>
      <w:lvlText w:val="%5."/>
      <w:lvlJc w:val="left"/>
      <w:pPr>
        <w:ind w:left="3660" w:hanging="360"/>
      </w:pPr>
    </w:lvl>
    <w:lvl w:ilvl="5" w:tplc="0410001B">
      <w:start w:val="1"/>
      <w:numFmt w:val="lowerRoman"/>
      <w:lvlText w:val="%6."/>
      <w:lvlJc w:val="right"/>
      <w:pPr>
        <w:ind w:left="4380" w:hanging="180"/>
      </w:pPr>
    </w:lvl>
    <w:lvl w:ilvl="6" w:tplc="0410000F">
      <w:start w:val="1"/>
      <w:numFmt w:val="decimal"/>
      <w:lvlText w:val="%7."/>
      <w:lvlJc w:val="left"/>
      <w:pPr>
        <w:ind w:left="5100" w:hanging="360"/>
      </w:pPr>
    </w:lvl>
    <w:lvl w:ilvl="7" w:tplc="04100019">
      <w:start w:val="1"/>
      <w:numFmt w:val="lowerLetter"/>
      <w:lvlText w:val="%8."/>
      <w:lvlJc w:val="left"/>
      <w:pPr>
        <w:ind w:left="5820" w:hanging="360"/>
      </w:pPr>
    </w:lvl>
    <w:lvl w:ilvl="8" w:tplc="0410001B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309E69A7"/>
    <w:multiLevelType w:val="hybridMultilevel"/>
    <w:tmpl w:val="71486406"/>
    <w:lvl w:ilvl="0" w:tplc="773A90A4">
      <w:start w:val="2"/>
      <w:numFmt w:val="decimal"/>
      <w:lvlText w:val="%1."/>
      <w:lvlJc w:val="left"/>
      <w:pPr>
        <w:ind w:left="786" w:hanging="360"/>
      </w:pPr>
    </w:lvl>
    <w:lvl w:ilvl="1" w:tplc="04100019">
      <w:start w:val="1"/>
      <w:numFmt w:val="lowerLetter"/>
      <w:lvlText w:val="%2."/>
      <w:lvlJc w:val="left"/>
      <w:pPr>
        <w:ind w:left="1506" w:hanging="360"/>
      </w:pPr>
    </w:lvl>
    <w:lvl w:ilvl="2" w:tplc="0410001B">
      <w:start w:val="1"/>
      <w:numFmt w:val="lowerRoman"/>
      <w:lvlText w:val="%3."/>
      <w:lvlJc w:val="right"/>
      <w:pPr>
        <w:ind w:left="2226" w:hanging="180"/>
      </w:pPr>
    </w:lvl>
    <w:lvl w:ilvl="3" w:tplc="0410000F">
      <w:start w:val="1"/>
      <w:numFmt w:val="decimal"/>
      <w:lvlText w:val="%4."/>
      <w:lvlJc w:val="left"/>
      <w:pPr>
        <w:ind w:left="2946" w:hanging="360"/>
      </w:pPr>
    </w:lvl>
    <w:lvl w:ilvl="4" w:tplc="04100019">
      <w:start w:val="1"/>
      <w:numFmt w:val="lowerLetter"/>
      <w:lvlText w:val="%5."/>
      <w:lvlJc w:val="left"/>
      <w:pPr>
        <w:ind w:left="3666" w:hanging="360"/>
      </w:pPr>
    </w:lvl>
    <w:lvl w:ilvl="5" w:tplc="0410001B">
      <w:start w:val="1"/>
      <w:numFmt w:val="lowerRoman"/>
      <w:lvlText w:val="%6."/>
      <w:lvlJc w:val="right"/>
      <w:pPr>
        <w:ind w:left="4386" w:hanging="180"/>
      </w:pPr>
    </w:lvl>
    <w:lvl w:ilvl="6" w:tplc="0410000F">
      <w:start w:val="1"/>
      <w:numFmt w:val="decimal"/>
      <w:lvlText w:val="%7."/>
      <w:lvlJc w:val="left"/>
      <w:pPr>
        <w:ind w:left="5106" w:hanging="360"/>
      </w:pPr>
    </w:lvl>
    <w:lvl w:ilvl="7" w:tplc="04100019">
      <w:start w:val="1"/>
      <w:numFmt w:val="lowerLetter"/>
      <w:lvlText w:val="%8."/>
      <w:lvlJc w:val="left"/>
      <w:pPr>
        <w:ind w:left="5826" w:hanging="360"/>
      </w:pPr>
    </w:lvl>
    <w:lvl w:ilvl="8" w:tplc="0410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317300A"/>
    <w:multiLevelType w:val="hybridMultilevel"/>
    <w:tmpl w:val="49B2AEE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AE6520"/>
    <w:multiLevelType w:val="hybridMultilevel"/>
    <w:tmpl w:val="71E03A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C3466D"/>
    <w:multiLevelType w:val="hybridMultilevel"/>
    <w:tmpl w:val="AFEECC1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252"/>
    <w:rsid w:val="000209F6"/>
    <w:rsid w:val="00022368"/>
    <w:rsid w:val="000458D6"/>
    <w:rsid w:val="000650BE"/>
    <w:rsid w:val="00110EE1"/>
    <w:rsid w:val="00116D45"/>
    <w:rsid w:val="00116E66"/>
    <w:rsid w:val="0012593E"/>
    <w:rsid w:val="001E136E"/>
    <w:rsid w:val="001F06BC"/>
    <w:rsid w:val="001F0F88"/>
    <w:rsid w:val="001F603F"/>
    <w:rsid w:val="001F74B3"/>
    <w:rsid w:val="00211561"/>
    <w:rsid w:val="00212000"/>
    <w:rsid w:val="00212EAF"/>
    <w:rsid w:val="002175C6"/>
    <w:rsid w:val="00231CCC"/>
    <w:rsid w:val="0023328A"/>
    <w:rsid w:val="002578C0"/>
    <w:rsid w:val="0026529A"/>
    <w:rsid w:val="00315207"/>
    <w:rsid w:val="00332723"/>
    <w:rsid w:val="00334539"/>
    <w:rsid w:val="00356FF4"/>
    <w:rsid w:val="003574BE"/>
    <w:rsid w:val="00366BF6"/>
    <w:rsid w:val="00385D7E"/>
    <w:rsid w:val="003A7A5A"/>
    <w:rsid w:val="003B4801"/>
    <w:rsid w:val="003D4614"/>
    <w:rsid w:val="003E5D79"/>
    <w:rsid w:val="00404289"/>
    <w:rsid w:val="00405F29"/>
    <w:rsid w:val="00406276"/>
    <w:rsid w:val="004072EB"/>
    <w:rsid w:val="00414BA9"/>
    <w:rsid w:val="00463CE9"/>
    <w:rsid w:val="00472286"/>
    <w:rsid w:val="004843CF"/>
    <w:rsid w:val="004854B5"/>
    <w:rsid w:val="00485612"/>
    <w:rsid w:val="00487647"/>
    <w:rsid w:val="004A53E6"/>
    <w:rsid w:val="004D7473"/>
    <w:rsid w:val="004E0347"/>
    <w:rsid w:val="004E12C3"/>
    <w:rsid w:val="00514E05"/>
    <w:rsid w:val="0052461B"/>
    <w:rsid w:val="005273C2"/>
    <w:rsid w:val="005565FA"/>
    <w:rsid w:val="0058739E"/>
    <w:rsid w:val="005A2153"/>
    <w:rsid w:val="005E6E80"/>
    <w:rsid w:val="005F5C0C"/>
    <w:rsid w:val="00632F5C"/>
    <w:rsid w:val="0063524C"/>
    <w:rsid w:val="00695A16"/>
    <w:rsid w:val="006979D2"/>
    <w:rsid w:val="006A4252"/>
    <w:rsid w:val="006A6E3E"/>
    <w:rsid w:val="007228DC"/>
    <w:rsid w:val="00723555"/>
    <w:rsid w:val="00727CF5"/>
    <w:rsid w:val="00727FF0"/>
    <w:rsid w:val="007679A2"/>
    <w:rsid w:val="007840EA"/>
    <w:rsid w:val="00793F70"/>
    <w:rsid w:val="007B5FA8"/>
    <w:rsid w:val="007E37F5"/>
    <w:rsid w:val="008460B1"/>
    <w:rsid w:val="008B6ABE"/>
    <w:rsid w:val="008D46D1"/>
    <w:rsid w:val="00952CF9"/>
    <w:rsid w:val="009723AB"/>
    <w:rsid w:val="00982D00"/>
    <w:rsid w:val="009B2060"/>
    <w:rsid w:val="009B7148"/>
    <w:rsid w:val="00A6677D"/>
    <w:rsid w:val="00A67C23"/>
    <w:rsid w:val="00A708D2"/>
    <w:rsid w:val="00A80E47"/>
    <w:rsid w:val="00A90DE9"/>
    <w:rsid w:val="00AE6E4B"/>
    <w:rsid w:val="00B04539"/>
    <w:rsid w:val="00B37CA5"/>
    <w:rsid w:val="00B613FA"/>
    <w:rsid w:val="00B6390B"/>
    <w:rsid w:val="00B67094"/>
    <w:rsid w:val="00B7127D"/>
    <w:rsid w:val="00B80660"/>
    <w:rsid w:val="00B80C02"/>
    <w:rsid w:val="00B9335C"/>
    <w:rsid w:val="00BA5196"/>
    <w:rsid w:val="00BC1267"/>
    <w:rsid w:val="00BD1180"/>
    <w:rsid w:val="00BF15B5"/>
    <w:rsid w:val="00C05EF6"/>
    <w:rsid w:val="00C108D7"/>
    <w:rsid w:val="00C17086"/>
    <w:rsid w:val="00C60786"/>
    <w:rsid w:val="00C95049"/>
    <w:rsid w:val="00CA5AA2"/>
    <w:rsid w:val="00D03AB2"/>
    <w:rsid w:val="00D17E5C"/>
    <w:rsid w:val="00D666CA"/>
    <w:rsid w:val="00D844E1"/>
    <w:rsid w:val="00DB1F58"/>
    <w:rsid w:val="00DB4DF6"/>
    <w:rsid w:val="00DD2A6C"/>
    <w:rsid w:val="00E0422F"/>
    <w:rsid w:val="00E07DDB"/>
    <w:rsid w:val="00E27E0A"/>
    <w:rsid w:val="00E54758"/>
    <w:rsid w:val="00E637CD"/>
    <w:rsid w:val="00E70CFA"/>
    <w:rsid w:val="00EA39F0"/>
    <w:rsid w:val="00EE5A02"/>
    <w:rsid w:val="00F50B94"/>
    <w:rsid w:val="00F703BF"/>
    <w:rsid w:val="00F72632"/>
    <w:rsid w:val="00F779A2"/>
    <w:rsid w:val="00F77C35"/>
    <w:rsid w:val="00FA4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96DBE6-CEEE-4BB2-BAFC-3A680CF9C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327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33272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272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unhideWhenUsed/>
    <w:rsid w:val="00332723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33272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332723"/>
    <w:pPr>
      <w:ind w:left="720"/>
      <w:contextualSpacing/>
    </w:pPr>
  </w:style>
  <w:style w:type="table" w:styleId="Grigliatabella">
    <w:name w:val="Table Grid"/>
    <w:basedOn w:val="Tabellanormale"/>
    <w:uiPriority w:val="59"/>
    <w:rsid w:val="003327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3272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272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4B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4B5"/>
    <w:rPr>
      <w:rFonts w:ascii="Segoe UI" w:eastAsia="Times New Roman" w:hAnsi="Segoe UI" w:cs="Segoe UI"/>
      <w:sz w:val="18"/>
      <w:szCs w:val="18"/>
      <w:lang w:eastAsia="it-IT"/>
    </w:rPr>
  </w:style>
  <w:style w:type="paragraph" w:styleId="NormaleWeb">
    <w:name w:val="Normal (Web)"/>
    <w:basedOn w:val="Normale"/>
    <w:uiPriority w:val="99"/>
    <w:unhideWhenUsed/>
    <w:rsid w:val="00727FF0"/>
    <w:pPr>
      <w:spacing w:before="100" w:beforeAutospacing="1" w:after="119"/>
    </w:pPr>
    <w:rPr>
      <w:rFonts w:eastAsiaTheme="minorHAnsi"/>
    </w:rPr>
  </w:style>
  <w:style w:type="paragraph" w:customStyle="1" w:styleId="ANCATABELLATITOLOBIANCO">
    <w:name w:val="ANCA_TABELLA_TITOLO BIANCO"/>
    <w:basedOn w:val="Normale"/>
    <w:qFormat/>
    <w:rsid w:val="008B6ABE"/>
    <w:pPr>
      <w:tabs>
        <w:tab w:val="left" w:pos="284"/>
        <w:tab w:val="left" w:pos="567"/>
        <w:tab w:val="left" w:pos="708"/>
        <w:tab w:val="left" w:pos="851"/>
        <w:tab w:val="left" w:pos="1134"/>
        <w:tab w:val="left" w:pos="1418"/>
        <w:tab w:val="left" w:pos="2124"/>
        <w:tab w:val="right" w:pos="2268"/>
        <w:tab w:val="left" w:pos="2835"/>
        <w:tab w:val="left" w:pos="3540"/>
        <w:tab w:val="left" w:pos="4248"/>
        <w:tab w:val="left" w:pos="4956"/>
        <w:tab w:val="left" w:pos="5664"/>
        <w:tab w:val="left" w:pos="6265"/>
        <w:tab w:val="right" w:pos="10348"/>
      </w:tabs>
      <w:spacing w:after="160" w:line="276" w:lineRule="auto"/>
      <w:ind w:left="1560" w:right="142"/>
    </w:pPr>
    <w:rPr>
      <w:rFonts w:ascii="Gotham Book" w:eastAsiaTheme="minorHAnsi" w:hAnsi="Gotham Book" w:cs="Titillium Web"/>
      <w:color w:val="FFFFFF" w:themeColor="background1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A36364-1197-4756-B1F2-716C4FBAD2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AAEB2B-224C-44C0-B979-C30CFB9F2963}"/>
</file>

<file path=customXml/itemProps3.xml><?xml version="1.0" encoding="utf-8"?>
<ds:datastoreItem xmlns:ds="http://schemas.openxmlformats.org/officeDocument/2006/customXml" ds:itemID="{356A6930-8C8F-4008-9C81-C8447786DB55}"/>
</file>

<file path=customXml/itemProps4.xml><?xml version="1.0" encoding="utf-8"?>
<ds:datastoreItem xmlns:ds="http://schemas.openxmlformats.org/officeDocument/2006/customXml" ds:itemID="{EDD8D8AC-FCBD-423A-A4BC-D07240500BA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2</Pages>
  <Words>807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Autorità Nazionale Anticorruzione</Company>
  <LinksUpToDate>false</LinksUpToDate>
  <CharactersWithSpaces>5399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Fontana</dc:creator>
  <cp:keywords/>
  <dc:description/>
  <cp:lastModifiedBy>Polo Piero Eugenio</cp:lastModifiedBy>
  <cp:revision>28</cp:revision>
  <cp:lastPrinted>2019-06-04T13:34:00Z</cp:lastPrinted>
  <dcterms:created xsi:type="dcterms:W3CDTF">2020-10-02T08:57:00Z</dcterms:created>
  <dcterms:modified xsi:type="dcterms:W3CDTF">2023-06-21T07:46:00Z</dcterms:modified>
</cp:coreProperties>
</file>