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52FA" w14:textId="77777777" w:rsidR="00BF353D" w:rsidRDefault="00BF353D" w:rsidP="00FF1F2B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left="0"/>
      </w:pPr>
    </w:p>
    <w:p w14:paraId="5E5A083A" w14:textId="77777777" w:rsidR="00FF1F2B" w:rsidRPr="00F2795E" w:rsidRDefault="00FF1F2B" w:rsidP="00FF1F2B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left="0"/>
      </w:pPr>
      <w:r w:rsidRPr="00F2795E">
        <w:t>DETERMINA A CONTRARRE</w:t>
      </w:r>
    </w:p>
    <w:p w14:paraId="3EFA76E2" w14:textId="77777777" w:rsidR="00F50016" w:rsidRPr="00F12E4F" w:rsidRDefault="00F50016" w:rsidP="00CA68DD">
      <w:pPr>
        <w:spacing w:before="120" w:after="120" w:line="276" w:lineRule="auto"/>
        <w:jc w:val="both"/>
        <w:rPr>
          <w:rFonts w:ascii="Garamond" w:hAnsi="Garamond"/>
          <w:b/>
          <w:sz w:val="16"/>
          <w:szCs w:val="16"/>
        </w:rPr>
      </w:pPr>
    </w:p>
    <w:p w14:paraId="29AF7F77" w14:textId="77777777" w:rsidR="000A1876" w:rsidRPr="000A1876" w:rsidRDefault="000A1876" w:rsidP="00D42ACC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0A1876">
        <w:rPr>
          <w:rFonts w:ascii="Titillium" w:hAnsi="Titillium"/>
          <w:b/>
          <w:sz w:val="20"/>
          <w:szCs w:val="20"/>
        </w:rPr>
        <w:t xml:space="preserve">VISTO </w:t>
      </w:r>
      <w:r w:rsidRPr="000A1876">
        <w:rPr>
          <w:rFonts w:ascii="Titillium" w:hAnsi="Titillium"/>
          <w:sz w:val="20"/>
          <w:szCs w:val="20"/>
        </w:rPr>
        <w:t>il decreto legislativo 18 aprile 2016, n. 50, ed in particolare il comma 2 dell’art. 32, il quale prevede che, prima dell’avvio delle procedure di affidamento dei contratti pubblici, le stazioni appaltanti, in con</w:t>
      </w:r>
      <w:r w:rsidR="00073C08">
        <w:rPr>
          <w:rFonts w:ascii="Titillium" w:hAnsi="Titillium"/>
          <w:sz w:val="20"/>
          <w:szCs w:val="20"/>
        </w:rPr>
        <w:t xml:space="preserve">formità ai propri ordinamenti, </w:t>
      </w:r>
      <w:r w:rsidRPr="000A1876">
        <w:rPr>
          <w:rFonts w:ascii="Titillium" w:hAnsi="Titillium"/>
          <w:sz w:val="20"/>
          <w:szCs w:val="20"/>
        </w:rPr>
        <w:t>decretino o determinino di contrarre, individuando gli elementi essenziali del contratto e i criteri di selezione degli operatori economici e delle offerte</w:t>
      </w:r>
      <w:r>
        <w:rPr>
          <w:rFonts w:ascii="Titillium" w:hAnsi="Titillium"/>
          <w:sz w:val="20"/>
          <w:szCs w:val="20"/>
        </w:rPr>
        <w:t>;</w:t>
      </w:r>
    </w:p>
    <w:p w14:paraId="4CB9B705" w14:textId="77777777" w:rsidR="00AA1C30" w:rsidRDefault="00AA1C30" w:rsidP="00AA1C30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AA1C30">
        <w:rPr>
          <w:rFonts w:ascii="Titillium" w:hAnsi="Titillium"/>
          <w:b/>
          <w:sz w:val="20"/>
          <w:szCs w:val="20"/>
        </w:rPr>
        <w:t xml:space="preserve">VISTO </w:t>
      </w:r>
      <w:r w:rsidRPr="00AA1C30">
        <w:rPr>
          <w:rFonts w:ascii="Titillium" w:hAnsi="Titillium"/>
          <w:sz w:val="20"/>
          <w:szCs w:val="20"/>
        </w:rPr>
        <w:t>il Regolamento per la disciplina dei contratti pubblici di servizi e forniture stipulati dall’Autorità approvato in data 7.7.2021;</w:t>
      </w:r>
    </w:p>
    <w:p w14:paraId="0BAF1CE7" w14:textId="77777777" w:rsidR="00953FA4" w:rsidRPr="004B6825" w:rsidRDefault="00953FA4" w:rsidP="00953FA4">
      <w:pPr>
        <w:spacing w:before="120"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4B6825">
        <w:rPr>
          <w:rFonts w:ascii="Titillium" w:hAnsi="Titillium"/>
          <w:b/>
          <w:bCs/>
          <w:sz w:val="20"/>
          <w:szCs w:val="20"/>
        </w:rPr>
        <w:t xml:space="preserve">VISTO </w:t>
      </w:r>
      <w:r w:rsidRPr="004B6825">
        <w:rPr>
          <w:rFonts w:ascii="Titillium" w:hAnsi="Titillium"/>
          <w:bCs/>
          <w:sz w:val="20"/>
          <w:szCs w:val="20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14:paraId="57F4747A" w14:textId="77777777" w:rsidR="00073C08" w:rsidRDefault="00073C08" w:rsidP="004B6825">
      <w:pPr>
        <w:spacing w:before="120" w:after="120" w:line="276" w:lineRule="auto"/>
        <w:jc w:val="both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 xml:space="preserve">CONSIDERATO </w:t>
      </w:r>
      <w:r w:rsidRPr="00073C08">
        <w:rPr>
          <w:rFonts w:ascii="Titillium" w:hAnsi="Titillium"/>
          <w:bCs/>
          <w:sz w:val="20"/>
          <w:szCs w:val="20"/>
        </w:rPr>
        <w:t>che</w:t>
      </w:r>
      <w:r>
        <w:rPr>
          <w:rFonts w:ascii="Titillium" w:hAnsi="Titillium"/>
          <w:bCs/>
          <w:sz w:val="20"/>
          <w:szCs w:val="20"/>
        </w:rPr>
        <w:t xml:space="preserve"> </w:t>
      </w:r>
      <w:r w:rsidRPr="00073C08">
        <w:rPr>
          <w:rFonts w:ascii="Titillium" w:hAnsi="Titillium"/>
          <w:bCs/>
          <w:sz w:val="20"/>
          <w:szCs w:val="20"/>
        </w:rPr>
        <w:t>in forza di quanto stabilito dall’art. 1, comma 514, della legge 28 dicembre 2015, n</w:t>
      </w:r>
      <w:r>
        <w:rPr>
          <w:rFonts w:ascii="Titillium" w:hAnsi="Titillium"/>
          <w:bCs/>
          <w:sz w:val="20"/>
          <w:szCs w:val="20"/>
        </w:rPr>
        <w:t xml:space="preserve">.208 (Legge di stabilità 2016) </w:t>
      </w:r>
      <w:r w:rsidRPr="00073C08">
        <w:rPr>
          <w:rFonts w:ascii="Titillium" w:hAnsi="Titillium"/>
          <w:bCs/>
          <w:sz w:val="20"/>
          <w:szCs w:val="20"/>
        </w:rPr>
        <w:t>“</w:t>
      </w:r>
      <w:r w:rsidRPr="007F0B04">
        <w:rPr>
          <w:rFonts w:ascii="Titillium" w:hAnsi="Titillium"/>
          <w:bCs/>
          <w:i/>
          <w:sz w:val="20"/>
          <w:szCs w:val="20"/>
        </w:rPr>
        <w:t>Ai fini di cui al comma 512</w:t>
      </w:r>
      <w:r w:rsidRPr="00073C08">
        <w:rPr>
          <w:rFonts w:ascii="Titillium" w:hAnsi="Titillium"/>
          <w:bCs/>
          <w:sz w:val="20"/>
          <w:szCs w:val="20"/>
        </w:rPr>
        <w:t>,” – e quindi per rispondere alle esigenze delle amministra</w:t>
      </w:r>
      <w:r w:rsidR="00051F95">
        <w:rPr>
          <w:rFonts w:ascii="Titillium" w:hAnsi="Titillium"/>
          <w:bCs/>
          <w:sz w:val="20"/>
          <w:szCs w:val="20"/>
        </w:rPr>
        <w:t>-</w:t>
      </w:r>
      <w:r w:rsidRPr="00073C08">
        <w:rPr>
          <w:rFonts w:ascii="Titillium" w:hAnsi="Titillium"/>
          <w:bCs/>
          <w:sz w:val="20"/>
          <w:szCs w:val="20"/>
        </w:rPr>
        <w:t xml:space="preserve">zioni pubbliche e delle società inserite nel conto economico consolidato della pubblica amministrazione, come individuate dall'Istituto nazionale di statistica (ISTAT) ai sensi dell'articolo 1 della legge 31 dicembre 2009, n. </w:t>
      </w:r>
      <w:r w:rsidRPr="007F0B04">
        <w:rPr>
          <w:rFonts w:ascii="Titillium" w:hAnsi="Titillium"/>
          <w:bCs/>
          <w:sz w:val="20"/>
          <w:szCs w:val="20"/>
        </w:rPr>
        <w:t>19</w:t>
      </w:r>
      <w:r w:rsidR="000B62D4" w:rsidRPr="007F0B04">
        <w:rPr>
          <w:rFonts w:ascii="Titillium" w:hAnsi="Titillium"/>
          <w:bCs/>
          <w:sz w:val="20"/>
          <w:szCs w:val="20"/>
        </w:rPr>
        <w:t>6</w:t>
      </w:r>
      <w:r w:rsidRPr="007F0B04">
        <w:rPr>
          <w:rFonts w:ascii="Titillium" w:hAnsi="Titillium"/>
          <w:bCs/>
          <w:sz w:val="20"/>
          <w:szCs w:val="20"/>
        </w:rPr>
        <w:t xml:space="preserve"> – “</w:t>
      </w:r>
      <w:r w:rsidRPr="007F0B04">
        <w:rPr>
          <w:rFonts w:ascii="Titillium" w:hAnsi="Titillium"/>
          <w:bCs/>
          <w:i/>
          <w:sz w:val="20"/>
          <w:szCs w:val="20"/>
        </w:rPr>
        <w:t>Consip</w:t>
      </w:r>
      <w:r w:rsidR="00D96A15" w:rsidRPr="007F0B04">
        <w:rPr>
          <w:rFonts w:ascii="Titillium" w:hAnsi="Titillium"/>
          <w:bCs/>
          <w:i/>
          <w:sz w:val="20"/>
          <w:szCs w:val="20"/>
        </w:rPr>
        <w:t xml:space="preserve"> S.p.A.</w:t>
      </w:r>
      <w:r w:rsidRPr="007F0B04">
        <w:rPr>
          <w:rFonts w:ascii="Titillium" w:hAnsi="Titillium"/>
          <w:bCs/>
          <w:i/>
          <w:sz w:val="20"/>
          <w:szCs w:val="20"/>
        </w:rPr>
        <w:t xml:space="preserve"> </w:t>
      </w:r>
      <w:r w:rsidRPr="009757C5">
        <w:rPr>
          <w:rFonts w:ascii="Titillium" w:hAnsi="Titillium"/>
          <w:bCs/>
          <w:i/>
          <w:sz w:val="20"/>
          <w:szCs w:val="20"/>
        </w:rPr>
        <w:t>o il soggetto aggregatore interessato</w:t>
      </w:r>
      <w:r w:rsidR="009757C5" w:rsidRPr="009757C5">
        <w:rPr>
          <w:rFonts w:ascii="Titillium" w:hAnsi="Titillium"/>
          <w:bCs/>
          <w:i/>
          <w:sz w:val="20"/>
          <w:szCs w:val="20"/>
        </w:rPr>
        <w:t>,</w:t>
      </w:r>
      <w:r w:rsidRPr="009757C5">
        <w:rPr>
          <w:rFonts w:ascii="Titillium" w:hAnsi="Titillium"/>
          <w:bCs/>
          <w:i/>
          <w:sz w:val="20"/>
          <w:szCs w:val="20"/>
        </w:rPr>
        <w:t xml:space="preserve"> sentita l'Agid per l'acquisizione dei beni e servizi strategici indicati nel Piano triennale per l'informatica nella pubblica amministrazione di cui al comma 513, programma gli acquisti di beni e servizi informatici e di connettività, in coerenza con la domanda aggregata di cui al predetto Piano. […] Consip S</w:t>
      </w:r>
      <w:r w:rsidR="002916E3" w:rsidRPr="009757C5">
        <w:rPr>
          <w:rFonts w:ascii="Titillium" w:hAnsi="Titillium"/>
          <w:bCs/>
          <w:i/>
          <w:sz w:val="20"/>
          <w:szCs w:val="20"/>
        </w:rPr>
        <w:t>.</w:t>
      </w:r>
      <w:r w:rsidRPr="009757C5">
        <w:rPr>
          <w:rFonts w:ascii="Titillium" w:hAnsi="Titillium"/>
          <w:bCs/>
          <w:i/>
          <w:sz w:val="20"/>
          <w:szCs w:val="20"/>
        </w:rPr>
        <w:t>p</w:t>
      </w:r>
      <w:r w:rsidR="002916E3" w:rsidRPr="009757C5">
        <w:rPr>
          <w:rFonts w:ascii="Titillium" w:hAnsi="Titillium"/>
          <w:bCs/>
          <w:i/>
          <w:sz w:val="20"/>
          <w:szCs w:val="20"/>
        </w:rPr>
        <w:t>.</w:t>
      </w:r>
      <w:r w:rsidRPr="009757C5">
        <w:rPr>
          <w:rFonts w:ascii="Titillium" w:hAnsi="Titillium"/>
          <w:bCs/>
          <w:i/>
          <w:sz w:val="20"/>
          <w:szCs w:val="20"/>
        </w:rPr>
        <w:t>A</w:t>
      </w:r>
      <w:r w:rsidR="002916E3" w:rsidRPr="009757C5">
        <w:rPr>
          <w:rFonts w:ascii="Titillium" w:hAnsi="Titillium"/>
          <w:bCs/>
          <w:i/>
          <w:sz w:val="20"/>
          <w:szCs w:val="20"/>
        </w:rPr>
        <w:t>.</w:t>
      </w:r>
      <w:r w:rsidRPr="009757C5">
        <w:rPr>
          <w:rFonts w:ascii="Titillium" w:hAnsi="Titillium"/>
          <w:bCs/>
          <w:i/>
          <w:sz w:val="20"/>
          <w:szCs w:val="20"/>
        </w:rPr>
        <w:t xml:space="preserve"> e gli altri soggetti aggregatori promuovono l'aggregazione della domanda funzionale all'utilizzo degli strumenti messi a disposizione delle pubbliche amministrazioni su base nazionale, regionale o comune a più amministrazioni</w:t>
      </w:r>
      <w:r w:rsidR="008C1CCE">
        <w:rPr>
          <w:rFonts w:ascii="Titillium" w:hAnsi="Titillium"/>
          <w:bCs/>
          <w:sz w:val="20"/>
          <w:szCs w:val="20"/>
        </w:rPr>
        <w:t>”</w:t>
      </w:r>
      <w:r>
        <w:rPr>
          <w:rFonts w:ascii="Titillium" w:hAnsi="Titillium"/>
          <w:bCs/>
          <w:sz w:val="20"/>
          <w:szCs w:val="20"/>
        </w:rPr>
        <w:t>;</w:t>
      </w:r>
    </w:p>
    <w:p w14:paraId="58254CC0" w14:textId="77777777" w:rsidR="00073C08" w:rsidRPr="008C1CCE" w:rsidRDefault="00073C08" w:rsidP="004B6825">
      <w:pPr>
        <w:spacing w:before="120"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073C08">
        <w:rPr>
          <w:rFonts w:ascii="Titillium" w:hAnsi="Titillium"/>
          <w:b/>
          <w:bCs/>
          <w:sz w:val="20"/>
          <w:szCs w:val="20"/>
        </w:rPr>
        <w:t>CONSIDERATO</w:t>
      </w:r>
      <w:r w:rsidRPr="00073C08">
        <w:rPr>
          <w:rFonts w:ascii="Titillium" w:hAnsi="Titillium"/>
          <w:bCs/>
          <w:sz w:val="20"/>
          <w:szCs w:val="20"/>
        </w:rPr>
        <w:t xml:space="preserve"> che in forza di quanto stabilito dall’art. 1, comma 51</w:t>
      </w:r>
      <w:r>
        <w:rPr>
          <w:rFonts w:ascii="Titillium" w:hAnsi="Titillium"/>
          <w:bCs/>
          <w:sz w:val="20"/>
          <w:szCs w:val="20"/>
        </w:rPr>
        <w:t>2</w:t>
      </w:r>
      <w:r w:rsidRPr="00073C08">
        <w:rPr>
          <w:rFonts w:ascii="Titillium" w:hAnsi="Titillium"/>
          <w:bCs/>
          <w:sz w:val="20"/>
          <w:szCs w:val="20"/>
        </w:rPr>
        <w:t>, della legge 28 dicembre 2015, n</w:t>
      </w:r>
      <w:r>
        <w:rPr>
          <w:rFonts w:ascii="Titillium" w:hAnsi="Titillium"/>
          <w:bCs/>
          <w:sz w:val="20"/>
          <w:szCs w:val="20"/>
        </w:rPr>
        <w:t xml:space="preserve">.208 (Legge di stabilità 2016) </w:t>
      </w:r>
      <w:r w:rsidRPr="00073C08">
        <w:rPr>
          <w:rFonts w:ascii="Titillium" w:hAnsi="Titillium"/>
          <w:bCs/>
          <w:sz w:val="20"/>
          <w:szCs w:val="20"/>
        </w:rPr>
        <w:t>“</w:t>
      </w:r>
      <w:r w:rsidRPr="007F0B04">
        <w:rPr>
          <w:rFonts w:ascii="Titillium" w:hAnsi="Titillium"/>
          <w:bCs/>
          <w:i/>
          <w:sz w:val="20"/>
          <w:szCs w:val="20"/>
        </w:rPr>
        <w:t>Al fine di garantire l'ottimizzazione e la razionalizzazione degli acquisti di beni e servizi informatici e di connettività, fermi restando gli obblighi di acquisizione centralizzata previsti per i beni e servizi dalla normativa vigente, le amministrazioni pubbliche e le società inserite nel conto economico consolidato della pubblica amministrazione, come individuate dall'ISTAT ai sensi dell'articolo 1 della legge 31 dicembre 2009, n. 196, provvedono ai propri approvvigionamenti esclusivamente tramite gli strumenti di acquisto e di negoziazione di Consip S</w:t>
      </w:r>
      <w:r w:rsidR="002916E3" w:rsidRPr="007F0B04">
        <w:rPr>
          <w:rFonts w:ascii="Titillium" w:hAnsi="Titillium"/>
          <w:bCs/>
          <w:i/>
          <w:sz w:val="20"/>
          <w:szCs w:val="20"/>
        </w:rPr>
        <w:t>.</w:t>
      </w:r>
      <w:r w:rsidRPr="007F0B04">
        <w:rPr>
          <w:rFonts w:ascii="Titillium" w:hAnsi="Titillium"/>
          <w:bCs/>
          <w:i/>
          <w:sz w:val="20"/>
          <w:szCs w:val="20"/>
        </w:rPr>
        <w:t>p</w:t>
      </w:r>
      <w:r w:rsidR="002916E3" w:rsidRPr="007F0B04">
        <w:rPr>
          <w:rFonts w:ascii="Titillium" w:hAnsi="Titillium"/>
          <w:bCs/>
          <w:i/>
          <w:sz w:val="20"/>
          <w:szCs w:val="20"/>
        </w:rPr>
        <w:t>.</w:t>
      </w:r>
      <w:r w:rsidRPr="007F0B04">
        <w:rPr>
          <w:rFonts w:ascii="Titillium" w:hAnsi="Titillium"/>
          <w:bCs/>
          <w:i/>
          <w:sz w:val="20"/>
          <w:szCs w:val="20"/>
        </w:rPr>
        <w:t>a</w:t>
      </w:r>
      <w:r w:rsidR="002916E3" w:rsidRPr="007F0B04">
        <w:rPr>
          <w:rFonts w:ascii="Titillium" w:hAnsi="Titillium"/>
          <w:bCs/>
          <w:i/>
          <w:sz w:val="20"/>
          <w:szCs w:val="20"/>
        </w:rPr>
        <w:t>.</w:t>
      </w:r>
      <w:r w:rsidRPr="007F0B04">
        <w:rPr>
          <w:rFonts w:ascii="Titillium" w:hAnsi="Titillium"/>
          <w:bCs/>
          <w:i/>
          <w:sz w:val="20"/>
          <w:szCs w:val="20"/>
        </w:rPr>
        <w:t xml:space="preserve"> o dei soggetti aggregatori, ivi comprese le centrali di committenza regionali, per i beni e i servizi disponibili presso gli stessi s</w:t>
      </w:r>
      <w:r w:rsidR="008C1CCE" w:rsidRPr="007F0B04">
        <w:rPr>
          <w:rFonts w:ascii="Titillium" w:hAnsi="Titillium"/>
          <w:bCs/>
          <w:i/>
          <w:sz w:val="20"/>
          <w:szCs w:val="20"/>
        </w:rPr>
        <w:t>oggetti</w:t>
      </w:r>
      <w:r w:rsidR="008C1CCE">
        <w:rPr>
          <w:rFonts w:ascii="Titillium" w:hAnsi="Titillium"/>
          <w:bCs/>
          <w:sz w:val="20"/>
          <w:szCs w:val="20"/>
        </w:rPr>
        <w:t>”</w:t>
      </w:r>
      <w:r w:rsidRPr="00073C08">
        <w:rPr>
          <w:rFonts w:ascii="Titillium" w:hAnsi="Titillium"/>
          <w:bCs/>
          <w:sz w:val="20"/>
          <w:szCs w:val="20"/>
        </w:rPr>
        <w:t>;</w:t>
      </w:r>
    </w:p>
    <w:p w14:paraId="29FE5930" w14:textId="15AFF3E8" w:rsidR="008C1CCE" w:rsidRDefault="008C1CCE" w:rsidP="00073C08">
      <w:pPr>
        <w:autoSpaceDE w:val="0"/>
        <w:autoSpaceDN w:val="0"/>
        <w:adjustRightInd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8C1CCE">
        <w:rPr>
          <w:rFonts w:ascii="Titillium" w:hAnsi="Titillium"/>
          <w:b/>
          <w:sz w:val="20"/>
          <w:szCs w:val="20"/>
        </w:rPr>
        <w:t xml:space="preserve">CONSIDERATO </w:t>
      </w:r>
      <w:r w:rsidRPr="008C1CCE">
        <w:rPr>
          <w:rFonts w:ascii="Titillium" w:hAnsi="Titillium"/>
          <w:sz w:val="20"/>
          <w:szCs w:val="20"/>
        </w:rPr>
        <w:t xml:space="preserve">che le modifiche al d.lgs. 50/2016 introdotte dal DL 77/2021, convertito con L. 108/2021, ed in particolare quelle relative agli artt. 29 e 81, prevedono l’evoluzione della Banca Dati Nazionale dei Contratti Pubblici in attuazione degli obiettivi strategici previsti dal PNRR (Piano Nazionale di Ripresa e Resilienza), includendo la piena digitalizzazione del </w:t>
      </w:r>
      <w:r w:rsidRPr="007F0B04">
        <w:rPr>
          <w:rFonts w:ascii="Titillium" w:hAnsi="Titillium"/>
          <w:sz w:val="20"/>
          <w:szCs w:val="20"/>
        </w:rPr>
        <w:t>ciclo di vita dei contratti pubblici</w:t>
      </w:r>
      <w:r w:rsidRPr="008C1CCE">
        <w:rPr>
          <w:rFonts w:ascii="Titillium" w:hAnsi="Titillium"/>
          <w:sz w:val="20"/>
          <w:szCs w:val="20"/>
        </w:rPr>
        <w:t>, l’integrazione delle piattaforme telematiche di gestione dei contratti con la stessa BDNCP e lo sviluppo del Fascicolo Virtuale dell’Operatore economico;</w:t>
      </w:r>
    </w:p>
    <w:p w14:paraId="1DB04E72" w14:textId="77777777" w:rsidR="00510C10" w:rsidRPr="00073C08" w:rsidRDefault="00510C10" w:rsidP="00510C10">
      <w:pPr>
        <w:autoSpaceDE w:val="0"/>
        <w:autoSpaceDN w:val="0"/>
        <w:adjustRightInd w:val="0"/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AA1C30">
        <w:rPr>
          <w:rFonts w:ascii="Titillium" w:hAnsi="Titillium"/>
          <w:b/>
          <w:sz w:val="20"/>
          <w:szCs w:val="20"/>
        </w:rPr>
        <w:t>CONSIDERATO</w:t>
      </w:r>
      <w:r w:rsidRPr="00AA1C30">
        <w:rPr>
          <w:rFonts w:ascii="Titillium" w:hAnsi="Titillium"/>
          <w:sz w:val="20"/>
          <w:szCs w:val="20"/>
        </w:rPr>
        <w:t xml:space="preserve"> che, ai fini del perseguimento degli obiettivi di cui al </w:t>
      </w:r>
      <w:r w:rsidRPr="00AA1C30">
        <w:rPr>
          <w:rFonts w:ascii="Titillium" w:eastAsiaTheme="minorHAnsi" w:hAnsi="Titillium" w:cs="Calibri"/>
          <w:sz w:val="20"/>
          <w:szCs w:val="20"/>
          <w:lang w:eastAsia="en-US"/>
        </w:rPr>
        <w:t xml:space="preserve">nuovo </w:t>
      </w:r>
      <w:r w:rsidRPr="00AA1C30">
        <w:rPr>
          <w:rFonts w:ascii="Titillium" w:hAnsi="Titillium"/>
          <w:sz w:val="20"/>
          <w:szCs w:val="20"/>
        </w:rPr>
        <w:t xml:space="preserve">Piano triennale per l’informatica nella Pubblica Amministrazione </w:t>
      </w:r>
      <w:r w:rsidRPr="00AA1C30">
        <w:rPr>
          <w:rFonts w:ascii="Titillium" w:eastAsiaTheme="minorHAnsi" w:hAnsi="Titillium" w:cs="Calibri"/>
          <w:sz w:val="20"/>
          <w:szCs w:val="20"/>
          <w:lang w:eastAsia="en-US"/>
        </w:rPr>
        <w:t>2019-2021,</w:t>
      </w:r>
      <w:r>
        <w:rPr>
          <w:rFonts w:ascii="Titillium" w:hAnsi="Titillium"/>
          <w:sz w:val="20"/>
          <w:szCs w:val="20"/>
        </w:rPr>
        <w:t xml:space="preserve"> </w:t>
      </w:r>
      <w:r w:rsidRPr="00AA1C30">
        <w:rPr>
          <w:rFonts w:ascii="Titillium" w:hAnsi="Titillium"/>
          <w:sz w:val="20"/>
          <w:szCs w:val="20"/>
        </w:rPr>
        <w:t xml:space="preserve">Consip Spa, in qualità di stazione appaltante e centrale di committenza, </w:t>
      </w:r>
      <w:r w:rsidRPr="00073C08">
        <w:rPr>
          <w:rFonts w:ascii="Titillium" w:hAnsi="Titillium"/>
          <w:sz w:val="20"/>
          <w:szCs w:val="20"/>
        </w:rPr>
        <w:t xml:space="preserve">ha indetto con Bando di gara pubblicato nella </w:t>
      </w:r>
      <w:r w:rsidRPr="00073C08">
        <w:rPr>
          <w:rFonts w:ascii="Titillium" w:hAnsi="Titillium"/>
          <w:bCs/>
          <w:sz w:val="20"/>
          <w:szCs w:val="20"/>
        </w:rPr>
        <w:t>Gazzetta Ufficiale della Repubblica Italiana n. 15 del 07/02/2020 e nella Gazzetta Ufficiale dell’Unione Europea n. S-25 del 05/02/2020</w:t>
      </w:r>
      <w:r w:rsidRPr="00073C08">
        <w:rPr>
          <w:rFonts w:ascii="Titillium" w:hAnsi="Titillium"/>
          <w:sz w:val="20"/>
          <w:szCs w:val="20"/>
        </w:rPr>
        <w:t xml:space="preserve">, una procedura aperta </w:t>
      </w:r>
      <w:r w:rsidRPr="00073C08">
        <w:rPr>
          <w:rFonts w:ascii="Titillium" w:hAnsi="Titillium"/>
          <w:sz w:val="20"/>
          <w:szCs w:val="20"/>
        </w:rPr>
        <w:lastRenderedPageBreak/>
        <w:t>per la stipula di</w:t>
      </w:r>
      <w:r>
        <w:rPr>
          <w:rFonts w:ascii="Titillium" w:hAnsi="Titillium"/>
          <w:sz w:val="20"/>
          <w:szCs w:val="20"/>
        </w:rPr>
        <w:t xml:space="preserve"> </w:t>
      </w:r>
      <w:r w:rsidRPr="00073C08">
        <w:rPr>
          <w:rFonts w:ascii="Titillium" w:hAnsi="Titillium"/>
          <w:bCs/>
          <w:sz w:val="20"/>
          <w:szCs w:val="20"/>
        </w:rPr>
        <w:t xml:space="preserve">un Accordo Quadro ex art. 54, comma 4, lett. b), </w:t>
      </w:r>
      <w:r>
        <w:rPr>
          <w:rFonts w:ascii="Titillium" w:hAnsi="Titillium"/>
          <w:bCs/>
          <w:sz w:val="20"/>
          <w:szCs w:val="20"/>
        </w:rPr>
        <w:t xml:space="preserve">tra l’altro, </w:t>
      </w:r>
      <w:r w:rsidRPr="00073C08">
        <w:rPr>
          <w:rFonts w:ascii="Titillium" w:hAnsi="Titillium"/>
          <w:bCs/>
          <w:sz w:val="20"/>
          <w:szCs w:val="20"/>
        </w:rPr>
        <w:t xml:space="preserve">per </w:t>
      </w:r>
      <w:r>
        <w:rPr>
          <w:rFonts w:ascii="Titillium" w:hAnsi="Titillium"/>
          <w:bCs/>
          <w:sz w:val="20"/>
          <w:szCs w:val="20"/>
        </w:rPr>
        <w:t>il Lotto 4</w:t>
      </w:r>
      <w:r w:rsidRPr="00073C08">
        <w:rPr>
          <w:rFonts w:ascii="Titillium" w:hAnsi="Titillium"/>
          <w:bCs/>
          <w:sz w:val="20"/>
          <w:szCs w:val="20"/>
        </w:rPr>
        <w:t xml:space="preserve"> </w:t>
      </w:r>
      <w:r>
        <w:rPr>
          <w:rFonts w:ascii="Titillium" w:hAnsi="Titillium"/>
          <w:bCs/>
          <w:sz w:val="20"/>
          <w:szCs w:val="20"/>
        </w:rPr>
        <w:t>“</w:t>
      </w:r>
      <w:r w:rsidR="00317356" w:rsidRPr="00317356">
        <w:rPr>
          <w:rFonts w:ascii="Titillium" w:hAnsi="Titillium"/>
          <w:bCs/>
          <w:sz w:val="20"/>
          <w:szCs w:val="20"/>
        </w:rPr>
        <w:t>Servizi di PMO per Datamanagement</w:t>
      </w:r>
      <w:r w:rsidR="00317356">
        <w:rPr>
          <w:rFonts w:ascii="Titillium" w:hAnsi="Titillium"/>
          <w:bCs/>
          <w:sz w:val="20"/>
          <w:szCs w:val="20"/>
        </w:rPr>
        <w:t xml:space="preserve"> per le PA</w:t>
      </w:r>
      <w:r>
        <w:rPr>
          <w:rFonts w:ascii="Titillium" w:hAnsi="Titillium"/>
          <w:bCs/>
          <w:sz w:val="20"/>
          <w:szCs w:val="20"/>
        </w:rPr>
        <w:t xml:space="preserve">” </w:t>
      </w:r>
      <w:r w:rsidRPr="00073C08">
        <w:rPr>
          <w:rFonts w:ascii="Titillium" w:hAnsi="Titillium"/>
          <w:bCs/>
          <w:sz w:val="20"/>
          <w:szCs w:val="20"/>
        </w:rPr>
        <w:t>(</w:t>
      </w:r>
      <w:r>
        <w:rPr>
          <w:rFonts w:ascii="Titillium" w:hAnsi="Titillium"/>
          <w:bCs/>
          <w:sz w:val="20"/>
          <w:szCs w:val="20"/>
        </w:rPr>
        <w:t>con un unico fornitore);</w:t>
      </w:r>
    </w:p>
    <w:p w14:paraId="0FBE343F" w14:textId="77777777" w:rsidR="00510C10" w:rsidRPr="00510C10" w:rsidRDefault="00510C10" w:rsidP="00510C10">
      <w:pPr>
        <w:autoSpaceDE w:val="0"/>
        <w:autoSpaceDN w:val="0"/>
        <w:adjustRightInd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AA1667">
        <w:rPr>
          <w:rFonts w:ascii="Titillium" w:hAnsi="Titillium"/>
          <w:b/>
          <w:sz w:val="20"/>
          <w:szCs w:val="20"/>
        </w:rPr>
        <w:t xml:space="preserve">VISTO </w:t>
      </w:r>
      <w:r>
        <w:rPr>
          <w:rFonts w:ascii="Titillium" w:hAnsi="Titillium"/>
          <w:sz w:val="20"/>
          <w:szCs w:val="20"/>
        </w:rPr>
        <w:t>l’</w:t>
      </w:r>
      <w:r w:rsidRPr="00AA1667">
        <w:rPr>
          <w:rFonts w:ascii="Titillium" w:hAnsi="Titillium"/>
          <w:sz w:val="20"/>
          <w:szCs w:val="20"/>
        </w:rPr>
        <w:t xml:space="preserve">Accordo Quadro stipulato da Consip in data 4.03.2022 – CIG 8184373641 </w:t>
      </w:r>
      <w:r w:rsidR="00317356" w:rsidRPr="00317356">
        <w:rPr>
          <w:rFonts w:ascii="Titillium" w:hAnsi="Titillium"/>
          <w:sz w:val="20"/>
          <w:szCs w:val="20"/>
        </w:rPr>
        <w:t>“Servizi di Datamanagement e servizi di PMO - lotto 4”</w:t>
      </w:r>
      <w:r w:rsidR="00317356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con il RTI </w:t>
      </w:r>
      <w:r w:rsidRPr="00AA1667">
        <w:rPr>
          <w:rFonts w:ascii="Titillium" w:hAnsi="Titillium"/>
          <w:sz w:val="20"/>
          <w:szCs w:val="20"/>
        </w:rPr>
        <w:t xml:space="preserve">Intellera Consulting S.r.l. </w:t>
      </w:r>
      <w:r>
        <w:rPr>
          <w:rFonts w:ascii="Titillium" w:hAnsi="Titillium"/>
          <w:sz w:val="20"/>
          <w:szCs w:val="20"/>
        </w:rPr>
        <w:t>(</w:t>
      </w:r>
      <w:r w:rsidRPr="00AA1667">
        <w:rPr>
          <w:rFonts w:ascii="Titillium" w:hAnsi="Titillium"/>
          <w:sz w:val="20"/>
          <w:szCs w:val="20"/>
        </w:rPr>
        <w:t>mandataria</w:t>
      </w:r>
      <w:r>
        <w:rPr>
          <w:rFonts w:ascii="Titillium" w:hAnsi="Titillium"/>
          <w:sz w:val="20"/>
          <w:szCs w:val="20"/>
        </w:rPr>
        <w:t xml:space="preserve">) e </w:t>
      </w:r>
      <w:r w:rsidRPr="00AA1667">
        <w:rPr>
          <w:rFonts w:ascii="Titillium" w:hAnsi="Titillium"/>
          <w:sz w:val="20"/>
          <w:szCs w:val="20"/>
        </w:rPr>
        <w:t xml:space="preserve">EasyGov </w:t>
      </w:r>
      <w:r w:rsidRPr="00510C10">
        <w:rPr>
          <w:rFonts w:ascii="Titillium" w:hAnsi="Titillium"/>
          <w:sz w:val="20"/>
          <w:szCs w:val="20"/>
        </w:rPr>
        <w:t>Solutions S.r.l. (mandante);</w:t>
      </w:r>
    </w:p>
    <w:p w14:paraId="0EE71DA5" w14:textId="77777777" w:rsidR="009F4FB2" w:rsidRDefault="009F4FB2" w:rsidP="00244226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EA5E48">
        <w:rPr>
          <w:rFonts w:ascii="Titillium" w:hAnsi="Titillium"/>
          <w:b/>
          <w:sz w:val="20"/>
          <w:szCs w:val="20"/>
        </w:rPr>
        <w:t>VISTI</w:t>
      </w:r>
      <w:r w:rsidRPr="00EA5E48">
        <w:rPr>
          <w:rFonts w:ascii="Titillium" w:hAnsi="Titillium"/>
          <w:sz w:val="20"/>
          <w:szCs w:val="20"/>
        </w:rPr>
        <w:t xml:space="preserve"> </w:t>
      </w:r>
      <w:r w:rsidR="00D70DD4" w:rsidRPr="00EA5E48">
        <w:rPr>
          <w:rFonts w:ascii="Titillium" w:hAnsi="Titillium"/>
          <w:sz w:val="20"/>
          <w:szCs w:val="20"/>
        </w:rPr>
        <w:t>gli artt. 54,</w:t>
      </w:r>
      <w:r w:rsidR="00073C08">
        <w:rPr>
          <w:rFonts w:ascii="Titillium" w:hAnsi="Titillium"/>
          <w:sz w:val="20"/>
          <w:szCs w:val="20"/>
        </w:rPr>
        <w:t xml:space="preserve"> </w:t>
      </w:r>
      <w:r w:rsidR="00D70DD4" w:rsidRPr="00EA5E48">
        <w:rPr>
          <w:rFonts w:ascii="Titillium" w:hAnsi="Titillium"/>
          <w:sz w:val="20"/>
          <w:szCs w:val="20"/>
        </w:rPr>
        <w:t>comma 4</w:t>
      </w:r>
      <w:r w:rsidR="00A0279A">
        <w:rPr>
          <w:rFonts w:ascii="Titillium" w:hAnsi="Titillium"/>
          <w:sz w:val="20"/>
          <w:szCs w:val="20"/>
        </w:rPr>
        <w:t>,</w:t>
      </w:r>
      <w:r w:rsidR="00D70DD4" w:rsidRPr="00EA5E48">
        <w:rPr>
          <w:rFonts w:ascii="Titillium" w:hAnsi="Titillium"/>
          <w:sz w:val="20"/>
          <w:szCs w:val="20"/>
        </w:rPr>
        <w:t xml:space="preserve"> lett c)</w:t>
      </w:r>
      <w:r w:rsidR="00A0279A">
        <w:rPr>
          <w:rFonts w:ascii="Titillium" w:hAnsi="Titillium"/>
          <w:sz w:val="20"/>
          <w:szCs w:val="20"/>
        </w:rPr>
        <w:t>,</w:t>
      </w:r>
      <w:r w:rsidRPr="00EA5E48">
        <w:rPr>
          <w:rFonts w:ascii="Titillium" w:hAnsi="Titillium"/>
          <w:sz w:val="20"/>
          <w:szCs w:val="20"/>
        </w:rPr>
        <w:t xml:space="preserve"> e 95, co.2, del d.lgs. n. 50/2016;</w:t>
      </w:r>
    </w:p>
    <w:p w14:paraId="536904BA" w14:textId="440BCE37" w:rsidR="009025BB" w:rsidRDefault="009025BB" w:rsidP="009025BB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F12E4F">
        <w:rPr>
          <w:rFonts w:ascii="Titillium" w:hAnsi="Titillium"/>
          <w:b/>
          <w:sz w:val="20"/>
          <w:szCs w:val="20"/>
        </w:rPr>
        <w:t>VISTO</w:t>
      </w:r>
      <w:r w:rsidRPr="00F12E4F">
        <w:rPr>
          <w:rFonts w:ascii="Titillium" w:hAnsi="Titillium"/>
          <w:sz w:val="20"/>
          <w:szCs w:val="20"/>
        </w:rPr>
        <w:t xml:space="preserve"> l’Accordo </w:t>
      </w:r>
      <w:r w:rsidR="00E67425" w:rsidRPr="00F12E4F">
        <w:rPr>
          <w:rFonts w:ascii="Titillium" w:hAnsi="Titillium"/>
          <w:sz w:val="20"/>
          <w:szCs w:val="20"/>
        </w:rPr>
        <w:t>del 18.07.</w:t>
      </w:r>
      <w:r w:rsidRPr="00F12E4F">
        <w:rPr>
          <w:rFonts w:ascii="Titillium" w:hAnsi="Titillium"/>
          <w:sz w:val="20"/>
          <w:szCs w:val="20"/>
        </w:rPr>
        <w:t xml:space="preserve">2022, </w:t>
      </w:r>
      <w:r w:rsidR="00F2798C" w:rsidRPr="00F12E4F">
        <w:rPr>
          <w:rFonts w:ascii="Titillium" w:hAnsi="Titillium"/>
          <w:sz w:val="20"/>
          <w:szCs w:val="20"/>
        </w:rPr>
        <w:t xml:space="preserve">stipulato </w:t>
      </w:r>
      <w:r w:rsidRPr="00F12E4F">
        <w:rPr>
          <w:rFonts w:ascii="Titillium" w:hAnsi="Titillium"/>
          <w:sz w:val="20"/>
          <w:szCs w:val="20"/>
        </w:rPr>
        <w:t xml:space="preserve">ai sensi dell’art. 5, comma 6, del d. lgs. n. 50/2016, tra la Presidenza del Consiglio dei Ministri - Dipartimento per la Trasformazione digitale e </w:t>
      </w:r>
      <w:r w:rsidR="00F2798C" w:rsidRPr="00F12E4F">
        <w:rPr>
          <w:rFonts w:ascii="Titillium" w:hAnsi="Titillium"/>
          <w:sz w:val="20"/>
          <w:szCs w:val="20"/>
        </w:rPr>
        <w:t>l’</w:t>
      </w:r>
      <w:r w:rsidRPr="00F12E4F">
        <w:rPr>
          <w:rFonts w:ascii="Titillium" w:hAnsi="Titillium"/>
          <w:sz w:val="20"/>
          <w:szCs w:val="20"/>
        </w:rPr>
        <w:t>Autorità Nazionale Anticorruzione per la realizzazione dell’intervento “Interoperabilità E-Service ANAC”</w:t>
      </w:r>
      <w:r w:rsidR="00F11A0F" w:rsidRPr="00F12E4F">
        <w:rPr>
          <w:rFonts w:ascii="Titillium" w:hAnsi="Titillium"/>
          <w:sz w:val="20"/>
          <w:szCs w:val="20"/>
        </w:rPr>
        <w:t xml:space="preserve"> -</w:t>
      </w:r>
      <w:r w:rsidRPr="00F12E4F">
        <w:rPr>
          <w:rFonts w:ascii="Titillium" w:hAnsi="Titillium"/>
          <w:sz w:val="20"/>
          <w:szCs w:val="20"/>
        </w:rPr>
        <w:t xml:space="preserve"> misura 1.3.1 “Piattaforma Digitale Nazionale Dati” della Missione M1 - Componente C1, rientrante nel Piano Nazionale di Resistenza e Resilienza;</w:t>
      </w:r>
    </w:p>
    <w:p w14:paraId="7EE73FD7" w14:textId="77777777" w:rsidR="00510C10" w:rsidRPr="00510C10" w:rsidRDefault="00510C10" w:rsidP="00510C10">
      <w:pPr>
        <w:spacing w:before="120" w:after="120" w:line="276" w:lineRule="auto"/>
        <w:jc w:val="both"/>
        <w:rPr>
          <w:rFonts w:ascii="Titillium" w:eastAsiaTheme="minorHAnsi" w:hAnsi="Titillium" w:cs="Titillium-Regular"/>
          <w:sz w:val="20"/>
          <w:szCs w:val="20"/>
          <w:lang w:eastAsia="en-US"/>
        </w:rPr>
      </w:pPr>
      <w:r w:rsidRPr="00510C10">
        <w:rPr>
          <w:rFonts w:ascii="Titillium" w:eastAsiaTheme="minorHAnsi" w:hAnsi="Titillium" w:cs="Titillium-Regular"/>
          <w:b/>
          <w:sz w:val="20"/>
          <w:szCs w:val="20"/>
          <w:lang w:eastAsia="en-US"/>
        </w:rPr>
        <w:t>VISTO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 l’Atto di programmazione degli acquisti di beni e servizi di importo pari o superiore a 40.000 euro per il biennio 2023-2024, approvato dal Consiglio </w:t>
      </w:r>
      <w:r>
        <w:rPr>
          <w:rFonts w:ascii="Titillium" w:eastAsiaTheme="minorHAnsi" w:hAnsi="Titillium" w:cs="Titillium-Regular"/>
          <w:sz w:val="20"/>
          <w:szCs w:val="20"/>
          <w:lang w:eastAsia="en-US"/>
        </w:rPr>
        <w:t>dell’Autorità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 in data 7.12.2022</w:t>
      </w:r>
      <w:r>
        <w:rPr>
          <w:rFonts w:ascii="Titillium" w:eastAsiaTheme="minorHAnsi" w:hAnsi="Titillium" w:cs="Titillium-Regular"/>
          <w:sz w:val="20"/>
          <w:szCs w:val="20"/>
          <w:lang w:eastAsia="en-US"/>
        </w:rPr>
        <w:t>;</w:t>
      </w:r>
    </w:p>
    <w:p w14:paraId="08890702" w14:textId="2A7B6E23" w:rsidR="00510C10" w:rsidRDefault="00510C10" w:rsidP="00510C10">
      <w:pPr>
        <w:spacing w:before="120" w:after="120" w:line="276" w:lineRule="auto"/>
        <w:jc w:val="both"/>
        <w:rPr>
          <w:rFonts w:ascii="Titillium" w:eastAsiaTheme="minorHAnsi" w:hAnsi="Titillium" w:cs="Titillium-Regular"/>
          <w:sz w:val="20"/>
          <w:szCs w:val="20"/>
          <w:lang w:eastAsia="en-US"/>
        </w:rPr>
      </w:pPr>
      <w:bookmarkStart w:id="0" w:name="_GoBack"/>
      <w:r w:rsidRPr="00510C10">
        <w:rPr>
          <w:rFonts w:ascii="Titillium" w:eastAsiaTheme="minorHAnsi" w:hAnsi="Titillium" w:cs="Titillium-Regular"/>
          <w:b/>
          <w:sz w:val="20"/>
          <w:szCs w:val="20"/>
          <w:lang w:eastAsia="en-US"/>
        </w:rPr>
        <w:t xml:space="preserve">CONSIDERATO 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che il Consiglio </w:t>
      </w:r>
      <w:r>
        <w:rPr>
          <w:rFonts w:ascii="Titillium" w:eastAsiaTheme="minorHAnsi" w:hAnsi="Titillium" w:cs="Titillium-Regular"/>
          <w:sz w:val="20"/>
          <w:szCs w:val="20"/>
          <w:lang w:eastAsia="en-US"/>
        </w:rPr>
        <w:t>medesimo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>, nell’adunanza del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>l’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>1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>1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.01.2023, ha approvato la proposta, formulata con appunto 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>prot. n. 109266 del 28.</w:t>
      </w:r>
      <w:r w:rsidR="004B7D4D">
        <w:rPr>
          <w:rFonts w:ascii="Titillium" w:eastAsiaTheme="minorHAnsi" w:hAnsi="Titillium" w:cs="Titillium-Regular"/>
          <w:sz w:val="20"/>
          <w:szCs w:val="20"/>
          <w:lang w:eastAsia="en-US"/>
        </w:rPr>
        <w:t>12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.2022, a firma 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>congiunt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>a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 dei Dirigenti de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gli 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Uffici Ugare e Uscp, per l’inserimento nella citata programmazione biennale </w:t>
      </w:r>
      <w:r w:rsidR="00CB765C" w:rsidRPr="007F0B04">
        <w:rPr>
          <w:rFonts w:ascii="Titillium" w:eastAsiaTheme="minorHAnsi" w:hAnsi="Titillium" w:cs="Titillium-Regular"/>
          <w:sz w:val="20"/>
          <w:szCs w:val="20"/>
          <w:lang w:eastAsia="en-US"/>
        </w:rPr>
        <w:t>del</w:t>
      </w:r>
      <w:r w:rsidRPr="007F0B04">
        <w:rPr>
          <w:rFonts w:ascii="Titillium" w:eastAsiaTheme="minorHAnsi" w:hAnsi="Titillium" w:cs="Titillium-Regular"/>
          <w:sz w:val="20"/>
          <w:szCs w:val="20"/>
          <w:lang w:eastAsia="en-US"/>
        </w:rPr>
        <w:t>l’acquisizione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 dei servizi di supporto al monitoraggio dei progetti IT nell’ambito degli adempimenti collegati al Piano nazionale di ripresa e resilienza (PNRR) con adesione all’Accordo Quadro Consip </w:t>
      </w:r>
      <w:r w:rsidR="00317356">
        <w:rPr>
          <w:rFonts w:ascii="Titillium" w:eastAsiaTheme="minorHAnsi" w:hAnsi="Titillium" w:cs="Titillium-Regular"/>
          <w:sz w:val="20"/>
          <w:szCs w:val="20"/>
          <w:lang w:eastAsia="en-US"/>
        </w:rPr>
        <w:t>“</w:t>
      </w:r>
      <w:r w:rsidR="00317356" w:rsidRPr="00317356">
        <w:rPr>
          <w:rFonts w:ascii="Titillium" w:hAnsi="Titillium"/>
          <w:sz w:val="20"/>
          <w:szCs w:val="20"/>
        </w:rPr>
        <w:t xml:space="preserve">Servizi di Datamanagement e servizi di PMO </w:t>
      </w:r>
      <w:r w:rsidR="00317356">
        <w:rPr>
          <w:rFonts w:ascii="Titillium" w:hAnsi="Titillium"/>
          <w:sz w:val="20"/>
          <w:szCs w:val="20"/>
        </w:rPr>
        <w:t>-</w:t>
      </w:r>
      <w:r w:rsidR="00317356" w:rsidRPr="00317356">
        <w:rPr>
          <w:rFonts w:ascii="Titillium" w:hAnsi="Titillium"/>
          <w:sz w:val="20"/>
          <w:szCs w:val="20"/>
        </w:rPr>
        <w:t xml:space="preserve"> lotto 4”</w:t>
      </w:r>
      <w:r w:rsidR="00317356">
        <w:rPr>
          <w:rFonts w:ascii="Titillium" w:hAnsi="Titillium"/>
          <w:sz w:val="20"/>
          <w:szCs w:val="20"/>
        </w:rPr>
        <w:t xml:space="preserve"> </w:t>
      </w:r>
      <w:r w:rsidRPr="00510C10">
        <w:rPr>
          <w:rFonts w:ascii="Titillium" w:eastAsiaTheme="minorHAnsi" w:hAnsi="Titillium" w:cs="Titillium-Regular"/>
          <w:sz w:val="20"/>
          <w:szCs w:val="20"/>
          <w:lang w:eastAsia="en-US"/>
        </w:rPr>
        <w:t>per un periodo di 36 mesi e per un importo stimato di € 356.900,00 IVA esclusa;</w:t>
      </w:r>
    </w:p>
    <w:bookmarkEnd w:id="0"/>
    <w:p w14:paraId="0BDE7A6C" w14:textId="3D788962" w:rsidR="009025BB" w:rsidRPr="009025BB" w:rsidRDefault="009025BB" w:rsidP="009025BB">
      <w:pPr>
        <w:spacing w:before="120" w:after="120" w:line="276" w:lineRule="auto"/>
        <w:jc w:val="both"/>
        <w:rPr>
          <w:rFonts w:ascii="Titillium" w:eastAsiaTheme="minorHAnsi" w:hAnsi="Titillium" w:cs="Titillium-Regular"/>
          <w:b/>
          <w:sz w:val="20"/>
          <w:szCs w:val="20"/>
          <w:lang w:eastAsia="en-US"/>
        </w:rPr>
      </w:pPr>
      <w:r w:rsidRPr="00F12E4F">
        <w:rPr>
          <w:rFonts w:ascii="Titillium" w:eastAsiaTheme="minorHAnsi" w:hAnsi="Titillium" w:cs="Titillium-Regular"/>
          <w:b/>
          <w:sz w:val="20"/>
          <w:szCs w:val="20"/>
          <w:lang w:eastAsia="en-US"/>
        </w:rPr>
        <w:t xml:space="preserve">CONSIDERATO </w:t>
      </w:r>
      <w:r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che </w:t>
      </w:r>
      <w:r w:rsidR="00E67425"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>il servizio sopra indicato</w:t>
      </w:r>
      <w:r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 è finalizzato </w:t>
      </w:r>
      <w:r w:rsidR="00E67425"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alla realizzazione dell’intervento “Interoperabilità E-Service ANAC” </w:t>
      </w:r>
      <w:r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 xml:space="preserve">ed è coerente con le finalità e le esigenze </w:t>
      </w:r>
      <w:r w:rsidR="00E67425"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>indicate nel citato Accordo del 18.07.2022 (CUP</w:t>
      </w:r>
      <w:r w:rsidR="00E67425" w:rsidRPr="00F12E4F">
        <w:t xml:space="preserve"> </w:t>
      </w:r>
      <w:r w:rsidR="00E67425" w:rsidRPr="00F12E4F">
        <w:rPr>
          <w:rFonts w:ascii="Titillium" w:eastAsiaTheme="minorHAnsi" w:hAnsi="Titillium" w:cs="Titillium-Regular"/>
          <w:sz w:val="20"/>
          <w:szCs w:val="20"/>
          <w:lang w:eastAsia="en-US"/>
        </w:rPr>
        <w:t>E87H22002600006);</w:t>
      </w:r>
    </w:p>
    <w:p w14:paraId="710B3887" w14:textId="77777777" w:rsidR="00E14793" w:rsidRPr="0055001A" w:rsidRDefault="00E14793" w:rsidP="00A0279A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55001A">
        <w:rPr>
          <w:rFonts w:ascii="Titillium" w:hAnsi="Titillium"/>
          <w:b/>
          <w:sz w:val="20"/>
          <w:szCs w:val="20"/>
        </w:rPr>
        <w:t>VISTO</w:t>
      </w:r>
      <w:r w:rsidRPr="0055001A">
        <w:rPr>
          <w:rFonts w:ascii="Titillium" w:hAnsi="Titillium"/>
          <w:sz w:val="20"/>
          <w:szCs w:val="20"/>
        </w:rPr>
        <w:t xml:space="preserve"> il Piano Operativo </w:t>
      </w:r>
      <w:r w:rsidR="00317356">
        <w:rPr>
          <w:rFonts w:ascii="Titillium" w:hAnsi="Titillium"/>
          <w:sz w:val="20"/>
          <w:szCs w:val="20"/>
        </w:rPr>
        <w:t>elaborato</w:t>
      </w:r>
      <w:r w:rsidRPr="0055001A">
        <w:rPr>
          <w:rFonts w:ascii="Titillium" w:hAnsi="Titillium"/>
          <w:sz w:val="20"/>
          <w:szCs w:val="20"/>
        </w:rPr>
        <w:t xml:space="preserve"> dal RTI </w:t>
      </w:r>
      <w:r w:rsidR="00510C10" w:rsidRPr="00510C10">
        <w:rPr>
          <w:rFonts w:ascii="Titillium" w:hAnsi="Titillium"/>
          <w:sz w:val="20"/>
          <w:szCs w:val="20"/>
        </w:rPr>
        <w:t xml:space="preserve">Intellera Consulting S.r.l. e EasyGov Solutions S.r.l. </w:t>
      </w:r>
      <w:r w:rsidR="0055001A" w:rsidRPr="0055001A">
        <w:rPr>
          <w:rFonts w:ascii="Titillium" w:hAnsi="Titillium"/>
          <w:sz w:val="20"/>
          <w:szCs w:val="20"/>
        </w:rPr>
        <w:t xml:space="preserve">approvato </w:t>
      </w:r>
      <w:r w:rsidR="0055001A" w:rsidRPr="00907FEE">
        <w:rPr>
          <w:rFonts w:ascii="Titillium" w:hAnsi="Titillium"/>
          <w:sz w:val="20"/>
          <w:szCs w:val="20"/>
        </w:rPr>
        <w:t xml:space="preserve">dall’Ufficio USCP con nota prot. </w:t>
      </w:r>
      <w:r w:rsidR="00907FEE" w:rsidRPr="00907FEE">
        <w:rPr>
          <w:rFonts w:ascii="Titillium" w:eastAsiaTheme="minorHAnsi" w:hAnsi="Titillium" w:cs="Courier New"/>
          <w:bCs/>
          <w:sz w:val="20"/>
          <w:szCs w:val="20"/>
          <w:lang w:eastAsia="en-US"/>
        </w:rPr>
        <w:t>2583 del 12.01.2023</w:t>
      </w:r>
      <w:r w:rsidRPr="00907FEE">
        <w:rPr>
          <w:rFonts w:ascii="Titillium" w:hAnsi="Titillium"/>
          <w:sz w:val="20"/>
          <w:szCs w:val="20"/>
        </w:rPr>
        <w:t>;</w:t>
      </w:r>
    </w:p>
    <w:p w14:paraId="56849531" w14:textId="2819613A" w:rsidR="00370053" w:rsidRPr="003362DE" w:rsidRDefault="00244226" w:rsidP="00244226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3362DE">
        <w:rPr>
          <w:rFonts w:ascii="Titillium" w:hAnsi="Titillium"/>
          <w:b/>
          <w:sz w:val="20"/>
          <w:szCs w:val="20"/>
        </w:rPr>
        <w:t xml:space="preserve">ACCERTATO </w:t>
      </w:r>
      <w:r w:rsidRPr="003362DE">
        <w:rPr>
          <w:rFonts w:ascii="Titillium" w:hAnsi="Titillium"/>
          <w:sz w:val="20"/>
          <w:szCs w:val="20"/>
        </w:rPr>
        <w:t xml:space="preserve">che </w:t>
      </w:r>
      <w:r w:rsidR="001C17F2" w:rsidRPr="003362DE">
        <w:rPr>
          <w:rFonts w:ascii="Titillium" w:hAnsi="Titillium"/>
          <w:sz w:val="20"/>
          <w:szCs w:val="20"/>
        </w:rPr>
        <w:t>la disponibilità finanziaria su</w:t>
      </w:r>
      <w:r w:rsidR="004B1F9F">
        <w:rPr>
          <w:rFonts w:ascii="Titillium" w:hAnsi="Titillium"/>
          <w:sz w:val="20"/>
          <w:szCs w:val="20"/>
        </w:rPr>
        <w:t>l</w:t>
      </w:r>
      <w:r w:rsidR="00E306D6" w:rsidRPr="003362DE">
        <w:rPr>
          <w:rFonts w:ascii="Titillium" w:hAnsi="Titillium"/>
          <w:sz w:val="20"/>
          <w:szCs w:val="20"/>
        </w:rPr>
        <w:t xml:space="preserve"> pertinent</w:t>
      </w:r>
      <w:r w:rsidR="004B1F9F">
        <w:rPr>
          <w:rFonts w:ascii="Titillium" w:hAnsi="Titillium"/>
          <w:sz w:val="20"/>
          <w:szCs w:val="20"/>
        </w:rPr>
        <w:t>e</w:t>
      </w:r>
      <w:r w:rsidR="00E306D6" w:rsidRPr="003362DE">
        <w:rPr>
          <w:rFonts w:ascii="Titillium" w:hAnsi="Titillium"/>
          <w:sz w:val="20"/>
          <w:szCs w:val="20"/>
        </w:rPr>
        <w:t xml:space="preserve"> </w:t>
      </w:r>
      <w:r w:rsidR="00E306D6" w:rsidRPr="00D9109F">
        <w:rPr>
          <w:rFonts w:ascii="Titillium" w:hAnsi="Titillium"/>
          <w:sz w:val="20"/>
          <w:szCs w:val="20"/>
        </w:rPr>
        <w:t>capitol</w:t>
      </w:r>
      <w:r w:rsidR="004B1F9F">
        <w:rPr>
          <w:rFonts w:ascii="Titillium" w:hAnsi="Titillium"/>
          <w:sz w:val="20"/>
          <w:szCs w:val="20"/>
        </w:rPr>
        <w:t>o</w:t>
      </w:r>
      <w:r w:rsidRPr="00D9109F">
        <w:rPr>
          <w:rFonts w:ascii="Titillium" w:hAnsi="Titillium"/>
          <w:sz w:val="20"/>
          <w:szCs w:val="20"/>
        </w:rPr>
        <w:t xml:space="preserve"> </w:t>
      </w:r>
      <w:r w:rsidRPr="0021207A">
        <w:rPr>
          <w:rFonts w:ascii="Titillium" w:hAnsi="Titillium"/>
          <w:sz w:val="20"/>
          <w:szCs w:val="20"/>
        </w:rPr>
        <w:t>n.</w:t>
      </w:r>
      <w:r w:rsidR="007A5321" w:rsidRPr="0021207A">
        <w:rPr>
          <w:rFonts w:ascii="Titillium" w:hAnsi="Titillium"/>
          <w:sz w:val="20"/>
          <w:szCs w:val="20"/>
        </w:rPr>
        <w:t>13109.</w:t>
      </w:r>
      <w:r w:rsidR="00AE602E">
        <w:rPr>
          <w:rFonts w:ascii="Titillium" w:hAnsi="Titillium"/>
          <w:sz w:val="20"/>
          <w:szCs w:val="20"/>
        </w:rPr>
        <w:t>121</w:t>
      </w:r>
      <w:r w:rsidR="00317356" w:rsidRPr="0021207A">
        <w:rPr>
          <w:rFonts w:ascii="Titillium" w:hAnsi="Titillium"/>
          <w:sz w:val="20"/>
          <w:szCs w:val="20"/>
        </w:rPr>
        <w:t xml:space="preserve"> </w:t>
      </w:r>
      <w:r w:rsidR="007A5321" w:rsidRPr="0021207A">
        <w:rPr>
          <w:rFonts w:ascii="Titillium" w:hAnsi="Titillium"/>
          <w:sz w:val="20"/>
          <w:szCs w:val="20"/>
        </w:rPr>
        <w:t>d</w:t>
      </w:r>
      <w:r w:rsidR="00E306D6" w:rsidRPr="0021207A">
        <w:rPr>
          <w:rFonts w:ascii="Titillium" w:hAnsi="Titillium"/>
          <w:sz w:val="20"/>
          <w:szCs w:val="20"/>
        </w:rPr>
        <w:t>el</w:t>
      </w:r>
      <w:r w:rsidR="00D9109F" w:rsidRPr="0021207A">
        <w:rPr>
          <w:rFonts w:ascii="Titillium" w:hAnsi="Titillium"/>
          <w:sz w:val="20"/>
          <w:szCs w:val="20"/>
        </w:rPr>
        <w:t xml:space="preserve"> bilancio di previsione</w:t>
      </w:r>
      <w:r w:rsidR="00D9109F">
        <w:rPr>
          <w:rFonts w:ascii="Titillium" w:hAnsi="Titillium"/>
          <w:sz w:val="20"/>
          <w:szCs w:val="20"/>
        </w:rPr>
        <w:t xml:space="preserve"> </w:t>
      </w:r>
      <w:r w:rsidR="009757C5">
        <w:rPr>
          <w:rFonts w:ascii="Titillium" w:hAnsi="Titillium"/>
          <w:sz w:val="20"/>
          <w:szCs w:val="20"/>
        </w:rPr>
        <w:t>2023 e del bilancio pluriennale</w:t>
      </w:r>
      <w:r w:rsidR="003362DE" w:rsidRPr="003362DE">
        <w:rPr>
          <w:rFonts w:ascii="Titillium" w:hAnsi="Titillium"/>
          <w:sz w:val="20"/>
          <w:szCs w:val="20"/>
        </w:rPr>
        <w:t xml:space="preserve"> </w:t>
      </w:r>
      <w:r w:rsidRPr="003362DE">
        <w:rPr>
          <w:rFonts w:ascii="Titillium" w:hAnsi="Titillium"/>
          <w:sz w:val="20"/>
          <w:szCs w:val="20"/>
        </w:rPr>
        <w:t>dell’ANAC è congrua per accogliere la spesa stimata per l’affidamento del servizio in esame;</w:t>
      </w:r>
      <w:r w:rsidR="00D90DD2" w:rsidRPr="003362DE">
        <w:t xml:space="preserve"> </w:t>
      </w:r>
    </w:p>
    <w:p w14:paraId="375C6646" w14:textId="2D2CF867" w:rsidR="00244226" w:rsidRDefault="009746C6" w:rsidP="00244226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3362DE">
        <w:rPr>
          <w:rFonts w:ascii="Titillium" w:hAnsi="Titillium"/>
          <w:b/>
          <w:sz w:val="20"/>
          <w:szCs w:val="20"/>
        </w:rPr>
        <w:t xml:space="preserve">CONSIDERATO </w:t>
      </w:r>
      <w:r w:rsidRPr="003362DE">
        <w:rPr>
          <w:rFonts w:ascii="Titillium" w:hAnsi="Titillium"/>
          <w:sz w:val="20"/>
          <w:szCs w:val="20"/>
        </w:rPr>
        <w:t>che, trattandosi di servizi di natura intellettuale</w:t>
      </w:r>
      <w:r w:rsidR="00CB765C" w:rsidRPr="00CB765C">
        <w:rPr>
          <w:rFonts w:ascii="Titillium" w:hAnsi="Titillium"/>
          <w:sz w:val="20"/>
          <w:szCs w:val="20"/>
        </w:rPr>
        <w:t>,</w:t>
      </w:r>
      <w:r w:rsidRPr="003362DE">
        <w:rPr>
          <w:rFonts w:ascii="Titillium" w:hAnsi="Titillium"/>
          <w:sz w:val="20"/>
          <w:szCs w:val="20"/>
        </w:rPr>
        <w:t xml:space="preserve"> non sussistono rischi da interferenza e pertanto non vi è l’obbligo di procedere alla predisposizione dei documenti di cui all’art.</w:t>
      </w:r>
      <w:r w:rsidR="00953FA4">
        <w:rPr>
          <w:rFonts w:ascii="Titillium" w:hAnsi="Titillium"/>
          <w:sz w:val="20"/>
          <w:szCs w:val="20"/>
        </w:rPr>
        <w:t xml:space="preserve"> 26 commi 3, 3bis e 3ter del D.</w:t>
      </w:r>
      <w:r w:rsidRPr="003362DE">
        <w:rPr>
          <w:rFonts w:ascii="Titillium" w:hAnsi="Titillium"/>
          <w:sz w:val="20"/>
          <w:szCs w:val="20"/>
        </w:rPr>
        <w:t>Lgs. 81/2008;</w:t>
      </w:r>
    </w:p>
    <w:p w14:paraId="6ECC4D5D" w14:textId="77777777" w:rsidR="00244226" w:rsidRDefault="00244226" w:rsidP="00A0279A">
      <w:pPr>
        <w:spacing w:before="120" w:after="240" w:line="276" w:lineRule="auto"/>
        <w:jc w:val="center"/>
        <w:rPr>
          <w:rFonts w:ascii="Gotham Light" w:hAnsi="Gotham Light"/>
          <w:color w:val="00B0F0"/>
          <w:sz w:val="28"/>
          <w:szCs w:val="28"/>
        </w:rPr>
      </w:pPr>
      <w:r w:rsidRPr="00244226">
        <w:rPr>
          <w:rFonts w:ascii="Gotham Light" w:hAnsi="Gotham Light"/>
          <w:color w:val="00B0F0"/>
          <w:sz w:val="28"/>
          <w:szCs w:val="28"/>
        </w:rPr>
        <w:t>DISPONE</w:t>
      </w:r>
    </w:p>
    <w:p w14:paraId="2EC0E2FF" w14:textId="6C3458C9" w:rsidR="00D70DD4" w:rsidRPr="00317356" w:rsidRDefault="00D42ACC" w:rsidP="00DB5BFB">
      <w:pPr>
        <w:pStyle w:val="Paragrafoelenco"/>
        <w:numPr>
          <w:ilvl w:val="0"/>
          <w:numId w:val="25"/>
        </w:numPr>
        <w:spacing w:before="120" w:after="120" w:line="276" w:lineRule="auto"/>
        <w:ind w:left="426"/>
        <w:jc w:val="both"/>
        <w:rPr>
          <w:rFonts w:ascii="Titillium" w:hAnsi="Titillium"/>
          <w:sz w:val="20"/>
          <w:szCs w:val="20"/>
        </w:rPr>
      </w:pPr>
      <w:r w:rsidRPr="00317356">
        <w:rPr>
          <w:rFonts w:ascii="Titillium" w:hAnsi="Titillium"/>
          <w:sz w:val="20"/>
          <w:szCs w:val="20"/>
        </w:rPr>
        <w:t>l’adesione</w:t>
      </w:r>
      <w:r w:rsidR="005A4AAB" w:rsidRPr="00317356">
        <w:rPr>
          <w:rFonts w:ascii="Titillium" w:hAnsi="Titillium"/>
          <w:sz w:val="20"/>
          <w:szCs w:val="20"/>
        </w:rPr>
        <w:t>, ai sensi del combinato disposto delle disposizioni del D.Lgs. 50/2016 e della Legge 208/2015</w:t>
      </w:r>
      <w:r w:rsidR="00CB765C">
        <w:rPr>
          <w:rFonts w:ascii="Titillium" w:hAnsi="Titillium"/>
          <w:sz w:val="20"/>
          <w:szCs w:val="20"/>
        </w:rPr>
        <w:t>,</w:t>
      </w:r>
      <w:r w:rsidRPr="00317356">
        <w:rPr>
          <w:rFonts w:ascii="Titillium" w:hAnsi="Titillium"/>
          <w:sz w:val="20"/>
          <w:szCs w:val="20"/>
        </w:rPr>
        <w:t xml:space="preserve"> all’Accordo Quadro</w:t>
      </w:r>
      <w:r w:rsidR="00613102" w:rsidRPr="00317356">
        <w:rPr>
          <w:rFonts w:ascii="Titillium" w:hAnsi="Titillium"/>
          <w:sz w:val="20"/>
          <w:szCs w:val="20"/>
        </w:rPr>
        <w:t xml:space="preserve"> </w:t>
      </w:r>
      <w:r w:rsidR="00787735" w:rsidRPr="00317356">
        <w:rPr>
          <w:rFonts w:ascii="Titillium" w:hAnsi="Titillium"/>
          <w:sz w:val="20"/>
          <w:szCs w:val="20"/>
        </w:rPr>
        <w:t xml:space="preserve">“Servizi di </w:t>
      </w:r>
      <w:r w:rsidR="00317356" w:rsidRPr="00317356">
        <w:rPr>
          <w:rFonts w:ascii="Titillium" w:hAnsi="Titillium"/>
          <w:sz w:val="20"/>
          <w:szCs w:val="20"/>
        </w:rPr>
        <w:t xml:space="preserve">Datamanagement e servizi di PMO </w:t>
      </w:r>
      <w:r w:rsidR="00317356">
        <w:rPr>
          <w:rFonts w:ascii="Titillium" w:hAnsi="Titillium"/>
          <w:sz w:val="20"/>
          <w:szCs w:val="20"/>
        </w:rPr>
        <w:t>-</w:t>
      </w:r>
      <w:r w:rsidR="00787735" w:rsidRPr="00317356">
        <w:rPr>
          <w:rFonts w:ascii="Titillium" w:hAnsi="Titillium"/>
          <w:sz w:val="20"/>
          <w:szCs w:val="20"/>
        </w:rPr>
        <w:t xml:space="preserve"> lotto 4” </w:t>
      </w:r>
      <w:r w:rsidR="0022081F" w:rsidRPr="00317356">
        <w:rPr>
          <w:rFonts w:ascii="Titillium" w:hAnsi="Titillium"/>
          <w:sz w:val="20"/>
          <w:szCs w:val="20"/>
        </w:rPr>
        <w:t>,</w:t>
      </w:r>
      <w:r w:rsidR="00775037" w:rsidRPr="00317356">
        <w:rPr>
          <w:rFonts w:ascii="Titillium" w:hAnsi="Titillium"/>
          <w:sz w:val="20"/>
          <w:szCs w:val="20"/>
        </w:rPr>
        <w:t xml:space="preserve"> </w:t>
      </w:r>
      <w:r w:rsidR="000C5948" w:rsidRPr="00317356">
        <w:rPr>
          <w:rFonts w:ascii="Titillium" w:hAnsi="Titillium"/>
          <w:sz w:val="20"/>
          <w:szCs w:val="20"/>
        </w:rPr>
        <w:t>mediante emissione di un</w:t>
      </w:r>
      <w:r w:rsidR="00336E0F" w:rsidRPr="00317356">
        <w:rPr>
          <w:rFonts w:ascii="Titillium" w:hAnsi="Titillium"/>
          <w:sz w:val="20"/>
          <w:szCs w:val="20"/>
        </w:rPr>
        <w:t xml:space="preserve"> ordine diretto di acquisto</w:t>
      </w:r>
      <w:r w:rsidR="0086789B" w:rsidRPr="00317356">
        <w:rPr>
          <w:rFonts w:ascii="Titillium" w:hAnsi="Titillium"/>
          <w:sz w:val="20"/>
          <w:szCs w:val="20"/>
        </w:rPr>
        <w:t xml:space="preserve"> </w:t>
      </w:r>
      <w:r w:rsidR="00336E0F" w:rsidRPr="00317356">
        <w:rPr>
          <w:rFonts w:ascii="Titillium" w:hAnsi="Titillium"/>
          <w:sz w:val="20"/>
          <w:szCs w:val="20"/>
        </w:rPr>
        <w:t>nei confronti</w:t>
      </w:r>
      <w:r w:rsidR="00F32D58" w:rsidRPr="00317356">
        <w:rPr>
          <w:rFonts w:ascii="Titillium" w:hAnsi="Titillium"/>
          <w:sz w:val="20"/>
          <w:szCs w:val="20"/>
        </w:rPr>
        <w:t xml:space="preserve"> </w:t>
      </w:r>
      <w:r w:rsidR="00336E0F" w:rsidRPr="00317356">
        <w:rPr>
          <w:rFonts w:ascii="Titillium" w:hAnsi="Titillium"/>
          <w:sz w:val="20"/>
          <w:szCs w:val="20"/>
        </w:rPr>
        <w:t>de</w:t>
      </w:r>
      <w:r w:rsidR="00F32D58" w:rsidRPr="00317356">
        <w:rPr>
          <w:rFonts w:ascii="Titillium" w:hAnsi="Titillium"/>
          <w:sz w:val="20"/>
          <w:szCs w:val="20"/>
        </w:rPr>
        <w:t>l</w:t>
      </w:r>
      <w:r w:rsidR="00FF77D7" w:rsidRPr="00317356">
        <w:rPr>
          <w:rFonts w:ascii="Titillium" w:hAnsi="Titillium"/>
          <w:sz w:val="20"/>
          <w:szCs w:val="20"/>
        </w:rPr>
        <w:t>la</w:t>
      </w:r>
      <w:r w:rsidR="00F32D58" w:rsidRPr="00317356">
        <w:rPr>
          <w:rFonts w:ascii="Titillium" w:hAnsi="Titillium"/>
          <w:sz w:val="20"/>
          <w:szCs w:val="20"/>
        </w:rPr>
        <w:t xml:space="preserve"> </w:t>
      </w:r>
      <w:r w:rsidR="00051F95" w:rsidRPr="00317356">
        <w:rPr>
          <w:rFonts w:ascii="Titillium" w:hAnsi="Titillium"/>
          <w:sz w:val="20"/>
          <w:szCs w:val="20"/>
        </w:rPr>
        <w:t xml:space="preserve">società </w:t>
      </w:r>
      <w:r w:rsidR="00051F95" w:rsidRPr="00317356">
        <w:rPr>
          <w:rFonts w:ascii="Titillium" w:hAnsi="Titillium"/>
          <w:b/>
          <w:bCs/>
          <w:sz w:val="20"/>
          <w:szCs w:val="20"/>
        </w:rPr>
        <w:t>Intellera Consulting S.r.l</w:t>
      </w:r>
      <w:r w:rsidR="00051F95" w:rsidRPr="007F0B04">
        <w:rPr>
          <w:rFonts w:ascii="Titillium" w:hAnsi="Titillium"/>
          <w:bCs/>
          <w:sz w:val="20"/>
          <w:szCs w:val="20"/>
        </w:rPr>
        <w:t>.</w:t>
      </w:r>
      <w:r w:rsidR="00A37B79" w:rsidRPr="007F0B04">
        <w:rPr>
          <w:rFonts w:ascii="Titillium" w:hAnsi="Titillium"/>
          <w:bCs/>
          <w:sz w:val="20"/>
          <w:szCs w:val="20"/>
        </w:rPr>
        <w:t>, con</w:t>
      </w:r>
      <w:r w:rsidR="00051F95" w:rsidRPr="007F0B04">
        <w:rPr>
          <w:rFonts w:ascii="Titillium" w:hAnsi="Titillium"/>
          <w:b/>
          <w:bCs/>
          <w:sz w:val="20"/>
          <w:szCs w:val="20"/>
        </w:rPr>
        <w:t xml:space="preserve"> </w:t>
      </w:r>
      <w:r w:rsidR="00051F95" w:rsidRPr="00317356">
        <w:rPr>
          <w:rFonts w:ascii="Titillium" w:hAnsi="Titillium"/>
          <w:sz w:val="20"/>
          <w:szCs w:val="20"/>
        </w:rPr>
        <w:t>sede legale in Milano (MI) C.F. e P. IVA 11088550964</w:t>
      </w:r>
      <w:r w:rsidR="00025E15" w:rsidRPr="00317356">
        <w:rPr>
          <w:rFonts w:ascii="Titillium" w:hAnsi="Titillium"/>
          <w:sz w:val="20"/>
          <w:szCs w:val="20"/>
        </w:rPr>
        <w:t>, nella sua qua</w:t>
      </w:r>
      <w:r w:rsidR="00992574" w:rsidRPr="00317356">
        <w:rPr>
          <w:rFonts w:ascii="Titillium" w:hAnsi="Titillium"/>
          <w:sz w:val="20"/>
          <w:szCs w:val="20"/>
        </w:rPr>
        <w:t>lità di impresa mandataria capo</w:t>
      </w:r>
      <w:r w:rsidR="00025E15" w:rsidRPr="00317356">
        <w:rPr>
          <w:rFonts w:ascii="Titillium" w:hAnsi="Titillium"/>
          <w:sz w:val="20"/>
          <w:szCs w:val="20"/>
        </w:rPr>
        <w:t xml:space="preserve">gruppo del </w:t>
      </w:r>
      <w:r w:rsidR="00025E15" w:rsidRPr="00F12E4F">
        <w:rPr>
          <w:rFonts w:ascii="Titillium" w:hAnsi="Titillium"/>
          <w:sz w:val="20"/>
          <w:szCs w:val="20"/>
        </w:rPr>
        <w:t>Raggruppa</w:t>
      </w:r>
      <w:r w:rsidR="00AE602E">
        <w:rPr>
          <w:rFonts w:ascii="Titillium" w:hAnsi="Titillium"/>
          <w:sz w:val="20"/>
          <w:szCs w:val="20"/>
        </w:rPr>
        <w:t>-</w:t>
      </w:r>
      <w:r w:rsidR="00025E15" w:rsidRPr="00F12E4F">
        <w:rPr>
          <w:rFonts w:ascii="Titillium" w:hAnsi="Titillium"/>
          <w:sz w:val="20"/>
          <w:szCs w:val="20"/>
        </w:rPr>
        <w:t>mento</w:t>
      </w:r>
      <w:r w:rsidR="00992574" w:rsidRPr="00F12E4F">
        <w:rPr>
          <w:rFonts w:ascii="Titillium" w:hAnsi="Titillium"/>
          <w:sz w:val="20"/>
          <w:szCs w:val="20"/>
        </w:rPr>
        <w:t xml:space="preserve"> Temporaneo</w:t>
      </w:r>
      <w:r w:rsidR="00A37B79" w:rsidRPr="00F12E4F">
        <w:rPr>
          <w:rFonts w:ascii="Titillium" w:hAnsi="Titillium"/>
          <w:sz w:val="20"/>
          <w:szCs w:val="20"/>
        </w:rPr>
        <w:t xml:space="preserve"> includente</w:t>
      </w:r>
      <w:r w:rsidR="00992574" w:rsidRPr="00F12E4F">
        <w:rPr>
          <w:rFonts w:ascii="Titillium" w:hAnsi="Titillium"/>
          <w:sz w:val="20"/>
          <w:szCs w:val="20"/>
        </w:rPr>
        <w:t xml:space="preserve"> oltre alla stessa l</w:t>
      </w:r>
      <w:r w:rsidR="00051F95" w:rsidRPr="00F12E4F">
        <w:rPr>
          <w:rFonts w:ascii="Titillium" w:hAnsi="Titillium"/>
          <w:sz w:val="20"/>
          <w:szCs w:val="20"/>
        </w:rPr>
        <w:t>a</w:t>
      </w:r>
      <w:r w:rsidR="00025E15" w:rsidRPr="00F12E4F">
        <w:rPr>
          <w:rFonts w:ascii="Titillium" w:hAnsi="Titillium"/>
          <w:sz w:val="20"/>
          <w:szCs w:val="20"/>
        </w:rPr>
        <w:t xml:space="preserve"> mandant</w:t>
      </w:r>
      <w:r w:rsidR="00051F95" w:rsidRPr="00F12E4F">
        <w:rPr>
          <w:rFonts w:ascii="Titillium" w:hAnsi="Titillium"/>
          <w:sz w:val="20"/>
          <w:szCs w:val="20"/>
        </w:rPr>
        <w:t>e</w:t>
      </w:r>
      <w:r w:rsidR="00025E15" w:rsidRPr="00F12E4F">
        <w:rPr>
          <w:rFonts w:ascii="Titillium" w:hAnsi="Titillium"/>
          <w:sz w:val="20"/>
          <w:szCs w:val="20"/>
        </w:rPr>
        <w:t xml:space="preserve"> </w:t>
      </w:r>
      <w:r w:rsidR="00051F95" w:rsidRPr="00F12E4F">
        <w:rPr>
          <w:rFonts w:ascii="Titillium" w:hAnsi="Titillium"/>
          <w:b/>
          <w:bCs/>
          <w:sz w:val="20"/>
          <w:szCs w:val="20"/>
        </w:rPr>
        <w:t>EasyGov Solutions S.r.l.</w:t>
      </w:r>
      <w:r w:rsidR="00A37B79" w:rsidRPr="00F12E4F">
        <w:rPr>
          <w:rFonts w:ascii="Titillium" w:hAnsi="Titillium"/>
          <w:b/>
          <w:bCs/>
          <w:sz w:val="20"/>
          <w:szCs w:val="20"/>
        </w:rPr>
        <w:t>,</w:t>
      </w:r>
      <w:r w:rsidR="00051F95" w:rsidRPr="00F12E4F">
        <w:rPr>
          <w:rFonts w:ascii="Titillium" w:hAnsi="Titillium"/>
          <w:b/>
          <w:bCs/>
          <w:sz w:val="20"/>
          <w:szCs w:val="20"/>
        </w:rPr>
        <w:t xml:space="preserve"> </w:t>
      </w:r>
      <w:r w:rsidR="00051F95" w:rsidRPr="00F12E4F">
        <w:rPr>
          <w:rFonts w:ascii="Titillium" w:hAnsi="Titillium"/>
          <w:sz w:val="20"/>
          <w:szCs w:val="20"/>
        </w:rPr>
        <w:t>con sede legale in Seregno (MB) C.</w:t>
      </w:r>
      <w:r w:rsidR="006C61D3" w:rsidRPr="00F12E4F">
        <w:rPr>
          <w:rFonts w:ascii="Titillium" w:hAnsi="Titillium"/>
          <w:sz w:val="20"/>
          <w:szCs w:val="20"/>
        </w:rPr>
        <w:t>F</w:t>
      </w:r>
      <w:r w:rsidR="00051F95" w:rsidRPr="00F12E4F">
        <w:rPr>
          <w:rFonts w:ascii="Titillium" w:hAnsi="Titillium"/>
          <w:sz w:val="20"/>
          <w:szCs w:val="20"/>
        </w:rPr>
        <w:t>. e P. IVA 03111770131</w:t>
      </w:r>
      <w:r w:rsidR="00025E15" w:rsidRPr="00F12E4F">
        <w:rPr>
          <w:rFonts w:ascii="Titillium" w:hAnsi="Titillium"/>
          <w:sz w:val="20"/>
          <w:szCs w:val="20"/>
        </w:rPr>
        <w:t xml:space="preserve"> </w:t>
      </w:r>
      <w:r w:rsidR="00F9266C" w:rsidRPr="00F12E4F">
        <w:rPr>
          <w:rFonts w:ascii="Titillium" w:hAnsi="Titillium"/>
          <w:sz w:val="20"/>
          <w:szCs w:val="20"/>
        </w:rPr>
        <w:t xml:space="preserve">per </w:t>
      </w:r>
      <w:r w:rsidR="00F2798C" w:rsidRPr="00F12E4F">
        <w:rPr>
          <w:rFonts w:ascii="Titillium" w:hAnsi="Titillium"/>
          <w:sz w:val="20"/>
          <w:szCs w:val="20"/>
        </w:rPr>
        <w:t>l’acquisizione de</w:t>
      </w:r>
      <w:r w:rsidR="00F9266C" w:rsidRPr="00F12E4F">
        <w:rPr>
          <w:rFonts w:ascii="Titillium" w:hAnsi="Titillium"/>
          <w:sz w:val="20"/>
          <w:szCs w:val="20"/>
        </w:rPr>
        <w:t xml:space="preserve">i </w:t>
      </w:r>
      <w:r w:rsidR="00F2798C" w:rsidRPr="00F12E4F">
        <w:rPr>
          <w:rFonts w:ascii="Titillium" w:hAnsi="Titillium"/>
          <w:sz w:val="20"/>
          <w:szCs w:val="20"/>
        </w:rPr>
        <w:t>servizi</w:t>
      </w:r>
      <w:r w:rsidR="00F9266C" w:rsidRPr="00F12E4F">
        <w:rPr>
          <w:rFonts w:ascii="Titillium" w:hAnsi="Titillium"/>
          <w:sz w:val="20"/>
          <w:szCs w:val="20"/>
        </w:rPr>
        <w:t xml:space="preserve"> sotto indicat</w:t>
      </w:r>
      <w:r w:rsidR="00F2798C" w:rsidRPr="00F12E4F">
        <w:rPr>
          <w:rFonts w:ascii="Titillium" w:hAnsi="Titillium"/>
          <w:sz w:val="20"/>
          <w:szCs w:val="20"/>
        </w:rPr>
        <w:t>i</w:t>
      </w:r>
      <w:r w:rsidR="006F32C9" w:rsidRPr="00F12E4F">
        <w:rPr>
          <w:rFonts w:ascii="Titillium" w:hAnsi="Titillium"/>
          <w:sz w:val="20"/>
          <w:szCs w:val="20"/>
        </w:rPr>
        <w:t xml:space="preserve"> </w:t>
      </w:r>
      <w:r w:rsidR="00E67425" w:rsidRPr="00F12E4F">
        <w:rPr>
          <w:rFonts w:ascii="Titillium" w:hAnsi="Titillium"/>
          <w:bCs/>
          <w:iCs/>
          <w:sz w:val="20"/>
          <w:szCs w:val="20"/>
        </w:rPr>
        <w:t>funzional</w:t>
      </w:r>
      <w:r w:rsidR="00F2798C" w:rsidRPr="00F12E4F">
        <w:rPr>
          <w:rFonts w:ascii="Titillium" w:hAnsi="Titillium"/>
          <w:bCs/>
          <w:iCs/>
          <w:sz w:val="20"/>
          <w:szCs w:val="20"/>
        </w:rPr>
        <w:t>i</w:t>
      </w:r>
      <w:r w:rsidR="00E67425" w:rsidRPr="00F12E4F">
        <w:rPr>
          <w:rFonts w:ascii="Titillium" w:hAnsi="Titillium"/>
          <w:bCs/>
          <w:iCs/>
          <w:sz w:val="20"/>
          <w:szCs w:val="20"/>
        </w:rPr>
        <w:t xml:space="preserve"> alla realizzazione dell’intervento “Interoperabilità E-Service ANAC” (CUP E87H22002600006),</w:t>
      </w:r>
      <w:r w:rsidR="00E67425">
        <w:rPr>
          <w:rFonts w:ascii="Titillium" w:hAnsi="Titillium"/>
          <w:bCs/>
          <w:iCs/>
          <w:sz w:val="20"/>
          <w:szCs w:val="20"/>
        </w:rPr>
        <w:t xml:space="preserve"> </w:t>
      </w:r>
      <w:r w:rsidR="002418B1" w:rsidRPr="00317356">
        <w:rPr>
          <w:rFonts w:ascii="Titillium" w:hAnsi="Titillium"/>
          <w:sz w:val="20"/>
          <w:szCs w:val="20"/>
        </w:rPr>
        <w:t>per una spesa complessiva massima stimata così specificata:</w:t>
      </w:r>
    </w:p>
    <w:p w14:paraId="38D10E01" w14:textId="77777777" w:rsidR="004B1F9F" w:rsidRPr="00025E15" w:rsidRDefault="004B1F9F" w:rsidP="004B1F9F">
      <w:pPr>
        <w:pStyle w:val="Paragrafoelenco"/>
        <w:spacing w:before="120" w:after="120" w:line="276" w:lineRule="auto"/>
        <w:ind w:left="284"/>
        <w:jc w:val="both"/>
        <w:rPr>
          <w:rFonts w:ascii="Titillium" w:hAnsi="Titillium"/>
          <w:sz w:val="20"/>
          <w:szCs w:val="20"/>
        </w:rPr>
      </w:pPr>
    </w:p>
    <w:tbl>
      <w:tblPr>
        <w:tblStyle w:val="Grigliatabella"/>
        <w:tblW w:w="882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1"/>
        <w:gridCol w:w="1701"/>
      </w:tblGrid>
      <w:tr w:rsidR="00B42986" w:rsidRPr="00D70DD4" w14:paraId="30B952EF" w14:textId="77777777" w:rsidTr="00F12E4F">
        <w:trPr>
          <w:trHeight w:val="831"/>
        </w:trPr>
        <w:tc>
          <w:tcPr>
            <w:tcW w:w="712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30D23" w14:textId="77777777" w:rsidR="00B42986" w:rsidRPr="00C57291" w:rsidRDefault="00BF353D" w:rsidP="00F12E4F">
            <w:pPr>
              <w:pStyle w:val="Paragrafoelenco"/>
              <w:numPr>
                <w:ilvl w:val="0"/>
                <w:numId w:val="20"/>
              </w:numPr>
              <w:spacing w:before="120" w:after="120" w:line="276" w:lineRule="auto"/>
              <w:ind w:left="515"/>
              <w:jc w:val="both"/>
              <w:rPr>
                <w:rFonts w:ascii="Titillium" w:hAnsi="Titillium"/>
                <w:sz w:val="20"/>
                <w:szCs w:val="20"/>
              </w:rPr>
            </w:pPr>
            <w:r w:rsidRPr="00BF353D">
              <w:rPr>
                <w:rFonts w:ascii="Titillium" w:hAnsi="Titillium"/>
                <w:sz w:val="20"/>
                <w:szCs w:val="20"/>
              </w:rPr>
              <w:lastRenderedPageBreak/>
              <w:t xml:space="preserve">servizi di supporto al monitoraggio dei progetti IT nell’ambito degli adempimenti collegati al Piano nazionale di ripresa e resilienza (PNRR) </w:t>
            </w:r>
            <w:r w:rsidR="00B42986" w:rsidRPr="00C57291">
              <w:rPr>
                <w:rFonts w:ascii="Titillium" w:hAnsi="Titillium"/>
                <w:sz w:val="20"/>
                <w:szCs w:val="20"/>
              </w:rPr>
              <w:t xml:space="preserve">per un periodo di </w:t>
            </w:r>
            <w:r w:rsidR="00B42986">
              <w:rPr>
                <w:rFonts w:ascii="Titillium" w:hAnsi="Titillium"/>
                <w:sz w:val="20"/>
                <w:szCs w:val="20"/>
              </w:rPr>
              <w:t>36</w:t>
            </w:r>
            <w:r w:rsidR="00B42986" w:rsidRPr="00C57291">
              <w:rPr>
                <w:rFonts w:ascii="Titillium" w:hAnsi="Titillium"/>
                <w:sz w:val="20"/>
                <w:szCs w:val="20"/>
              </w:rPr>
              <w:t xml:space="preserve"> mesi</w:t>
            </w:r>
          </w:p>
        </w:tc>
        <w:tc>
          <w:tcPr>
            <w:tcW w:w="170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BCA36" w14:textId="77777777" w:rsidR="00B42986" w:rsidRPr="00B42986" w:rsidRDefault="00B42986" w:rsidP="00B42986">
            <w:pPr>
              <w:jc w:val="right"/>
              <w:rPr>
                <w:rFonts w:ascii="Titillium" w:hAnsi="Titillium"/>
                <w:sz w:val="20"/>
                <w:szCs w:val="20"/>
              </w:rPr>
            </w:pPr>
            <w:r w:rsidRPr="00B42986">
              <w:rPr>
                <w:rFonts w:ascii="Titillium" w:hAnsi="Titillium"/>
                <w:sz w:val="20"/>
                <w:szCs w:val="20"/>
              </w:rPr>
              <w:t xml:space="preserve"> € 356.900,00 </w:t>
            </w:r>
          </w:p>
        </w:tc>
      </w:tr>
      <w:tr w:rsidR="00B42986" w:rsidRPr="00D42ACC" w14:paraId="41581377" w14:textId="77777777" w:rsidTr="00F12E4F">
        <w:trPr>
          <w:trHeight w:val="422"/>
        </w:trPr>
        <w:tc>
          <w:tcPr>
            <w:tcW w:w="712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AF6215" w14:textId="77777777" w:rsidR="00B42986" w:rsidRPr="00C57291" w:rsidRDefault="00B42986" w:rsidP="00B42986">
            <w:pPr>
              <w:pStyle w:val="Paragrafoelenco"/>
              <w:numPr>
                <w:ilvl w:val="0"/>
                <w:numId w:val="20"/>
              </w:numPr>
              <w:spacing w:before="120" w:after="120" w:line="276" w:lineRule="auto"/>
              <w:ind w:left="515"/>
              <w:rPr>
                <w:rFonts w:ascii="Titillium" w:hAnsi="Titillium"/>
                <w:sz w:val="20"/>
                <w:szCs w:val="20"/>
              </w:rPr>
            </w:pPr>
            <w:r w:rsidRPr="00C57291">
              <w:rPr>
                <w:rFonts w:ascii="Titillium" w:hAnsi="Titillium"/>
                <w:sz w:val="20"/>
                <w:szCs w:val="20"/>
              </w:rPr>
              <w:t xml:space="preserve">IVA al 22%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528F80" w14:textId="77777777" w:rsidR="00B42986" w:rsidRPr="00B42986" w:rsidRDefault="00B42986" w:rsidP="00B42986">
            <w:pPr>
              <w:jc w:val="right"/>
              <w:rPr>
                <w:rFonts w:ascii="Titillium" w:hAnsi="Titillium"/>
                <w:sz w:val="20"/>
                <w:szCs w:val="20"/>
              </w:rPr>
            </w:pPr>
            <w:r w:rsidRPr="00B42986">
              <w:rPr>
                <w:rFonts w:ascii="Titillium" w:hAnsi="Titillium"/>
                <w:sz w:val="20"/>
                <w:szCs w:val="20"/>
              </w:rPr>
              <w:t xml:space="preserve"> € 78.518,00 </w:t>
            </w:r>
          </w:p>
        </w:tc>
      </w:tr>
      <w:tr w:rsidR="00B42986" w:rsidRPr="00D42ACC" w14:paraId="2A39677C" w14:textId="77777777" w:rsidTr="00F12E4F">
        <w:trPr>
          <w:trHeight w:val="515"/>
        </w:trPr>
        <w:tc>
          <w:tcPr>
            <w:tcW w:w="712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EFA0B5" w14:textId="77777777" w:rsidR="00B42986" w:rsidRPr="00C57291" w:rsidRDefault="00B42986" w:rsidP="00B42986">
            <w:pPr>
              <w:pStyle w:val="Paragrafoelenco"/>
              <w:numPr>
                <w:ilvl w:val="0"/>
                <w:numId w:val="20"/>
              </w:numPr>
              <w:spacing w:before="120" w:after="120" w:line="276" w:lineRule="auto"/>
              <w:ind w:left="515"/>
              <w:rPr>
                <w:rFonts w:ascii="Titillium" w:hAnsi="Titillium"/>
                <w:b/>
                <w:sz w:val="20"/>
                <w:szCs w:val="20"/>
              </w:rPr>
            </w:pPr>
            <w:r w:rsidRPr="00C57291">
              <w:rPr>
                <w:rFonts w:ascii="Titillium" w:hAnsi="Titillium"/>
                <w:b/>
                <w:sz w:val="20"/>
                <w:szCs w:val="20"/>
              </w:rPr>
              <w:t>Spesa complessiva stimata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52FDA" w14:textId="77777777" w:rsidR="00B42986" w:rsidRPr="00B42986" w:rsidRDefault="00B42986" w:rsidP="00B42986">
            <w:pPr>
              <w:jc w:val="right"/>
              <w:rPr>
                <w:rFonts w:ascii="Titillium" w:hAnsi="Titillium"/>
                <w:b/>
                <w:sz w:val="20"/>
                <w:szCs w:val="20"/>
              </w:rPr>
            </w:pPr>
            <w:r w:rsidRPr="00B42986">
              <w:rPr>
                <w:rFonts w:ascii="Titillium" w:hAnsi="Titillium"/>
                <w:b/>
                <w:sz w:val="20"/>
                <w:szCs w:val="20"/>
              </w:rPr>
              <w:t xml:space="preserve"> € 435.418,00 </w:t>
            </w:r>
          </w:p>
        </w:tc>
      </w:tr>
    </w:tbl>
    <w:p w14:paraId="7BC687CA" w14:textId="16B3A454" w:rsidR="0086789B" w:rsidRDefault="00042181" w:rsidP="00510C10">
      <w:pPr>
        <w:pStyle w:val="Paragrafoelenco"/>
        <w:numPr>
          <w:ilvl w:val="0"/>
          <w:numId w:val="25"/>
        </w:numPr>
        <w:spacing w:before="120" w:after="120" w:line="276" w:lineRule="auto"/>
        <w:ind w:left="426"/>
        <w:jc w:val="both"/>
        <w:rPr>
          <w:rFonts w:ascii="Titillium" w:hAnsi="Titillium"/>
          <w:sz w:val="20"/>
          <w:szCs w:val="20"/>
        </w:rPr>
      </w:pPr>
      <w:r w:rsidRPr="00775037">
        <w:rPr>
          <w:rFonts w:ascii="Titillium" w:hAnsi="Titillium"/>
          <w:sz w:val="20"/>
          <w:szCs w:val="20"/>
        </w:rPr>
        <w:t xml:space="preserve">di </w:t>
      </w:r>
      <w:r w:rsidR="00A0279A">
        <w:rPr>
          <w:rFonts w:ascii="Titillium" w:hAnsi="Titillium"/>
          <w:sz w:val="20"/>
          <w:szCs w:val="20"/>
        </w:rPr>
        <w:t>confermare l’</w:t>
      </w:r>
      <w:r w:rsidR="0086789B">
        <w:rPr>
          <w:rFonts w:ascii="Titillium" w:hAnsi="Titillium"/>
          <w:sz w:val="20"/>
          <w:szCs w:val="20"/>
        </w:rPr>
        <w:t>approva</w:t>
      </w:r>
      <w:r w:rsidR="00A0279A">
        <w:rPr>
          <w:rFonts w:ascii="Titillium" w:hAnsi="Titillium"/>
          <w:sz w:val="20"/>
          <w:szCs w:val="20"/>
        </w:rPr>
        <w:t>zione de</w:t>
      </w:r>
      <w:r w:rsidR="0086789B">
        <w:rPr>
          <w:rFonts w:ascii="Titillium" w:hAnsi="Titillium"/>
          <w:sz w:val="20"/>
          <w:szCs w:val="20"/>
        </w:rPr>
        <w:t>l Piano dei Fabbisogni</w:t>
      </w:r>
      <w:r w:rsidR="00D52D2D">
        <w:rPr>
          <w:rFonts w:ascii="Titillium" w:hAnsi="Titillium"/>
          <w:sz w:val="20"/>
          <w:szCs w:val="20"/>
        </w:rPr>
        <w:t xml:space="preserve"> e del Piano operativo elaborato dal fornitore, già rilasciata </w:t>
      </w:r>
      <w:r w:rsidR="007F0B04">
        <w:rPr>
          <w:rFonts w:ascii="Titillium" w:hAnsi="Titillium"/>
          <w:sz w:val="20"/>
          <w:szCs w:val="20"/>
        </w:rPr>
        <w:t>per</w:t>
      </w:r>
      <w:r w:rsidR="00D52D2D" w:rsidRPr="007F0B04">
        <w:rPr>
          <w:rFonts w:ascii="Titillium" w:hAnsi="Titillium"/>
          <w:sz w:val="20"/>
          <w:szCs w:val="20"/>
        </w:rPr>
        <w:t xml:space="preserve"> competenza </w:t>
      </w:r>
      <w:r w:rsidR="0086789B" w:rsidRPr="007F0B04">
        <w:rPr>
          <w:rFonts w:ascii="Titillium" w:hAnsi="Titillium"/>
          <w:sz w:val="20"/>
          <w:szCs w:val="20"/>
        </w:rPr>
        <w:t>d</w:t>
      </w:r>
      <w:r w:rsidR="007F0B04">
        <w:rPr>
          <w:rFonts w:ascii="Titillium" w:hAnsi="Titillium"/>
          <w:sz w:val="20"/>
          <w:szCs w:val="20"/>
        </w:rPr>
        <w:t>a</w:t>
      </w:r>
      <w:r w:rsidR="0086789B" w:rsidRPr="007F0B04">
        <w:rPr>
          <w:rFonts w:ascii="Titillium" w:hAnsi="Titillium"/>
          <w:sz w:val="20"/>
          <w:szCs w:val="20"/>
        </w:rPr>
        <w:t>ll’Ufficio USCP</w:t>
      </w:r>
      <w:r w:rsidR="00D52D2D" w:rsidRPr="007F0B04">
        <w:rPr>
          <w:rFonts w:ascii="Titillium" w:hAnsi="Titillium"/>
          <w:sz w:val="20"/>
          <w:szCs w:val="20"/>
        </w:rPr>
        <w:t xml:space="preserve"> dell’Autorità</w:t>
      </w:r>
      <w:r w:rsidR="0086789B">
        <w:rPr>
          <w:rFonts w:ascii="Titillium" w:hAnsi="Titillium"/>
          <w:sz w:val="20"/>
          <w:szCs w:val="20"/>
        </w:rPr>
        <w:t>;</w:t>
      </w:r>
    </w:p>
    <w:p w14:paraId="0A543876" w14:textId="70E8B94E" w:rsidR="00510C10" w:rsidRPr="00775037" w:rsidRDefault="00510C10" w:rsidP="00510C10">
      <w:pPr>
        <w:pStyle w:val="Paragrafoelenco"/>
        <w:numPr>
          <w:ilvl w:val="0"/>
          <w:numId w:val="25"/>
        </w:numPr>
        <w:spacing w:before="120" w:after="120" w:line="276" w:lineRule="auto"/>
        <w:ind w:left="426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di delegare il Dott. Ilario Sorrentino</w:t>
      </w:r>
      <w:r w:rsidR="00BE072A">
        <w:rPr>
          <w:rFonts w:ascii="Titillium" w:hAnsi="Titillium"/>
          <w:sz w:val="20"/>
          <w:szCs w:val="20"/>
        </w:rPr>
        <w:t xml:space="preserve">, </w:t>
      </w:r>
      <w:r w:rsidR="00BE072A" w:rsidRPr="007F0B04">
        <w:rPr>
          <w:rFonts w:ascii="Titillium" w:hAnsi="Titillium"/>
          <w:sz w:val="20"/>
          <w:szCs w:val="20"/>
        </w:rPr>
        <w:t xml:space="preserve">ai fini dell’utilizzo della piattaforma </w:t>
      </w:r>
      <w:hyperlink r:id="rId8" w:history="1">
        <w:r w:rsidR="00BE072A" w:rsidRPr="007F0B04">
          <w:rPr>
            <w:rStyle w:val="Collegamentoipertestuale"/>
            <w:rFonts w:ascii="Titillium" w:hAnsi="Titillium"/>
            <w:sz w:val="20"/>
            <w:szCs w:val="20"/>
          </w:rPr>
          <w:t>www.acquistinretepa.it</w:t>
        </w:r>
      </w:hyperlink>
      <w:r w:rsidR="00BE072A" w:rsidRPr="007F0B04">
        <w:rPr>
          <w:rFonts w:ascii="Titillium" w:hAnsi="Titillium"/>
          <w:sz w:val="20"/>
          <w:szCs w:val="20"/>
        </w:rPr>
        <w:t>,</w:t>
      </w:r>
      <w:r>
        <w:rPr>
          <w:rFonts w:ascii="Titillium" w:hAnsi="Titillium"/>
          <w:sz w:val="20"/>
          <w:szCs w:val="20"/>
        </w:rPr>
        <w:t xml:space="preserve"> </w:t>
      </w:r>
      <w:r w:rsidR="00BE072A">
        <w:rPr>
          <w:rFonts w:ascii="Titillium" w:hAnsi="Titillium"/>
          <w:sz w:val="20"/>
          <w:szCs w:val="20"/>
        </w:rPr>
        <w:t>a</w:t>
      </w:r>
      <w:r>
        <w:rPr>
          <w:rFonts w:ascii="Titillium" w:hAnsi="Titillium"/>
          <w:sz w:val="20"/>
          <w:szCs w:val="20"/>
        </w:rPr>
        <w:t xml:space="preserve"> procedere all’emissione sul portale dell’ordine </w:t>
      </w:r>
      <w:r w:rsidR="000D0EC1">
        <w:rPr>
          <w:rFonts w:ascii="Titillium" w:hAnsi="Titillium"/>
          <w:sz w:val="20"/>
          <w:szCs w:val="20"/>
        </w:rPr>
        <w:t xml:space="preserve">diretto di acquisto </w:t>
      </w:r>
      <w:r>
        <w:rPr>
          <w:rFonts w:ascii="Titillium" w:hAnsi="Titillium"/>
          <w:sz w:val="20"/>
          <w:szCs w:val="20"/>
        </w:rPr>
        <w:t xml:space="preserve">per l’adesione </w:t>
      </w:r>
      <w:r w:rsidR="000D0EC1">
        <w:rPr>
          <w:rFonts w:ascii="Titillium" w:hAnsi="Titillium"/>
          <w:sz w:val="20"/>
          <w:szCs w:val="20"/>
        </w:rPr>
        <w:t>al suddetto Accordo quadro per il periodo e per l’importo sopracitati</w:t>
      </w:r>
      <w:r w:rsidR="00F12E4F">
        <w:rPr>
          <w:rFonts w:ascii="Titillium" w:hAnsi="Titillium"/>
          <w:sz w:val="20"/>
          <w:szCs w:val="20"/>
        </w:rPr>
        <w:t>, ferma restando la sottoscrizione del contratto esecutivo da parte del Segretario generale vicario</w:t>
      </w:r>
      <w:r w:rsidR="000D0EC1">
        <w:rPr>
          <w:rFonts w:ascii="Titillium" w:hAnsi="Titillium"/>
          <w:sz w:val="20"/>
          <w:szCs w:val="20"/>
        </w:rPr>
        <w:t>;</w:t>
      </w:r>
    </w:p>
    <w:p w14:paraId="722B60B8" w14:textId="7E595A22" w:rsidR="00BD49DC" w:rsidRPr="00F12E4F" w:rsidRDefault="003362DE" w:rsidP="00510C10">
      <w:pPr>
        <w:pStyle w:val="Paragrafoelenco"/>
        <w:numPr>
          <w:ilvl w:val="0"/>
          <w:numId w:val="25"/>
        </w:numPr>
        <w:spacing w:before="120" w:after="120" w:line="276" w:lineRule="auto"/>
        <w:ind w:left="426"/>
        <w:jc w:val="both"/>
        <w:rPr>
          <w:rFonts w:ascii="Titillium" w:hAnsi="Titillium"/>
          <w:sz w:val="20"/>
          <w:szCs w:val="20"/>
        </w:rPr>
      </w:pPr>
      <w:r w:rsidRPr="007F0B04">
        <w:rPr>
          <w:rFonts w:ascii="Titillium" w:hAnsi="Titillium"/>
          <w:sz w:val="20"/>
          <w:szCs w:val="20"/>
        </w:rPr>
        <w:t xml:space="preserve">di impegnare definitivamente l’importo complessivo di € </w:t>
      </w:r>
      <w:r w:rsidR="00B42986" w:rsidRPr="007F0B04">
        <w:rPr>
          <w:rFonts w:ascii="Titillium" w:hAnsi="Titillium"/>
          <w:sz w:val="20"/>
          <w:szCs w:val="20"/>
        </w:rPr>
        <w:t xml:space="preserve">435.418,00 </w:t>
      </w:r>
      <w:r w:rsidRPr="007F0B04">
        <w:rPr>
          <w:rFonts w:ascii="Titillium" w:hAnsi="Titillium"/>
          <w:sz w:val="20"/>
          <w:szCs w:val="20"/>
        </w:rPr>
        <w:t xml:space="preserve">da porsi a carico </w:t>
      </w:r>
      <w:r w:rsidR="00BD49DC" w:rsidRPr="007F0B04">
        <w:rPr>
          <w:rFonts w:ascii="Titillium" w:hAnsi="Titillium"/>
          <w:sz w:val="20"/>
          <w:szCs w:val="20"/>
        </w:rPr>
        <w:t xml:space="preserve">del bilancio di previsione dell’Autorità per l’anno 2023 e del bilancio pluriennale, sul capitolo </w:t>
      </w:r>
      <w:r w:rsidRPr="007F0B04">
        <w:rPr>
          <w:rFonts w:ascii="Titillium" w:hAnsi="Titillium"/>
          <w:sz w:val="20"/>
          <w:szCs w:val="20"/>
        </w:rPr>
        <w:t>n</w:t>
      </w:r>
      <w:r w:rsidRPr="00F12E4F">
        <w:rPr>
          <w:rFonts w:ascii="Titillium" w:hAnsi="Titillium"/>
          <w:sz w:val="20"/>
          <w:szCs w:val="20"/>
        </w:rPr>
        <w:t xml:space="preserve">. </w:t>
      </w:r>
      <w:r w:rsidR="007A5321" w:rsidRPr="00F12E4F">
        <w:rPr>
          <w:rFonts w:ascii="Titillium" w:hAnsi="Titillium"/>
          <w:sz w:val="20"/>
          <w:szCs w:val="20"/>
        </w:rPr>
        <w:t>13109.</w:t>
      </w:r>
      <w:r w:rsidR="00AE602E">
        <w:rPr>
          <w:rFonts w:ascii="Titillium" w:hAnsi="Titillium"/>
          <w:sz w:val="20"/>
          <w:szCs w:val="20"/>
        </w:rPr>
        <w:t>121</w:t>
      </w:r>
      <w:r w:rsidR="00BD49DC" w:rsidRPr="00F12E4F">
        <w:rPr>
          <w:rFonts w:ascii="Titillium" w:hAnsi="Titillium"/>
          <w:sz w:val="20"/>
          <w:szCs w:val="20"/>
        </w:rPr>
        <w:t>:</w:t>
      </w:r>
    </w:p>
    <w:p w14:paraId="4BA25AF0" w14:textId="77777777" w:rsidR="00BD49DC" w:rsidRPr="007F0B04" w:rsidRDefault="00BD49DC" w:rsidP="007F0B04">
      <w:pPr>
        <w:pStyle w:val="Paragrafoelenco"/>
        <w:numPr>
          <w:ilvl w:val="0"/>
          <w:numId w:val="28"/>
        </w:num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7F0B04">
        <w:rPr>
          <w:rFonts w:ascii="Titillium" w:hAnsi="Titillium"/>
          <w:sz w:val="20"/>
          <w:szCs w:val="20"/>
        </w:rPr>
        <w:t>€ 173.459,60 per l’anno 2023;</w:t>
      </w:r>
    </w:p>
    <w:p w14:paraId="69287576" w14:textId="77777777" w:rsidR="00BD49DC" w:rsidRPr="007F0B04" w:rsidRDefault="00BD49DC" w:rsidP="007F0B04">
      <w:pPr>
        <w:pStyle w:val="Paragrafoelenco"/>
        <w:numPr>
          <w:ilvl w:val="0"/>
          <w:numId w:val="28"/>
        </w:num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7F0B04">
        <w:rPr>
          <w:rFonts w:ascii="Titillium" w:hAnsi="Titillium"/>
          <w:sz w:val="20"/>
          <w:szCs w:val="20"/>
        </w:rPr>
        <w:t>€ 173.459,60 per l’anno 2024;</w:t>
      </w:r>
    </w:p>
    <w:p w14:paraId="5C06C5E1" w14:textId="4D3431E5" w:rsidR="003362DE" w:rsidRPr="007F0B04" w:rsidRDefault="00BD49DC" w:rsidP="007F0B04">
      <w:pPr>
        <w:pStyle w:val="Paragrafoelenco"/>
        <w:numPr>
          <w:ilvl w:val="0"/>
          <w:numId w:val="28"/>
        </w:num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7F0B04">
        <w:rPr>
          <w:rFonts w:ascii="Titillium" w:hAnsi="Titillium"/>
          <w:sz w:val="20"/>
          <w:szCs w:val="20"/>
        </w:rPr>
        <w:t>€ 88.498,80 per l’anno 2025.</w:t>
      </w:r>
    </w:p>
    <w:p w14:paraId="0AE23FBA" w14:textId="77777777" w:rsidR="00A327C0" w:rsidRDefault="00042181" w:rsidP="00042181">
      <w:pPr>
        <w:spacing w:before="120" w:after="120" w:line="276" w:lineRule="auto"/>
        <w:jc w:val="both"/>
        <w:rPr>
          <w:rFonts w:ascii="Titillium" w:hAnsi="Titillium"/>
          <w:sz w:val="20"/>
          <w:szCs w:val="20"/>
        </w:rPr>
      </w:pPr>
      <w:r w:rsidRPr="00E67425">
        <w:rPr>
          <w:rFonts w:ascii="Titillium" w:hAnsi="Titillium"/>
          <w:sz w:val="20"/>
          <w:szCs w:val="20"/>
        </w:rPr>
        <w:t>Il Responsabile unico del procedimento di cui all’art</w:t>
      </w:r>
      <w:r w:rsidR="003362DE" w:rsidRPr="00E67425">
        <w:rPr>
          <w:rFonts w:ascii="Titillium" w:hAnsi="Titillium"/>
          <w:sz w:val="20"/>
          <w:szCs w:val="20"/>
        </w:rPr>
        <w:t xml:space="preserve">. 31 del d.lgs. n. 50/2016 è il </w:t>
      </w:r>
      <w:r w:rsidR="003362DE" w:rsidRPr="00E67425">
        <w:rPr>
          <w:rFonts w:ascii="Titillium" w:hAnsi="Titillium"/>
          <w:sz w:val="20"/>
          <w:szCs w:val="20"/>
        </w:rPr>
        <w:softHyphen/>
      </w:r>
      <w:r w:rsidR="003362DE" w:rsidRPr="00E67425">
        <w:rPr>
          <w:rFonts w:ascii="Titillium" w:hAnsi="Titillium"/>
          <w:sz w:val="20"/>
          <w:szCs w:val="20"/>
        </w:rPr>
        <w:softHyphen/>
      </w:r>
      <w:r w:rsidR="003362DE" w:rsidRPr="00E67425">
        <w:rPr>
          <w:rFonts w:ascii="Titillium" w:hAnsi="Titillium"/>
          <w:sz w:val="20"/>
          <w:szCs w:val="20"/>
        </w:rPr>
        <w:softHyphen/>
      </w:r>
      <w:r w:rsidR="003362DE" w:rsidRPr="00E67425">
        <w:rPr>
          <w:rFonts w:ascii="Titillium" w:hAnsi="Titillium"/>
          <w:sz w:val="20"/>
          <w:szCs w:val="20"/>
        </w:rPr>
        <w:softHyphen/>
      </w:r>
      <w:r w:rsidR="003362DE" w:rsidRPr="00E67425">
        <w:rPr>
          <w:rFonts w:ascii="Titillium" w:hAnsi="Titillium"/>
          <w:sz w:val="20"/>
          <w:szCs w:val="20"/>
        </w:rPr>
        <w:softHyphen/>
      </w:r>
      <w:r w:rsidR="00972AE2" w:rsidRPr="00E67425">
        <w:rPr>
          <w:rFonts w:ascii="Titillium" w:hAnsi="Titillium"/>
          <w:sz w:val="20"/>
          <w:szCs w:val="20"/>
        </w:rPr>
        <w:t>dirigent</w:t>
      </w:r>
      <w:r w:rsidR="004B6825" w:rsidRPr="00E67425">
        <w:rPr>
          <w:rFonts w:ascii="Titillium" w:hAnsi="Titillium"/>
          <w:sz w:val="20"/>
          <w:szCs w:val="20"/>
        </w:rPr>
        <w:t>e dell’Ufficio Gare</w:t>
      </w:r>
      <w:r w:rsidR="00953FA4" w:rsidRPr="00E67425">
        <w:rPr>
          <w:rFonts w:ascii="Titillium" w:hAnsi="Titillium"/>
          <w:sz w:val="20"/>
          <w:szCs w:val="20"/>
        </w:rPr>
        <w:t xml:space="preserve"> e Logistica, Ilario Sorrentino e i</w:t>
      </w:r>
      <w:r w:rsidRPr="00E67425">
        <w:rPr>
          <w:rFonts w:ascii="Titillium" w:hAnsi="Titillium"/>
          <w:sz w:val="20"/>
          <w:szCs w:val="20"/>
        </w:rPr>
        <w:t xml:space="preserve">l Direttore dell’esecuzione del contratto è </w:t>
      </w:r>
      <w:r w:rsidR="009746C6" w:rsidRPr="00E67425">
        <w:rPr>
          <w:rFonts w:ascii="Titillium" w:hAnsi="Titillium"/>
          <w:sz w:val="20"/>
          <w:szCs w:val="20"/>
        </w:rPr>
        <w:t>il Dott. Stefano Fuligni</w:t>
      </w:r>
      <w:r w:rsidRPr="00E67425">
        <w:rPr>
          <w:rFonts w:ascii="Titillium" w:hAnsi="Titillium"/>
          <w:sz w:val="20"/>
          <w:szCs w:val="20"/>
        </w:rPr>
        <w:t xml:space="preserve">, dirigente dell’Ufficio </w:t>
      </w:r>
      <w:r w:rsidR="003362DE" w:rsidRPr="00E67425">
        <w:rPr>
          <w:rFonts w:ascii="Titillium" w:hAnsi="Titillium"/>
          <w:sz w:val="20"/>
          <w:szCs w:val="20"/>
        </w:rPr>
        <w:t>USCP - Servizi IT per i contratti pubblici</w:t>
      </w:r>
      <w:r w:rsidR="00953FA4" w:rsidRPr="00E67425">
        <w:rPr>
          <w:rFonts w:ascii="Titillium" w:hAnsi="Titillium"/>
          <w:sz w:val="20"/>
          <w:szCs w:val="20"/>
        </w:rPr>
        <w:t>, con riserva di eventuale aggiornamento delle figure incaricate successivamente al perfezionamento dell’atto negoziale.</w:t>
      </w:r>
    </w:p>
    <w:tbl>
      <w:tblPr>
        <w:tblW w:w="4118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4"/>
        <w:gridCol w:w="2399"/>
        <w:gridCol w:w="2539"/>
      </w:tblGrid>
      <w:tr w:rsidR="00FF1F2B" w:rsidRPr="00B23DE4" w14:paraId="0DC35812" w14:textId="77777777" w:rsidTr="00624C6B">
        <w:trPr>
          <w:trHeight w:val="658"/>
        </w:trPr>
        <w:tc>
          <w:tcPr>
            <w:tcW w:w="1696" w:type="pct"/>
            <w:shd w:val="clear" w:color="auto" w:fill="2770B7"/>
            <w:vAlign w:val="center"/>
          </w:tcPr>
          <w:p w14:paraId="24B38722" w14:textId="77777777" w:rsidR="00FF1F2B" w:rsidRPr="001A08DC" w:rsidRDefault="00FF1F2B" w:rsidP="00624C6B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14:paraId="1653DE8C" w14:textId="77777777" w:rsidR="00FF1F2B" w:rsidRPr="00B23DE4" w:rsidRDefault="00FF1F2B" w:rsidP="00624C6B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14:paraId="2A8D675E" w14:textId="77777777" w:rsidR="00FF1F2B" w:rsidRPr="00B23DE4" w:rsidRDefault="00FF1F2B" w:rsidP="00624C6B">
            <w:pPr>
              <w:pStyle w:val="ANCATABELLATITOLOBIANCO"/>
              <w:ind w:left="0"/>
              <w:rPr>
                <w:lang w:val="it-IT"/>
              </w:rPr>
            </w:pPr>
            <w:r w:rsidRPr="00B23DE4">
              <w:rPr>
                <w:lang w:val="it-IT"/>
              </w:rPr>
              <w:t xml:space="preserve">Il </w:t>
            </w:r>
            <w:r>
              <w:rPr>
                <w:lang w:val="it-IT"/>
              </w:rPr>
              <w:t>Segretario Generale</w:t>
            </w:r>
            <w:r w:rsidRPr="00B23DE4">
              <w:rPr>
                <w:lang w:val="it-IT"/>
              </w:rPr>
              <w:t xml:space="preserve"> </w:t>
            </w:r>
            <w:r w:rsidR="00B42986">
              <w:rPr>
                <w:lang w:val="it-IT"/>
              </w:rPr>
              <w:t>Vicario</w:t>
            </w:r>
          </w:p>
        </w:tc>
      </w:tr>
      <w:tr w:rsidR="00FF1F2B" w:rsidRPr="00627BF7" w14:paraId="0A0C92DD" w14:textId="77777777" w:rsidTr="00624C6B">
        <w:trPr>
          <w:trHeight w:val="233"/>
        </w:trPr>
        <w:tc>
          <w:tcPr>
            <w:tcW w:w="1696" w:type="pct"/>
            <w:shd w:val="clear" w:color="auto" w:fill="auto"/>
            <w:vAlign w:val="center"/>
          </w:tcPr>
          <w:p w14:paraId="1A1652A1" w14:textId="77777777" w:rsidR="00FF1F2B" w:rsidRPr="00627BF7" w:rsidRDefault="00FF1F2B" w:rsidP="00624C6B">
            <w:pPr>
              <w:rPr>
                <w:i/>
              </w:rPr>
            </w:pPr>
          </w:p>
        </w:tc>
        <w:tc>
          <w:tcPr>
            <w:tcW w:w="1605" w:type="pct"/>
            <w:vAlign w:val="center"/>
          </w:tcPr>
          <w:p w14:paraId="656CA4C8" w14:textId="77777777" w:rsidR="00FF1F2B" w:rsidRPr="0048168A" w:rsidRDefault="00FF1F2B" w:rsidP="00624C6B">
            <w:pPr>
              <w:rPr>
                <w:rFonts w:ascii="Titillium" w:hAnsi="Titillium"/>
                <w:i/>
                <w:sz w:val="20"/>
                <w:szCs w:val="20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14:paraId="13FA72A3" w14:textId="77777777" w:rsidR="00FF1F2B" w:rsidRPr="0048168A" w:rsidRDefault="00B42986" w:rsidP="00624C6B">
            <w:pPr>
              <w:rPr>
                <w:rFonts w:ascii="Titillium" w:hAnsi="Titillium"/>
                <w:i/>
                <w:sz w:val="20"/>
                <w:szCs w:val="20"/>
              </w:rPr>
            </w:pPr>
            <w:r>
              <w:rPr>
                <w:rFonts w:ascii="Titillium" w:hAnsi="Titillium"/>
                <w:i/>
                <w:sz w:val="20"/>
                <w:szCs w:val="20"/>
              </w:rPr>
              <w:t>Ing. Maurizio Ivagnes</w:t>
            </w:r>
          </w:p>
        </w:tc>
      </w:tr>
    </w:tbl>
    <w:p w14:paraId="1F6ACBE1" w14:textId="77777777" w:rsidR="00FF1F2B" w:rsidRDefault="00FF1F2B" w:rsidP="00FF1F2B">
      <w:pPr>
        <w:spacing w:after="120" w:line="276" w:lineRule="auto"/>
        <w:jc w:val="both"/>
        <w:rPr>
          <w:rFonts w:ascii="Garamond" w:hAnsi="Garamond"/>
        </w:rPr>
      </w:pPr>
    </w:p>
    <w:p w14:paraId="5F1C34ED" w14:textId="77777777" w:rsidR="00783D28" w:rsidRDefault="00783D28" w:rsidP="00FF1F2B">
      <w:pPr>
        <w:spacing w:after="120" w:line="276" w:lineRule="auto"/>
        <w:jc w:val="both"/>
        <w:rPr>
          <w:rFonts w:ascii="Garamond" w:hAnsi="Garamond"/>
        </w:rPr>
      </w:pPr>
    </w:p>
    <w:p w14:paraId="58275F28" w14:textId="77777777" w:rsidR="00FF1F2B" w:rsidRDefault="00FF1F2B" w:rsidP="00FF1F2B">
      <w:pPr>
        <w:spacing w:after="120" w:line="276" w:lineRule="auto"/>
        <w:rPr>
          <w:rFonts w:ascii="Garamond" w:hAnsi="Garamond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E1DF0">
        <w:rPr>
          <w:rFonts w:ascii="Garamond" w:hAnsi="Garamond"/>
        </w:rPr>
        <w:tab/>
      </w:r>
      <w:r w:rsidRPr="00AE1DF0">
        <w:rPr>
          <w:rFonts w:ascii="Garamond" w:hAnsi="Garamond"/>
        </w:rPr>
        <w:tab/>
      </w:r>
      <w:r w:rsidRPr="00AE1DF0">
        <w:rPr>
          <w:rFonts w:ascii="Garamond" w:hAnsi="Garamond"/>
        </w:rPr>
        <w:tab/>
      </w:r>
      <w:r w:rsidRPr="00AE1DF0">
        <w:rPr>
          <w:rFonts w:ascii="Garamond" w:hAnsi="Garamond"/>
        </w:rPr>
        <w:tab/>
      </w:r>
      <w:r w:rsidRPr="00AE1DF0">
        <w:rPr>
          <w:rFonts w:ascii="Garamond" w:hAnsi="Garamond"/>
        </w:rPr>
        <w:tab/>
      </w:r>
      <w:r w:rsidRPr="00AE1DF0">
        <w:rPr>
          <w:rFonts w:ascii="Garamond" w:hAnsi="Garamond"/>
          <w:i/>
        </w:rPr>
        <w:t xml:space="preserve"> </w:t>
      </w:r>
      <w:r w:rsidRPr="00AE1DF0">
        <w:rPr>
          <w:rFonts w:ascii="Garamond" w:hAnsi="Garamond"/>
          <w:i/>
        </w:rPr>
        <w:tab/>
      </w:r>
    </w:p>
    <w:tbl>
      <w:tblPr>
        <w:tblW w:w="2471" w:type="pc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3"/>
      </w:tblGrid>
      <w:tr w:rsidR="00FF1F2B" w:rsidRPr="000E1983" w14:paraId="59873471" w14:textId="77777777" w:rsidTr="00624C6B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14:paraId="797A736B" w14:textId="77777777" w:rsidR="00FF1F2B" w:rsidRDefault="00FF1F2B" w:rsidP="00624C6B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4908">
              <w:rPr>
                <w:lang w:val="it-IT"/>
              </w:rPr>
              <w:t>Visto</w:t>
            </w:r>
          </w:p>
          <w:p w14:paraId="69AAD3AB" w14:textId="77777777" w:rsidR="00FF1F2B" w:rsidRPr="004E4908" w:rsidRDefault="00FF1F2B" w:rsidP="00BF353D">
            <w:pPr>
              <w:pStyle w:val="ANCATABELLATITOLOBIANCO"/>
              <w:tabs>
                <w:tab w:val="clear" w:pos="284"/>
                <w:tab w:val="left" w:pos="82"/>
              </w:tabs>
              <w:ind w:left="0"/>
              <w:jc w:val="center"/>
              <w:rPr>
                <w:lang w:val="it-IT"/>
              </w:rPr>
            </w:pPr>
            <w:r w:rsidRPr="004E4908">
              <w:rPr>
                <w:lang w:val="it-IT"/>
              </w:rPr>
              <w:t>Il Dirigente dell’Ufficio Gare e logistica</w:t>
            </w:r>
          </w:p>
        </w:tc>
      </w:tr>
      <w:tr w:rsidR="00FF1F2B" w:rsidRPr="00627BF7" w14:paraId="49509798" w14:textId="77777777" w:rsidTr="00624C6B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14:paraId="32F3AD6A" w14:textId="77777777" w:rsidR="00FF1F2B" w:rsidRPr="004B6825" w:rsidRDefault="004B6825" w:rsidP="00624C6B">
            <w:pPr>
              <w:tabs>
                <w:tab w:val="left" w:pos="82"/>
              </w:tabs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4B6825">
              <w:rPr>
                <w:rFonts w:ascii="Titillium" w:hAnsi="Titillium"/>
                <w:i/>
                <w:sz w:val="20"/>
                <w:szCs w:val="20"/>
              </w:rPr>
              <w:t>Ilario Sorrentino</w:t>
            </w:r>
          </w:p>
        </w:tc>
      </w:tr>
    </w:tbl>
    <w:p w14:paraId="33D48520" w14:textId="77777777" w:rsidR="00FF1F2B" w:rsidRDefault="00FF1F2B" w:rsidP="009715D2">
      <w:pPr>
        <w:ind w:firstLine="1276"/>
        <w:rPr>
          <w:rFonts w:ascii="Titillium" w:hAnsi="Titillium"/>
          <w:noProof/>
          <w:sz w:val="20"/>
          <w:szCs w:val="20"/>
        </w:rPr>
      </w:pPr>
    </w:p>
    <w:p w14:paraId="7B03ED78" w14:textId="77777777" w:rsidR="0022081F" w:rsidRDefault="0022081F" w:rsidP="009715D2">
      <w:pPr>
        <w:ind w:firstLine="1276"/>
        <w:rPr>
          <w:rFonts w:ascii="Titillium" w:hAnsi="Titillium"/>
          <w:noProof/>
          <w:sz w:val="20"/>
          <w:szCs w:val="20"/>
        </w:rPr>
      </w:pPr>
    </w:p>
    <w:p w14:paraId="60BA146B" w14:textId="77777777" w:rsidR="0022081F" w:rsidRDefault="0022081F" w:rsidP="009715D2">
      <w:pPr>
        <w:ind w:firstLine="1276"/>
        <w:rPr>
          <w:rFonts w:ascii="Titillium" w:hAnsi="Titillium"/>
          <w:sz w:val="20"/>
          <w:szCs w:val="20"/>
        </w:rPr>
      </w:pPr>
    </w:p>
    <w:p w14:paraId="5DAE4894" w14:textId="77777777" w:rsidR="00783D28" w:rsidRDefault="00783D28" w:rsidP="009715D2">
      <w:pPr>
        <w:ind w:firstLine="1276"/>
        <w:rPr>
          <w:rFonts w:ascii="Titillium" w:hAnsi="Titillium"/>
          <w:sz w:val="20"/>
          <w:szCs w:val="20"/>
        </w:rPr>
      </w:pPr>
    </w:p>
    <w:p w14:paraId="02232B56" w14:textId="77777777" w:rsidR="00FF1F2B" w:rsidRDefault="00FF1F2B" w:rsidP="009715D2">
      <w:pPr>
        <w:spacing w:after="120"/>
        <w:rPr>
          <w:rFonts w:ascii="Titillium" w:hAnsi="Titillium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3"/>
      </w:tblGrid>
      <w:tr w:rsidR="00FF1F2B" w:rsidRPr="004E4908" w14:paraId="59B80DA7" w14:textId="77777777" w:rsidTr="00624C6B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14:paraId="1A42465B" w14:textId="77777777" w:rsidR="00FF1F2B" w:rsidRDefault="00FF1F2B" w:rsidP="00624C6B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4908">
              <w:rPr>
                <w:lang w:val="it-IT"/>
              </w:rPr>
              <w:t>Visto</w:t>
            </w:r>
            <w:r>
              <w:rPr>
                <w:lang w:val="it-IT"/>
              </w:rPr>
              <w:t xml:space="preserve"> per la copertura finanziaria</w:t>
            </w:r>
          </w:p>
          <w:p w14:paraId="7B91C8CE" w14:textId="77777777" w:rsidR="00FF1F2B" w:rsidRDefault="00FF1F2B" w:rsidP="00624C6B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4908">
              <w:rPr>
                <w:lang w:val="it-IT"/>
              </w:rPr>
              <w:t xml:space="preserve">Il Dirigente dell’Ufficio Programmazione </w:t>
            </w:r>
          </w:p>
          <w:p w14:paraId="22D17D13" w14:textId="77777777" w:rsidR="00FF1F2B" w:rsidRPr="004E4908" w:rsidRDefault="00FF1F2B" w:rsidP="00624C6B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4908">
              <w:rPr>
                <w:lang w:val="it-IT"/>
              </w:rPr>
              <w:t>delle risorse</w:t>
            </w:r>
            <w:r>
              <w:rPr>
                <w:lang w:val="it-IT"/>
              </w:rPr>
              <w:t xml:space="preserve"> </w:t>
            </w:r>
            <w:r w:rsidRPr="004E4908">
              <w:rPr>
                <w:lang w:val="it-IT"/>
              </w:rPr>
              <w:t>finanziarie, bilancio e co</w:t>
            </w:r>
            <w:r w:rsidR="00D42ACC">
              <w:rPr>
                <w:lang w:val="it-IT"/>
              </w:rPr>
              <w:t>ntabilità</w:t>
            </w:r>
          </w:p>
        </w:tc>
      </w:tr>
      <w:tr w:rsidR="00FF1F2B" w:rsidRPr="004E4908" w14:paraId="20E9D79C" w14:textId="77777777" w:rsidTr="00624C6B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14:paraId="04F0B203" w14:textId="77777777" w:rsidR="00FF1F2B" w:rsidRPr="004B6825" w:rsidRDefault="00FF1F2B" w:rsidP="00624C6B">
            <w:pPr>
              <w:tabs>
                <w:tab w:val="left" w:pos="82"/>
              </w:tabs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4B6825">
              <w:rPr>
                <w:rFonts w:ascii="Titillium" w:hAnsi="Titillium"/>
                <w:i/>
                <w:sz w:val="20"/>
                <w:szCs w:val="20"/>
              </w:rPr>
              <w:t>Stefano Ceccarelli</w:t>
            </w:r>
          </w:p>
        </w:tc>
      </w:tr>
    </w:tbl>
    <w:p w14:paraId="46015031" w14:textId="77777777" w:rsidR="003161DE" w:rsidRPr="00FF1F2B" w:rsidRDefault="00FF1F2B" w:rsidP="00CA68DD">
      <w:pPr>
        <w:spacing w:before="120" w:after="120"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br w:type="textWrapping" w:clear="all"/>
      </w:r>
    </w:p>
    <w:sectPr w:rsidR="003161DE" w:rsidRPr="00FF1F2B" w:rsidSect="00BF353D">
      <w:headerReference w:type="default" r:id="rId9"/>
      <w:footerReference w:type="default" r:id="rId10"/>
      <w:headerReference w:type="first" r:id="rId11"/>
      <w:pgSz w:w="11906" w:h="16838"/>
      <w:pgMar w:top="1134" w:right="1416" w:bottom="1276" w:left="1418" w:header="284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2DF86" w14:textId="77777777" w:rsidR="00F95425" w:rsidRDefault="00F95425" w:rsidP="000A07AD">
      <w:r>
        <w:separator/>
      </w:r>
    </w:p>
  </w:endnote>
  <w:endnote w:type="continuationSeparator" w:id="0">
    <w:p w14:paraId="32E045BF" w14:textId="77777777" w:rsidR="00F95425" w:rsidRDefault="00F95425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Titillium-Regular">
    <w:panose1 w:val="0000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8F89" w14:textId="60681157" w:rsidR="00FF1F2B" w:rsidRPr="00FD5BC7" w:rsidRDefault="00FF1F2B" w:rsidP="00FF1F2B">
    <w:pPr>
      <w:pStyle w:val="Pidipagina"/>
      <w:rPr>
        <w:rFonts w:ascii="Gotham Medium" w:hAnsi="Gotham Medium"/>
        <w:color w:val="2770B7"/>
        <w:sz w:val="18"/>
        <w:szCs w:val="18"/>
      </w:rPr>
    </w:pPr>
    <w:r w:rsidRPr="00FD5BC7">
      <w:rPr>
        <w:rFonts w:ascii="Gotham Medium" w:hAnsi="Gotham Medium"/>
        <w:color w:val="2770B7"/>
        <w:sz w:val="18"/>
        <w:szCs w:val="18"/>
      </w:rPr>
      <w:fldChar w:fldCharType="begin"/>
    </w:r>
    <w:r w:rsidRPr="00FD5BC7">
      <w:rPr>
        <w:rFonts w:ascii="Gotham Medium" w:hAnsi="Gotham Medium"/>
        <w:color w:val="2770B7"/>
        <w:sz w:val="18"/>
        <w:szCs w:val="18"/>
      </w:rPr>
      <w:instrText>PAGE  \* Arabic</w:instrText>
    </w:r>
    <w:r w:rsidRPr="00FD5BC7">
      <w:rPr>
        <w:rFonts w:ascii="Gotham Medium" w:hAnsi="Gotham Medium"/>
        <w:color w:val="2770B7"/>
        <w:sz w:val="18"/>
        <w:szCs w:val="18"/>
      </w:rPr>
      <w:fldChar w:fldCharType="separate"/>
    </w:r>
    <w:r w:rsidR="004B7D4D">
      <w:rPr>
        <w:rFonts w:ascii="Gotham Medium" w:hAnsi="Gotham Medium"/>
        <w:noProof/>
        <w:color w:val="2770B7"/>
        <w:sz w:val="18"/>
        <w:szCs w:val="18"/>
      </w:rPr>
      <w:t>2</w:t>
    </w:r>
    <w:r w:rsidRPr="00FD5BC7">
      <w:rPr>
        <w:rFonts w:ascii="Gotham Medium" w:hAnsi="Gotham Medium"/>
        <w:color w:val="2770B7"/>
        <w:sz w:val="18"/>
        <w:szCs w:val="18"/>
      </w:rPr>
      <w:fldChar w:fldCharType="end"/>
    </w:r>
    <w:r w:rsidRPr="00FD5BC7">
      <w:rPr>
        <w:rFonts w:ascii="Gotham Medium" w:hAnsi="Gotham Medium"/>
        <w:color w:val="2770B7"/>
        <w:sz w:val="18"/>
        <w:szCs w:val="18"/>
      </w:rPr>
      <w:t xml:space="preserve">  |  </w:t>
    </w:r>
    <w:r w:rsidRPr="00FD5BC7">
      <w:rPr>
        <w:rFonts w:ascii="Gotham Light" w:hAnsi="Gotham Light"/>
        <w:color w:val="2770B7"/>
        <w:sz w:val="18"/>
        <w:szCs w:val="18"/>
      </w:rPr>
      <w:t>AUTORITÀ NAZIONALE ANTICORRUZIONE</w:t>
    </w:r>
  </w:p>
  <w:p w14:paraId="19A36DF0" w14:textId="77777777" w:rsidR="002818E0" w:rsidRDefault="00281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8B1A" w14:textId="77777777" w:rsidR="00F95425" w:rsidRDefault="00F95425" w:rsidP="000A07AD">
      <w:r>
        <w:separator/>
      </w:r>
    </w:p>
  </w:footnote>
  <w:footnote w:type="continuationSeparator" w:id="0">
    <w:p w14:paraId="40EFB0EA" w14:textId="77777777" w:rsidR="00F95425" w:rsidRDefault="00F95425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B0266" w14:textId="77777777" w:rsidR="00FF1F2B" w:rsidRDefault="00FF1F2B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noProof/>
        <w:color w:val="1F497D"/>
        <w:w w:val="66"/>
        <w:sz w:val="28"/>
        <w:szCs w:val="28"/>
      </w:rPr>
    </w:pPr>
  </w:p>
  <w:p w14:paraId="2E47C392" w14:textId="77777777" w:rsidR="00FF1F2B" w:rsidRDefault="00FF1F2B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noProof/>
        <w:color w:val="1F497D"/>
        <w:w w:val="66"/>
        <w:sz w:val="28"/>
        <w:szCs w:val="28"/>
      </w:rPr>
    </w:pPr>
  </w:p>
  <w:p w14:paraId="12267A94" w14:textId="77777777" w:rsidR="00FF1F2B" w:rsidRDefault="00FF1F2B" w:rsidP="00FF1F2B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 w:rsidRPr="00812E18">
      <w:rPr>
        <w:noProof/>
      </w:rPr>
      <w:drawing>
        <wp:anchor distT="0" distB="0" distL="114300" distR="114300" simplePos="0" relativeHeight="251661312" behindDoc="0" locked="0" layoutInCell="1" allowOverlap="1" wp14:anchorId="6C5C96E5" wp14:editId="3715BF23">
          <wp:simplePos x="0" y="0"/>
          <wp:positionH relativeFrom="margin">
            <wp:posOffset>0</wp:posOffset>
          </wp:positionH>
          <wp:positionV relativeFrom="margin">
            <wp:posOffset>-3914775</wp:posOffset>
          </wp:positionV>
          <wp:extent cx="2879725" cy="341630"/>
          <wp:effectExtent l="0" t="0" r="0" b="127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F667" w14:textId="77777777" w:rsidR="00BF353D" w:rsidRDefault="00BF353D">
    <w:pPr>
      <w:pStyle w:val="Intestazione"/>
    </w:pPr>
    <w:r w:rsidRPr="00812E18">
      <w:rPr>
        <w:noProof/>
      </w:rPr>
      <w:drawing>
        <wp:anchor distT="0" distB="0" distL="114300" distR="114300" simplePos="0" relativeHeight="251665408" behindDoc="0" locked="0" layoutInCell="1" allowOverlap="1" wp14:anchorId="58526393" wp14:editId="6BC2F1A4">
          <wp:simplePos x="0" y="0"/>
          <wp:positionH relativeFrom="margin">
            <wp:posOffset>-68239</wp:posOffset>
          </wp:positionH>
          <wp:positionV relativeFrom="margin">
            <wp:posOffset>-845915</wp:posOffset>
          </wp:positionV>
          <wp:extent cx="2879725" cy="341630"/>
          <wp:effectExtent l="0" t="0" r="0" b="127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CDA72E" w14:textId="77777777" w:rsidR="00BF353D" w:rsidRDefault="00BF353D">
    <w:pPr>
      <w:pStyle w:val="Intestazione"/>
    </w:pPr>
  </w:p>
  <w:p w14:paraId="079380C8" w14:textId="77777777" w:rsidR="00BF353D" w:rsidRDefault="00BF353D">
    <w:pPr>
      <w:pStyle w:val="Intestazione"/>
    </w:pPr>
  </w:p>
  <w:p w14:paraId="40C02FCE" w14:textId="77777777" w:rsidR="00BF353D" w:rsidRDefault="00BF353D">
    <w:pPr>
      <w:pStyle w:val="Intestazione"/>
    </w:pPr>
  </w:p>
  <w:p w14:paraId="27F6BFB0" w14:textId="77777777" w:rsidR="00BF353D" w:rsidRPr="00BF353D" w:rsidRDefault="00BF353D" w:rsidP="00BF353D">
    <w:pPr>
      <w:tabs>
        <w:tab w:val="center" w:pos="4678"/>
      </w:tabs>
      <w:ind w:right="284"/>
      <w:rPr>
        <w:rFonts w:ascii="Gotham Light" w:hAnsi="Gotham Light"/>
        <w:color w:val="1F497D"/>
      </w:rPr>
    </w:pPr>
    <w:r w:rsidRPr="00BF353D">
      <w:rPr>
        <w:rFonts w:ascii="Gotham Light" w:hAnsi="Gotham Light"/>
        <w:color w:val="1F497D"/>
      </w:rPr>
      <w:t>Segretario Generale</w:t>
    </w:r>
  </w:p>
  <w:p w14:paraId="40249236" w14:textId="77777777" w:rsidR="00BF353D" w:rsidRDefault="00BF35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953CB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63F4E0C"/>
    <w:multiLevelType w:val="hybridMultilevel"/>
    <w:tmpl w:val="F46A3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239"/>
    <w:multiLevelType w:val="hybridMultilevel"/>
    <w:tmpl w:val="9EAE2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473"/>
    <w:multiLevelType w:val="hybridMultilevel"/>
    <w:tmpl w:val="45DA1278"/>
    <w:lvl w:ilvl="0" w:tplc="6294261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23BA0"/>
    <w:multiLevelType w:val="hybridMultilevel"/>
    <w:tmpl w:val="51104CE6"/>
    <w:lvl w:ilvl="0" w:tplc="ABFA0884">
      <w:start w:val="1"/>
      <w:numFmt w:val="lowerLetter"/>
      <w:lvlText w:val="%1)"/>
      <w:lvlJc w:val="left"/>
      <w:pPr>
        <w:ind w:left="3479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2260"/>
    <w:multiLevelType w:val="hybridMultilevel"/>
    <w:tmpl w:val="E5744AE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39C0B69"/>
    <w:multiLevelType w:val="hybridMultilevel"/>
    <w:tmpl w:val="8580FAEE"/>
    <w:lvl w:ilvl="0" w:tplc="8496E61C">
      <w:start w:val="1"/>
      <w:numFmt w:val="decimal"/>
      <w:pStyle w:val="Aaa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20"/>
        </w:tabs>
        <w:ind w:left="10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D393AEF"/>
    <w:multiLevelType w:val="hybridMultilevel"/>
    <w:tmpl w:val="6136D994"/>
    <w:lvl w:ilvl="0" w:tplc="D7427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D1BAD"/>
    <w:multiLevelType w:val="hybridMultilevel"/>
    <w:tmpl w:val="1FA6ADF8"/>
    <w:lvl w:ilvl="0" w:tplc="343EAAD4">
      <w:numFmt w:val="bullet"/>
      <w:lvlText w:val="-"/>
      <w:lvlJc w:val="left"/>
      <w:pPr>
        <w:ind w:left="108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A17DA6"/>
    <w:multiLevelType w:val="hybridMultilevel"/>
    <w:tmpl w:val="25B6FAD8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C543C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4448"/>
    <w:multiLevelType w:val="hybridMultilevel"/>
    <w:tmpl w:val="004A7C10"/>
    <w:lvl w:ilvl="0" w:tplc="2E361FD8">
      <w:numFmt w:val="bullet"/>
      <w:lvlText w:val="-"/>
      <w:lvlJc w:val="left"/>
      <w:pPr>
        <w:ind w:left="786" w:hanging="360"/>
      </w:pPr>
      <w:rPr>
        <w:rFonts w:ascii="Titillium" w:eastAsia="Times New Roman" w:hAnsi="Titill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1C00CF"/>
    <w:multiLevelType w:val="hybridMultilevel"/>
    <w:tmpl w:val="638C8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C21"/>
    <w:multiLevelType w:val="hybridMultilevel"/>
    <w:tmpl w:val="41943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7FBF"/>
    <w:multiLevelType w:val="hybridMultilevel"/>
    <w:tmpl w:val="638C8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015F4"/>
    <w:multiLevelType w:val="hybridMultilevel"/>
    <w:tmpl w:val="D15C66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13817"/>
    <w:multiLevelType w:val="hybridMultilevel"/>
    <w:tmpl w:val="11006D0C"/>
    <w:lvl w:ilvl="0" w:tplc="6DACF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D60213"/>
    <w:multiLevelType w:val="hybridMultilevel"/>
    <w:tmpl w:val="83408EFE"/>
    <w:lvl w:ilvl="0" w:tplc="6DACF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347589"/>
    <w:multiLevelType w:val="hybridMultilevel"/>
    <w:tmpl w:val="6CF43CD6"/>
    <w:lvl w:ilvl="0" w:tplc="018EDE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4327B"/>
    <w:multiLevelType w:val="hybridMultilevel"/>
    <w:tmpl w:val="B8841D8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</w:num>
  <w:num w:numId="9">
    <w:abstractNumId w:val="17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0"/>
  </w:num>
  <w:num w:numId="17">
    <w:abstractNumId w:val="23"/>
  </w:num>
  <w:num w:numId="18">
    <w:abstractNumId w:val="21"/>
  </w:num>
  <w:num w:numId="19">
    <w:abstractNumId w:val="19"/>
  </w:num>
  <w:num w:numId="20">
    <w:abstractNumId w:val="1"/>
  </w:num>
  <w:num w:numId="21">
    <w:abstractNumId w:val="14"/>
  </w:num>
  <w:num w:numId="22">
    <w:abstractNumId w:val="16"/>
  </w:num>
  <w:num w:numId="23">
    <w:abstractNumId w:val="11"/>
  </w:num>
  <w:num w:numId="24">
    <w:abstractNumId w:val="2"/>
  </w:num>
  <w:num w:numId="25">
    <w:abstractNumId w:val="8"/>
  </w:num>
  <w:num w:numId="26">
    <w:abstractNumId w:val="20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9"/>
    <w:rsid w:val="000065EA"/>
    <w:rsid w:val="0001697E"/>
    <w:rsid w:val="000171A5"/>
    <w:rsid w:val="00017768"/>
    <w:rsid w:val="000221A9"/>
    <w:rsid w:val="0002403F"/>
    <w:rsid w:val="00024A81"/>
    <w:rsid w:val="00025E15"/>
    <w:rsid w:val="0003377A"/>
    <w:rsid w:val="00035265"/>
    <w:rsid w:val="00035F22"/>
    <w:rsid w:val="000408A9"/>
    <w:rsid w:val="00042181"/>
    <w:rsid w:val="00042978"/>
    <w:rsid w:val="00043795"/>
    <w:rsid w:val="00051F95"/>
    <w:rsid w:val="00052573"/>
    <w:rsid w:val="00052D3E"/>
    <w:rsid w:val="00067555"/>
    <w:rsid w:val="00073C08"/>
    <w:rsid w:val="000745F5"/>
    <w:rsid w:val="00077C59"/>
    <w:rsid w:val="00080226"/>
    <w:rsid w:val="000907A0"/>
    <w:rsid w:val="00091F9B"/>
    <w:rsid w:val="00093D64"/>
    <w:rsid w:val="00094C01"/>
    <w:rsid w:val="00096765"/>
    <w:rsid w:val="000A07AD"/>
    <w:rsid w:val="000A1876"/>
    <w:rsid w:val="000A6FF9"/>
    <w:rsid w:val="000B069F"/>
    <w:rsid w:val="000B5611"/>
    <w:rsid w:val="000B62D4"/>
    <w:rsid w:val="000C2349"/>
    <w:rsid w:val="000C4809"/>
    <w:rsid w:val="000C4AB8"/>
    <w:rsid w:val="000C5948"/>
    <w:rsid w:val="000D0EC1"/>
    <w:rsid w:val="000D0FB1"/>
    <w:rsid w:val="000D2722"/>
    <w:rsid w:val="000D5D70"/>
    <w:rsid w:val="000D7DC7"/>
    <w:rsid w:val="000E1BA4"/>
    <w:rsid w:val="000F111A"/>
    <w:rsid w:val="000F31CE"/>
    <w:rsid w:val="001114EF"/>
    <w:rsid w:val="00115F13"/>
    <w:rsid w:val="0012576B"/>
    <w:rsid w:val="00131344"/>
    <w:rsid w:val="001314DD"/>
    <w:rsid w:val="0013551E"/>
    <w:rsid w:val="001414D0"/>
    <w:rsid w:val="00143F38"/>
    <w:rsid w:val="001605F3"/>
    <w:rsid w:val="00164302"/>
    <w:rsid w:val="00175F0E"/>
    <w:rsid w:val="00177E73"/>
    <w:rsid w:val="0018240A"/>
    <w:rsid w:val="001858ED"/>
    <w:rsid w:val="00192ACD"/>
    <w:rsid w:val="0019711F"/>
    <w:rsid w:val="001A7405"/>
    <w:rsid w:val="001B1EE8"/>
    <w:rsid w:val="001B45A3"/>
    <w:rsid w:val="001C17F2"/>
    <w:rsid w:val="001E585A"/>
    <w:rsid w:val="001F500D"/>
    <w:rsid w:val="001F5021"/>
    <w:rsid w:val="0021207A"/>
    <w:rsid w:val="0022081F"/>
    <w:rsid w:val="00224126"/>
    <w:rsid w:val="002242CF"/>
    <w:rsid w:val="00226059"/>
    <w:rsid w:val="002418B1"/>
    <w:rsid w:val="00244226"/>
    <w:rsid w:val="00262027"/>
    <w:rsid w:val="002707E4"/>
    <w:rsid w:val="002760D8"/>
    <w:rsid w:val="002818E0"/>
    <w:rsid w:val="002916E3"/>
    <w:rsid w:val="00293C90"/>
    <w:rsid w:val="002A250D"/>
    <w:rsid w:val="002A3307"/>
    <w:rsid w:val="002B1FC1"/>
    <w:rsid w:val="002C2C35"/>
    <w:rsid w:val="002C5052"/>
    <w:rsid w:val="002C54DC"/>
    <w:rsid w:val="002D2F5C"/>
    <w:rsid w:val="002D3CD0"/>
    <w:rsid w:val="002D7BCF"/>
    <w:rsid w:val="002D7F43"/>
    <w:rsid w:val="002E3A15"/>
    <w:rsid w:val="002F294E"/>
    <w:rsid w:val="002F3575"/>
    <w:rsid w:val="002F41DD"/>
    <w:rsid w:val="002F5CAA"/>
    <w:rsid w:val="002F7A72"/>
    <w:rsid w:val="00306E9A"/>
    <w:rsid w:val="003161DE"/>
    <w:rsid w:val="00317356"/>
    <w:rsid w:val="00324A9F"/>
    <w:rsid w:val="003362DE"/>
    <w:rsid w:val="00336E0F"/>
    <w:rsid w:val="003442DA"/>
    <w:rsid w:val="0034783A"/>
    <w:rsid w:val="00363929"/>
    <w:rsid w:val="00370053"/>
    <w:rsid w:val="0037627D"/>
    <w:rsid w:val="00394D87"/>
    <w:rsid w:val="003A5A1B"/>
    <w:rsid w:val="003B1F42"/>
    <w:rsid w:val="003B7B70"/>
    <w:rsid w:val="003C03F6"/>
    <w:rsid w:val="003C174D"/>
    <w:rsid w:val="003C693E"/>
    <w:rsid w:val="003D19A2"/>
    <w:rsid w:val="003D38F3"/>
    <w:rsid w:val="003F1B2F"/>
    <w:rsid w:val="003F436B"/>
    <w:rsid w:val="0041699D"/>
    <w:rsid w:val="00416F8B"/>
    <w:rsid w:val="004301C4"/>
    <w:rsid w:val="00431890"/>
    <w:rsid w:val="00440E36"/>
    <w:rsid w:val="004653DD"/>
    <w:rsid w:val="00470E6D"/>
    <w:rsid w:val="004850C2"/>
    <w:rsid w:val="00491CE8"/>
    <w:rsid w:val="00491F98"/>
    <w:rsid w:val="00493765"/>
    <w:rsid w:val="00496C36"/>
    <w:rsid w:val="004A39DE"/>
    <w:rsid w:val="004A5DBC"/>
    <w:rsid w:val="004B1F9F"/>
    <w:rsid w:val="004B374A"/>
    <w:rsid w:val="004B6825"/>
    <w:rsid w:val="004B7D4D"/>
    <w:rsid w:val="004C0BDD"/>
    <w:rsid w:val="004D359D"/>
    <w:rsid w:val="004E1B95"/>
    <w:rsid w:val="004E5C71"/>
    <w:rsid w:val="004E7321"/>
    <w:rsid w:val="004F3238"/>
    <w:rsid w:val="004F3C2E"/>
    <w:rsid w:val="00500BDD"/>
    <w:rsid w:val="00510C10"/>
    <w:rsid w:val="00510C5A"/>
    <w:rsid w:val="00514680"/>
    <w:rsid w:val="00523077"/>
    <w:rsid w:val="00527167"/>
    <w:rsid w:val="00540970"/>
    <w:rsid w:val="0054158C"/>
    <w:rsid w:val="0055001A"/>
    <w:rsid w:val="00554419"/>
    <w:rsid w:val="00556D7A"/>
    <w:rsid w:val="00560C4F"/>
    <w:rsid w:val="00577650"/>
    <w:rsid w:val="00580730"/>
    <w:rsid w:val="00593314"/>
    <w:rsid w:val="005937E6"/>
    <w:rsid w:val="005A1493"/>
    <w:rsid w:val="005A4AAB"/>
    <w:rsid w:val="005B3FDC"/>
    <w:rsid w:val="005C31DA"/>
    <w:rsid w:val="005D05CA"/>
    <w:rsid w:val="005D07F2"/>
    <w:rsid w:val="005E41E1"/>
    <w:rsid w:val="005E7D6D"/>
    <w:rsid w:val="005F697F"/>
    <w:rsid w:val="005F6CAD"/>
    <w:rsid w:val="00605462"/>
    <w:rsid w:val="00613102"/>
    <w:rsid w:val="0064186F"/>
    <w:rsid w:val="00645DF7"/>
    <w:rsid w:val="006466E9"/>
    <w:rsid w:val="00650C74"/>
    <w:rsid w:val="00657D87"/>
    <w:rsid w:val="00671DC5"/>
    <w:rsid w:val="006814D3"/>
    <w:rsid w:val="00684164"/>
    <w:rsid w:val="00692DFB"/>
    <w:rsid w:val="00692E79"/>
    <w:rsid w:val="00694363"/>
    <w:rsid w:val="00694819"/>
    <w:rsid w:val="00695ADA"/>
    <w:rsid w:val="006A1224"/>
    <w:rsid w:val="006A2110"/>
    <w:rsid w:val="006C0068"/>
    <w:rsid w:val="006C207C"/>
    <w:rsid w:val="006C3EC7"/>
    <w:rsid w:val="006C61D3"/>
    <w:rsid w:val="006C62AD"/>
    <w:rsid w:val="006D2D56"/>
    <w:rsid w:val="006D5C97"/>
    <w:rsid w:val="006E0D39"/>
    <w:rsid w:val="006E7A90"/>
    <w:rsid w:val="006F32C9"/>
    <w:rsid w:val="006F7F97"/>
    <w:rsid w:val="00710476"/>
    <w:rsid w:val="007105F6"/>
    <w:rsid w:val="00714BA8"/>
    <w:rsid w:val="00725F0C"/>
    <w:rsid w:val="00727C40"/>
    <w:rsid w:val="007306B4"/>
    <w:rsid w:val="007469E6"/>
    <w:rsid w:val="00746A86"/>
    <w:rsid w:val="007532F7"/>
    <w:rsid w:val="00753ADE"/>
    <w:rsid w:val="00754410"/>
    <w:rsid w:val="0075577D"/>
    <w:rsid w:val="007625DE"/>
    <w:rsid w:val="00772B08"/>
    <w:rsid w:val="00775037"/>
    <w:rsid w:val="00775EEB"/>
    <w:rsid w:val="00783D28"/>
    <w:rsid w:val="00787735"/>
    <w:rsid w:val="00794A88"/>
    <w:rsid w:val="00796B6E"/>
    <w:rsid w:val="007A5321"/>
    <w:rsid w:val="007B04D8"/>
    <w:rsid w:val="007B2594"/>
    <w:rsid w:val="007B6BE1"/>
    <w:rsid w:val="007C5529"/>
    <w:rsid w:val="007C5690"/>
    <w:rsid w:val="007C74BE"/>
    <w:rsid w:val="007E1F51"/>
    <w:rsid w:val="007E5759"/>
    <w:rsid w:val="007E5EE2"/>
    <w:rsid w:val="007F0B04"/>
    <w:rsid w:val="008458D0"/>
    <w:rsid w:val="00846320"/>
    <w:rsid w:val="0086789B"/>
    <w:rsid w:val="00886048"/>
    <w:rsid w:val="00886952"/>
    <w:rsid w:val="0088758C"/>
    <w:rsid w:val="0089019B"/>
    <w:rsid w:val="00890498"/>
    <w:rsid w:val="008938AB"/>
    <w:rsid w:val="008A0959"/>
    <w:rsid w:val="008B29BB"/>
    <w:rsid w:val="008B45F9"/>
    <w:rsid w:val="008B5449"/>
    <w:rsid w:val="008C1CCE"/>
    <w:rsid w:val="008C789F"/>
    <w:rsid w:val="008D5E57"/>
    <w:rsid w:val="008D6AD3"/>
    <w:rsid w:val="008E65BC"/>
    <w:rsid w:val="008E6CDF"/>
    <w:rsid w:val="008F0F96"/>
    <w:rsid w:val="008F18CB"/>
    <w:rsid w:val="00901067"/>
    <w:rsid w:val="009025BB"/>
    <w:rsid w:val="00907FEE"/>
    <w:rsid w:val="00910929"/>
    <w:rsid w:val="00910D87"/>
    <w:rsid w:val="0091413F"/>
    <w:rsid w:val="00916E71"/>
    <w:rsid w:val="00917841"/>
    <w:rsid w:val="00920201"/>
    <w:rsid w:val="00923210"/>
    <w:rsid w:val="00931D98"/>
    <w:rsid w:val="00937B63"/>
    <w:rsid w:val="00941114"/>
    <w:rsid w:val="0094111D"/>
    <w:rsid w:val="00941B32"/>
    <w:rsid w:val="00945E0F"/>
    <w:rsid w:val="00953FA4"/>
    <w:rsid w:val="009678ED"/>
    <w:rsid w:val="0097140C"/>
    <w:rsid w:val="009715D2"/>
    <w:rsid w:val="00972A4C"/>
    <w:rsid w:val="00972AE2"/>
    <w:rsid w:val="009746C6"/>
    <w:rsid w:val="009757C5"/>
    <w:rsid w:val="00976E9E"/>
    <w:rsid w:val="00982BCE"/>
    <w:rsid w:val="00984863"/>
    <w:rsid w:val="00985453"/>
    <w:rsid w:val="00992574"/>
    <w:rsid w:val="009A515D"/>
    <w:rsid w:val="009A6162"/>
    <w:rsid w:val="009A730C"/>
    <w:rsid w:val="009D17AF"/>
    <w:rsid w:val="009E72E8"/>
    <w:rsid w:val="009F0061"/>
    <w:rsid w:val="009F41CC"/>
    <w:rsid w:val="009F4FB2"/>
    <w:rsid w:val="009F56D6"/>
    <w:rsid w:val="009F627E"/>
    <w:rsid w:val="00A0279A"/>
    <w:rsid w:val="00A027AF"/>
    <w:rsid w:val="00A06EE6"/>
    <w:rsid w:val="00A12A85"/>
    <w:rsid w:val="00A16ACA"/>
    <w:rsid w:val="00A16D1B"/>
    <w:rsid w:val="00A20B04"/>
    <w:rsid w:val="00A24B01"/>
    <w:rsid w:val="00A327C0"/>
    <w:rsid w:val="00A335E2"/>
    <w:rsid w:val="00A34FC0"/>
    <w:rsid w:val="00A3514F"/>
    <w:rsid w:val="00A37B79"/>
    <w:rsid w:val="00A47579"/>
    <w:rsid w:val="00A75D6D"/>
    <w:rsid w:val="00A85DF1"/>
    <w:rsid w:val="00A872B7"/>
    <w:rsid w:val="00A87D01"/>
    <w:rsid w:val="00A94B6B"/>
    <w:rsid w:val="00A96639"/>
    <w:rsid w:val="00AA1667"/>
    <w:rsid w:val="00AA1C30"/>
    <w:rsid w:val="00AA4468"/>
    <w:rsid w:val="00AB76B3"/>
    <w:rsid w:val="00AC15FB"/>
    <w:rsid w:val="00AE0C5A"/>
    <w:rsid w:val="00AE2E9A"/>
    <w:rsid w:val="00AE602E"/>
    <w:rsid w:val="00AE72A6"/>
    <w:rsid w:val="00AF4AEA"/>
    <w:rsid w:val="00AF50D1"/>
    <w:rsid w:val="00AF6BC8"/>
    <w:rsid w:val="00B06E85"/>
    <w:rsid w:val="00B11DA5"/>
    <w:rsid w:val="00B126A3"/>
    <w:rsid w:val="00B15BB1"/>
    <w:rsid w:val="00B244E0"/>
    <w:rsid w:val="00B26DD7"/>
    <w:rsid w:val="00B36457"/>
    <w:rsid w:val="00B36B34"/>
    <w:rsid w:val="00B40B97"/>
    <w:rsid w:val="00B42986"/>
    <w:rsid w:val="00B43DDE"/>
    <w:rsid w:val="00B50254"/>
    <w:rsid w:val="00B6253F"/>
    <w:rsid w:val="00B63E68"/>
    <w:rsid w:val="00B63ECE"/>
    <w:rsid w:val="00B6657A"/>
    <w:rsid w:val="00B90D7E"/>
    <w:rsid w:val="00B96EE8"/>
    <w:rsid w:val="00B9720A"/>
    <w:rsid w:val="00BA20EF"/>
    <w:rsid w:val="00BA3360"/>
    <w:rsid w:val="00BA39E1"/>
    <w:rsid w:val="00BA6440"/>
    <w:rsid w:val="00BD49DC"/>
    <w:rsid w:val="00BD7FAA"/>
    <w:rsid w:val="00BE02FA"/>
    <w:rsid w:val="00BE072A"/>
    <w:rsid w:val="00BE1201"/>
    <w:rsid w:val="00BE1536"/>
    <w:rsid w:val="00BE611F"/>
    <w:rsid w:val="00BE7421"/>
    <w:rsid w:val="00BF353D"/>
    <w:rsid w:val="00C015B0"/>
    <w:rsid w:val="00C01B6C"/>
    <w:rsid w:val="00C0349B"/>
    <w:rsid w:val="00C03619"/>
    <w:rsid w:val="00C1099F"/>
    <w:rsid w:val="00C15D09"/>
    <w:rsid w:val="00C16967"/>
    <w:rsid w:val="00C21D64"/>
    <w:rsid w:val="00C22D00"/>
    <w:rsid w:val="00C22E77"/>
    <w:rsid w:val="00C24063"/>
    <w:rsid w:val="00C33A92"/>
    <w:rsid w:val="00C35712"/>
    <w:rsid w:val="00C4182A"/>
    <w:rsid w:val="00C42B32"/>
    <w:rsid w:val="00C44215"/>
    <w:rsid w:val="00C54052"/>
    <w:rsid w:val="00C57291"/>
    <w:rsid w:val="00C6190F"/>
    <w:rsid w:val="00C6209C"/>
    <w:rsid w:val="00C66166"/>
    <w:rsid w:val="00C664F2"/>
    <w:rsid w:val="00C72812"/>
    <w:rsid w:val="00C73547"/>
    <w:rsid w:val="00C75A61"/>
    <w:rsid w:val="00C81EFA"/>
    <w:rsid w:val="00C858C0"/>
    <w:rsid w:val="00C86F01"/>
    <w:rsid w:val="00CA68DD"/>
    <w:rsid w:val="00CB0654"/>
    <w:rsid w:val="00CB30B9"/>
    <w:rsid w:val="00CB765C"/>
    <w:rsid w:val="00CC148D"/>
    <w:rsid w:val="00CC2401"/>
    <w:rsid w:val="00CC2C7E"/>
    <w:rsid w:val="00CC301B"/>
    <w:rsid w:val="00CD76F0"/>
    <w:rsid w:val="00CF185B"/>
    <w:rsid w:val="00D047A8"/>
    <w:rsid w:val="00D06314"/>
    <w:rsid w:val="00D13FA9"/>
    <w:rsid w:val="00D178A5"/>
    <w:rsid w:val="00D24704"/>
    <w:rsid w:val="00D35CB1"/>
    <w:rsid w:val="00D36B1B"/>
    <w:rsid w:val="00D400E0"/>
    <w:rsid w:val="00D42ACC"/>
    <w:rsid w:val="00D43109"/>
    <w:rsid w:val="00D4642B"/>
    <w:rsid w:val="00D47A9B"/>
    <w:rsid w:val="00D51C09"/>
    <w:rsid w:val="00D52D2D"/>
    <w:rsid w:val="00D5759C"/>
    <w:rsid w:val="00D60741"/>
    <w:rsid w:val="00D6226B"/>
    <w:rsid w:val="00D63DAA"/>
    <w:rsid w:val="00D70DD4"/>
    <w:rsid w:val="00D77D4A"/>
    <w:rsid w:val="00D82A6B"/>
    <w:rsid w:val="00D90DD2"/>
    <w:rsid w:val="00D9109F"/>
    <w:rsid w:val="00D96A15"/>
    <w:rsid w:val="00DB148F"/>
    <w:rsid w:val="00DB30A0"/>
    <w:rsid w:val="00DC12AC"/>
    <w:rsid w:val="00DD4531"/>
    <w:rsid w:val="00DF7F21"/>
    <w:rsid w:val="00E0066B"/>
    <w:rsid w:val="00E02422"/>
    <w:rsid w:val="00E14793"/>
    <w:rsid w:val="00E15E0D"/>
    <w:rsid w:val="00E17056"/>
    <w:rsid w:val="00E2321D"/>
    <w:rsid w:val="00E278AA"/>
    <w:rsid w:val="00E306D6"/>
    <w:rsid w:val="00E346C5"/>
    <w:rsid w:val="00E43105"/>
    <w:rsid w:val="00E453CE"/>
    <w:rsid w:val="00E45E20"/>
    <w:rsid w:val="00E64106"/>
    <w:rsid w:val="00E67425"/>
    <w:rsid w:val="00E74934"/>
    <w:rsid w:val="00E77460"/>
    <w:rsid w:val="00E80465"/>
    <w:rsid w:val="00E8519C"/>
    <w:rsid w:val="00E9215D"/>
    <w:rsid w:val="00E97E73"/>
    <w:rsid w:val="00EA1CD5"/>
    <w:rsid w:val="00EA5E48"/>
    <w:rsid w:val="00EC13A9"/>
    <w:rsid w:val="00EC4CF9"/>
    <w:rsid w:val="00EC7C1C"/>
    <w:rsid w:val="00ED238C"/>
    <w:rsid w:val="00ED396B"/>
    <w:rsid w:val="00EE3961"/>
    <w:rsid w:val="00EF63E4"/>
    <w:rsid w:val="00F00CF8"/>
    <w:rsid w:val="00F071A9"/>
    <w:rsid w:val="00F10A35"/>
    <w:rsid w:val="00F11A0F"/>
    <w:rsid w:val="00F12E4F"/>
    <w:rsid w:val="00F17939"/>
    <w:rsid w:val="00F2798C"/>
    <w:rsid w:val="00F31D4C"/>
    <w:rsid w:val="00F32D58"/>
    <w:rsid w:val="00F405DD"/>
    <w:rsid w:val="00F416B8"/>
    <w:rsid w:val="00F446AF"/>
    <w:rsid w:val="00F50016"/>
    <w:rsid w:val="00F56299"/>
    <w:rsid w:val="00F57AF0"/>
    <w:rsid w:val="00F626EB"/>
    <w:rsid w:val="00F62CEB"/>
    <w:rsid w:val="00F659F9"/>
    <w:rsid w:val="00F754B5"/>
    <w:rsid w:val="00F9266C"/>
    <w:rsid w:val="00F95425"/>
    <w:rsid w:val="00F97B5F"/>
    <w:rsid w:val="00FA5608"/>
    <w:rsid w:val="00FB16A4"/>
    <w:rsid w:val="00FB30D8"/>
    <w:rsid w:val="00FB621F"/>
    <w:rsid w:val="00FB6E87"/>
    <w:rsid w:val="00FC0C89"/>
    <w:rsid w:val="00FD33C8"/>
    <w:rsid w:val="00FE3E8F"/>
    <w:rsid w:val="00FF1F2B"/>
    <w:rsid w:val="00FF3215"/>
    <w:rsid w:val="00FF38F9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65490"/>
  <w15:docId w15:val="{C30FE1B3-E041-4B59-B800-9AC5904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7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27C40"/>
    <w:pPr>
      <w:widowControl w:val="0"/>
      <w:tabs>
        <w:tab w:val="left" w:pos="204"/>
      </w:tabs>
      <w:autoSpaceDE w:val="0"/>
      <w:autoSpaceDN w:val="0"/>
      <w:adjustRightInd w:val="0"/>
      <w:spacing w:line="255" w:lineRule="exact"/>
      <w:ind w:left="567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27C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C03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C03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C03F6"/>
    <w:pPr>
      <w:ind w:left="720"/>
      <w:contextualSpacing/>
    </w:pPr>
  </w:style>
  <w:style w:type="character" w:customStyle="1" w:styleId="AaaCarattere">
    <w:name w:val="Aaa Carattere"/>
    <w:basedOn w:val="Carpredefinitoparagrafo"/>
    <w:link w:val="Aaa"/>
    <w:locked/>
    <w:rsid w:val="003C03F6"/>
    <w:rPr>
      <w:rFonts w:ascii="Arial" w:hAnsi="Arial" w:cs="Arial"/>
      <w:szCs w:val="24"/>
      <w:lang w:eastAsia="it-IT"/>
    </w:rPr>
  </w:style>
  <w:style w:type="paragraph" w:customStyle="1" w:styleId="Aaa">
    <w:name w:val="Aaa"/>
    <w:basedOn w:val="Normale"/>
    <w:link w:val="AaaCarattere"/>
    <w:rsid w:val="003C03F6"/>
    <w:pPr>
      <w:numPr>
        <w:numId w:val="1"/>
      </w:numPr>
      <w:spacing w:line="360" w:lineRule="auto"/>
      <w:jc w:val="both"/>
    </w:pPr>
    <w:rPr>
      <w:rFonts w:ascii="Arial" w:eastAsiaTheme="minorHAnsi" w:hAnsi="Arial" w:cs="Arial"/>
      <w:sz w:val="22"/>
    </w:rPr>
  </w:style>
  <w:style w:type="character" w:styleId="Enfasicorsivo">
    <w:name w:val="Emphasis"/>
    <w:basedOn w:val="Carpredefinitoparagrafo"/>
    <w:uiPriority w:val="20"/>
    <w:qFormat/>
    <w:rsid w:val="00916E71"/>
    <w:rPr>
      <w:i/>
      <w:iCs/>
    </w:rPr>
  </w:style>
  <w:style w:type="table" w:styleId="Grigliatabella">
    <w:name w:val="Table Grid"/>
    <w:basedOn w:val="Tabellanormale"/>
    <w:uiPriority w:val="59"/>
    <w:rsid w:val="0064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C-TitoloParagrafo">
    <w:name w:val="ANAC - Titolo Paragrafo"/>
    <w:basedOn w:val="Normale"/>
    <w:link w:val="ANAC-TitoloParagrafoCarattere"/>
    <w:qFormat/>
    <w:rsid w:val="00FF1F2B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lang w:eastAsia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FF1F2B"/>
    <w:rPr>
      <w:rFonts w:ascii="Gotham Light" w:eastAsiaTheme="majorEastAsia" w:hAnsi="Gotham Light" w:cstheme="majorBidi"/>
      <w:color w:val="2770B7"/>
      <w:sz w:val="28"/>
      <w:szCs w:val="24"/>
    </w:rPr>
  </w:style>
  <w:style w:type="paragraph" w:customStyle="1" w:styleId="ANCATABELLATITOLOBIANCO">
    <w:name w:val="ANCA_TABELLA_TITOLO BIANCO"/>
    <w:basedOn w:val="Normale"/>
    <w:qFormat/>
    <w:rsid w:val="00FF1F2B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AA1C30"/>
    <w:pPr>
      <w:spacing w:before="100" w:beforeAutospacing="1" w:after="119"/>
    </w:pPr>
    <w:rPr>
      <w:rFonts w:eastAsiaTheme="minorHAns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73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62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62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62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62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62D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13842-263B-47EC-9CB6-595A0C419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DFD58-6B30-49A0-BC07-4B8586113C17}"/>
</file>

<file path=customXml/itemProps3.xml><?xml version="1.0" encoding="utf-8"?>
<ds:datastoreItem xmlns:ds="http://schemas.openxmlformats.org/officeDocument/2006/customXml" ds:itemID="{F5E8CD72-3CF2-4839-BBC0-9261C10A79C7}"/>
</file>

<file path=customXml/itemProps4.xml><?xml version="1.0" encoding="utf-8"?>
<ds:datastoreItem xmlns:ds="http://schemas.openxmlformats.org/officeDocument/2006/customXml" ds:itemID="{D673ED7E-1DEE-453F-BE04-3BB265EF5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Polo Piero Eugenio</cp:lastModifiedBy>
  <cp:revision>3</cp:revision>
  <cp:lastPrinted>2023-01-13T17:52:00Z</cp:lastPrinted>
  <dcterms:created xsi:type="dcterms:W3CDTF">2023-01-16T07:37:00Z</dcterms:created>
  <dcterms:modified xsi:type="dcterms:W3CDTF">2023-01-16T10:10:00Z</dcterms:modified>
</cp:coreProperties>
</file>