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275" w:rsidRDefault="001A3275" w:rsidP="00DB655A">
      <w:pPr>
        <w:keepNext/>
        <w:keepLines/>
        <w:tabs>
          <w:tab w:val="left" w:pos="284"/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248"/>
          <w:tab w:val="left" w:pos="4956"/>
          <w:tab w:val="left" w:pos="5664"/>
          <w:tab w:val="left" w:pos="6265"/>
          <w:tab w:val="right" w:pos="10348"/>
        </w:tabs>
        <w:spacing w:before="40" w:after="0" w:line="360" w:lineRule="auto"/>
        <w:ind w:right="142"/>
        <w:jc w:val="both"/>
        <w:outlineLvl w:val="4"/>
        <w:rPr>
          <w:rFonts w:ascii="Gotham Light" w:eastAsiaTheme="majorEastAsia" w:hAnsi="Gotham Light" w:cstheme="majorBidi"/>
          <w:color w:val="2770B7"/>
          <w:sz w:val="28"/>
          <w:szCs w:val="24"/>
        </w:rPr>
      </w:pPr>
    </w:p>
    <w:p w:rsidR="001A3275" w:rsidRDefault="001A3275" w:rsidP="00DB655A">
      <w:pPr>
        <w:keepNext/>
        <w:keepLines/>
        <w:tabs>
          <w:tab w:val="left" w:pos="284"/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248"/>
          <w:tab w:val="left" w:pos="4956"/>
          <w:tab w:val="left" w:pos="5664"/>
          <w:tab w:val="left" w:pos="6265"/>
          <w:tab w:val="right" w:pos="10348"/>
        </w:tabs>
        <w:spacing w:before="40" w:after="0" w:line="360" w:lineRule="auto"/>
        <w:ind w:right="142"/>
        <w:jc w:val="both"/>
        <w:outlineLvl w:val="4"/>
        <w:rPr>
          <w:rFonts w:ascii="Gotham Light" w:eastAsiaTheme="majorEastAsia" w:hAnsi="Gotham Light" w:cstheme="majorBidi"/>
          <w:color w:val="2770B7"/>
          <w:sz w:val="28"/>
          <w:szCs w:val="24"/>
        </w:rPr>
      </w:pPr>
      <w:r>
        <w:rPr>
          <w:rFonts w:ascii="Gotham Light" w:eastAsiaTheme="majorEastAsia" w:hAnsi="Gotham Light" w:cstheme="majorBidi"/>
          <w:noProof/>
          <w:color w:val="2770B7"/>
          <w:sz w:val="28"/>
          <w:szCs w:val="24"/>
          <w:lang w:eastAsia="it-IT"/>
        </w:rPr>
        <w:drawing>
          <wp:inline distT="0" distB="0" distL="0" distR="0" wp14:anchorId="54894987">
            <wp:extent cx="2883535" cy="34734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3275" w:rsidRDefault="001A3275" w:rsidP="00DB655A">
      <w:pPr>
        <w:keepNext/>
        <w:keepLines/>
        <w:tabs>
          <w:tab w:val="left" w:pos="284"/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248"/>
          <w:tab w:val="left" w:pos="4956"/>
          <w:tab w:val="left" w:pos="5664"/>
          <w:tab w:val="left" w:pos="6265"/>
          <w:tab w:val="right" w:pos="10348"/>
        </w:tabs>
        <w:spacing w:before="40" w:after="0" w:line="360" w:lineRule="auto"/>
        <w:ind w:right="142"/>
        <w:jc w:val="both"/>
        <w:outlineLvl w:val="4"/>
        <w:rPr>
          <w:rFonts w:ascii="Gotham Light" w:eastAsiaTheme="majorEastAsia" w:hAnsi="Gotham Light" w:cstheme="majorBidi"/>
          <w:color w:val="2770B7"/>
          <w:sz w:val="28"/>
          <w:szCs w:val="24"/>
        </w:rPr>
      </w:pPr>
    </w:p>
    <w:p w:rsidR="001A3275" w:rsidRDefault="001A3275" w:rsidP="00DB655A">
      <w:pPr>
        <w:keepNext/>
        <w:keepLines/>
        <w:tabs>
          <w:tab w:val="left" w:pos="284"/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248"/>
          <w:tab w:val="left" w:pos="4956"/>
          <w:tab w:val="left" w:pos="5664"/>
          <w:tab w:val="left" w:pos="6265"/>
          <w:tab w:val="right" w:pos="10348"/>
        </w:tabs>
        <w:spacing w:before="40" w:after="0" w:line="360" w:lineRule="auto"/>
        <w:ind w:right="142"/>
        <w:jc w:val="both"/>
        <w:outlineLvl w:val="4"/>
        <w:rPr>
          <w:rFonts w:ascii="Gotham Light" w:eastAsiaTheme="majorEastAsia" w:hAnsi="Gotham Light" w:cstheme="majorBidi"/>
          <w:color w:val="2770B7"/>
          <w:sz w:val="28"/>
          <w:szCs w:val="24"/>
        </w:rPr>
      </w:pPr>
    </w:p>
    <w:p w:rsidR="00DB655A" w:rsidRDefault="00DB655A" w:rsidP="00DB655A">
      <w:pPr>
        <w:keepNext/>
        <w:keepLines/>
        <w:tabs>
          <w:tab w:val="left" w:pos="284"/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248"/>
          <w:tab w:val="left" w:pos="4956"/>
          <w:tab w:val="left" w:pos="5664"/>
          <w:tab w:val="left" w:pos="6265"/>
          <w:tab w:val="right" w:pos="10348"/>
        </w:tabs>
        <w:spacing w:before="40" w:after="0" w:line="360" w:lineRule="auto"/>
        <w:ind w:right="142"/>
        <w:jc w:val="both"/>
        <w:outlineLvl w:val="4"/>
        <w:rPr>
          <w:rFonts w:ascii="Gotham Light" w:eastAsiaTheme="majorEastAsia" w:hAnsi="Gotham Light" w:cstheme="majorBidi"/>
          <w:color w:val="2770B7"/>
          <w:sz w:val="28"/>
          <w:szCs w:val="24"/>
        </w:rPr>
      </w:pPr>
      <w:r>
        <w:rPr>
          <w:rFonts w:ascii="Gotham Light" w:eastAsiaTheme="majorEastAsia" w:hAnsi="Gotham Light" w:cstheme="majorBidi"/>
          <w:color w:val="2770B7"/>
          <w:sz w:val="28"/>
          <w:szCs w:val="24"/>
        </w:rPr>
        <w:t>Visto</w:t>
      </w:r>
    </w:p>
    <w:p w:rsidR="00DB655A" w:rsidRPr="00DB655A" w:rsidRDefault="00DB655A" w:rsidP="00DB655A">
      <w:pPr>
        <w:rPr>
          <w:rFonts w:ascii="Titillium" w:hAnsi="Titillium"/>
          <w:sz w:val="18"/>
          <w:szCs w:val="18"/>
        </w:rPr>
      </w:pPr>
      <w:r w:rsidRPr="00DB655A">
        <w:rPr>
          <w:rFonts w:ascii="Titillium" w:hAnsi="Titillium"/>
          <w:sz w:val="18"/>
          <w:szCs w:val="18"/>
        </w:rPr>
        <w:t>il decreto legge 24 giugno 2014, n. 90 convertito in legge 11 agosto 2014, n. 114;</w:t>
      </w:r>
    </w:p>
    <w:p w:rsidR="00DB655A" w:rsidRDefault="00DB655A" w:rsidP="00DB655A">
      <w:pPr>
        <w:keepNext/>
        <w:keepLines/>
        <w:tabs>
          <w:tab w:val="left" w:pos="284"/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248"/>
          <w:tab w:val="left" w:pos="4956"/>
          <w:tab w:val="left" w:pos="5664"/>
          <w:tab w:val="left" w:pos="6265"/>
          <w:tab w:val="right" w:pos="10348"/>
        </w:tabs>
        <w:spacing w:before="40" w:after="0" w:line="360" w:lineRule="auto"/>
        <w:ind w:right="142"/>
        <w:jc w:val="both"/>
        <w:outlineLvl w:val="4"/>
        <w:rPr>
          <w:rFonts w:ascii="Gotham Light" w:eastAsiaTheme="majorEastAsia" w:hAnsi="Gotham Light" w:cstheme="majorBidi"/>
          <w:color w:val="2770B7"/>
          <w:sz w:val="28"/>
          <w:szCs w:val="24"/>
        </w:rPr>
      </w:pPr>
      <w:r>
        <w:rPr>
          <w:rFonts w:ascii="Gotham Light" w:eastAsiaTheme="majorEastAsia" w:hAnsi="Gotham Light" w:cstheme="majorBidi"/>
          <w:color w:val="2770B7"/>
          <w:sz w:val="28"/>
          <w:szCs w:val="24"/>
        </w:rPr>
        <w:t>Visto</w:t>
      </w:r>
    </w:p>
    <w:p w:rsidR="00DB655A" w:rsidRPr="00DB655A" w:rsidRDefault="00DB655A" w:rsidP="00DB655A">
      <w:pPr>
        <w:jc w:val="both"/>
        <w:rPr>
          <w:rFonts w:ascii="Titillium" w:hAnsi="Titillium"/>
          <w:sz w:val="18"/>
          <w:szCs w:val="18"/>
        </w:rPr>
      </w:pPr>
      <w:r w:rsidRPr="00DB655A">
        <w:rPr>
          <w:rFonts w:ascii="Titillium" w:hAnsi="Titillium"/>
          <w:sz w:val="18"/>
          <w:szCs w:val="18"/>
        </w:rPr>
        <w:t>il Piano di riordino dell'A.N.AC. presentato dal Presidente dell'Autorità Nazionale Anticorruzione al</w:t>
      </w:r>
      <w:r>
        <w:rPr>
          <w:rFonts w:ascii="Titillium" w:hAnsi="Titillium"/>
          <w:sz w:val="18"/>
          <w:szCs w:val="18"/>
        </w:rPr>
        <w:t xml:space="preserve"> </w:t>
      </w:r>
      <w:r w:rsidRPr="00DB655A">
        <w:rPr>
          <w:rFonts w:ascii="Titillium" w:hAnsi="Titillium"/>
          <w:sz w:val="18"/>
          <w:szCs w:val="18"/>
        </w:rPr>
        <w:t>Presidente del Consiglio dei Ministri, ai sensi dell'art. 19, comma 3, del decreto legge 24</w:t>
      </w:r>
      <w:r>
        <w:rPr>
          <w:rFonts w:ascii="Titillium" w:hAnsi="Titillium"/>
          <w:sz w:val="18"/>
          <w:szCs w:val="18"/>
        </w:rPr>
        <w:t xml:space="preserve"> giugno 2014, n. </w:t>
      </w:r>
      <w:r w:rsidRPr="00DB655A">
        <w:rPr>
          <w:rFonts w:ascii="Titillium" w:hAnsi="Titillium"/>
          <w:sz w:val="18"/>
          <w:szCs w:val="18"/>
        </w:rPr>
        <w:t>90 convertito con modificazioni dalla legge 11 agosto 2014, n. 114, app</w:t>
      </w:r>
      <w:r>
        <w:rPr>
          <w:rFonts w:ascii="Titillium" w:hAnsi="Titillium"/>
          <w:sz w:val="18"/>
          <w:szCs w:val="18"/>
        </w:rPr>
        <w:t xml:space="preserve">rovato con </w:t>
      </w:r>
      <w:proofErr w:type="spellStart"/>
      <w:r>
        <w:rPr>
          <w:rFonts w:ascii="Titillium" w:hAnsi="Titillium"/>
          <w:sz w:val="18"/>
          <w:szCs w:val="18"/>
        </w:rPr>
        <w:t>d.P.C.M</w:t>
      </w:r>
      <w:proofErr w:type="spellEnd"/>
      <w:r>
        <w:rPr>
          <w:rFonts w:ascii="Titillium" w:hAnsi="Titillium"/>
          <w:sz w:val="18"/>
          <w:szCs w:val="18"/>
        </w:rPr>
        <w:t xml:space="preserve">. 1° febbraio </w:t>
      </w:r>
      <w:r w:rsidRPr="00DB655A">
        <w:rPr>
          <w:rFonts w:ascii="Titillium" w:hAnsi="Titillium"/>
          <w:sz w:val="18"/>
          <w:szCs w:val="18"/>
        </w:rPr>
        <w:t>2016, registrato dalla Corte dei Conti il 10 febbraio 2016;</w:t>
      </w:r>
    </w:p>
    <w:p w:rsidR="00DB655A" w:rsidRDefault="00DB655A" w:rsidP="00DB655A">
      <w:pPr>
        <w:keepNext/>
        <w:keepLines/>
        <w:tabs>
          <w:tab w:val="left" w:pos="284"/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248"/>
          <w:tab w:val="left" w:pos="4956"/>
          <w:tab w:val="left" w:pos="5664"/>
          <w:tab w:val="left" w:pos="6265"/>
          <w:tab w:val="right" w:pos="10348"/>
        </w:tabs>
        <w:spacing w:before="40" w:after="0" w:line="360" w:lineRule="auto"/>
        <w:ind w:right="142"/>
        <w:jc w:val="both"/>
        <w:outlineLvl w:val="4"/>
        <w:rPr>
          <w:rFonts w:ascii="Gotham Light" w:eastAsiaTheme="majorEastAsia" w:hAnsi="Gotham Light" w:cstheme="majorBidi"/>
          <w:color w:val="2770B7"/>
          <w:sz w:val="28"/>
          <w:szCs w:val="24"/>
        </w:rPr>
      </w:pPr>
      <w:r>
        <w:rPr>
          <w:rFonts w:ascii="Gotham Light" w:eastAsiaTheme="majorEastAsia" w:hAnsi="Gotham Light" w:cstheme="majorBidi"/>
          <w:color w:val="2770B7"/>
          <w:sz w:val="28"/>
          <w:szCs w:val="24"/>
        </w:rPr>
        <w:t>Visto</w:t>
      </w:r>
    </w:p>
    <w:p w:rsidR="00DB655A" w:rsidRPr="00DB655A" w:rsidRDefault="00DB655A" w:rsidP="00DB655A">
      <w:pPr>
        <w:jc w:val="both"/>
        <w:rPr>
          <w:rFonts w:ascii="Titillium" w:hAnsi="Titillium"/>
          <w:sz w:val="18"/>
          <w:szCs w:val="18"/>
        </w:rPr>
      </w:pPr>
      <w:r w:rsidRPr="00DB655A">
        <w:rPr>
          <w:rFonts w:ascii="Titillium" w:hAnsi="Titillium"/>
          <w:sz w:val="18"/>
          <w:szCs w:val="18"/>
        </w:rPr>
        <w:t>il decreto legge 24 aprile 2017, n. 50, recante “Disposizioni urgenti in ma</w:t>
      </w:r>
      <w:r>
        <w:rPr>
          <w:rFonts w:ascii="Titillium" w:hAnsi="Titillium"/>
          <w:sz w:val="18"/>
          <w:szCs w:val="18"/>
        </w:rPr>
        <w:t xml:space="preserve">teria finanziaria, iniziative a </w:t>
      </w:r>
      <w:r w:rsidRPr="00DB655A">
        <w:rPr>
          <w:rFonts w:ascii="Titillium" w:hAnsi="Titillium"/>
          <w:sz w:val="18"/>
          <w:szCs w:val="18"/>
        </w:rPr>
        <w:t>favore degli enti territoriali, ulteriori interventi per le zone colpite da</w:t>
      </w:r>
      <w:r>
        <w:rPr>
          <w:rFonts w:ascii="Titillium" w:hAnsi="Titillium"/>
          <w:sz w:val="18"/>
          <w:szCs w:val="18"/>
        </w:rPr>
        <w:t xml:space="preserve"> eventi sismici e misure per lo </w:t>
      </w:r>
      <w:r w:rsidRPr="00DB655A">
        <w:rPr>
          <w:rFonts w:ascii="Titillium" w:hAnsi="Titillium"/>
          <w:sz w:val="18"/>
          <w:szCs w:val="18"/>
        </w:rPr>
        <w:t>sviluppo”, convertito in legge, con modifi</w:t>
      </w:r>
      <w:r>
        <w:rPr>
          <w:rFonts w:ascii="Titillium" w:hAnsi="Titillium"/>
          <w:sz w:val="18"/>
          <w:szCs w:val="18"/>
        </w:rPr>
        <w:t xml:space="preserve">cazioni, dalla </w:t>
      </w:r>
      <w:r w:rsidRPr="00DB655A">
        <w:rPr>
          <w:rFonts w:ascii="Titillium" w:hAnsi="Titillium"/>
          <w:sz w:val="18"/>
          <w:szCs w:val="18"/>
        </w:rPr>
        <w:t xml:space="preserve">legge 21 giugno 2017, </w:t>
      </w:r>
      <w:r>
        <w:rPr>
          <w:rFonts w:ascii="Titillium" w:hAnsi="Titillium"/>
          <w:sz w:val="18"/>
          <w:szCs w:val="18"/>
        </w:rPr>
        <w:t xml:space="preserve">n. 96, ed in particolare l’art. </w:t>
      </w:r>
      <w:r w:rsidRPr="00DB655A">
        <w:rPr>
          <w:rFonts w:ascii="Titillium" w:hAnsi="Titillium"/>
          <w:sz w:val="18"/>
          <w:szCs w:val="18"/>
        </w:rPr>
        <w:t>52-quater, da ultimo modificato dall’ar</w:t>
      </w:r>
      <w:r>
        <w:rPr>
          <w:rFonts w:ascii="Titillium" w:hAnsi="Titillium"/>
          <w:sz w:val="18"/>
          <w:szCs w:val="18"/>
        </w:rPr>
        <w:t xml:space="preserve">t. 1, comma 298, della legge 27 </w:t>
      </w:r>
      <w:r w:rsidRPr="00DB655A">
        <w:rPr>
          <w:rFonts w:ascii="Titillium" w:hAnsi="Titillium"/>
          <w:sz w:val="18"/>
          <w:szCs w:val="18"/>
        </w:rPr>
        <w:t>dicembre 2017, n. 205;</w:t>
      </w:r>
    </w:p>
    <w:p w:rsidR="00DB655A" w:rsidRDefault="00DB655A" w:rsidP="00DB655A">
      <w:pPr>
        <w:keepNext/>
        <w:keepLines/>
        <w:tabs>
          <w:tab w:val="left" w:pos="284"/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248"/>
          <w:tab w:val="left" w:pos="4956"/>
          <w:tab w:val="left" w:pos="5664"/>
          <w:tab w:val="left" w:pos="6265"/>
          <w:tab w:val="right" w:pos="10348"/>
        </w:tabs>
        <w:spacing w:before="40" w:after="0" w:line="360" w:lineRule="auto"/>
        <w:ind w:right="142"/>
        <w:jc w:val="both"/>
        <w:outlineLvl w:val="4"/>
        <w:rPr>
          <w:rFonts w:ascii="Gotham Light" w:eastAsiaTheme="majorEastAsia" w:hAnsi="Gotham Light" w:cstheme="majorBidi"/>
          <w:color w:val="2770B7"/>
          <w:sz w:val="28"/>
          <w:szCs w:val="24"/>
        </w:rPr>
      </w:pPr>
      <w:r>
        <w:rPr>
          <w:rFonts w:ascii="Gotham Light" w:eastAsiaTheme="majorEastAsia" w:hAnsi="Gotham Light" w:cstheme="majorBidi"/>
          <w:color w:val="2770B7"/>
          <w:sz w:val="28"/>
          <w:szCs w:val="24"/>
        </w:rPr>
        <w:t>Visto</w:t>
      </w:r>
    </w:p>
    <w:p w:rsidR="00DB655A" w:rsidRPr="00DB655A" w:rsidRDefault="00DB655A" w:rsidP="00DB655A">
      <w:pPr>
        <w:jc w:val="both"/>
        <w:rPr>
          <w:rFonts w:ascii="Titillium" w:hAnsi="Titillium"/>
          <w:sz w:val="18"/>
          <w:szCs w:val="18"/>
        </w:rPr>
      </w:pPr>
      <w:r w:rsidRPr="00DB655A">
        <w:rPr>
          <w:rFonts w:ascii="Titillium" w:hAnsi="Titillium"/>
          <w:sz w:val="18"/>
          <w:szCs w:val="18"/>
        </w:rPr>
        <w:t>il Regolamento sull’ordinamento giuridico ed economico del personale approvato dal Cons</w:t>
      </w:r>
      <w:r>
        <w:rPr>
          <w:rFonts w:ascii="Titillium" w:hAnsi="Titillium"/>
          <w:sz w:val="18"/>
          <w:szCs w:val="18"/>
        </w:rPr>
        <w:t xml:space="preserve">iglio </w:t>
      </w:r>
      <w:r w:rsidRPr="00DB655A">
        <w:rPr>
          <w:rFonts w:ascii="Titillium" w:hAnsi="Titillium"/>
          <w:sz w:val="18"/>
          <w:szCs w:val="18"/>
        </w:rPr>
        <w:t xml:space="preserve">nell’adunanza del 9 gennaio 2019 e </w:t>
      </w:r>
      <w:proofErr w:type="spellStart"/>
      <w:r w:rsidRPr="00DB655A">
        <w:rPr>
          <w:rFonts w:ascii="Titillium" w:hAnsi="Titillium"/>
          <w:sz w:val="18"/>
          <w:szCs w:val="18"/>
        </w:rPr>
        <w:t>s.m.i</w:t>
      </w:r>
      <w:proofErr w:type="spellEnd"/>
      <w:r w:rsidRPr="00DB655A">
        <w:rPr>
          <w:rFonts w:ascii="Titillium" w:hAnsi="Titillium"/>
          <w:sz w:val="18"/>
          <w:szCs w:val="18"/>
        </w:rPr>
        <w:t xml:space="preserve"> con particolare rifer</w:t>
      </w:r>
      <w:r>
        <w:rPr>
          <w:rFonts w:ascii="Titillium" w:hAnsi="Titillium"/>
          <w:sz w:val="18"/>
          <w:szCs w:val="18"/>
        </w:rPr>
        <w:t>imento all’articolo 6 (Mobilità</w:t>
      </w:r>
      <w:r w:rsidRPr="00DB655A">
        <w:rPr>
          <w:rFonts w:ascii="Titillium" w:hAnsi="Titillium"/>
          <w:sz w:val="18"/>
          <w:szCs w:val="18"/>
        </w:rPr>
        <w:t>);</w:t>
      </w:r>
    </w:p>
    <w:p w:rsidR="00DB655A" w:rsidRDefault="00DB655A" w:rsidP="00DB655A">
      <w:pPr>
        <w:keepNext/>
        <w:keepLines/>
        <w:tabs>
          <w:tab w:val="left" w:pos="284"/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248"/>
          <w:tab w:val="left" w:pos="4956"/>
          <w:tab w:val="left" w:pos="5664"/>
          <w:tab w:val="left" w:pos="6265"/>
          <w:tab w:val="right" w:pos="10348"/>
        </w:tabs>
        <w:spacing w:before="40" w:after="0" w:line="360" w:lineRule="auto"/>
        <w:ind w:right="142"/>
        <w:jc w:val="both"/>
        <w:outlineLvl w:val="4"/>
        <w:rPr>
          <w:rFonts w:ascii="Gotham Light" w:eastAsiaTheme="majorEastAsia" w:hAnsi="Gotham Light" w:cstheme="majorBidi"/>
          <w:color w:val="2770B7"/>
          <w:sz w:val="28"/>
          <w:szCs w:val="24"/>
        </w:rPr>
      </w:pPr>
      <w:r>
        <w:rPr>
          <w:rFonts w:ascii="Gotham Light" w:eastAsiaTheme="majorEastAsia" w:hAnsi="Gotham Light" w:cstheme="majorBidi"/>
          <w:color w:val="2770B7"/>
          <w:sz w:val="28"/>
          <w:szCs w:val="24"/>
        </w:rPr>
        <w:t>Visto</w:t>
      </w:r>
    </w:p>
    <w:p w:rsidR="00DB655A" w:rsidRPr="00DB655A" w:rsidRDefault="00DB655A" w:rsidP="00DB655A">
      <w:pPr>
        <w:jc w:val="both"/>
        <w:rPr>
          <w:rFonts w:ascii="Titillium" w:hAnsi="Titillium"/>
          <w:sz w:val="18"/>
          <w:szCs w:val="18"/>
        </w:rPr>
      </w:pPr>
      <w:r w:rsidRPr="00DB655A">
        <w:rPr>
          <w:rFonts w:ascii="Titillium" w:hAnsi="Titillium"/>
          <w:sz w:val="18"/>
          <w:szCs w:val="18"/>
        </w:rPr>
        <w:t>il Regolamento concernente l’organizzazione e il funzionamento dell'Au</w:t>
      </w:r>
      <w:r>
        <w:rPr>
          <w:rFonts w:ascii="Titillium" w:hAnsi="Titillium"/>
          <w:sz w:val="18"/>
          <w:szCs w:val="18"/>
        </w:rPr>
        <w:t xml:space="preserve">torità Nazionale Anticorruzione approvato il 16 ottobre </w:t>
      </w:r>
      <w:r w:rsidRPr="00DB655A">
        <w:rPr>
          <w:rFonts w:ascii="Titillium" w:hAnsi="Titillium"/>
          <w:sz w:val="18"/>
          <w:szCs w:val="18"/>
        </w:rPr>
        <w:t xml:space="preserve">2019 come modificato da ultimo con delibera n. 453 del 14 giugno 2021; </w:t>
      </w:r>
    </w:p>
    <w:p w:rsidR="00DB655A" w:rsidRDefault="00DB655A" w:rsidP="00DB655A">
      <w:pPr>
        <w:keepNext/>
        <w:keepLines/>
        <w:tabs>
          <w:tab w:val="left" w:pos="284"/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248"/>
          <w:tab w:val="left" w:pos="4956"/>
          <w:tab w:val="left" w:pos="5664"/>
          <w:tab w:val="left" w:pos="6265"/>
          <w:tab w:val="right" w:pos="10348"/>
        </w:tabs>
        <w:spacing w:before="40" w:after="0" w:line="360" w:lineRule="auto"/>
        <w:ind w:right="142"/>
        <w:jc w:val="both"/>
        <w:outlineLvl w:val="4"/>
        <w:rPr>
          <w:rFonts w:ascii="Gotham Light" w:eastAsiaTheme="majorEastAsia" w:hAnsi="Gotham Light" w:cstheme="majorBidi"/>
          <w:color w:val="2770B7"/>
          <w:sz w:val="28"/>
          <w:szCs w:val="24"/>
        </w:rPr>
      </w:pPr>
      <w:r>
        <w:rPr>
          <w:rFonts w:ascii="Gotham Light" w:eastAsiaTheme="majorEastAsia" w:hAnsi="Gotham Light" w:cstheme="majorBidi"/>
          <w:color w:val="2770B7"/>
          <w:sz w:val="28"/>
          <w:szCs w:val="24"/>
        </w:rPr>
        <w:t>Viste</w:t>
      </w:r>
    </w:p>
    <w:p w:rsidR="00DB655A" w:rsidRDefault="00DB655A" w:rsidP="00DB655A">
      <w:pPr>
        <w:jc w:val="both"/>
        <w:rPr>
          <w:rFonts w:ascii="Titillium" w:hAnsi="Titillium"/>
          <w:sz w:val="18"/>
          <w:szCs w:val="18"/>
        </w:rPr>
      </w:pPr>
      <w:r w:rsidRPr="00DB655A">
        <w:rPr>
          <w:rFonts w:ascii="Titillium" w:hAnsi="Titillium"/>
          <w:sz w:val="18"/>
          <w:szCs w:val="18"/>
        </w:rPr>
        <w:t>le deliberazioni dell’11 e del 14 giugno 2021 con le quali il Consiglio ha rid</w:t>
      </w:r>
      <w:r>
        <w:rPr>
          <w:rFonts w:ascii="Titillium" w:hAnsi="Titillium"/>
          <w:sz w:val="18"/>
          <w:szCs w:val="18"/>
        </w:rPr>
        <w:t xml:space="preserve">efinito l’assetto organizzativo </w:t>
      </w:r>
      <w:r w:rsidRPr="00DB655A">
        <w:rPr>
          <w:rFonts w:ascii="Titillium" w:hAnsi="Titillium"/>
          <w:sz w:val="18"/>
          <w:szCs w:val="18"/>
        </w:rPr>
        <w:t>dell’Autorità al fine di renderlo più coerente con le nuove attribuzioni in mat</w:t>
      </w:r>
      <w:r>
        <w:rPr>
          <w:rFonts w:ascii="Titillium" w:hAnsi="Titillium"/>
          <w:sz w:val="18"/>
          <w:szCs w:val="18"/>
        </w:rPr>
        <w:t xml:space="preserve">eria di contratti pubblici e di </w:t>
      </w:r>
      <w:r w:rsidRPr="00DB655A">
        <w:rPr>
          <w:rFonts w:ascii="Titillium" w:hAnsi="Titillium"/>
          <w:sz w:val="18"/>
          <w:szCs w:val="18"/>
        </w:rPr>
        <w:t>trasparenza nonché con gli obiettivi del PNRR;</w:t>
      </w:r>
    </w:p>
    <w:p w:rsidR="00DB655A" w:rsidRPr="00DB655A" w:rsidRDefault="00DB655A" w:rsidP="00DB655A">
      <w:pPr>
        <w:jc w:val="both"/>
        <w:rPr>
          <w:rFonts w:ascii="Gotham Light" w:eastAsiaTheme="majorEastAsia" w:hAnsi="Gotham Light" w:cstheme="majorBidi"/>
          <w:color w:val="2770B7"/>
          <w:sz w:val="28"/>
          <w:szCs w:val="24"/>
        </w:rPr>
      </w:pPr>
      <w:r w:rsidRPr="00DB655A">
        <w:rPr>
          <w:rFonts w:ascii="Gotham Light" w:eastAsiaTheme="majorEastAsia" w:hAnsi="Gotham Light" w:cstheme="majorBidi"/>
          <w:color w:val="2770B7"/>
          <w:sz w:val="28"/>
          <w:szCs w:val="24"/>
        </w:rPr>
        <w:t>Vista</w:t>
      </w:r>
    </w:p>
    <w:p w:rsidR="00DB655A" w:rsidRPr="00DB655A" w:rsidRDefault="00DB655A" w:rsidP="00DB655A">
      <w:pPr>
        <w:jc w:val="both"/>
        <w:rPr>
          <w:rFonts w:ascii="Titillium" w:hAnsi="Titillium"/>
          <w:sz w:val="18"/>
          <w:szCs w:val="18"/>
        </w:rPr>
      </w:pPr>
      <w:r w:rsidRPr="00DB655A">
        <w:rPr>
          <w:rFonts w:ascii="Titillium" w:hAnsi="Titillium"/>
          <w:sz w:val="18"/>
          <w:szCs w:val="18"/>
        </w:rPr>
        <w:t>la delibera n. 604</w:t>
      </w:r>
      <w:r>
        <w:rPr>
          <w:rFonts w:ascii="Titillium" w:hAnsi="Titillium"/>
          <w:sz w:val="18"/>
          <w:szCs w:val="18"/>
        </w:rPr>
        <w:t xml:space="preserve"> del</w:t>
      </w:r>
      <w:r w:rsidRPr="00DB655A">
        <w:rPr>
          <w:rFonts w:ascii="Titillium" w:hAnsi="Titillium"/>
          <w:sz w:val="18"/>
          <w:szCs w:val="18"/>
        </w:rPr>
        <w:t xml:space="preserve"> 31 agosto 2021</w:t>
      </w:r>
      <w:r>
        <w:rPr>
          <w:rFonts w:ascii="Titillium" w:hAnsi="Titillium"/>
          <w:sz w:val="18"/>
          <w:szCs w:val="18"/>
        </w:rPr>
        <w:t xml:space="preserve"> con la quale il Consiglio dell’Autorità Nazionale Anticorruzione ha deliberato </w:t>
      </w:r>
      <w:r w:rsidRPr="00DB655A">
        <w:rPr>
          <w:rFonts w:ascii="Titillium" w:hAnsi="Titillium"/>
          <w:sz w:val="18"/>
          <w:szCs w:val="18"/>
        </w:rPr>
        <w:t>di indire una procedura di mobilità volontaria esterna per la copertura di n. 1 posto di Dirigente amministrativo II fascia</w:t>
      </w:r>
      <w:r w:rsidR="001A3275">
        <w:rPr>
          <w:rFonts w:ascii="Titillium" w:hAnsi="Titillium"/>
          <w:sz w:val="18"/>
          <w:szCs w:val="18"/>
        </w:rPr>
        <w:t>;</w:t>
      </w:r>
    </w:p>
    <w:p w:rsidR="00DB655A" w:rsidRPr="00CB2B57" w:rsidRDefault="00CB2B57" w:rsidP="00DB655A">
      <w:pPr>
        <w:rPr>
          <w:rFonts w:ascii="Gotham Light" w:eastAsiaTheme="majorEastAsia" w:hAnsi="Gotham Light" w:cstheme="majorBidi"/>
          <w:color w:val="2770B7"/>
          <w:sz w:val="28"/>
          <w:szCs w:val="24"/>
        </w:rPr>
      </w:pPr>
      <w:r w:rsidRPr="00CB2B57">
        <w:rPr>
          <w:rFonts w:ascii="Gotham Light" w:eastAsiaTheme="majorEastAsia" w:hAnsi="Gotham Light" w:cstheme="majorBidi"/>
          <w:color w:val="2770B7"/>
          <w:sz w:val="28"/>
          <w:szCs w:val="24"/>
        </w:rPr>
        <w:t>Visto</w:t>
      </w:r>
    </w:p>
    <w:p w:rsidR="00CB2B57" w:rsidRPr="00CB2B57" w:rsidRDefault="00CB2B57" w:rsidP="00CB2B57">
      <w:pPr>
        <w:jc w:val="both"/>
        <w:rPr>
          <w:rFonts w:ascii="Titillium" w:hAnsi="Titillium"/>
          <w:sz w:val="18"/>
          <w:szCs w:val="18"/>
        </w:rPr>
      </w:pPr>
      <w:r>
        <w:rPr>
          <w:rFonts w:ascii="Titillium" w:hAnsi="Titillium"/>
          <w:sz w:val="18"/>
          <w:szCs w:val="18"/>
        </w:rPr>
        <w:t>Il b</w:t>
      </w:r>
      <w:r w:rsidRPr="00CB2B57">
        <w:rPr>
          <w:rFonts w:ascii="Titillium" w:hAnsi="Titillium"/>
          <w:sz w:val="18"/>
          <w:szCs w:val="18"/>
        </w:rPr>
        <w:t>ando di mobilità volontaria esterna per n.1 posto di Dirigente amministrativo II fascia (Ufficio Gare e Logistica) presso l’Autorità Nazionale Anticorruzione</w:t>
      </w:r>
      <w:r>
        <w:rPr>
          <w:rFonts w:ascii="Titillium" w:hAnsi="Titillium"/>
          <w:sz w:val="18"/>
          <w:szCs w:val="18"/>
        </w:rPr>
        <w:t xml:space="preserve"> </w:t>
      </w:r>
      <w:r w:rsidRPr="00CB2B57">
        <w:rPr>
          <w:rFonts w:ascii="Titillium" w:hAnsi="Titillium"/>
          <w:sz w:val="18"/>
          <w:szCs w:val="18"/>
        </w:rPr>
        <w:t>pubblicato il 1° settembre 2021</w:t>
      </w:r>
      <w:r w:rsidR="00CA279A">
        <w:rPr>
          <w:rFonts w:ascii="Titillium" w:hAnsi="Titillium"/>
          <w:sz w:val="18"/>
          <w:szCs w:val="18"/>
        </w:rPr>
        <w:t xml:space="preserve"> il cui art. 4 prevede la nomina di una Commissione al fine della valutazione dei titoli dei candidati e del successivo colloquio dei primi tre che abbiano conseguito il maggior punteggio nei titoli</w:t>
      </w:r>
      <w:r w:rsidR="001A3275">
        <w:rPr>
          <w:rFonts w:ascii="Titillium" w:hAnsi="Titillium"/>
          <w:sz w:val="18"/>
          <w:szCs w:val="18"/>
        </w:rPr>
        <w:t>;</w:t>
      </w:r>
    </w:p>
    <w:p w:rsidR="00932A93" w:rsidRDefault="00932A93" w:rsidP="001A3275">
      <w:pPr>
        <w:pStyle w:val="ANAC-TitoloParagrafo"/>
        <w:ind w:left="0"/>
        <w:jc w:val="center"/>
      </w:pPr>
      <w:r>
        <w:lastRenderedPageBreak/>
        <w:t>Dispone</w:t>
      </w:r>
    </w:p>
    <w:p w:rsidR="001A3275" w:rsidRDefault="001A3275" w:rsidP="001A3275">
      <w:pPr>
        <w:pStyle w:val="ANAC-TitoloParagrafo"/>
        <w:ind w:left="0"/>
        <w:jc w:val="center"/>
      </w:pPr>
    </w:p>
    <w:p w:rsidR="00DB655A" w:rsidRDefault="00932A93" w:rsidP="00932A93">
      <w:pPr>
        <w:pStyle w:val="ANAC-TitoloParagrafo"/>
        <w:ind w:left="0"/>
        <w:jc w:val="both"/>
        <w:rPr>
          <w:rFonts w:ascii="Titillium" w:hAnsi="Titillium"/>
          <w:color w:val="auto"/>
          <w:sz w:val="18"/>
          <w:szCs w:val="18"/>
        </w:rPr>
      </w:pPr>
      <w:r>
        <w:rPr>
          <w:rFonts w:ascii="Titillium" w:hAnsi="Titillium"/>
          <w:color w:val="auto"/>
          <w:sz w:val="18"/>
          <w:szCs w:val="18"/>
        </w:rPr>
        <w:t xml:space="preserve">la Commissione esaminatrice per il </w:t>
      </w:r>
      <w:r w:rsidRPr="00932A93">
        <w:rPr>
          <w:rFonts w:ascii="Titillium" w:hAnsi="Titillium"/>
          <w:color w:val="auto"/>
          <w:sz w:val="18"/>
          <w:szCs w:val="18"/>
        </w:rPr>
        <w:t>bando di mobilità volontaria esterna per n.1 posto di Dirigente amministrativo II fascia (Ufficio Gare e Logistica)</w:t>
      </w:r>
      <w:r>
        <w:rPr>
          <w:rFonts w:ascii="Titillium" w:hAnsi="Titillium"/>
          <w:color w:val="auto"/>
          <w:sz w:val="18"/>
          <w:szCs w:val="18"/>
        </w:rPr>
        <w:t xml:space="preserve"> </w:t>
      </w:r>
      <w:r w:rsidR="00DB655A" w:rsidRPr="00932A93">
        <w:rPr>
          <w:rFonts w:ascii="Titillium" w:hAnsi="Titillium"/>
          <w:color w:val="auto"/>
          <w:sz w:val="18"/>
          <w:szCs w:val="18"/>
        </w:rPr>
        <w:t>è così costituita:</w:t>
      </w:r>
    </w:p>
    <w:p w:rsidR="00932A93" w:rsidRDefault="00932A93" w:rsidP="00932A93">
      <w:pPr>
        <w:pStyle w:val="ANAC-TitoloParagrafo"/>
        <w:ind w:left="0"/>
        <w:jc w:val="both"/>
        <w:rPr>
          <w:rFonts w:ascii="Titillium" w:hAnsi="Titillium"/>
          <w:color w:val="auto"/>
          <w:sz w:val="18"/>
          <w:szCs w:val="18"/>
        </w:rPr>
      </w:pPr>
    </w:p>
    <w:p w:rsidR="00932A93" w:rsidRDefault="00932A93" w:rsidP="00932A93">
      <w:pPr>
        <w:pStyle w:val="ANAC-TitoloParagrafo"/>
        <w:numPr>
          <w:ilvl w:val="0"/>
          <w:numId w:val="1"/>
        </w:numPr>
        <w:jc w:val="both"/>
        <w:rPr>
          <w:rFonts w:ascii="Titillium" w:hAnsi="Titillium"/>
          <w:color w:val="auto"/>
          <w:sz w:val="18"/>
          <w:szCs w:val="18"/>
        </w:rPr>
      </w:pPr>
      <w:r>
        <w:rPr>
          <w:rFonts w:ascii="Titillium" w:hAnsi="Titillium"/>
          <w:color w:val="auto"/>
          <w:sz w:val="18"/>
          <w:szCs w:val="18"/>
        </w:rPr>
        <w:t xml:space="preserve">Ing. Maurizio </w:t>
      </w:r>
      <w:proofErr w:type="spellStart"/>
      <w:r>
        <w:rPr>
          <w:rFonts w:ascii="Titillium" w:hAnsi="Titillium"/>
          <w:color w:val="auto"/>
          <w:sz w:val="18"/>
          <w:szCs w:val="18"/>
        </w:rPr>
        <w:t>Ivagnes</w:t>
      </w:r>
      <w:proofErr w:type="spellEnd"/>
      <w:r>
        <w:rPr>
          <w:rFonts w:ascii="Titillium" w:hAnsi="Titillium"/>
          <w:color w:val="auto"/>
          <w:sz w:val="18"/>
          <w:szCs w:val="18"/>
        </w:rPr>
        <w:t xml:space="preserve">, </w:t>
      </w:r>
      <w:r w:rsidRPr="00932A93">
        <w:rPr>
          <w:rFonts w:ascii="Titillium" w:hAnsi="Titillium"/>
          <w:color w:val="auto"/>
          <w:sz w:val="18"/>
          <w:szCs w:val="18"/>
        </w:rPr>
        <w:t xml:space="preserve">dirigente </w:t>
      </w:r>
      <w:r w:rsidR="00CA279A">
        <w:rPr>
          <w:rFonts w:ascii="Titillium" w:hAnsi="Titillium"/>
          <w:color w:val="auto"/>
          <w:sz w:val="18"/>
          <w:szCs w:val="18"/>
        </w:rPr>
        <w:t xml:space="preserve">I fascia di </w:t>
      </w:r>
      <w:r w:rsidRPr="00932A93">
        <w:rPr>
          <w:rFonts w:ascii="Titillium" w:hAnsi="Titillium"/>
          <w:color w:val="auto"/>
          <w:sz w:val="18"/>
          <w:szCs w:val="18"/>
        </w:rPr>
        <w:t>Staff del Presidente</w:t>
      </w:r>
      <w:r w:rsidR="00CA279A">
        <w:rPr>
          <w:rFonts w:ascii="Titillium" w:hAnsi="Titillium"/>
          <w:color w:val="auto"/>
          <w:sz w:val="18"/>
          <w:szCs w:val="18"/>
        </w:rPr>
        <w:t xml:space="preserve"> - </w:t>
      </w:r>
      <w:r>
        <w:rPr>
          <w:rFonts w:ascii="Titillium" w:hAnsi="Titillium"/>
          <w:color w:val="auto"/>
          <w:sz w:val="18"/>
          <w:szCs w:val="18"/>
        </w:rPr>
        <w:t>Presidente;</w:t>
      </w:r>
    </w:p>
    <w:p w:rsidR="00932A93" w:rsidRDefault="00932A93" w:rsidP="00932A93">
      <w:pPr>
        <w:pStyle w:val="ANAC-TitoloParagrafo"/>
        <w:numPr>
          <w:ilvl w:val="0"/>
          <w:numId w:val="1"/>
        </w:numPr>
        <w:jc w:val="both"/>
        <w:rPr>
          <w:rFonts w:ascii="Titillium" w:hAnsi="Titillium"/>
          <w:color w:val="auto"/>
          <w:sz w:val="18"/>
          <w:szCs w:val="18"/>
        </w:rPr>
      </w:pPr>
      <w:r>
        <w:rPr>
          <w:rFonts w:ascii="Titillium" w:hAnsi="Titillium"/>
          <w:color w:val="auto"/>
          <w:sz w:val="18"/>
          <w:szCs w:val="18"/>
        </w:rPr>
        <w:t xml:space="preserve">Dott.ssa Mirta </w:t>
      </w:r>
      <w:proofErr w:type="spellStart"/>
      <w:r>
        <w:rPr>
          <w:rFonts w:ascii="Titillium" w:hAnsi="Titillium"/>
          <w:color w:val="auto"/>
          <w:sz w:val="18"/>
          <w:szCs w:val="18"/>
        </w:rPr>
        <w:t>Latagliata</w:t>
      </w:r>
      <w:proofErr w:type="spellEnd"/>
      <w:r>
        <w:rPr>
          <w:rFonts w:ascii="Titillium" w:hAnsi="Titillium"/>
          <w:color w:val="auto"/>
          <w:sz w:val="18"/>
          <w:szCs w:val="18"/>
        </w:rPr>
        <w:t xml:space="preserve">, </w:t>
      </w:r>
      <w:r w:rsidRPr="00932A93">
        <w:rPr>
          <w:rFonts w:ascii="Titillium" w:hAnsi="Titillium"/>
          <w:color w:val="auto"/>
          <w:sz w:val="18"/>
          <w:szCs w:val="18"/>
        </w:rPr>
        <w:t>dirigente</w:t>
      </w:r>
      <w:r w:rsidR="00CA279A">
        <w:rPr>
          <w:rFonts w:ascii="Titillium" w:hAnsi="Titillium"/>
          <w:color w:val="auto"/>
          <w:sz w:val="18"/>
          <w:szCs w:val="18"/>
        </w:rPr>
        <w:t xml:space="preserve"> II fascia</w:t>
      </w:r>
      <w:r w:rsidRPr="00932A93">
        <w:rPr>
          <w:rFonts w:ascii="Titillium" w:hAnsi="Titillium"/>
          <w:color w:val="auto"/>
          <w:sz w:val="18"/>
          <w:szCs w:val="18"/>
        </w:rPr>
        <w:t xml:space="preserve"> dell’Ufficio Misure straordinarie e Commissariamenti</w:t>
      </w:r>
      <w:r w:rsidR="00CA279A">
        <w:rPr>
          <w:rFonts w:ascii="Titillium" w:hAnsi="Titillium"/>
          <w:color w:val="auto"/>
          <w:sz w:val="18"/>
          <w:szCs w:val="18"/>
        </w:rPr>
        <w:t xml:space="preserve"> - </w:t>
      </w:r>
      <w:r>
        <w:rPr>
          <w:rFonts w:ascii="Titillium" w:hAnsi="Titillium"/>
          <w:color w:val="auto"/>
          <w:sz w:val="18"/>
          <w:szCs w:val="18"/>
        </w:rPr>
        <w:t xml:space="preserve"> </w:t>
      </w:r>
      <w:r w:rsidR="00CA279A">
        <w:rPr>
          <w:rFonts w:ascii="Titillium" w:hAnsi="Titillium"/>
          <w:color w:val="auto"/>
          <w:sz w:val="18"/>
          <w:szCs w:val="18"/>
        </w:rPr>
        <w:t>C</w:t>
      </w:r>
      <w:r>
        <w:rPr>
          <w:rFonts w:ascii="Titillium" w:hAnsi="Titillium"/>
          <w:color w:val="auto"/>
          <w:sz w:val="18"/>
          <w:szCs w:val="18"/>
        </w:rPr>
        <w:t>omponente;</w:t>
      </w:r>
    </w:p>
    <w:p w:rsidR="00932A93" w:rsidRPr="00932A93" w:rsidRDefault="00932A93" w:rsidP="00932A93">
      <w:pPr>
        <w:pStyle w:val="ANAC-TitoloParagrafo"/>
        <w:numPr>
          <w:ilvl w:val="0"/>
          <w:numId w:val="1"/>
        </w:numPr>
        <w:jc w:val="both"/>
        <w:rPr>
          <w:rFonts w:ascii="Titillium" w:hAnsi="Titillium"/>
          <w:color w:val="auto"/>
          <w:sz w:val="18"/>
          <w:szCs w:val="18"/>
        </w:rPr>
      </w:pPr>
      <w:r>
        <w:rPr>
          <w:rFonts w:ascii="Titillium" w:hAnsi="Titillium"/>
          <w:color w:val="auto"/>
          <w:sz w:val="18"/>
          <w:szCs w:val="18"/>
        </w:rPr>
        <w:t xml:space="preserve">Ing. Settimio Picca, </w:t>
      </w:r>
      <w:r w:rsidRPr="00932A93">
        <w:rPr>
          <w:rFonts w:ascii="Titillium" w:hAnsi="Titillium"/>
          <w:color w:val="auto"/>
          <w:sz w:val="18"/>
          <w:szCs w:val="18"/>
        </w:rPr>
        <w:t>dirigente dell’Ufficio Verifica variant</w:t>
      </w:r>
      <w:r>
        <w:rPr>
          <w:rFonts w:ascii="Titillium" w:hAnsi="Titillium"/>
          <w:color w:val="auto"/>
          <w:sz w:val="18"/>
          <w:szCs w:val="18"/>
        </w:rPr>
        <w:t>i</w:t>
      </w:r>
      <w:r w:rsidR="00CA279A">
        <w:rPr>
          <w:rFonts w:ascii="Titillium" w:hAnsi="Titillium"/>
          <w:color w:val="auto"/>
          <w:sz w:val="18"/>
          <w:szCs w:val="18"/>
        </w:rPr>
        <w:t xml:space="preserve"> -</w:t>
      </w:r>
      <w:r w:rsidR="00CA279A">
        <w:rPr>
          <w:rFonts w:ascii="Titillium" w:hAnsi="Titillium"/>
          <w:color w:val="auto"/>
          <w:sz w:val="18"/>
          <w:szCs w:val="18"/>
        </w:rPr>
        <w:t xml:space="preserve"> Componente</w:t>
      </w:r>
      <w:r>
        <w:rPr>
          <w:rFonts w:ascii="Titillium" w:hAnsi="Titillium"/>
          <w:color w:val="auto"/>
          <w:sz w:val="18"/>
          <w:szCs w:val="18"/>
        </w:rPr>
        <w:t>.</w:t>
      </w:r>
    </w:p>
    <w:p w:rsidR="00DB655A" w:rsidRPr="00DB655A" w:rsidRDefault="00DB655A" w:rsidP="00932A93">
      <w:pPr>
        <w:jc w:val="both"/>
        <w:rPr>
          <w:rFonts w:ascii="Titillium" w:hAnsi="Titillium"/>
          <w:sz w:val="18"/>
          <w:szCs w:val="18"/>
        </w:rPr>
      </w:pPr>
      <w:r w:rsidRPr="00DB655A">
        <w:rPr>
          <w:rFonts w:ascii="Titillium" w:hAnsi="Titillium"/>
          <w:sz w:val="18"/>
          <w:szCs w:val="18"/>
        </w:rPr>
        <w:t xml:space="preserve"> </w:t>
      </w:r>
    </w:p>
    <w:p w:rsidR="00DB655A" w:rsidRPr="00DB655A" w:rsidRDefault="00DB655A" w:rsidP="00932A93">
      <w:pPr>
        <w:jc w:val="both"/>
        <w:rPr>
          <w:rFonts w:ascii="Titillium" w:hAnsi="Titillium"/>
          <w:sz w:val="18"/>
          <w:szCs w:val="18"/>
        </w:rPr>
      </w:pPr>
      <w:r w:rsidRPr="00DB655A">
        <w:rPr>
          <w:rFonts w:ascii="Titillium" w:hAnsi="Titillium"/>
          <w:sz w:val="18"/>
          <w:szCs w:val="18"/>
        </w:rPr>
        <w:t xml:space="preserve">La dott.ssa </w:t>
      </w:r>
      <w:r w:rsidR="001A3275">
        <w:rPr>
          <w:rFonts w:ascii="Titillium" w:hAnsi="Titillium"/>
          <w:sz w:val="18"/>
          <w:szCs w:val="18"/>
        </w:rPr>
        <w:t>Giuseppina D’Arpa, Funzionario di Staff del Segretario Generale</w:t>
      </w:r>
      <w:r w:rsidR="00932A93">
        <w:rPr>
          <w:rFonts w:ascii="Titillium" w:hAnsi="Titillium"/>
          <w:sz w:val="18"/>
          <w:szCs w:val="18"/>
        </w:rPr>
        <w:t xml:space="preserve">, svolgerà le funzioni di segretario della </w:t>
      </w:r>
      <w:r w:rsidRPr="00DB655A">
        <w:rPr>
          <w:rFonts w:ascii="Titillium" w:hAnsi="Titillium"/>
          <w:sz w:val="18"/>
          <w:szCs w:val="18"/>
        </w:rPr>
        <w:t>Commissione. In caso di assenza o imp</w:t>
      </w:r>
      <w:r w:rsidR="00932A93">
        <w:rPr>
          <w:rFonts w:ascii="Titillium" w:hAnsi="Titillium"/>
          <w:sz w:val="18"/>
          <w:szCs w:val="18"/>
        </w:rPr>
        <w:t xml:space="preserve">edimento, un suo sostituto sarà </w:t>
      </w:r>
      <w:r w:rsidRPr="00DB655A">
        <w:rPr>
          <w:rFonts w:ascii="Titillium" w:hAnsi="Titillium"/>
          <w:sz w:val="18"/>
          <w:szCs w:val="18"/>
        </w:rPr>
        <w:t>eventualmente designato dal Segretario Generale.</w:t>
      </w:r>
    </w:p>
    <w:p w:rsidR="001A3275" w:rsidRPr="00DB655A" w:rsidRDefault="00DB655A" w:rsidP="001A3275">
      <w:pPr>
        <w:jc w:val="both"/>
        <w:rPr>
          <w:rFonts w:ascii="Titillium" w:hAnsi="Titillium"/>
          <w:sz w:val="18"/>
          <w:szCs w:val="18"/>
        </w:rPr>
      </w:pPr>
      <w:r w:rsidRPr="00DB655A">
        <w:rPr>
          <w:rFonts w:ascii="Titillium" w:hAnsi="Titillium"/>
          <w:sz w:val="18"/>
          <w:szCs w:val="18"/>
        </w:rPr>
        <w:t xml:space="preserve">Si precisa che l’incarico non dà diritto a gettoni di presenza o </w:t>
      </w:r>
      <w:r w:rsidR="00932A93">
        <w:rPr>
          <w:rFonts w:ascii="Titillium" w:hAnsi="Titillium"/>
          <w:sz w:val="18"/>
          <w:szCs w:val="18"/>
        </w:rPr>
        <w:t xml:space="preserve">compensi di qualunque natura ad eccezione del rimborso di </w:t>
      </w:r>
      <w:r w:rsidRPr="00DB655A">
        <w:rPr>
          <w:rFonts w:ascii="Titillium" w:hAnsi="Titillium"/>
          <w:sz w:val="18"/>
          <w:szCs w:val="18"/>
        </w:rPr>
        <w:t>eventuali spese sostenute ed adeguatamente</w:t>
      </w:r>
      <w:r w:rsidR="00932A93">
        <w:rPr>
          <w:rFonts w:ascii="Titillium" w:hAnsi="Titillium"/>
          <w:sz w:val="18"/>
          <w:szCs w:val="18"/>
        </w:rPr>
        <w:t xml:space="preserve"> documentate. </w:t>
      </w:r>
    </w:p>
    <w:p w:rsidR="009235AD" w:rsidRDefault="009235AD" w:rsidP="00DB655A">
      <w:pPr>
        <w:rPr>
          <w:rFonts w:ascii="Titillium" w:hAnsi="Titillium"/>
          <w:sz w:val="18"/>
          <w:szCs w:val="18"/>
        </w:rPr>
      </w:pPr>
    </w:p>
    <w:p w:rsidR="001A3275" w:rsidRDefault="001A3275" w:rsidP="00DB655A">
      <w:pPr>
        <w:rPr>
          <w:rFonts w:ascii="Titillium" w:hAnsi="Titillium"/>
          <w:sz w:val="18"/>
          <w:szCs w:val="18"/>
        </w:rPr>
      </w:pPr>
      <w:bookmarkStart w:id="0" w:name="_GoBack"/>
      <w:bookmarkEnd w:id="0"/>
    </w:p>
    <w:tbl>
      <w:tblPr>
        <w:tblW w:w="4950" w:type="pct"/>
        <w:tblInd w:w="51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542"/>
      </w:tblGrid>
      <w:tr w:rsidR="001A3275" w:rsidRPr="001A3275" w:rsidTr="001A3275">
        <w:trPr>
          <w:trHeight w:val="708"/>
        </w:trPr>
        <w:tc>
          <w:tcPr>
            <w:tcW w:w="1699" w:type="pct"/>
            <w:shd w:val="clear" w:color="auto" w:fill="2770B7"/>
            <w:vAlign w:val="center"/>
            <w:hideMark/>
          </w:tcPr>
          <w:p w:rsidR="001A3275" w:rsidRPr="001A3275" w:rsidRDefault="001A3275" w:rsidP="001A3275">
            <w:pPr>
              <w:spacing w:line="256" w:lineRule="auto"/>
              <w:jc w:val="center"/>
              <w:rPr>
                <w:rFonts w:ascii="Titillium" w:eastAsia="Times New Roman" w:hAnsi="Titillium" w:cs="Times New Roman"/>
                <w:sz w:val="18"/>
                <w:szCs w:val="18"/>
              </w:rPr>
            </w:pPr>
            <w:r w:rsidRPr="001A3275">
              <w:rPr>
                <w:rFonts w:ascii="Titillium" w:eastAsia="Times New Roman" w:hAnsi="Titillium" w:cs="Times New Roman"/>
                <w:color w:val="FFFFFF" w:themeColor="background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Il Segretario Generale </w:t>
            </w:r>
          </w:p>
        </w:tc>
      </w:tr>
      <w:tr w:rsidR="001A3275" w:rsidRPr="001A3275" w:rsidTr="001A3275">
        <w:trPr>
          <w:trHeight w:val="250"/>
        </w:trPr>
        <w:tc>
          <w:tcPr>
            <w:tcW w:w="1699" w:type="pct"/>
            <w:vAlign w:val="center"/>
            <w:hideMark/>
          </w:tcPr>
          <w:p w:rsidR="001A3275" w:rsidRPr="001A3275" w:rsidRDefault="001A3275" w:rsidP="001A3275">
            <w:pPr>
              <w:spacing w:line="256" w:lineRule="auto"/>
              <w:jc w:val="center"/>
              <w:rPr>
                <w:rFonts w:ascii="Titillium" w:eastAsia="Times New Roman" w:hAnsi="Titillium" w:cs="Times New Roman"/>
                <w:i/>
                <w:sz w:val="18"/>
                <w:szCs w:val="18"/>
              </w:rPr>
            </w:pPr>
            <w:r>
              <w:rPr>
                <w:rFonts w:ascii="Titillium" w:eastAsia="Times New Roman" w:hAnsi="Titillium" w:cs="Times New Roman"/>
                <w:i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</w:t>
            </w:r>
            <w:proofErr w:type="spellStart"/>
            <w:r w:rsidRPr="001A3275">
              <w:rPr>
                <w:rFonts w:ascii="Titillium" w:eastAsia="Times New Roman" w:hAnsi="Titillium" w:cs="Times New Roman"/>
                <w:i/>
                <w:sz w:val="18"/>
                <w:szCs w:val="18"/>
              </w:rPr>
              <w:t>Cons</w:t>
            </w:r>
            <w:proofErr w:type="spellEnd"/>
            <w:r w:rsidRPr="001A3275">
              <w:rPr>
                <w:rFonts w:ascii="Titillium" w:eastAsia="Times New Roman" w:hAnsi="Titillium" w:cs="Times New Roman"/>
                <w:i/>
                <w:sz w:val="18"/>
                <w:szCs w:val="18"/>
              </w:rPr>
              <w:t>. Renato Catalano</w:t>
            </w:r>
          </w:p>
        </w:tc>
      </w:tr>
    </w:tbl>
    <w:p w:rsidR="001A3275" w:rsidRPr="00DB655A" w:rsidRDefault="001A3275" w:rsidP="00DB655A">
      <w:pPr>
        <w:rPr>
          <w:rFonts w:ascii="Titillium" w:hAnsi="Titillium"/>
          <w:sz w:val="18"/>
          <w:szCs w:val="18"/>
        </w:rPr>
      </w:pPr>
    </w:p>
    <w:sectPr w:rsidR="001A3275" w:rsidRPr="00DB655A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58A" w:rsidRDefault="0022258A" w:rsidP="001A3275">
      <w:pPr>
        <w:spacing w:after="0" w:line="240" w:lineRule="auto"/>
      </w:pPr>
      <w:r>
        <w:separator/>
      </w:r>
    </w:p>
  </w:endnote>
  <w:endnote w:type="continuationSeparator" w:id="0">
    <w:p w:rsidR="0022258A" w:rsidRDefault="0022258A" w:rsidP="001A3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otham Medium">
    <w:altName w:val="Calibri"/>
    <w:charset w:val="00"/>
    <w:family w:val="auto"/>
    <w:pitch w:val="variable"/>
    <w:sig w:usb0="800000AF" w:usb1="40000048" w:usb2="00000000" w:usb3="00000000" w:csb0="000001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3103634"/>
      <w:docPartObj>
        <w:docPartGallery w:val="Page Numbers (Bottom of Page)"/>
        <w:docPartUnique/>
      </w:docPartObj>
    </w:sdtPr>
    <w:sdtEndPr/>
    <w:sdtContent>
      <w:p w:rsidR="001A3275" w:rsidRPr="001A3275" w:rsidRDefault="001A3275" w:rsidP="001A3275">
        <w:pPr>
          <w:tabs>
            <w:tab w:val="center" w:pos="4819"/>
            <w:tab w:val="right" w:pos="9638"/>
          </w:tabs>
          <w:spacing w:after="0" w:line="240" w:lineRule="auto"/>
          <w:jc w:val="right"/>
          <w:rPr>
            <w:rFonts w:ascii="Calibri" w:eastAsia="Calibri" w:hAnsi="Calibri" w:cs="Times New Roman"/>
            <w:color w:val="2770B7"/>
          </w:rPr>
        </w:pPr>
        <w:r w:rsidRPr="001A3275">
          <w:rPr>
            <w:rFonts w:ascii="Gotham Light" w:eastAsia="Calibri" w:hAnsi="Gotham Light" w:cs="Times New Roman"/>
            <w:color w:val="2770B7"/>
          </w:rPr>
          <w:t>AUTORITÀ NAZIONALE ANTICORRUZIONE</w:t>
        </w:r>
        <w:r w:rsidRPr="001A3275">
          <w:rPr>
            <w:rFonts w:ascii="Calibri" w:eastAsia="Calibri" w:hAnsi="Calibri" w:cs="Times New Roman"/>
            <w:color w:val="2770B7"/>
          </w:rPr>
          <w:t xml:space="preserve"> </w:t>
        </w:r>
        <w:r w:rsidRPr="001A3275">
          <w:rPr>
            <w:rFonts w:ascii="Gotham Light" w:eastAsia="Calibri" w:hAnsi="Gotham Light" w:cs="Times New Roman"/>
            <w:color w:val="2770B7"/>
          </w:rPr>
          <w:t xml:space="preserve"> |  </w:t>
        </w:r>
        <w:r w:rsidRPr="001A3275">
          <w:rPr>
            <w:rFonts w:ascii="Gotham Medium" w:eastAsia="Calibri" w:hAnsi="Gotham Medium" w:cs="Times New Roman"/>
            <w:color w:val="2770B7"/>
          </w:rPr>
          <w:fldChar w:fldCharType="begin"/>
        </w:r>
        <w:r w:rsidRPr="001A3275">
          <w:rPr>
            <w:rFonts w:ascii="Gotham Medium" w:eastAsia="Calibri" w:hAnsi="Gotham Medium" w:cs="Times New Roman"/>
            <w:color w:val="2770B7"/>
          </w:rPr>
          <w:instrText>PAGE  \* Arabic</w:instrText>
        </w:r>
        <w:r w:rsidRPr="001A3275">
          <w:rPr>
            <w:rFonts w:ascii="Gotham Medium" w:eastAsia="Calibri" w:hAnsi="Gotham Medium" w:cs="Times New Roman"/>
            <w:color w:val="2770B7"/>
          </w:rPr>
          <w:fldChar w:fldCharType="separate"/>
        </w:r>
        <w:r w:rsidR="00CA279A">
          <w:rPr>
            <w:rFonts w:ascii="Gotham Medium" w:eastAsia="Calibri" w:hAnsi="Gotham Medium" w:cs="Times New Roman"/>
            <w:noProof/>
            <w:color w:val="2770B7"/>
          </w:rPr>
          <w:t>2</w:t>
        </w:r>
        <w:r w:rsidRPr="001A3275">
          <w:rPr>
            <w:rFonts w:ascii="Gotham Medium" w:eastAsia="Calibri" w:hAnsi="Gotham Medium" w:cs="Times New Roman"/>
            <w:color w:val="2770B7"/>
          </w:rPr>
          <w:fldChar w:fldCharType="end"/>
        </w:r>
        <w:r w:rsidRPr="001A3275">
          <w:rPr>
            <w:rFonts w:ascii="Gotham Medium" w:eastAsia="Calibri" w:hAnsi="Gotham Medium" w:cs="Times New Roman"/>
            <w:color w:val="2770B7"/>
          </w:rPr>
          <w:t xml:space="preserve">  </w:t>
        </w:r>
      </w:p>
      <w:p w:rsidR="001A3275" w:rsidRDefault="00CA279A">
        <w:pPr>
          <w:pStyle w:val="Pidipagina"/>
          <w:jc w:val="right"/>
        </w:pPr>
      </w:p>
    </w:sdtContent>
  </w:sdt>
  <w:p w:rsidR="001A3275" w:rsidRDefault="001A32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58A" w:rsidRDefault="0022258A" w:rsidP="001A3275">
      <w:pPr>
        <w:spacing w:after="0" w:line="240" w:lineRule="auto"/>
      </w:pPr>
      <w:r>
        <w:separator/>
      </w:r>
    </w:p>
  </w:footnote>
  <w:footnote w:type="continuationSeparator" w:id="0">
    <w:p w:rsidR="0022258A" w:rsidRDefault="0022258A" w:rsidP="001A3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97536"/>
    <w:multiLevelType w:val="hybridMultilevel"/>
    <w:tmpl w:val="DAFEC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55A"/>
    <w:rsid w:val="001A3275"/>
    <w:rsid w:val="0022258A"/>
    <w:rsid w:val="009235AD"/>
    <w:rsid w:val="00932A93"/>
    <w:rsid w:val="00CA279A"/>
    <w:rsid w:val="00CB2B57"/>
    <w:rsid w:val="00DB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BC85"/>
  <w15:chartTrackingRefBased/>
  <w15:docId w15:val="{7D145A92-0275-473D-BD6E-58BD3361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NAC-TitoloParagrafoCarattere">
    <w:name w:val="ANAC - Titolo Paragrafo Carattere"/>
    <w:basedOn w:val="Carpredefinitoparagrafo"/>
    <w:link w:val="ANAC-TitoloParagrafo"/>
    <w:locked/>
    <w:rsid w:val="00932A93"/>
    <w:rPr>
      <w:rFonts w:ascii="Gotham Light" w:eastAsiaTheme="majorEastAsia" w:hAnsi="Gotham Light" w:cstheme="majorBidi"/>
      <w:color w:val="2770B7"/>
      <w:sz w:val="28"/>
      <w:szCs w:val="24"/>
    </w:rPr>
  </w:style>
  <w:style w:type="paragraph" w:customStyle="1" w:styleId="ANAC-TitoloParagrafo">
    <w:name w:val="ANAC - Titolo Paragrafo"/>
    <w:basedOn w:val="Normale"/>
    <w:link w:val="ANAC-TitoloParagrafoCarattere"/>
    <w:qFormat/>
    <w:rsid w:val="00932A93"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after="0" w:line="240" w:lineRule="auto"/>
      <w:ind w:left="1560" w:right="142"/>
      <w:outlineLvl w:val="4"/>
    </w:pPr>
    <w:rPr>
      <w:rFonts w:ascii="Gotham Light" w:eastAsiaTheme="majorEastAsia" w:hAnsi="Gotham Light" w:cstheme="majorBidi"/>
      <w:color w:val="2770B7"/>
      <w:sz w:val="28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A32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3275"/>
  </w:style>
  <w:style w:type="paragraph" w:styleId="Pidipagina">
    <w:name w:val="footer"/>
    <w:basedOn w:val="Normale"/>
    <w:link w:val="PidipaginaCarattere"/>
    <w:uiPriority w:val="99"/>
    <w:unhideWhenUsed/>
    <w:rsid w:val="001A32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3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9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0" ma:contentTypeDescription="Creare un nuovo documento." ma:contentTypeScope="" ma:versionID="f38b25c39e7f2bafd38b065aa3be2dcd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b8e079676b968049d1814ab2718b392e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078CA7-F045-4634-9ADB-BBC4152169B9}"/>
</file>

<file path=customXml/itemProps2.xml><?xml version="1.0" encoding="utf-8"?>
<ds:datastoreItem xmlns:ds="http://schemas.openxmlformats.org/officeDocument/2006/customXml" ds:itemID="{70E09B98-5AAB-40C7-9F82-419DB4F2D1B1}"/>
</file>

<file path=customXml/itemProps3.xml><?xml version="1.0" encoding="utf-8"?>
<ds:datastoreItem xmlns:ds="http://schemas.openxmlformats.org/officeDocument/2006/customXml" ds:itemID="{A9E61FA7-AAE6-400A-A76C-8947B0EB3F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Memeo Antonella</dc:creator>
  <cp:keywords/>
  <dc:description/>
  <cp:lastModifiedBy>Fiorentino Luigi</cp:lastModifiedBy>
  <cp:revision>2</cp:revision>
  <dcterms:created xsi:type="dcterms:W3CDTF">2021-09-21T14:12:00Z</dcterms:created>
  <dcterms:modified xsi:type="dcterms:W3CDTF">2021-10-05T11:46:00Z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