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56" w:rsidRPr="00220BCC" w:rsidRDefault="00AC329C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</w:pPr>
      <w:r w:rsidRPr="00AC329C">
        <w:t>DECISIONE DI CONTRARRE</w:t>
      </w:r>
    </w:p>
    <w:p w:rsidR="00570207" w:rsidRPr="00220BCC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</w:rPr>
      </w:pPr>
    </w:p>
    <w:p w:rsidR="00570207" w:rsidRPr="008B67A8" w:rsidRDefault="000123DD" w:rsidP="00570207">
      <w:pPr>
        <w:jc w:val="both"/>
        <w:rPr>
          <w:rFonts w:ascii="Titillium" w:hAnsi="Titillium"/>
          <w:b/>
          <w:sz w:val="18"/>
          <w:szCs w:val="18"/>
        </w:rPr>
      </w:pPr>
      <w:r w:rsidRPr="008B67A8">
        <w:rPr>
          <w:rFonts w:ascii="Titillium" w:hAnsi="Titillium"/>
          <w:b/>
          <w:sz w:val="18"/>
          <w:szCs w:val="18"/>
        </w:rPr>
        <w:t xml:space="preserve">VISTO </w:t>
      </w:r>
      <w:r w:rsidRPr="008B67A8">
        <w:rPr>
          <w:rFonts w:ascii="Titillium" w:hAnsi="Titillium"/>
          <w:sz w:val="18"/>
          <w:szCs w:val="18"/>
        </w:rPr>
        <w:t>il decreto legislativo 31 marzo 2023, n. 36, ed in particolare il comma 1 dell’art. 17, il quale prevede che, prima dell’avvio delle procedure di affidamento dei contratti pubblici le stazioni appaltanti e gli enti concedenti, con apposito atto, adottano la decisione di contrarre individuando gli elementi essenziali del contratto e i criteri di selezione degli operatori economici e delle offerte;</w:t>
      </w:r>
    </w:p>
    <w:p w:rsidR="00570207" w:rsidRPr="008B67A8" w:rsidRDefault="00570207" w:rsidP="00570207">
      <w:pPr>
        <w:jc w:val="both"/>
        <w:rPr>
          <w:rFonts w:ascii="Titillium" w:hAnsi="Titillium"/>
          <w:b/>
          <w:bCs/>
          <w:sz w:val="18"/>
          <w:szCs w:val="18"/>
          <w:highlight w:val="yellow"/>
        </w:rPr>
      </w:pPr>
    </w:p>
    <w:p w:rsidR="00852815" w:rsidRPr="008B67A8" w:rsidRDefault="00852815" w:rsidP="00570207">
      <w:pPr>
        <w:jc w:val="both"/>
        <w:rPr>
          <w:rFonts w:ascii="Titillium" w:hAnsi="Titillium"/>
          <w:bCs/>
          <w:sz w:val="18"/>
          <w:szCs w:val="18"/>
        </w:rPr>
      </w:pPr>
      <w:r w:rsidRPr="008B67A8">
        <w:rPr>
          <w:rFonts w:ascii="Titillium" w:hAnsi="Titillium"/>
          <w:b/>
          <w:bCs/>
          <w:sz w:val="18"/>
          <w:szCs w:val="18"/>
        </w:rPr>
        <w:t xml:space="preserve">VISTO </w:t>
      </w:r>
      <w:r w:rsidRPr="008B67A8">
        <w:rPr>
          <w:rFonts w:ascii="Titillium" w:hAnsi="Titillium"/>
          <w:bCs/>
          <w:sz w:val="18"/>
          <w:szCs w:val="18"/>
        </w:rPr>
        <w:t>il Regolamento per la disciplina dei contratti pubblici di servizi e forniture stipulati dall’Autorità approvato in data 7.7.2021;</w:t>
      </w:r>
    </w:p>
    <w:p w:rsidR="00570207" w:rsidRPr="008B67A8" w:rsidRDefault="00570207" w:rsidP="00570207">
      <w:pPr>
        <w:jc w:val="both"/>
        <w:rPr>
          <w:rFonts w:ascii="Titillium" w:hAnsi="Titillium"/>
          <w:b/>
          <w:bCs/>
          <w:sz w:val="18"/>
          <w:szCs w:val="18"/>
          <w:highlight w:val="yellow"/>
        </w:rPr>
      </w:pPr>
    </w:p>
    <w:p w:rsidR="00220BCC" w:rsidRPr="008B67A8" w:rsidRDefault="00A325BF" w:rsidP="00220BCC">
      <w:pPr>
        <w:spacing w:after="240"/>
        <w:jc w:val="both"/>
        <w:rPr>
          <w:rFonts w:ascii="Titillium" w:hAnsi="Titillium"/>
          <w:bCs/>
          <w:sz w:val="18"/>
          <w:szCs w:val="18"/>
        </w:rPr>
      </w:pPr>
      <w:r w:rsidRPr="008B67A8">
        <w:rPr>
          <w:rFonts w:ascii="Titillium" w:hAnsi="Titillium"/>
          <w:b/>
          <w:bCs/>
          <w:sz w:val="18"/>
          <w:szCs w:val="18"/>
        </w:rPr>
        <w:t xml:space="preserve">VISTO </w:t>
      </w:r>
      <w:r w:rsidRPr="008B67A8">
        <w:rPr>
          <w:rFonts w:ascii="Titillium" w:hAnsi="Titillium"/>
          <w:bCs/>
          <w:sz w:val="18"/>
          <w:szCs w:val="18"/>
        </w:rPr>
        <w:t>il Regolamento concernente la disciplina contabile dell’Autorità Nazionale Anticorruzione approvato dal Consiglio dell’Autorità nella seduta del 7 luglio 2021 ed entrato in vigore il 1° gennaio 2022;</w:t>
      </w:r>
    </w:p>
    <w:p w:rsidR="00220BCC" w:rsidRPr="008B67A8" w:rsidRDefault="00220BCC" w:rsidP="00220BCC">
      <w:pPr>
        <w:spacing w:after="240"/>
        <w:jc w:val="both"/>
        <w:rPr>
          <w:rFonts w:ascii="Titillium" w:hAnsi="Titillium"/>
          <w:bCs/>
          <w:sz w:val="18"/>
          <w:szCs w:val="18"/>
        </w:rPr>
      </w:pPr>
      <w:r w:rsidRPr="008B67A8">
        <w:rPr>
          <w:rFonts w:ascii="Titillium" w:hAnsi="Titillium"/>
          <w:b/>
          <w:bCs/>
          <w:sz w:val="18"/>
          <w:szCs w:val="18"/>
        </w:rPr>
        <w:t xml:space="preserve">CONSIDERATO </w:t>
      </w:r>
      <w:r w:rsidRPr="008B67A8">
        <w:rPr>
          <w:rFonts w:ascii="Titillium" w:hAnsi="Titillium"/>
          <w:bCs/>
          <w:sz w:val="18"/>
          <w:szCs w:val="18"/>
        </w:rPr>
        <w:t>che in data 14.10.202</w:t>
      </w:r>
      <w:r w:rsidR="002A738D" w:rsidRPr="008B67A8">
        <w:rPr>
          <w:rFonts w:ascii="Titillium" w:hAnsi="Titillium"/>
          <w:bCs/>
          <w:sz w:val="18"/>
          <w:szCs w:val="18"/>
        </w:rPr>
        <w:t>3</w:t>
      </w:r>
      <w:r w:rsidRPr="008B67A8">
        <w:rPr>
          <w:rFonts w:ascii="Titillium" w:hAnsi="Titillium"/>
          <w:bCs/>
          <w:sz w:val="18"/>
          <w:szCs w:val="18"/>
        </w:rPr>
        <w:t xml:space="preserve"> andrà in scadenza il contratto di abbonamento annuale </w:t>
      </w:r>
      <w:r w:rsidRPr="008B67A8">
        <w:rPr>
          <w:rFonts w:ascii="Titillium" w:hAnsi="Titillium"/>
          <w:bCs/>
          <w:iCs/>
          <w:sz w:val="18"/>
          <w:szCs w:val="18"/>
        </w:rPr>
        <w:t>all’edizione digitale del quotidiano “Corriere della Sera” denominata “</w:t>
      </w:r>
      <w:r w:rsidRPr="008B67A8">
        <w:rPr>
          <w:rFonts w:ascii="Titillium" w:hAnsi="Titillium"/>
          <w:b/>
          <w:bCs/>
          <w:iCs/>
          <w:sz w:val="18"/>
          <w:szCs w:val="18"/>
        </w:rPr>
        <w:t xml:space="preserve">Corriere </w:t>
      </w:r>
      <w:r w:rsidR="002A738D" w:rsidRPr="008B67A8">
        <w:rPr>
          <w:rFonts w:ascii="Titillium" w:hAnsi="Titillium"/>
          <w:b/>
          <w:bCs/>
          <w:iCs/>
          <w:sz w:val="18"/>
          <w:szCs w:val="18"/>
        </w:rPr>
        <w:t>Tutto</w:t>
      </w:r>
      <w:r w:rsidRPr="008B67A8">
        <w:rPr>
          <w:rFonts w:ascii="Titillium" w:hAnsi="Titillium"/>
          <w:bCs/>
          <w:iCs/>
          <w:sz w:val="18"/>
          <w:szCs w:val="18"/>
        </w:rPr>
        <w:t>”</w:t>
      </w:r>
      <w:r w:rsidRPr="008B67A8">
        <w:rPr>
          <w:rFonts w:ascii="Titillium" w:hAnsi="Titillium"/>
          <w:bCs/>
          <w:sz w:val="18"/>
          <w:szCs w:val="18"/>
        </w:rPr>
        <w:t xml:space="preserve">, </w:t>
      </w:r>
      <w:r w:rsidRPr="008B67A8">
        <w:rPr>
          <w:rFonts w:ascii="Titillium" w:hAnsi="Titillium"/>
          <w:bCs/>
          <w:iCs/>
          <w:sz w:val="18"/>
          <w:szCs w:val="18"/>
        </w:rPr>
        <w:t xml:space="preserve">comprensivo di n. </w:t>
      </w:r>
      <w:r w:rsidR="002A738D" w:rsidRPr="008B67A8">
        <w:rPr>
          <w:rFonts w:ascii="Titillium" w:hAnsi="Titillium"/>
          <w:bCs/>
          <w:iCs/>
          <w:sz w:val="18"/>
          <w:szCs w:val="18"/>
        </w:rPr>
        <w:t>8</w:t>
      </w:r>
      <w:r w:rsidRPr="008B67A8">
        <w:rPr>
          <w:rFonts w:ascii="Titillium" w:hAnsi="Titillium"/>
          <w:bCs/>
          <w:iCs/>
          <w:sz w:val="18"/>
          <w:szCs w:val="18"/>
        </w:rPr>
        <w:t xml:space="preserve"> accessi</w:t>
      </w:r>
      <w:r w:rsidR="001113D4">
        <w:rPr>
          <w:rFonts w:ascii="Titillium" w:hAnsi="Titillium"/>
          <w:bCs/>
          <w:iCs/>
          <w:sz w:val="18"/>
          <w:szCs w:val="18"/>
        </w:rPr>
        <w:t>,</w:t>
      </w:r>
      <w:bookmarkStart w:id="0" w:name="_GoBack"/>
      <w:bookmarkEnd w:id="0"/>
      <w:r w:rsidRPr="008B67A8">
        <w:rPr>
          <w:rFonts w:ascii="Titillium" w:hAnsi="Titillium"/>
          <w:bCs/>
          <w:iCs/>
          <w:sz w:val="18"/>
          <w:szCs w:val="18"/>
        </w:rPr>
        <w:t xml:space="preserve"> </w:t>
      </w:r>
      <w:r w:rsidR="002A738D" w:rsidRPr="008B67A8">
        <w:rPr>
          <w:rFonts w:ascii="Titillium" w:hAnsi="Titillium"/>
          <w:bCs/>
          <w:iCs/>
          <w:sz w:val="18"/>
          <w:szCs w:val="18"/>
        </w:rPr>
        <w:t>per le esigenze dei vertici istituzionali dell’Autorità</w:t>
      </w:r>
      <w:r w:rsidRPr="008B67A8">
        <w:rPr>
          <w:rFonts w:ascii="Titillium" w:hAnsi="Titillium"/>
          <w:bCs/>
          <w:sz w:val="18"/>
          <w:szCs w:val="18"/>
        </w:rPr>
        <w:t>;</w:t>
      </w:r>
    </w:p>
    <w:p w:rsidR="00220BCC" w:rsidRPr="008B67A8" w:rsidRDefault="00220BCC" w:rsidP="00220BCC">
      <w:pPr>
        <w:spacing w:after="240"/>
        <w:jc w:val="both"/>
        <w:rPr>
          <w:rFonts w:ascii="Titillium" w:hAnsi="Titillium"/>
          <w:bCs/>
          <w:sz w:val="18"/>
          <w:szCs w:val="18"/>
        </w:rPr>
      </w:pPr>
      <w:r w:rsidRPr="008B67A8">
        <w:rPr>
          <w:rFonts w:ascii="Titillium" w:hAnsi="Titillium"/>
          <w:b/>
          <w:bCs/>
          <w:sz w:val="18"/>
          <w:szCs w:val="18"/>
        </w:rPr>
        <w:t xml:space="preserve">TENUTO CONTO </w:t>
      </w:r>
      <w:r w:rsidR="00760695" w:rsidRPr="008B67A8">
        <w:rPr>
          <w:rFonts w:ascii="Titillium" w:hAnsi="Titillium"/>
          <w:bCs/>
          <w:sz w:val="18"/>
          <w:szCs w:val="18"/>
        </w:rPr>
        <w:t xml:space="preserve">che, con mail </w:t>
      </w:r>
      <w:r w:rsidRPr="008B67A8">
        <w:rPr>
          <w:rFonts w:ascii="Titillium" w:hAnsi="Titillium"/>
          <w:bCs/>
          <w:sz w:val="18"/>
          <w:szCs w:val="18"/>
        </w:rPr>
        <w:t xml:space="preserve">del </w:t>
      </w:r>
      <w:r w:rsidR="002A738D" w:rsidRPr="008B67A8">
        <w:rPr>
          <w:rFonts w:ascii="Titillium" w:hAnsi="Titillium"/>
          <w:bCs/>
          <w:sz w:val="18"/>
          <w:szCs w:val="18"/>
        </w:rPr>
        <w:t>13</w:t>
      </w:r>
      <w:r w:rsidRPr="008B67A8">
        <w:rPr>
          <w:rFonts w:ascii="Titillium" w:hAnsi="Titillium"/>
          <w:bCs/>
          <w:sz w:val="18"/>
          <w:szCs w:val="18"/>
        </w:rPr>
        <w:t>.9.202</w:t>
      </w:r>
      <w:r w:rsidR="002A738D" w:rsidRPr="008B67A8">
        <w:rPr>
          <w:rFonts w:ascii="Titillium" w:hAnsi="Titillium"/>
          <w:bCs/>
          <w:sz w:val="18"/>
          <w:szCs w:val="18"/>
        </w:rPr>
        <w:t>3</w:t>
      </w:r>
      <w:r w:rsidRPr="008B67A8">
        <w:rPr>
          <w:rFonts w:ascii="Titillium" w:hAnsi="Titillium"/>
          <w:bCs/>
          <w:sz w:val="18"/>
          <w:szCs w:val="18"/>
        </w:rPr>
        <w:t xml:space="preserve">, </w:t>
      </w:r>
      <w:r w:rsidR="00751186" w:rsidRPr="008B67A8">
        <w:rPr>
          <w:rFonts w:ascii="Titillium" w:hAnsi="Titillium"/>
          <w:bCs/>
          <w:sz w:val="18"/>
          <w:szCs w:val="18"/>
        </w:rPr>
        <w:t>il direttore dell’esecuzione del contratto</w:t>
      </w:r>
      <w:r w:rsidRPr="008B67A8">
        <w:rPr>
          <w:rFonts w:ascii="Titillium" w:hAnsi="Titillium"/>
          <w:bCs/>
          <w:sz w:val="18"/>
          <w:szCs w:val="18"/>
        </w:rPr>
        <w:t xml:space="preserve">, sentito il </w:t>
      </w:r>
      <w:r w:rsidR="00751186" w:rsidRPr="008B67A8">
        <w:rPr>
          <w:rFonts w:ascii="Titillium" w:hAnsi="Titillium"/>
          <w:bCs/>
          <w:sz w:val="18"/>
          <w:szCs w:val="18"/>
        </w:rPr>
        <w:t>Portavoce del Presidente</w:t>
      </w:r>
      <w:r w:rsidR="006E3B9C">
        <w:rPr>
          <w:rFonts w:ascii="Titillium" w:hAnsi="Titillium"/>
          <w:bCs/>
          <w:sz w:val="18"/>
          <w:szCs w:val="18"/>
        </w:rPr>
        <w:t>,</w:t>
      </w:r>
      <w:r w:rsidR="00751186" w:rsidRPr="008B67A8">
        <w:rPr>
          <w:rFonts w:ascii="Titillium" w:hAnsi="Titillium"/>
          <w:bCs/>
          <w:sz w:val="18"/>
          <w:szCs w:val="18"/>
        </w:rPr>
        <w:t xml:space="preserve"> </w:t>
      </w:r>
      <w:r w:rsidRPr="008B67A8">
        <w:rPr>
          <w:rFonts w:ascii="Titillium" w:hAnsi="Titillium"/>
          <w:bCs/>
          <w:sz w:val="18"/>
          <w:szCs w:val="18"/>
        </w:rPr>
        <w:t>ha confermato l’esigenza di rinnovo del contratto in questione;</w:t>
      </w:r>
    </w:p>
    <w:p w:rsidR="008B67A8" w:rsidRPr="008B67A8" w:rsidRDefault="00765F7E" w:rsidP="008B67A8">
      <w:pPr>
        <w:spacing w:after="240"/>
        <w:jc w:val="both"/>
        <w:rPr>
          <w:rFonts w:ascii="Titillium" w:hAnsi="Titillium"/>
          <w:bCs/>
          <w:iCs/>
          <w:sz w:val="18"/>
          <w:szCs w:val="18"/>
        </w:rPr>
      </w:pPr>
      <w:r w:rsidRPr="008B67A8">
        <w:rPr>
          <w:rFonts w:ascii="Titillium" w:hAnsi="Titillium"/>
          <w:b/>
          <w:bCs/>
          <w:sz w:val="18"/>
          <w:szCs w:val="18"/>
        </w:rPr>
        <w:t xml:space="preserve">VISTO </w:t>
      </w:r>
      <w:r w:rsidRPr="008B67A8">
        <w:rPr>
          <w:rFonts w:ascii="Titillium" w:hAnsi="Titillium"/>
          <w:bCs/>
          <w:sz w:val="18"/>
          <w:szCs w:val="18"/>
        </w:rPr>
        <w:t xml:space="preserve">il preventivo </w:t>
      </w:r>
      <w:proofErr w:type="spellStart"/>
      <w:r w:rsidRPr="008B67A8">
        <w:rPr>
          <w:rFonts w:ascii="Titillium" w:hAnsi="Titillium"/>
          <w:bCs/>
          <w:sz w:val="18"/>
          <w:szCs w:val="18"/>
        </w:rPr>
        <w:t>prot</w:t>
      </w:r>
      <w:proofErr w:type="spellEnd"/>
      <w:r w:rsidRPr="008B67A8">
        <w:rPr>
          <w:rFonts w:ascii="Titillium" w:hAnsi="Titillium"/>
          <w:bCs/>
          <w:sz w:val="18"/>
          <w:szCs w:val="18"/>
        </w:rPr>
        <w:t xml:space="preserve">. n. </w:t>
      </w:r>
      <w:r w:rsidR="00793F15" w:rsidRPr="008B67A8">
        <w:rPr>
          <w:rFonts w:ascii="Titillium" w:hAnsi="Titillium"/>
          <w:bCs/>
          <w:iCs/>
          <w:sz w:val="18"/>
          <w:szCs w:val="18"/>
        </w:rPr>
        <w:t>7</w:t>
      </w:r>
      <w:r w:rsidR="004D049E" w:rsidRPr="008B67A8">
        <w:rPr>
          <w:rFonts w:ascii="Titillium" w:hAnsi="Titillium"/>
          <w:bCs/>
          <w:iCs/>
          <w:sz w:val="18"/>
          <w:szCs w:val="18"/>
        </w:rPr>
        <w:t>2562</w:t>
      </w:r>
      <w:r w:rsidR="00793F15" w:rsidRPr="008B67A8">
        <w:rPr>
          <w:rFonts w:ascii="Titillium" w:hAnsi="Titillium"/>
          <w:bCs/>
          <w:iCs/>
          <w:sz w:val="18"/>
          <w:szCs w:val="18"/>
        </w:rPr>
        <w:t xml:space="preserve"> del </w:t>
      </w:r>
      <w:r w:rsidR="004D049E" w:rsidRPr="008B67A8">
        <w:rPr>
          <w:rFonts w:ascii="Titillium" w:hAnsi="Titillium"/>
          <w:bCs/>
          <w:iCs/>
          <w:sz w:val="18"/>
          <w:szCs w:val="18"/>
        </w:rPr>
        <w:t>13</w:t>
      </w:r>
      <w:r w:rsidR="00793F15" w:rsidRPr="008B67A8">
        <w:rPr>
          <w:rFonts w:ascii="Titillium" w:hAnsi="Titillium"/>
          <w:bCs/>
          <w:iCs/>
          <w:sz w:val="18"/>
          <w:szCs w:val="18"/>
        </w:rPr>
        <w:t>.9.202</w:t>
      </w:r>
      <w:r w:rsidR="004D049E" w:rsidRPr="008B67A8">
        <w:rPr>
          <w:rFonts w:ascii="Titillium" w:hAnsi="Titillium"/>
          <w:bCs/>
          <w:iCs/>
          <w:sz w:val="18"/>
          <w:szCs w:val="18"/>
        </w:rPr>
        <w:t>3</w:t>
      </w:r>
      <w:r w:rsidRPr="008B67A8">
        <w:rPr>
          <w:rFonts w:ascii="Titillium" w:hAnsi="Titillium"/>
          <w:bCs/>
          <w:iCs/>
          <w:sz w:val="18"/>
          <w:szCs w:val="18"/>
        </w:rPr>
        <w:t xml:space="preserve">, </w:t>
      </w:r>
      <w:r w:rsidRPr="008B67A8">
        <w:rPr>
          <w:rFonts w:ascii="Titillium" w:hAnsi="Titillium"/>
          <w:bCs/>
          <w:sz w:val="18"/>
          <w:szCs w:val="18"/>
        </w:rPr>
        <w:t xml:space="preserve">inviato dalla società </w:t>
      </w:r>
      <w:r w:rsidRPr="008B67A8">
        <w:rPr>
          <w:rFonts w:ascii="Titillium" w:hAnsi="Titillium"/>
          <w:bCs/>
          <w:iCs/>
          <w:sz w:val="18"/>
          <w:szCs w:val="18"/>
        </w:rPr>
        <w:t xml:space="preserve">RCS </w:t>
      </w:r>
      <w:proofErr w:type="spellStart"/>
      <w:r w:rsidRPr="008B67A8">
        <w:rPr>
          <w:rFonts w:ascii="Titillium" w:hAnsi="Titillium"/>
          <w:bCs/>
          <w:iCs/>
          <w:sz w:val="18"/>
          <w:szCs w:val="18"/>
        </w:rPr>
        <w:t>MediaGroup</w:t>
      </w:r>
      <w:proofErr w:type="spellEnd"/>
      <w:r w:rsidRPr="008B67A8">
        <w:rPr>
          <w:rFonts w:ascii="Titillium" w:hAnsi="Titillium"/>
          <w:bCs/>
          <w:iCs/>
          <w:sz w:val="18"/>
          <w:szCs w:val="18"/>
        </w:rPr>
        <w:t xml:space="preserve"> </w:t>
      </w:r>
      <w:proofErr w:type="spellStart"/>
      <w:r w:rsidRPr="008B67A8">
        <w:rPr>
          <w:rFonts w:ascii="Titillium" w:hAnsi="Titillium"/>
          <w:bCs/>
          <w:iCs/>
          <w:sz w:val="18"/>
          <w:szCs w:val="18"/>
        </w:rPr>
        <w:t>S.p.A</w:t>
      </w:r>
      <w:proofErr w:type="spellEnd"/>
      <w:r w:rsidRPr="008B67A8">
        <w:rPr>
          <w:rFonts w:ascii="Titillium" w:hAnsi="Titillium"/>
          <w:bCs/>
          <w:iCs/>
          <w:sz w:val="18"/>
          <w:szCs w:val="18"/>
        </w:rPr>
        <w:t>, riferito all’abbonamento annuale all’edizione digitale del quotidiano “Corriere della Sera” denominata “</w:t>
      </w:r>
      <w:r w:rsidRPr="008B67A8">
        <w:rPr>
          <w:rFonts w:ascii="Titillium" w:hAnsi="Titillium"/>
          <w:b/>
          <w:bCs/>
          <w:iCs/>
          <w:sz w:val="18"/>
          <w:szCs w:val="18"/>
        </w:rPr>
        <w:t>Corriere Tutto</w:t>
      </w:r>
      <w:r w:rsidRPr="008B67A8">
        <w:rPr>
          <w:rFonts w:ascii="Titillium" w:hAnsi="Titillium"/>
          <w:bCs/>
          <w:iCs/>
          <w:sz w:val="18"/>
          <w:szCs w:val="18"/>
        </w:rPr>
        <w:t xml:space="preserve">”, comprensivo di n. 8 accessi, per un totale di euro </w:t>
      </w:r>
      <w:r w:rsidRPr="008B67A8">
        <w:rPr>
          <w:rFonts w:ascii="Titillium" w:hAnsi="Titillium"/>
          <w:b/>
          <w:bCs/>
          <w:iCs/>
          <w:sz w:val="18"/>
          <w:szCs w:val="18"/>
        </w:rPr>
        <w:t xml:space="preserve">1.826,88 </w:t>
      </w:r>
      <w:r w:rsidRPr="008B67A8">
        <w:rPr>
          <w:rFonts w:ascii="Titillium" w:hAnsi="Titillium"/>
          <w:bCs/>
          <w:iCs/>
          <w:sz w:val="18"/>
          <w:szCs w:val="18"/>
        </w:rPr>
        <w:t>oltre Iva;</w:t>
      </w:r>
    </w:p>
    <w:p w:rsidR="008B67A8" w:rsidRPr="008B67A8" w:rsidRDefault="008B67A8" w:rsidP="00A66207">
      <w:pPr>
        <w:jc w:val="both"/>
        <w:rPr>
          <w:rFonts w:ascii="Titillium" w:hAnsi="Titillium"/>
          <w:bCs/>
          <w:sz w:val="18"/>
          <w:szCs w:val="18"/>
        </w:rPr>
      </w:pPr>
      <w:r w:rsidRPr="008B67A8">
        <w:rPr>
          <w:rFonts w:ascii="Titillium" w:hAnsi="Titillium"/>
          <w:b/>
          <w:bCs/>
          <w:iCs/>
          <w:sz w:val="18"/>
          <w:szCs w:val="18"/>
        </w:rPr>
        <w:t xml:space="preserve">CONSIDERATO </w:t>
      </w:r>
      <w:r w:rsidRPr="008B67A8">
        <w:rPr>
          <w:rFonts w:ascii="Titillium" w:hAnsi="Titillium"/>
          <w:bCs/>
          <w:iCs/>
          <w:sz w:val="18"/>
          <w:szCs w:val="18"/>
        </w:rPr>
        <w:t>che il servizio di abbonamento in questione è fornito esclusivamente dalla suddetta società;</w:t>
      </w:r>
    </w:p>
    <w:p w:rsidR="00570207" w:rsidRPr="008B67A8" w:rsidRDefault="00570207" w:rsidP="00570207">
      <w:pPr>
        <w:pStyle w:val="Corpodeltesto2"/>
        <w:spacing w:after="0" w:line="240" w:lineRule="auto"/>
        <w:jc w:val="both"/>
        <w:rPr>
          <w:rFonts w:ascii="Titillium" w:hAnsi="Titillium"/>
          <w:b/>
          <w:sz w:val="18"/>
          <w:szCs w:val="18"/>
          <w:highlight w:val="yellow"/>
        </w:rPr>
      </w:pPr>
    </w:p>
    <w:p w:rsidR="00A325BF" w:rsidRPr="008B67A8" w:rsidRDefault="00EE0027" w:rsidP="00570207">
      <w:pPr>
        <w:pStyle w:val="Corpodeltesto2"/>
        <w:spacing w:after="0" w:line="240" w:lineRule="auto"/>
        <w:jc w:val="both"/>
        <w:rPr>
          <w:rFonts w:ascii="Titillium" w:hAnsi="Titillium"/>
          <w:sz w:val="18"/>
          <w:szCs w:val="18"/>
          <w:highlight w:val="yellow"/>
        </w:rPr>
      </w:pPr>
      <w:r w:rsidRPr="008B67A8">
        <w:rPr>
          <w:rFonts w:ascii="Titillium" w:hAnsi="Titillium"/>
          <w:b/>
          <w:sz w:val="18"/>
          <w:szCs w:val="18"/>
        </w:rPr>
        <w:t xml:space="preserve">ACCERTATO </w:t>
      </w:r>
      <w:r w:rsidRPr="008B67A8">
        <w:rPr>
          <w:rFonts w:ascii="Titillium" w:hAnsi="Titillium"/>
          <w:sz w:val="18"/>
          <w:szCs w:val="18"/>
        </w:rPr>
        <w:t>che la disponibilità finanziaria sul pertinente capitolo</w:t>
      </w:r>
      <w:r w:rsidRPr="008B67A8">
        <w:rPr>
          <w:rFonts w:ascii="Titillium" w:hAnsi="Titillium"/>
          <w:b/>
          <w:sz w:val="18"/>
          <w:szCs w:val="18"/>
        </w:rPr>
        <w:t xml:space="preserve"> </w:t>
      </w:r>
      <w:r w:rsidR="00765F7E" w:rsidRPr="008B67A8">
        <w:rPr>
          <w:rFonts w:ascii="Titillium" w:hAnsi="Titillium"/>
          <w:sz w:val="18"/>
          <w:szCs w:val="18"/>
        </w:rPr>
        <w:t>n. 1301</w:t>
      </w:r>
      <w:r w:rsidR="00AD7223" w:rsidRPr="008B67A8">
        <w:rPr>
          <w:rFonts w:ascii="Titillium" w:hAnsi="Titillium"/>
          <w:sz w:val="18"/>
          <w:szCs w:val="18"/>
        </w:rPr>
        <w:t>.1</w:t>
      </w:r>
      <w:r w:rsidRPr="008B67A8">
        <w:rPr>
          <w:rFonts w:ascii="Titillium" w:hAnsi="Titillium"/>
          <w:b/>
          <w:sz w:val="18"/>
          <w:szCs w:val="18"/>
        </w:rPr>
        <w:t xml:space="preserve"> </w:t>
      </w:r>
      <w:r w:rsidR="00776C90" w:rsidRPr="008B67A8">
        <w:rPr>
          <w:rFonts w:ascii="Titillium" w:hAnsi="Titillium"/>
          <w:sz w:val="18"/>
          <w:szCs w:val="18"/>
        </w:rPr>
        <w:t>del bilancio 2023</w:t>
      </w:r>
      <w:r w:rsidRPr="008B67A8">
        <w:rPr>
          <w:rFonts w:ascii="Titillium" w:hAnsi="Titillium"/>
          <w:sz w:val="18"/>
          <w:szCs w:val="18"/>
        </w:rPr>
        <w:t xml:space="preserve"> di previsione dell’ANAC è congrua per accogliere la spesa stimata per l’affidamento del</w:t>
      </w:r>
      <w:r w:rsidR="006B55BF" w:rsidRPr="008B67A8">
        <w:rPr>
          <w:rFonts w:ascii="Titillium" w:hAnsi="Titillium"/>
          <w:sz w:val="18"/>
          <w:szCs w:val="18"/>
        </w:rPr>
        <w:t>la fornitura</w:t>
      </w:r>
      <w:r w:rsidRPr="008B67A8">
        <w:rPr>
          <w:rFonts w:ascii="Titillium" w:hAnsi="Titillium"/>
          <w:sz w:val="18"/>
          <w:szCs w:val="18"/>
        </w:rPr>
        <w:t xml:space="preserve"> in esame;</w:t>
      </w:r>
    </w:p>
    <w:p w:rsidR="00570207" w:rsidRPr="009825DA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  <w:highlight w:val="yellow"/>
        </w:rPr>
      </w:pPr>
    </w:p>
    <w:p w:rsidR="00317AEE" w:rsidRPr="009825DA" w:rsidRDefault="00135F2E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highlight w:val="yellow"/>
        </w:rPr>
      </w:pPr>
      <w:r w:rsidRPr="004D049E">
        <w:t>D I S P O N E</w:t>
      </w:r>
    </w:p>
    <w:p w:rsidR="00570207" w:rsidRPr="004D049E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</w:rPr>
      </w:pPr>
    </w:p>
    <w:p w:rsidR="00417722" w:rsidRPr="008B67A8" w:rsidRDefault="004219F2" w:rsidP="007D15C4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8B67A8">
        <w:rPr>
          <w:rFonts w:ascii="Titillium" w:hAnsi="Titillium"/>
          <w:sz w:val="18"/>
          <w:szCs w:val="18"/>
        </w:rPr>
        <w:t xml:space="preserve">di affidare </w:t>
      </w:r>
      <w:r w:rsidR="007D15C4" w:rsidRPr="008B67A8">
        <w:rPr>
          <w:rFonts w:ascii="Titillium" w:hAnsi="Titillium"/>
          <w:sz w:val="18"/>
          <w:szCs w:val="18"/>
        </w:rPr>
        <w:t>alla</w:t>
      </w:r>
      <w:r w:rsidR="00E17EC3" w:rsidRPr="008B67A8">
        <w:rPr>
          <w:rFonts w:ascii="Titillium" w:hAnsi="Titillium"/>
          <w:sz w:val="18"/>
          <w:szCs w:val="18"/>
        </w:rPr>
        <w:t xml:space="preserve"> </w:t>
      </w:r>
      <w:proofErr w:type="gramStart"/>
      <w:r w:rsidR="00E17EC3" w:rsidRPr="008B67A8">
        <w:rPr>
          <w:rFonts w:ascii="Titillium" w:hAnsi="Titillium"/>
          <w:sz w:val="18"/>
          <w:szCs w:val="18"/>
        </w:rPr>
        <w:t xml:space="preserve">società </w:t>
      </w:r>
      <w:r w:rsidR="007D15C4" w:rsidRPr="008B67A8">
        <w:rPr>
          <w:rFonts w:ascii="Titillium" w:hAnsi="Titillium"/>
          <w:sz w:val="18"/>
          <w:szCs w:val="18"/>
        </w:rPr>
        <w:t xml:space="preserve"> </w:t>
      </w:r>
      <w:r w:rsidR="00765F7E" w:rsidRPr="008B67A8">
        <w:rPr>
          <w:rFonts w:ascii="Titillium" w:hAnsi="Titillium"/>
          <w:iCs/>
          <w:sz w:val="18"/>
          <w:szCs w:val="18"/>
        </w:rPr>
        <w:t>RCS</w:t>
      </w:r>
      <w:proofErr w:type="gramEnd"/>
      <w:r w:rsidR="00765F7E" w:rsidRPr="008B67A8">
        <w:rPr>
          <w:rFonts w:ascii="Titillium" w:hAnsi="Titillium"/>
          <w:iCs/>
          <w:sz w:val="18"/>
          <w:szCs w:val="18"/>
        </w:rPr>
        <w:t xml:space="preserve"> </w:t>
      </w:r>
      <w:proofErr w:type="spellStart"/>
      <w:r w:rsidR="00765F7E" w:rsidRPr="008B67A8">
        <w:rPr>
          <w:rFonts w:ascii="Titillium" w:hAnsi="Titillium"/>
          <w:iCs/>
          <w:sz w:val="18"/>
          <w:szCs w:val="18"/>
        </w:rPr>
        <w:t>MediaGroup</w:t>
      </w:r>
      <w:proofErr w:type="spellEnd"/>
      <w:r w:rsidR="00765F7E" w:rsidRPr="008B67A8">
        <w:rPr>
          <w:rFonts w:ascii="Titillium" w:hAnsi="Titillium"/>
          <w:iCs/>
          <w:sz w:val="18"/>
          <w:szCs w:val="18"/>
        </w:rPr>
        <w:t xml:space="preserve"> S.p.A</w:t>
      </w:r>
      <w:r w:rsidR="00CC4290">
        <w:rPr>
          <w:rFonts w:ascii="Titillium" w:hAnsi="Titillium"/>
          <w:sz w:val="18"/>
          <w:szCs w:val="18"/>
        </w:rPr>
        <w:t xml:space="preserve">. </w:t>
      </w:r>
      <w:r w:rsidR="00765F7E" w:rsidRPr="008B67A8">
        <w:rPr>
          <w:rFonts w:ascii="Titillium" w:hAnsi="Titillium"/>
          <w:sz w:val="18"/>
          <w:szCs w:val="18"/>
        </w:rPr>
        <w:t xml:space="preserve">il servizio di abbonamento annuale </w:t>
      </w:r>
      <w:r w:rsidR="00765F7E" w:rsidRPr="008B67A8">
        <w:rPr>
          <w:rFonts w:ascii="Titillium" w:hAnsi="Titillium"/>
          <w:iCs/>
          <w:sz w:val="18"/>
          <w:szCs w:val="18"/>
        </w:rPr>
        <w:t>all’edizione digitale del quotidiano “Corriere della Sera” denominata “</w:t>
      </w:r>
      <w:r w:rsidR="00765F7E" w:rsidRPr="008B67A8">
        <w:rPr>
          <w:rFonts w:ascii="Titillium" w:hAnsi="Titillium"/>
          <w:b/>
          <w:iCs/>
          <w:sz w:val="18"/>
          <w:szCs w:val="18"/>
        </w:rPr>
        <w:t>Corriere Tutto</w:t>
      </w:r>
      <w:r w:rsidR="00765F7E" w:rsidRPr="008B67A8">
        <w:rPr>
          <w:rFonts w:ascii="Titillium" w:hAnsi="Titillium"/>
          <w:iCs/>
          <w:sz w:val="18"/>
          <w:szCs w:val="18"/>
        </w:rPr>
        <w:t>”</w:t>
      </w:r>
      <w:r w:rsidR="00765F7E" w:rsidRPr="008B67A8">
        <w:rPr>
          <w:rFonts w:ascii="Titillium" w:hAnsi="Titillium"/>
          <w:sz w:val="18"/>
          <w:szCs w:val="18"/>
        </w:rPr>
        <w:t xml:space="preserve">, </w:t>
      </w:r>
      <w:r w:rsidR="00765F7E" w:rsidRPr="008B67A8">
        <w:rPr>
          <w:rFonts w:ascii="Titillium" w:hAnsi="Titillium"/>
          <w:iCs/>
          <w:sz w:val="18"/>
          <w:szCs w:val="18"/>
        </w:rPr>
        <w:t>comprensivo di n. 8 accessi</w:t>
      </w:r>
      <w:r w:rsidR="00765F7E" w:rsidRPr="008B67A8">
        <w:rPr>
          <w:rFonts w:ascii="Titillium" w:hAnsi="Titillium"/>
          <w:sz w:val="18"/>
          <w:szCs w:val="18"/>
        </w:rPr>
        <w:t xml:space="preserve">, </w:t>
      </w:r>
      <w:r w:rsidR="00776C90" w:rsidRPr="008B67A8">
        <w:rPr>
          <w:rFonts w:ascii="Titillium" w:hAnsi="Titillium"/>
          <w:sz w:val="18"/>
          <w:szCs w:val="18"/>
        </w:rPr>
        <w:t>con decorrenza dal 15.10.2023</w:t>
      </w:r>
      <w:r w:rsidR="00765F7E" w:rsidRPr="008B67A8">
        <w:rPr>
          <w:rFonts w:ascii="Titillium" w:hAnsi="Titillium"/>
          <w:sz w:val="18"/>
          <w:szCs w:val="18"/>
        </w:rPr>
        <w:t xml:space="preserve">, </w:t>
      </w:r>
      <w:r w:rsidR="001833D2" w:rsidRPr="008B67A8">
        <w:rPr>
          <w:rFonts w:ascii="Titillium" w:hAnsi="Titillium"/>
          <w:sz w:val="18"/>
          <w:szCs w:val="18"/>
        </w:rPr>
        <w:t xml:space="preserve">per </w:t>
      </w:r>
      <w:r w:rsidR="00135F2E" w:rsidRPr="008B67A8">
        <w:rPr>
          <w:rFonts w:ascii="Titillium" w:hAnsi="Titillium"/>
          <w:sz w:val="18"/>
          <w:szCs w:val="18"/>
        </w:rPr>
        <w:t xml:space="preserve">una spesa complessiva </w:t>
      </w:r>
      <w:r w:rsidR="00570207" w:rsidRPr="008B67A8">
        <w:rPr>
          <w:rFonts w:ascii="Titillium" w:hAnsi="Titillium"/>
          <w:sz w:val="18"/>
          <w:szCs w:val="18"/>
        </w:rPr>
        <w:t>così distinta:</w:t>
      </w:r>
    </w:p>
    <w:tbl>
      <w:tblPr>
        <w:tblStyle w:val="Grigliatabella"/>
        <w:tblW w:w="95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5"/>
        <w:gridCol w:w="1666"/>
      </w:tblGrid>
      <w:tr w:rsidR="00F22986" w:rsidRPr="008B67A8" w:rsidTr="00A86EDC">
        <w:tc>
          <w:tcPr>
            <w:tcW w:w="791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8B67A8" w:rsidRDefault="00765F7E" w:rsidP="00570207">
            <w:pPr>
              <w:pStyle w:val="Paragrafoelenco"/>
              <w:numPr>
                <w:ilvl w:val="0"/>
                <w:numId w:val="6"/>
              </w:numPr>
              <w:ind w:left="511"/>
              <w:jc w:val="both"/>
              <w:rPr>
                <w:rFonts w:ascii="Titillium" w:hAnsi="Titillium"/>
                <w:sz w:val="18"/>
                <w:szCs w:val="18"/>
              </w:rPr>
            </w:pPr>
            <w:r w:rsidRPr="008B67A8">
              <w:rPr>
                <w:rFonts w:ascii="Titillium" w:hAnsi="Titillium"/>
                <w:sz w:val="18"/>
                <w:szCs w:val="18"/>
              </w:rPr>
              <w:t xml:space="preserve">servizio di abbonamento annuale </w:t>
            </w:r>
            <w:r w:rsidRPr="008B67A8">
              <w:rPr>
                <w:rFonts w:ascii="Titillium" w:hAnsi="Titillium"/>
                <w:iCs/>
                <w:sz w:val="18"/>
                <w:szCs w:val="18"/>
              </w:rPr>
              <w:t>all’edizione digitale del quotidiano “Corriere della Sera” denominata “</w:t>
            </w:r>
            <w:r w:rsidR="00A66207" w:rsidRPr="008B67A8">
              <w:rPr>
                <w:rFonts w:ascii="Titillium" w:hAnsi="Titillium"/>
                <w:b/>
                <w:iCs/>
                <w:sz w:val="18"/>
                <w:szCs w:val="18"/>
              </w:rPr>
              <w:t>Corriere Tutto</w:t>
            </w:r>
            <w:r w:rsidRPr="008B67A8">
              <w:rPr>
                <w:rFonts w:ascii="Titillium" w:hAnsi="Titillium"/>
                <w:iCs/>
                <w:sz w:val="18"/>
                <w:szCs w:val="18"/>
              </w:rPr>
              <w:t>”</w:t>
            </w:r>
            <w:r w:rsidRPr="008B67A8">
              <w:rPr>
                <w:rFonts w:ascii="Titillium" w:hAnsi="Titillium"/>
                <w:sz w:val="18"/>
                <w:szCs w:val="18"/>
              </w:rPr>
              <w:t xml:space="preserve">, </w:t>
            </w:r>
            <w:r w:rsidR="00A66207" w:rsidRPr="008B67A8">
              <w:rPr>
                <w:rFonts w:ascii="Titillium" w:hAnsi="Titillium"/>
                <w:iCs/>
                <w:sz w:val="18"/>
                <w:szCs w:val="18"/>
              </w:rPr>
              <w:t>comprensivo di n. 8</w:t>
            </w:r>
            <w:r w:rsidRPr="008B67A8">
              <w:rPr>
                <w:rFonts w:ascii="Titillium" w:hAnsi="Titillium"/>
                <w:iCs/>
                <w:sz w:val="18"/>
                <w:szCs w:val="18"/>
              </w:rPr>
              <w:t xml:space="preserve"> accessi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8B67A8" w:rsidRDefault="00A66207" w:rsidP="00A66207">
            <w:pPr>
              <w:jc w:val="center"/>
              <w:rPr>
                <w:rFonts w:ascii="Titillium" w:hAnsi="Titillium"/>
                <w:sz w:val="18"/>
                <w:szCs w:val="18"/>
              </w:rPr>
            </w:pPr>
            <w:r w:rsidRPr="008B67A8">
              <w:rPr>
                <w:rFonts w:ascii="Titillium" w:hAnsi="Titillium"/>
                <w:sz w:val="18"/>
                <w:szCs w:val="18"/>
              </w:rPr>
              <w:t xml:space="preserve">            </w:t>
            </w:r>
            <w:r w:rsidR="00FF7A4A" w:rsidRPr="008B67A8">
              <w:rPr>
                <w:rFonts w:ascii="Titillium" w:hAnsi="Titillium"/>
                <w:sz w:val="18"/>
                <w:szCs w:val="18"/>
              </w:rPr>
              <w:t xml:space="preserve">€ </w:t>
            </w:r>
            <w:r w:rsidRPr="008B67A8">
              <w:rPr>
                <w:rFonts w:ascii="Titillium" w:hAnsi="Titillium"/>
                <w:sz w:val="18"/>
                <w:szCs w:val="18"/>
              </w:rPr>
              <w:t>1.826,88</w:t>
            </w:r>
          </w:p>
        </w:tc>
      </w:tr>
      <w:tr w:rsidR="001F09E8" w:rsidRPr="008B67A8" w:rsidTr="00A86EDC">
        <w:tc>
          <w:tcPr>
            <w:tcW w:w="791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9E8" w:rsidRPr="008B67A8" w:rsidRDefault="00A86EDC" w:rsidP="00570207">
            <w:pPr>
              <w:pStyle w:val="Paragrafoelenco"/>
              <w:numPr>
                <w:ilvl w:val="0"/>
                <w:numId w:val="6"/>
              </w:numPr>
              <w:ind w:left="511"/>
              <w:jc w:val="both"/>
              <w:rPr>
                <w:rFonts w:ascii="Titillium" w:hAnsi="Titillium"/>
                <w:sz w:val="18"/>
                <w:szCs w:val="18"/>
              </w:rPr>
            </w:pPr>
            <w:r w:rsidRPr="008B67A8">
              <w:rPr>
                <w:rFonts w:ascii="Titillium" w:hAnsi="Titillium"/>
                <w:sz w:val="18"/>
                <w:szCs w:val="18"/>
              </w:rPr>
              <w:t>IVA</w:t>
            </w:r>
            <w:r w:rsidR="00DC56C0" w:rsidRPr="008B67A8">
              <w:rPr>
                <w:rFonts w:ascii="Titillium" w:hAnsi="Titillium"/>
                <w:sz w:val="18"/>
                <w:szCs w:val="18"/>
              </w:rPr>
              <w:t xml:space="preserve"> </w:t>
            </w:r>
            <w:r w:rsidR="00A66207" w:rsidRPr="008B67A8">
              <w:rPr>
                <w:rFonts w:ascii="Titillium" w:hAnsi="Titillium"/>
                <w:sz w:val="18"/>
                <w:szCs w:val="18"/>
              </w:rPr>
              <w:t>al 4</w:t>
            </w:r>
            <w:r w:rsidRPr="008B67A8">
              <w:rPr>
                <w:rFonts w:ascii="Titillium" w:hAnsi="Titillium"/>
                <w:sz w:val="18"/>
                <w:szCs w:val="18"/>
              </w:rPr>
              <w:t>%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F09E8" w:rsidRPr="008B67A8" w:rsidRDefault="00A86EDC" w:rsidP="004D049E">
            <w:pPr>
              <w:pStyle w:val="Paragrafoelenco"/>
              <w:ind w:left="256"/>
              <w:contextualSpacing w:val="0"/>
              <w:jc w:val="center"/>
              <w:rPr>
                <w:rFonts w:ascii="Titillium" w:hAnsi="Titillium"/>
                <w:sz w:val="18"/>
                <w:szCs w:val="18"/>
              </w:rPr>
            </w:pPr>
            <w:r w:rsidRPr="008B67A8">
              <w:rPr>
                <w:rFonts w:ascii="Titillium" w:hAnsi="Titillium"/>
                <w:sz w:val="18"/>
                <w:szCs w:val="18"/>
              </w:rPr>
              <w:t xml:space="preserve">    </w:t>
            </w:r>
            <w:r w:rsidR="007C722E" w:rsidRPr="008B67A8">
              <w:rPr>
                <w:rFonts w:ascii="Titillium" w:hAnsi="Titillium"/>
                <w:sz w:val="18"/>
                <w:szCs w:val="18"/>
              </w:rPr>
              <w:t xml:space="preserve"> </w:t>
            </w:r>
            <w:r w:rsidR="00E17EC3" w:rsidRPr="008B67A8">
              <w:rPr>
                <w:rFonts w:ascii="Titillium" w:hAnsi="Titillium"/>
                <w:sz w:val="18"/>
                <w:szCs w:val="18"/>
              </w:rPr>
              <w:t xml:space="preserve"> </w:t>
            </w:r>
            <w:r w:rsidR="007C722E" w:rsidRPr="008B67A8">
              <w:rPr>
                <w:rFonts w:ascii="Titillium" w:hAnsi="Titillium"/>
                <w:sz w:val="18"/>
                <w:szCs w:val="18"/>
              </w:rPr>
              <w:t xml:space="preserve"> </w:t>
            </w:r>
            <w:r w:rsidRPr="008B67A8">
              <w:rPr>
                <w:rFonts w:ascii="Titillium" w:hAnsi="Titillium"/>
                <w:sz w:val="18"/>
                <w:szCs w:val="18"/>
              </w:rPr>
              <w:t xml:space="preserve"> </w:t>
            </w:r>
            <w:r w:rsidR="00E17EC3" w:rsidRPr="008B67A8">
              <w:rPr>
                <w:rFonts w:ascii="Titillium" w:hAnsi="Titillium"/>
                <w:sz w:val="18"/>
                <w:szCs w:val="18"/>
              </w:rPr>
              <w:t xml:space="preserve">   </w:t>
            </w:r>
            <w:r w:rsidR="001F09E8" w:rsidRPr="008B67A8">
              <w:rPr>
                <w:rFonts w:ascii="Titillium" w:hAnsi="Titillium"/>
                <w:sz w:val="18"/>
                <w:szCs w:val="18"/>
              </w:rPr>
              <w:t>€</w:t>
            </w:r>
            <w:r w:rsidR="00FF7A4A" w:rsidRPr="008B67A8">
              <w:rPr>
                <w:rFonts w:ascii="Titillium" w:hAnsi="Titillium"/>
                <w:sz w:val="18"/>
                <w:szCs w:val="18"/>
              </w:rPr>
              <w:t xml:space="preserve"> </w:t>
            </w:r>
            <w:r w:rsidR="00A66207" w:rsidRPr="008B67A8">
              <w:rPr>
                <w:rFonts w:ascii="Titillium" w:hAnsi="Titillium"/>
                <w:sz w:val="18"/>
                <w:szCs w:val="18"/>
              </w:rPr>
              <w:t xml:space="preserve">  73</w:t>
            </w:r>
            <w:r w:rsidR="001F09E8" w:rsidRPr="008B67A8">
              <w:rPr>
                <w:rFonts w:ascii="Titillium" w:hAnsi="Titillium"/>
                <w:sz w:val="18"/>
                <w:szCs w:val="18"/>
              </w:rPr>
              <w:t>,</w:t>
            </w:r>
            <w:r w:rsidR="00A66207" w:rsidRPr="008B67A8">
              <w:rPr>
                <w:rFonts w:ascii="Titillium" w:hAnsi="Titillium"/>
                <w:sz w:val="18"/>
                <w:szCs w:val="18"/>
              </w:rPr>
              <w:t>0</w:t>
            </w:r>
            <w:r w:rsidR="004D049E" w:rsidRPr="008B67A8">
              <w:rPr>
                <w:rFonts w:ascii="Titillium" w:hAnsi="Titillium"/>
                <w:sz w:val="18"/>
                <w:szCs w:val="18"/>
              </w:rPr>
              <w:t>7</w:t>
            </w:r>
          </w:p>
        </w:tc>
      </w:tr>
      <w:tr w:rsidR="00F22986" w:rsidRPr="008B67A8" w:rsidTr="00A86EDC">
        <w:trPr>
          <w:trHeight w:val="403"/>
        </w:trPr>
        <w:tc>
          <w:tcPr>
            <w:tcW w:w="791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8B67A8" w:rsidRDefault="009937DC" w:rsidP="007C722E">
            <w:pPr>
              <w:tabs>
                <w:tab w:val="left" w:pos="7371"/>
              </w:tabs>
              <w:rPr>
                <w:rFonts w:ascii="Titillium" w:hAnsi="Titillium"/>
                <w:b/>
                <w:sz w:val="18"/>
                <w:szCs w:val="18"/>
              </w:rPr>
            </w:pPr>
            <w:r w:rsidRPr="008B67A8">
              <w:rPr>
                <w:rFonts w:ascii="Titillium" w:hAnsi="Titillium"/>
                <w:b/>
                <w:sz w:val="18"/>
                <w:szCs w:val="18"/>
              </w:rPr>
              <w:t xml:space="preserve">Importo </w:t>
            </w:r>
            <w:r w:rsidR="007C722E" w:rsidRPr="008B67A8">
              <w:rPr>
                <w:rFonts w:ascii="Titillium" w:hAnsi="Titillium"/>
                <w:b/>
                <w:sz w:val="18"/>
                <w:szCs w:val="18"/>
              </w:rPr>
              <w:t>complessivo</w:t>
            </w:r>
            <w:r w:rsidRPr="008B67A8">
              <w:rPr>
                <w:rFonts w:ascii="Titillium" w:hAnsi="Titillium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8B67A8" w:rsidRDefault="00A86EDC" w:rsidP="004D049E">
            <w:pPr>
              <w:pStyle w:val="Paragrafoelenco"/>
              <w:ind w:left="0"/>
              <w:contextualSpacing w:val="0"/>
              <w:jc w:val="center"/>
              <w:rPr>
                <w:rFonts w:ascii="Titillium" w:hAnsi="Titillium"/>
                <w:b/>
                <w:sz w:val="18"/>
                <w:szCs w:val="18"/>
              </w:rPr>
            </w:pPr>
            <w:r w:rsidRPr="008B67A8">
              <w:rPr>
                <w:rFonts w:ascii="Titillium" w:hAnsi="Titillium"/>
                <w:b/>
                <w:sz w:val="18"/>
                <w:szCs w:val="18"/>
              </w:rPr>
              <w:t xml:space="preserve">         </w:t>
            </w:r>
            <w:r w:rsidR="007C722E" w:rsidRPr="008B67A8">
              <w:rPr>
                <w:rFonts w:ascii="Titillium" w:hAnsi="Titillium"/>
                <w:b/>
                <w:sz w:val="18"/>
                <w:szCs w:val="18"/>
              </w:rPr>
              <w:t xml:space="preserve">  </w:t>
            </w:r>
            <w:r w:rsidR="00A66207" w:rsidRPr="008B67A8">
              <w:rPr>
                <w:rFonts w:ascii="Titillium" w:hAnsi="Titillium"/>
                <w:b/>
                <w:sz w:val="18"/>
                <w:szCs w:val="18"/>
              </w:rPr>
              <w:t xml:space="preserve"> </w:t>
            </w:r>
            <w:r w:rsidR="00F22986" w:rsidRPr="008B67A8">
              <w:rPr>
                <w:rFonts w:ascii="Titillium" w:hAnsi="Titillium"/>
                <w:b/>
                <w:sz w:val="18"/>
                <w:szCs w:val="18"/>
              </w:rPr>
              <w:t>€</w:t>
            </w:r>
            <w:r w:rsidR="009265BF" w:rsidRPr="008B67A8">
              <w:rPr>
                <w:rFonts w:ascii="Titillium" w:hAnsi="Titillium"/>
                <w:b/>
                <w:sz w:val="18"/>
                <w:szCs w:val="18"/>
              </w:rPr>
              <w:t xml:space="preserve"> </w:t>
            </w:r>
            <w:r w:rsidR="00A66207" w:rsidRPr="008B67A8">
              <w:rPr>
                <w:rFonts w:ascii="Titillium" w:hAnsi="Titillium"/>
                <w:b/>
                <w:sz w:val="18"/>
                <w:szCs w:val="18"/>
              </w:rPr>
              <w:t>1.899</w:t>
            </w:r>
            <w:r w:rsidR="009937DC" w:rsidRPr="008B67A8">
              <w:rPr>
                <w:rFonts w:ascii="Titillium" w:hAnsi="Titillium"/>
                <w:b/>
                <w:sz w:val="18"/>
                <w:szCs w:val="18"/>
              </w:rPr>
              <w:t>,</w:t>
            </w:r>
            <w:r w:rsidR="00A66207" w:rsidRPr="008B67A8">
              <w:rPr>
                <w:rFonts w:ascii="Titillium" w:hAnsi="Titillium"/>
                <w:b/>
                <w:sz w:val="18"/>
                <w:szCs w:val="18"/>
              </w:rPr>
              <w:t>9</w:t>
            </w:r>
            <w:r w:rsidR="004D049E" w:rsidRPr="008B67A8">
              <w:rPr>
                <w:rFonts w:ascii="Titillium" w:hAnsi="Titillium"/>
                <w:b/>
                <w:sz w:val="18"/>
                <w:szCs w:val="18"/>
              </w:rPr>
              <w:t>5</w:t>
            </w:r>
          </w:p>
        </w:tc>
      </w:tr>
    </w:tbl>
    <w:p w:rsidR="00C81CB5" w:rsidRPr="008B67A8" w:rsidRDefault="00C81CB5" w:rsidP="00570207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8B67A8">
        <w:rPr>
          <w:rFonts w:ascii="Titillium" w:hAnsi="Titillium"/>
          <w:sz w:val="18"/>
          <w:szCs w:val="18"/>
        </w:rPr>
        <w:t>di autorizzare la spesa complessiva stimata da porsi a carico del bilancio di previsione dell’Autorità per l’anno 202</w:t>
      </w:r>
      <w:r w:rsidR="004D049E" w:rsidRPr="008B67A8">
        <w:rPr>
          <w:rFonts w:ascii="Titillium" w:hAnsi="Titillium"/>
          <w:sz w:val="18"/>
          <w:szCs w:val="18"/>
        </w:rPr>
        <w:t>3</w:t>
      </w:r>
      <w:r w:rsidRPr="008B67A8">
        <w:rPr>
          <w:rFonts w:ascii="Titillium" w:hAnsi="Titillium"/>
          <w:sz w:val="18"/>
          <w:szCs w:val="18"/>
        </w:rPr>
        <w:t xml:space="preserve">, sul capitolo n. </w:t>
      </w:r>
      <w:r w:rsidR="007C722E" w:rsidRPr="008B67A8">
        <w:rPr>
          <w:rFonts w:ascii="Titillium" w:hAnsi="Titillium"/>
          <w:sz w:val="18"/>
          <w:szCs w:val="18"/>
        </w:rPr>
        <w:t>13</w:t>
      </w:r>
      <w:r w:rsidR="00AD7223" w:rsidRPr="008B67A8">
        <w:rPr>
          <w:rFonts w:ascii="Titillium" w:hAnsi="Titillium"/>
          <w:sz w:val="18"/>
          <w:szCs w:val="18"/>
        </w:rPr>
        <w:t>0</w:t>
      </w:r>
      <w:r w:rsidR="00A66207" w:rsidRPr="008B67A8">
        <w:rPr>
          <w:rFonts w:ascii="Titillium" w:hAnsi="Titillium"/>
          <w:sz w:val="18"/>
          <w:szCs w:val="18"/>
        </w:rPr>
        <w:t>1</w:t>
      </w:r>
      <w:r w:rsidR="00AD7223" w:rsidRPr="008B67A8">
        <w:rPr>
          <w:rFonts w:ascii="Titillium" w:hAnsi="Titillium"/>
          <w:sz w:val="18"/>
          <w:szCs w:val="18"/>
        </w:rPr>
        <w:t>.1</w:t>
      </w:r>
      <w:r w:rsidRPr="008B67A8">
        <w:rPr>
          <w:rFonts w:ascii="Titillium" w:hAnsi="Titillium"/>
          <w:sz w:val="18"/>
          <w:szCs w:val="18"/>
        </w:rPr>
        <w:t>;</w:t>
      </w:r>
    </w:p>
    <w:p w:rsidR="001113D4" w:rsidRDefault="008B67A8" w:rsidP="0077034C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8B67A8">
        <w:rPr>
          <w:rFonts w:ascii="Titillium" w:hAnsi="Titillium"/>
          <w:sz w:val="18"/>
          <w:szCs w:val="18"/>
        </w:rPr>
        <w:t>di nominare RUP</w:t>
      </w:r>
      <w:r>
        <w:rPr>
          <w:rFonts w:ascii="Titillium" w:hAnsi="Titillium"/>
          <w:sz w:val="18"/>
          <w:szCs w:val="18"/>
        </w:rPr>
        <w:t>,</w:t>
      </w:r>
      <w:r w:rsidRPr="008B67A8">
        <w:rPr>
          <w:rFonts w:ascii="Titillium" w:hAnsi="Titillium"/>
          <w:sz w:val="18"/>
          <w:szCs w:val="18"/>
        </w:rPr>
        <w:t xml:space="preserve"> di cui all’art. 15 del d.lgs. 36/2023</w:t>
      </w:r>
      <w:r>
        <w:rPr>
          <w:rFonts w:ascii="Titillium" w:hAnsi="Titillium"/>
          <w:sz w:val="18"/>
          <w:szCs w:val="18"/>
        </w:rPr>
        <w:t>,</w:t>
      </w:r>
      <w:r>
        <w:rPr>
          <w:rFonts w:ascii="Titillium" w:hAnsi="Titillium"/>
          <w:sz w:val="20"/>
          <w:szCs w:val="20"/>
        </w:rPr>
        <w:t xml:space="preserve"> </w:t>
      </w:r>
      <w:r w:rsidR="00C81CB5" w:rsidRPr="008B67A8">
        <w:rPr>
          <w:rFonts w:ascii="Titillium" w:hAnsi="Titillium"/>
          <w:sz w:val="18"/>
          <w:szCs w:val="18"/>
        </w:rPr>
        <w:t>il</w:t>
      </w:r>
      <w:r w:rsidR="00296F20">
        <w:rPr>
          <w:rFonts w:ascii="Titillium" w:hAnsi="Titillium"/>
          <w:sz w:val="18"/>
          <w:szCs w:val="18"/>
        </w:rPr>
        <w:t xml:space="preserve"> </w:t>
      </w:r>
      <w:r w:rsidR="0077034C" w:rsidRPr="0077034C">
        <w:rPr>
          <w:rFonts w:ascii="Titillium" w:hAnsi="Titillium"/>
          <w:sz w:val="18"/>
          <w:szCs w:val="18"/>
        </w:rPr>
        <w:t>Dott. Duccio Raffaele Pedercini, in servizio presso l’Ufficio Stampa e Comunicazione dell’AN</w:t>
      </w:r>
      <w:r w:rsidR="0077034C">
        <w:rPr>
          <w:rFonts w:ascii="Titillium" w:hAnsi="Titillium"/>
          <w:sz w:val="18"/>
          <w:szCs w:val="18"/>
        </w:rPr>
        <w:t>AC, che ricoprirà anche la funzione di Direttore dell’esecuzione del contratto.</w:t>
      </w:r>
    </w:p>
    <w:p w:rsidR="008B67A8" w:rsidRPr="0077034C" w:rsidRDefault="0077034C" w:rsidP="001113D4">
      <w:pPr>
        <w:pStyle w:val="Paragrafoelenco"/>
        <w:ind w:left="284"/>
        <w:contextualSpacing w:val="0"/>
        <w:jc w:val="both"/>
        <w:rPr>
          <w:rFonts w:ascii="Titillium" w:hAnsi="Titillium"/>
          <w:sz w:val="18"/>
          <w:szCs w:val="18"/>
        </w:rPr>
      </w:pPr>
      <w:r>
        <w:rPr>
          <w:rFonts w:ascii="Titillium" w:hAnsi="Titillium"/>
          <w:sz w:val="18"/>
          <w:szCs w:val="18"/>
        </w:rPr>
        <w:t xml:space="preserve"> </w:t>
      </w:r>
    </w:p>
    <w:tbl>
      <w:tblPr>
        <w:tblW w:w="4092" w:type="pct"/>
        <w:tblInd w:w="15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6"/>
        <w:gridCol w:w="2532"/>
        <w:gridCol w:w="2680"/>
      </w:tblGrid>
      <w:tr w:rsidR="00DA550A" w:rsidRPr="00220BCC" w:rsidTr="00570207">
        <w:trPr>
          <w:trHeight w:val="330"/>
        </w:trPr>
        <w:tc>
          <w:tcPr>
            <w:tcW w:w="1696" w:type="pct"/>
            <w:shd w:val="clear" w:color="auto" w:fill="2770B7"/>
            <w:vAlign w:val="center"/>
          </w:tcPr>
          <w:p w:rsidR="00DA550A" w:rsidRPr="00220BCC" w:rsidRDefault="00DA550A" w:rsidP="00570207">
            <w:pPr>
              <w:pStyle w:val="ANCATABELLATITOLOBIANCO"/>
              <w:spacing w:after="0"/>
              <w:ind w:left="720"/>
              <w:rPr>
                <w:highlight w:val="yellow"/>
                <w:lang w:val="it-IT"/>
              </w:rPr>
            </w:pPr>
          </w:p>
        </w:tc>
        <w:tc>
          <w:tcPr>
            <w:tcW w:w="1605" w:type="pct"/>
            <w:shd w:val="clear" w:color="auto" w:fill="2770B7"/>
            <w:vAlign w:val="center"/>
          </w:tcPr>
          <w:p w:rsidR="00DA550A" w:rsidRPr="00220BCC" w:rsidRDefault="00DA550A" w:rsidP="00570207">
            <w:pPr>
              <w:pStyle w:val="ANCATABELLATITOLOBIANCO"/>
              <w:spacing w:after="0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99" w:type="pct"/>
            <w:shd w:val="clear" w:color="auto" w:fill="2770B7"/>
            <w:vAlign w:val="center"/>
          </w:tcPr>
          <w:p w:rsidR="00DA550A" w:rsidRPr="00A66207" w:rsidRDefault="00DA550A" w:rsidP="008B67A8">
            <w:pPr>
              <w:pStyle w:val="ANCATABELLATITOLOBIANCO"/>
              <w:spacing w:after="0"/>
              <w:ind w:left="0"/>
              <w:jc w:val="center"/>
              <w:rPr>
                <w:lang w:val="it-IT"/>
              </w:rPr>
            </w:pPr>
            <w:r w:rsidRPr="00A66207">
              <w:rPr>
                <w:lang w:val="it-IT"/>
              </w:rPr>
              <w:t xml:space="preserve">Il </w:t>
            </w:r>
            <w:r w:rsidR="00C770F6" w:rsidRPr="00A66207">
              <w:rPr>
                <w:lang w:val="it-IT"/>
              </w:rPr>
              <w:t>Dirigente dell’Ufficio Gare e logistica</w:t>
            </w:r>
          </w:p>
        </w:tc>
      </w:tr>
      <w:tr w:rsidR="00DA550A" w:rsidRPr="00220BCC" w:rsidTr="00570207">
        <w:trPr>
          <w:trHeight w:val="117"/>
        </w:trPr>
        <w:tc>
          <w:tcPr>
            <w:tcW w:w="1696" w:type="pct"/>
            <w:shd w:val="clear" w:color="auto" w:fill="auto"/>
            <w:vAlign w:val="center"/>
          </w:tcPr>
          <w:p w:rsidR="00DA550A" w:rsidRPr="00220BCC" w:rsidRDefault="00DA550A" w:rsidP="00570207">
            <w:pPr>
              <w:rPr>
                <w:i/>
                <w:highlight w:val="yellow"/>
              </w:rPr>
            </w:pPr>
          </w:p>
        </w:tc>
        <w:tc>
          <w:tcPr>
            <w:tcW w:w="1605" w:type="pct"/>
            <w:vAlign w:val="center"/>
          </w:tcPr>
          <w:p w:rsidR="00DA550A" w:rsidRPr="00220BCC" w:rsidRDefault="00570207" w:rsidP="00570207">
            <w:pPr>
              <w:rPr>
                <w:rFonts w:ascii="Titillium" w:hAnsi="Titillium"/>
                <w:i/>
                <w:sz w:val="20"/>
                <w:szCs w:val="20"/>
                <w:highlight w:val="yellow"/>
              </w:rPr>
            </w:pPr>
            <w:r w:rsidRPr="00220BCC">
              <w:rPr>
                <w:rFonts w:ascii="Titillium" w:hAnsi="Titillium"/>
                <w:i/>
                <w:sz w:val="20"/>
                <w:szCs w:val="20"/>
                <w:highlight w:val="yellow"/>
              </w:rPr>
              <w:t xml:space="preserve">      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DA550A" w:rsidRPr="008B67A8" w:rsidRDefault="009825DA" w:rsidP="00570207">
            <w:pPr>
              <w:rPr>
                <w:rFonts w:ascii="Titillium" w:hAnsi="Titillium"/>
                <w:i/>
                <w:sz w:val="18"/>
                <w:szCs w:val="18"/>
              </w:rPr>
            </w:pPr>
            <w:r w:rsidRPr="008B67A8">
              <w:rPr>
                <w:rFonts w:ascii="Titillium" w:hAnsi="Titillium"/>
                <w:i/>
                <w:sz w:val="18"/>
                <w:szCs w:val="18"/>
              </w:rPr>
              <w:t xml:space="preserve">      </w:t>
            </w:r>
            <w:r w:rsidR="008B67A8">
              <w:rPr>
                <w:rFonts w:ascii="Titillium" w:hAnsi="Titillium"/>
                <w:i/>
                <w:sz w:val="18"/>
                <w:szCs w:val="18"/>
              </w:rPr>
              <w:t xml:space="preserve">      </w:t>
            </w:r>
            <w:r w:rsidRPr="008B67A8">
              <w:rPr>
                <w:rFonts w:ascii="Titillium" w:hAnsi="Titillium"/>
                <w:i/>
                <w:sz w:val="18"/>
                <w:szCs w:val="18"/>
              </w:rPr>
              <w:t>Ing. Settimio Picca</w:t>
            </w:r>
          </w:p>
          <w:p w:rsidR="00A66207" w:rsidRPr="00A66207" w:rsidRDefault="00A66207" w:rsidP="00570207">
            <w:pPr>
              <w:rPr>
                <w:rFonts w:ascii="Titillium" w:hAnsi="Titillium"/>
                <w:i/>
                <w:sz w:val="20"/>
                <w:szCs w:val="20"/>
              </w:rPr>
            </w:pPr>
          </w:p>
        </w:tc>
      </w:tr>
    </w:tbl>
    <w:p w:rsidR="00570207" w:rsidRPr="00220BCC" w:rsidRDefault="00570207" w:rsidP="00570207">
      <w:pPr>
        <w:rPr>
          <w:rFonts w:ascii="Titillium" w:hAnsi="Titillium"/>
          <w:sz w:val="20"/>
          <w:szCs w:val="20"/>
          <w:highlight w:val="yellow"/>
        </w:rPr>
      </w:pPr>
    </w:p>
    <w:p w:rsidR="00531B30" w:rsidRPr="00220BCC" w:rsidRDefault="00531B30" w:rsidP="00570207">
      <w:pPr>
        <w:rPr>
          <w:rFonts w:ascii="Titillium" w:hAnsi="Titillium"/>
          <w:sz w:val="20"/>
          <w:szCs w:val="20"/>
          <w:highlight w:val="yellow"/>
        </w:rPr>
      </w:pPr>
    </w:p>
    <w:tbl>
      <w:tblPr>
        <w:tblpPr w:leftFromText="141" w:rightFromText="141" w:vertAnchor="text" w:tblpY="1"/>
        <w:tblOverlap w:val="never"/>
        <w:tblW w:w="247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3"/>
      </w:tblGrid>
      <w:tr w:rsidR="00DA550A" w:rsidRPr="00220BCC" w:rsidTr="003C3AEC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:rsidR="00DA550A" w:rsidRPr="00A66207" w:rsidRDefault="00DA550A" w:rsidP="00570207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A66207">
              <w:rPr>
                <w:lang w:val="it-IT"/>
              </w:rPr>
              <w:t>Visto per la copertura finanziaria</w:t>
            </w:r>
          </w:p>
          <w:p w:rsidR="00DA550A" w:rsidRPr="00A66207" w:rsidRDefault="00DA550A" w:rsidP="00570207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A66207">
              <w:rPr>
                <w:lang w:val="it-IT"/>
              </w:rPr>
              <w:t xml:space="preserve">Il Dirigente dell’Ufficio Programmazione </w:t>
            </w:r>
          </w:p>
          <w:p w:rsidR="00DA550A" w:rsidRPr="00A66207" w:rsidRDefault="00DA550A" w:rsidP="00570207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A66207">
              <w:rPr>
                <w:lang w:val="it-IT"/>
              </w:rPr>
              <w:t>delle risorse finanziarie, bilancio e contabilità</w:t>
            </w:r>
          </w:p>
        </w:tc>
      </w:tr>
      <w:tr w:rsidR="00DA550A" w:rsidRPr="004E4908" w:rsidTr="003C3AEC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:rsidR="00DA550A" w:rsidRPr="008B67A8" w:rsidRDefault="007C722E" w:rsidP="007C722E">
            <w:pPr>
              <w:rPr>
                <w:rFonts w:ascii="Titillium" w:hAnsi="Titillium"/>
                <w:i/>
                <w:sz w:val="18"/>
                <w:szCs w:val="18"/>
              </w:rPr>
            </w:pPr>
            <w:r w:rsidRPr="00A66207">
              <w:rPr>
                <w:rFonts w:ascii="Titillium" w:hAnsi="Titillium"/>
                <w:i/>
                <w:sz w:val="20"/>
                <w:szCs w:val="20"/>
              </w:rPr>
              <w:t xml:space="preserve">    </w:t>
            </w:r>
            <w:r w:rsidR="009825DA">
              <w:rPr>
                <w:rFonts w:ascii="Titillium" w:hAnsi="Titillium"/>
                <w:i/>
                <w:sz w:val="20"/>
                <w:szCs w:val="20"/>
              </w:rPr>
              <w:t xml:space="preserve">                           </w:t>
            </w:r>
            <w:r w:rsidR="009825DA" w:rsidRPr="008B67A8">
              <w:rPr>
                <w:rFonts w:ascii="Titillium" w:hAnsi="Titillium"/>
                <w:i/>
                <w:sz w:val="18"/>
                <w:szCs w:val="18"/>
              </w:rPr>
              <w:t xml:space="preserve">Dott. </w:t>
            </w:r>
            <w:r w:rsidR="00DA550A" w:rsidRPr="008B67A8">
              <w:rPr>
                <w:rFonts w:ascii="Titillium" w:hAnsi="Titillium"/>
                <w:i/>
                <w:sz w:val="18"/>
                <w:szCs w:val="18"/>
              </w:rPr>
              <w:t>Stefano Ceccarelli</w:t>
            </w:r>
          </w:p>
        </w:tc>
      </w:tr>
    </w:tbl>
    <w:p w:rsidR="00DA550A" w:rsidRDefault="00DA550A" w:rsidP="00570207">
      <w:pPr>
        <w:spacing w:line="276" w:lineRule="auto"/>
        <w:ind w:left="5664" w:firstLine="708"/>
        <w:rPr>
          <w:rFonts w:ascii="Garamond" w:hAnsi="Garamond"/>
          <w:i/>
        </w:rPr>
      </w:pPr>
    </w:p>
    <w:p w:rsidR="00DA550A" w:rsidRDefault="00DA550A" w:rsidP="00570207">
      <w:pPr>
        <w:spacing w:line="276" w:lineRule="auto"/>
        <w:ind w:left="5664" w:firstLine="708"/>
        <w:rPr>
          <w:rFonts w:ascii="Garamond" w:hAnsi="Garamond"/>
          <w:i/>
        </w:rPr>
      </w:pPr>
    </w:p>
    <w:sectPr w:rsidR="00DA550A" w:rsidSect="00D651EA">
      <w:headerReference w:type="default" r:id="rId8"/>
      <w:footerReference w:type="default" r:id="rId9"/>
      <w:pgSz w:w="11906" w:h="16838"/>
      <w:pgMar w:top="1418" w:right="1134" w:bottom="993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76" w:rsidRDefault="00C50676">
      <w:r>
        <w:separator/>
      </w:r>
    </w:p>
  </w:endnote>
  <w:endnote w:type="continuationSeparator" w:id="0">
    <w:p w:rsidR="00C50676" w:rsidRDefault="00C5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4D"/>
    <w:family w:val="auto"/>
    <w:pitch w:val="variable"/>
    <w:sig w:usb0="00000007" w:usb1="00000001" w:usb2="00000000" w:usb3="00000000" w:csb0="00000093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BF" w:rsidRPr="00485D4D" w:rsidRDefault="00AB62BF">
    <w:pPr>
      <w:pStyle w:val="Pidipagina"/>
      <w:jc w:val="right"/>
      <w:rPr>
        <w:rFonts w:ascii="Titillium" w:hAnsi="Titillium"/>
        <w:sz w:val="16"/>
        <w:szCs w:val="16"/>
      </w:rPr>
    </w:pPr>
    <w:r w:rsidRPr="00485D4D">
      <w:rPr>
        <w:rFonts w:ascii="Titillium" w:hAnsi="Titillium"/>
        <w:sz w:val="16"/>
        <w:szCs w:val="16"/>
      </w:rPr>
      <w:t xml:space="preserve">Pag. </w:t>
    </w:r>
    <w:sdt>
      <w:sdtPr>
        <w:rPr>
          <w:rFonts w:ascii="Titillium" w:hAnsi="Titillium"/>
          <w:sz w:val="16"/>
          <w:szCs w:val="16"/>
        </w:rPr>
        <w:id w:val="-5750778"/>
        <w:docPartObj>
          <w:docPartGallery w:val="Page Numbers (Bottom of Page)"/>
          <w:docPartUnique/>
        </w:docPartObj>
      </w:sdtPr>
      <w:sdtEndPr/>
      <w:sdtContent>
        <w:r w:rsidRPr="00485D4D">
          <w:rPr>
            <w:rFonts w:ascii="Titillium" w:hAnsi="Titillium"/>
            <w:sz w:val="16"/>
            <w:szCs w:val="16"/>
          </w:rPr>
          <w:fldChar w:fldCharType="begin"/>
        </w:r>
        <w:r w:rsidRPr="00485D4D">
          <w:rPr>
            <w:rFonts w:ascii="Titillium" w:hAnsi="Titillium"/>
            <w:sz w:val="16"/>
            <w:szCs w:val="16"/>
          </w:rPr>
          <w:instrText>PAGE   \* MERGEFORMAT</w:instrText>
        </w:r>
        <w:r w:rsidRPr="00485D4D">
          <w:rPr>
            <w:rFonts w:ascii="Titillium" w:hAnsi="Titillium"/>
            <w:sz w:val="16"/>
            <w:szCs w:val="16"/>
          </w:rPr>
          <w:fldChar w:fldCharType="separate"/>
        </w:r>
        <w:r w:rsidR="001113D4">
          <w:rPr>
            <w:rFonts w:ascii="Titillium" w:hAnsi="Titillium"/>
            <w:noProof/>
            <w:sz w:val="16"/>
            <w:szCs w:val="16"/>
          </w:rPr>
          <w:t>1</w:t>
        </w:r>
        <w:r w:rsidRPr="00485D4D">
          <w:rPr>
            <w:rFonts w:ascii="Titillium" w:hAnsi="Titillium"/>
            <w:sz w:val="16"/>
            <w:szCs w:val="16"/>
          </w:rPr>
          <w:fldChar w:fldCharType="end"/>
        </w:r>
      </w:sdtContent>
    </w:sdt>
  </w:p>
  <w:p w:rsidR="003A446F" w:rsidRDefault="003A4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76" w:rsidRDefault="00C50676">
      <w:r>
        <w:separator/>
      </w:r>
    </w:p>
  </w:footnote>
  <w:footnote w:type="continuationSeparator" w:id="0">
    <w:p w:rsidR="00C50676" w:rsidRDefault="00C5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E6" w:rsidRPr="0012576B" w:rsidRDefault="00D651EA" w:rsidP="009A6162">
    <w:pPr>
      <w:tabs>
        <w:tab w:val="center" w:pos="4678"/>
      </w:tabs>
      <w:spacing w:before="120"/>
      <w:ind w:right="284"/>
      <w:jc w:val="center"/>
      <w:rPr>
        <w:i/>
        <w:color w:val="1F497D"/>
        <w:sz w:val="20"/>
        <w:szCs w:val="20"/>
      </w:rPr>
    </w:pPr>
    <w:r w:rsidRPr="00812E18">
      <w:rPr>
        <w:noProof/>
      </w:rPr>
      <w:drawing>
        <wp:anchor distT="0" distB="0" distL="114300" distR="114300" simplePos="0" relativeHeight="251659264" behindDoc="0" locked="0" layoutInCell="1" allowOverlap="1" wp14:anchorId="0FF36ACC" wp14:editId="0854DB98">
          <wp:simplePos x="0" y="0"/>
          <wp:positionH relativeFrom="margin">
            <wp:posOffset>-111760</wp:posOffset>
          </wp:positionH>
          <wp:positionV relativeFrom="margin">
            <wp:posOffset>-520065</wp:posOffset>
          </wp:positionV>
          <wp:extent cx="2879725" cy="341630"/>
          <wp:effectExtent l="0" t="0" r="0" b="127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76D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8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255E08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1A3467"/>
    <w:multiLevelType w:val="hybridMultilevel"/>
    <w:tmpl w:val="D6CCF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73E4"/>
    <w:multiLevelType w:val="hybridMultilevel"/>
    <w:tmpl w:val="0428C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AA64E3"/>
    <w:multiLevelType w:val="hybridMultilevel"/>
    <w:tmpl w:val="3020C0E0"/>
    <w:lvl w:ilvl="0" w:tplc="6DACF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B6B65"/>
    <w:multiLevelType w:val="hybridMultilevel"/>
    <w:tmpl w:val="AE207DE2"/>
    <w:lvl w:ilvl="0" w:tplc="D662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B2E43"/>
    <w:multiLevelType w:val="hybridMultilevel"/>
    <w:tmpl w:val="64A6D25E"/>
    <w:lvl w:ilvl="0" w:tplc="E0F4AA7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E532467A">
      <w:numFmt w:val="bullet"/>
      <w:lvlText w:val=""/>
      <w:lvlJc w:val="left"/>
      <w:pPr>
        <w:ind w:left="2007" w:hanging="360"/>
      </w:pPr>
      <w:rPr>
        <w:rFonts w:ascii="Symbol" w:eastAsiaTheme="minorHAns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7F"/>
    <w:rsid w:val="00005679"/>
    <w:rsid w:val="000123DD"/>
    <w:rsid w:val="0001478E"/>
    <w:rsid w:val="00027E87"/>
    <w:rsid w:val="00075C20"/>
    <w:rsid w:val="000A1CCC"/>
    <w:rsid w:val="000C4B00"/>
    <w:rsid w:val="001113D4"/>
    <w:rsid w:val="00114C4C"/>
    <w:rsid w:val="00127A81"/>
    <w:rsid w:val="00135F2E"/>
    <w:rsid w:val="00160522"/>
    <w:rsid w:val="00175D4E"/>
    <w:rsid w:val="001833D2"/>
    <w:rsid w:val="00190808"/>
    <w:rsid w:val="001C3FA7"/>
    <w:rsid w:val="001C466C"/>
    <w:rsid w:val="001E4706"/>
    <w:rsid w:val="001F09E8"/>
    <w:rsid w:val="00220BCC"/>
    <w:rsid w:val="00227F61"/>
    <w:rsid w:val="00230E11"/>
    <w:rsid w:val="00247AB2"/>
    <w:rsid w:val="002571ED"/>
    <w:rsid w:val="00267832"/>
    <w:rsid w:val="00292591"/>
    <w:rsid w:val="00296F20"/>
    <w:rsid w:val="002A2864"/>
    <w:rsid w:val="002A738D"/>
    <w:rsid w:val="002C4276"/>
    <w:rsid w:val="002D62A6"/>
    <w:rsid w:val="00301E86"/>
    <w:rsid w:val="00302DE1"/>
    <w:rsid w:val="00310F9B"/>
    <w:rsid w:val="00317AEE"/>
    <w:rsid w:val="00351851"/>
    <w:rsid w:val="00356F6E"/>
    <w:rsid w:val="00360A38"/>
    <w:rsid w:val="0037403A"/>
    <w:rsid w:val="00383DFD"/>
    <w:rsid w:val="003A446F"/>
    <w:rsid w:val="003A7725"/>
    <w:rsid w:val="003B09C0"/>
    <w:rsid w:val="003B6D56"/>
    <w:rsid w:val="003B7756"/>
    <w:rsid w:val="003C423E"/>
    <w:rsid w:val="003C53D9"/>
    <w:rsid w:val="003D1A74"/>
    <w:rsid w:val="003E52ED"/>
    <w:rsid w:val="00417722"/>
    <w:rsid w:val="004219F2"/>
    <w:rsid w:val="00450CFC"/>
    <w:rsid w:val="00485D4D"/>
    <w:rsid w:val="004D049E"/>
    <w:rsid w:val="00504D4B"/>
    <w:rsid w:val="0052646B"/>
    <w:rsid w:val="0053090E"/>
    <w:rsid w:val="00531B30"/>
    <w:rsid w:val="00546E80"/>
    <w:rsid w:val="00564B66"/>
    <w:rsid w:val="0056782A"/>
    <w:rsid w:val="00570207"/>
    <w:rsid w:val="00575246"/>
    <w:rsid w:val="005C7822"/>
    <w:rsid w:val="005F5963"/>
    <w:rsid w:val="00600C6C"/>
    <w:rsid w:val="00637842"/>
    <w:rsid w:val="00676EF3"/>
    <w:rsid w:val="006A3F11"/>
    <w:rsid w:val="006B55BF"/>
    <w:rsid w:val="006D64E8"/>
    <w:rsid w:val="006E3B9C"/>
    <w:rsid w:val="00713014"/>
    <w:rsid w:val="00721312"/>
    <w:rsid w:val="00721AFB"/>
    <w:rsid w:val="0072520B"/>
    <w:rsid w:val="00751186"/>
    <w:rsid w:val="00753616"/>
    <w:rsid w:val="007546E7"/>
    <w:rsid w:val="0075767F"/>
    <w:rsid w:val="00760695"/>
    <w:rsid w:val="007648CF"/>
    <w:rsid w:val="00765F7E"/>
    <w:rsid w:val="0077034C"/>
    <w:rsid w:val="00776C90"/>
    <w:rsid w:val="00793F15"/>
    <w:rsid w:val="007B1635"/>
    <w:rsid w:val="007C4F60"/>
    <w:rsid w:val="007C722E"/>
    <w:rsid w:val="007C79B6"/>
    <w:rsid w:val="007D15C4"/>
    <w:rsid w:val="007E5A4E"/>
    <w:rsid w:val="007F7E05"/>
    <w:rsid w:val="008031B4"/>
    <w:rsid w:val="0083089C"/>
    <w:rsid w:val="00837E58"/>
    <w:rsid w:val="00852815"/>
    <w:rsid w:val="008736B2"/>
    <w:rsid w:val="0087432A"/>
    <w:rsid w:val="00877254"/>
    <w:rsid w:val="00877846"/>
    <w:rsid w:val="00887F83"/>
    <w:rsid w:val="008B4DB6"/>
    <w:rsid w:val="008B67A8"/>
    <w:rsid w:val="008C5C31"/>
    <w:rsid w:val="008D7A38"/>
    <w:rsid w:val="008E5E21"/>
    <w:rsid w:val="008F4263"/>
    <w:rsid w:val="00917076"/>
    <w:rsid w:val="009265BF"/>
    <w:rsid w:val="00950EE1"/>
    <w:rsid w:val="00961103"/>
    <w:rsid w:val="009745E7"/>
    <w:rsid w:val="009825DA"/>
    <w:rsid w:val="009937DC"/>
    <w:rsid w:val="00993D37"/>
    <w:rsid w:val="009A11D9"/>
    <w:rsid w:val="009B06A1"/>
    <w:rsid w:val="009B7DE6"/>
    <w:rsid w:val="009E6F77"/>
    <w:rsid w:val="009E746A"/>
    <w:rsid w:val="00A02BA0"/>
    <w:rsid w:val="00A03928"/>
    <w:rsid w:val="00A10371"/>
    <w:rsid w:val="00A1785A"/>
    <w:rsid w:val="00A2590F"/>
    <w:rsid w:val="00A318D6"/>
    <w:rsid w:val="00A325BF"/>
    <w:rsid w:val="00A563BB"/>
    <w:rsid w:val="00A65734"/>
    <w:rsid w:val="00A66207"/>
    <w:rsid w:val="00A74FE2"/>
    <w:rsid w:val="00A754EB"/>
    <w:rsid w:val="00A75992"/>
    <w:rsid w:val="00A77226"/>
    <w:rsid w:val="00A86EDC"/>
    <w:rsid w:val="00A93C7A"/>
    <w:rsid w:val="00AA6E3E"/>
    <w:rsid w:val="00AB62BF"/>
    <w:rsid w:val="00AC329C"/>
    <w:rsid w:val="00AC6AB4"/>
    <w:rsid w:val="00AC6E03"/>
    <w:rsid w:val="00AD7223"/>
    <w:rsid w:val="00AD7D3F"/>
    <w:rsid w:val="00B04A07"/>
    <w:rsid w:val="00B31A25"/>
    <w:rsid w:val="00B34779"/>
    <w:rsid w:val="00B35D68"/>
    <w:rsid w:val="00B579A2"/>
    <w:rsid w:val="00B66B33"/>
    <w:rsid w:val="00B77FE3"/>
    <w:rsid w:val="00B9299E"/>
    <w:rsid w:val="00B944C1"/>
    <w:rsid w:val="00BE70AF"/>
    <w:rsid w:val="00C11028"/>
    <w:rsid w:val="00C20DA0"/>
    <w:rsid w:val="00C2425F"/>
    <w:rsid w:val="00C2597F"/>
    <w:rsid w:val="00C50676"/>
    <w:rsid w:val="00C770F6"/>
    <w:rsid w:val="00C81CB5"/>
    <w:rsid w:val="00CB662A"/>
    <w:rsid w:val="00CC4290"/>
    <w:rsid w:val="00CD7A70"/>
    <w:rsid w:val="00CF4B1E"/>
    <w:rsid w:val="00D0550D"/>
    <w:rsid w:val="00D23673"/>
    <w:rsid w:val="00D61541"/>
    <w:rsid w:val="00D64E56"/>
    <w:rsid w:val="00D651EA"/>
    <w:rsid w:val="00DA550A"/>
    <w:rsid w:val="00DB1768"/>
    <w:rsid w:val="00DC56C0"/>
    <w:rsid w:val="00DE03B6"/>
    <w:rsid w:val="00DE1AF3"/>
    <w:rsid w:val="00DF0701"/>
    <w:rsid w:val="00DF2AEB"/>
    <w:rsid w:val="00DF7C09"/>
    <w:rsid w:val="00E17EC3"/>
    <w:rsid w:val="00E57115"/>
    <w:rsid w:val="00E80F80"/>
    <w:rsid w:val="00E94323"/>
    <w:rsid w:val="00EA3565"/>
    <w:rsid w:val="00EB33DB"/>
    <w:rsid w:val="00ED1901"/>
    <w:rsid w:val="00ED7169"/>
    <w:rsid w:val="00EE0027"/>
    <w:rsid w:val="00EE0543"/>
    <w:rsid w:val="00F107DE"/>
    <w:rsid w:val="00F22986"/>
    <w:rsid w:val="00F256A6"/>
    <w:rsid w:val="00F46C8F"/>
    <w:rsid w:val="00F5346F"/>
    <w:rsid w:val="00F63A6E"/>
    <w:rsid w:val="00F85ACA"/>
    <w:rsid w:val="00F87066"/>
    <w:rsid w:val="00FB3281"/>
    <w:rsid w:val="00FB7ADA"/>
    <w:rsid w:val="00FC6854"/>
    <w:rsid w:val="00FE048D"/>
    <w:rsid w:val="00FE361A"/>
    <w:rsid w:val="00FF2426"/>
    <w:rsid w:val="00FF69F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8FDFBC"/>
  <w15:docId w15:val="{7BEFB838-27FD-4872-9A73-3C3E089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736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5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F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5F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5F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35F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F2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A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36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36B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4D4B"/>
    <w:rPr>
      <w:color w:val="800080" w:themeColor="followedHyperlink"/>
      <w:u w:val="single"/>
    </w:rPr>
  </w:style>
  <w:style w:type="paragraph" w:customStyle="1" w:styleId="Default">
    <w:name w:val="Default"/>
    <w:rsid w:val="001F0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NAC-TitoloParagrafo">
    <w:name w:val="ANAC - Titolo Paragrafo"/>
    <w:basedOn w:val="Normale"/>
    <w:link w:val="ANAC-TitoloParagrafoCarattere"/>
    <w:qFormat/>
    <w:rsid w:val="00D651EA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/>
      <w:ind w:left="1560" w:right="142"/>
      <w:outlineLvl w:val="4"/>
    </w:pPr>
    <w:rPr>
      <w:rFonts w:ascii="Gotham Light" w:eastAsiaTheme="majorEastAsia" w:hAnsi="Gotham Light" w:cstheme="majorBidi"/>
      <w:color w:val="2770B7"/>
      <w:sz w:val="28"/>
      <w:lang w:eastAsia="en-US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D651EA"/>
    <w:rPr>
      <w:rFonts w:ascii="Gotham Light" w:eastAsiaTheme="majorEastAsia" w:hAnsi="Gotham Light" w:cstheme="majorBidi"/>
      <w:color w:val="2770B7"/>
      <w:sz w:val="28"/>
      <w:szCs w:val="24"/>
    </w:rPr>
  </w:style>
  <w:style w:type="paragraph" w:customStyle="1" w:styleId="ANCATABELLATITOLOBIANCO">
    <w:name w:val="ANCA_TABELLA_TITOLO BIANCO"/>
    <w:basedOn w:val="Normale"/>
    <w:qFormat/>
    <w:rsid w:val="00DA550A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96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073">
              <w:marLeft w:val="0"/>
              <w:marRight w:val="0"/>
              <w:marTop w:val="270"/>
              <w:marBottom w:val="180"/>
              <w:divBdr>
                <w:top w:val="double" w:sz="2" w:space="0" w:color="B3A3A3"/>
                <w:left w:val="double" w:sz="2" w:space="6" w:color="B3A3A3"/>
                <w:bottom w:val="double" w:sz="2" w:space="6" w:color="B3A3A3"/>
                <w:right w:val="double" w:sz="2" w:space="6" w:color="B3A3A3"/>
              </w:divBdr>
            </w:div>
          </w:divsChild>
        </w:div>
      </w:divsChild>
    </w:div>
    <w:div w:id="836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815">
              <w:marLeft w:val="0"/>
              <w:marRight w:val="0"/>
              <w:marTop w:val="270"/>
              <w:marBottom w:val="180"/>
              <w:divBdr>
                <w:top w:val="double" w:sz="2" w:space="0" w:color="B3A3A3"/>
                <w:left w:val="double" w:sz="2" w:space="6" w:color="B3A3A3"/>
                <w:bottom w:val="double" w:sz="2" w:space="6" w:color="B3A3A3"/>
                <w:right w:val="double" w:sz="2" w:space="6" w:color="B3A3A3"/>
              </w:divBdr>
            </w:div>
          </w:divsChild>
        </w:div>
      </w:divsChild>
    </w:div>
    <w:div w:id="1762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729263-7E96-49FA-B603-1942A17FC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E4725-A504-4F9A-8E89-4A189E096140}"/>
</file>

<file path=customXml/itemProps3.xml><?xml version="1.0" encoding="utf-8"?>
<ds:datastoreItem xmlns:ds="http://schemas.openxmlformats.org/officeDocument/2006/customXml" ds:itemID="{5507C682-0F2A-4B66-84B5-05857464D4A8}"/>
</file>

<file path=customXml/itemProps4.xml><?xml version="1.0" encoding="utf-8"?>
<ds:datastoreItem xmlns:ds="http://schemas.openxmlformats.org/officeDocument/2006/customXml" ds:itemID="{4C88CE8B-DB74-4559-A685-061CA89CA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Lorenzetti Maria Luisa</dc:creator>
  <cp:lastModifiedBy>Pallotta Luca</cp:lastModifiedBy>
  <cp:revision>19</cp:revision>
  <cp:lastPrinted>2023-09-21T08:58:00Z</cp:lastPrinted>
  <dcterms:created xsi:type="dcterms:W3CDTF">2022-09-21T13:19:00Z</dcterms:created>
  <dcterms:modified xsi:type="dcterms:W3CDTF">2023-09-22T15:37:00Z</dcterms:modified>
</cp:coreProperties>
</file>