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B15" w:rsidRDefault="00381B15" w:rsidP="00570207">
      <w:pPr>
        <w:pStyle w:val="ANAC-TitoloParagrafo"/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before="0"/>
        <w:ind w:left="0"/>
        <w:jc w:val="center"/>
      </w:pPr>
    </w:p>
    <w:p w:rsidR="00682237" w:rsidRDefault="00682237" w:rsidP="00570207">
      <w:pPr>
        <w:pStyle w:val="ANAC-TitoloParagrafo"/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before="0"/>
        <w:ind w:left="0"/>
        <w:jc w:val="center"/>
      </w:pPr>
    </w:p>
    <w:p w:rsidR="00D64E56" w:rsidRPr="00242E26" w:rsidRDefault="00D651EA" w:rsidP="00570207">
      <w:pPr>
        <w:pStyle w:val="ANAC-TitoloParagrafo"/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before="0"/>
        <w:ind w:left="0"/>
        <w:jc w:val="center"/>
      </w:pPr>
      <w:r w:rsidRPr="00242E26">
        <w:t>DE</w:t>
      </w:r>
      <w:r w:rsidR="00096CB2">
        <w:t>CISIONE</w:t>
      </w:r>
      <w:r w:rsidRPr="00242E26">
        <w:t xml:space="preserve"> </w:t>
      </w:r>
      <w:r w:rsidR="00096CB2">
        <w:t>DI</w:t>
      </w:r>
      <w:r w:rsidRPr="00242E26">
        <w:t xml:space="preserve"> CONTRARRE</w:t>
      </w:r>
    </w:p>
    <w:p w:rsidR="00570207" w:rsidRPr="00242E26" w:rsidRDefault="00570207" w:rsidP="00570207">
      <w:pPr>
        <w:pStyle w:val="ANAC-TitoloParagrafo"/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before="0"/>
        <w:ind w:left="0"/>
        <w:jc w:val="center"/>
        <w:rPr>
          <w:sz w:val="16"/>
          <w:szCs w:val="16"/>
        </w:rPr>
      </w:pPr>
    </w:p>
    <w:p w:rsidR="00381B15" w:rsidRDefault="00381B15" w:rsidP="0011731E">
      <w:pPr>
        <w:jc w:val="both"/>
        <w:rPr>
          <w:rFonts w:ascii="Titillium" w:hAnsi="Titillium"/>
          <w:b/>
          <w:sz w:val="18"/>
          <w:szCs w:val="18"/>
        </w:rPr>
      </w:pPr>
    </w:p>
    <w:p w:rsidR="00852815" w:rsidRPr="00491F81" w:rsidRDefault="00852815" w:rsidP="00B53854">
      <w:pPr>
        <w:spacing w:after="120" w:line="276" w:lineRule="auto"/>
        <w:jc w:val="both"/>
        <w:rPr>
          <w:rFonts w:ascii="Titillium" w:hAnsi="Titillium"/>
          <w:sz w:val="20"/>
          <w:szCs w:val="20"/>
        </w:rPr>
      </w:pPr>
      <w:r w:rsidRPr="00491F81">
        <w:rPr>
          <w:rFonts w:ascii="Titillium" w:hAnsi="Titillium"/>
          <w:b/>
          <w:sz w:val="20"/>
          <w:szCs w:val="20"/>
        </w:rPr>
        <w:t xml:space="preserve">VISTO </w:t>
      </w:r>
      <w:r w:rsidRPr="00491F81">
        <w:rPr>
          <w:rFonts w:ascii="Titillium" w:hAnsi="Titillium"/>
          <w:sz w:val="20"/>
          <w:szCs w:val="20"/>
        </w:rPr>
        <w:t xml:space="preserve">il decreto legislativo </w:t>
      </w:r>
      <w:r w:rsidR="00B43196" w:rsidRPr="00491F81">
        <w:rPr>
          <w:rFonts w:ascii="Titillium" w:hAnsi="Titillium"/>
          <w:sz w:val="20"/>
          <w:szCs w:val="20"/>
        </w:rPr>
        <w:t>31 marzo 2023, n. 36</w:t>
      </w:r>
      <w:r w:rsidRPr="00491F81">
        <w:rPr>
          <w:rFonts w:ascii="Titillium" w:hAnsi="Titillium"/>
          <w:sz w:val="20"/>
          <w:szCs w:val="20"/>
        </w:rPr>
        <w:t xml:space="preserve">, ed in particolare il comma </w:t>
      </w:r>
      <w:r w:rsidR="00E82CFF" w:rsidRPr="00491F81">
        <w:rPr>
          <w:rFonts w:ascii="Titillium" w:hAnsi="Titillium"/>
          <w:sz w:val="20"/>
          <w:szCs w:val="20"/>
        </w:rPr>
        <w:t>1</w:t>
      </w:r>
      <w:r w:rsidRPr="00491F81">
        <w:rPr>
          <w:rFonts w:ascii="Titillium" w:hAnsi="Titillium"/>
          <w:sz w:val="20"/>
          <w:szCs w:val="20"/>
        </w:rPr>
        <w:t xml:space="preserve"> dell’art. </w:t>
      </w:r>
      <w:r w:rsidR="00E82CFF" w:rsidRPr="00491F81">
        <w:rPr>
          <w:rFonts w:ascii="Titillium" w:hAnsi="Titillium"/>
          <w:sz w:val="20"/>
          <w:szCs w:val="20"/>
        </w:rPr>
        <w:t>17</w:t>
      </w:r>
      <w:r w:rsidRPr="00491F81">
        <w:rPr>
          <w:rFonts w:ascii="Titillium" w:hAnsi="Titillium"/>
          <w:sz w:val="20"/>
          <w:szCs w:val="20"/>
        </w:rPr>
        <w:t xml:space="preserve">, il quale prevede che, prima </w:t>
      </w:r>
      <w:r w:rsidR="00B43196" w:rsidRPr="00491F81">
        <w:rPr>
          <w:rFonts w:ascii="Titillium" w:hAnsi="Titillium"/>
          <w:sz w:val="20"/>
          <w:szCs w:val="20"/>
        </w:rPr>
        <w:t>dell’avvio delle procedure di affidamento dei contratti pubblici le stazioni appaltanti e gli enti concedenti, con apposito atto, adottano la decisione di contrarre individuando gli elementi essenziali del contratto e i criteri di selezione degli operatori economici e delle offerte</w:t>
      </w:r>
      <w:r w:rsidRPr="00491F81">
        <w:rPr>
          <w:rFonts w:ascii="Titillium" w:hAnsi="Titillium"/>
          <w:sz w:val="20"/>
          <w:szCs w:val="20"/>
        </w:rPr>
        <w:t>;</w:t>
      </w:r>
    </w:p>
    <w:p w:rsidR="00852815" w:rsidRPr="00491F81" w:rsidRDefault="00852815" w:rsidP="00B53854">
      <w:pPr>
        <w:spacing w:after="120" w:line="276" w:lineRule="auto"/>
        <w:jc w:val="both"/>
        <w:rPr>
          <w:rFonts w:ascii="Titillium" w:hAnsi="Titillium"/>
          <w:bCs/>
          <w:sz w:val="20"/>
          <w:szCs w:val="20"/>
        </w:rPr>
      </w:pPr>
      <w:r w:rsidRPr="00491F81">
        <w:rPr>
          <w:rFonts w:ascii="Titillium" w:hAnsi="Titillium"/>
          <w:b/>
          <w:bCs/>
          <w:sz w:val="20"/>
          <w:szCs w:val="20"/>
        </w:rPr>
        <w:t xml:space="preserve">VISTO </w:t>
      </w:r>
      <w:r w:rsidRPr="00491F81">
        <w:rPr>
          <w:rFonts w:ascii="Titillium" w:hAnsi="Titillium"/>
          <w:bCs/>
          <w:sz w:val="20"/>
          <w:szCs w:val="20"/>
        </w:rPr>
        <w:t>il Regolamento per la disciplina dei contratti pubblici di servizi e forniture stipulati dall’Autorità approvato in data 7.7.2021;</w:t>
      </w:r>
    </w:p>
    <w:p w:rsidR="0011731E" w:rsidRDefault="00A325BF" w:rsidP="00B53854">
      <w:pPr>
        <w:spacing w:after="120" w:line="276" w:lineRule="auto"/>
        <w:jc w:val="both"/>
        <w:rPr>
          <w:rFonts w:ascii="Titillium" w:hAnsi="Titillium"/>
          <w:bCs/>
          <w:sz w:val="20"/>
          <w:szCs w:val="20"/>
        </w:rPr>
      </w:pPr>
      <w:r w:rsidRPr="00491F81">
        <w:rPr>
          <w:rFonts w:ascii="Titillium" w:hAnsi="Titillium"/>
          <w:b/>
          <w:bCs/>
          <w:sz w:val="20"/>
          <w:szCs w:val="20"/>
        </w:rPr>
        <w:t xml:space="preserve">VISTO </w:t>
      </w:r>
      <w:r w:rsidRPr="00491F81">
        <w:rPr>
          <w:rFonts w:ascii="Titillium" w:hAnsi="Titillium"/>
          <w:bCs/>
          <w:sz w:val="20"/>
          <w:szCs w:val="20"/>
        </w:rPr>
        <w:t>il Regolamento concernente la disciplina contabile dell’Autorità Nazionale Anticorruzione approvato dal Consiglio dell’Autorità nella seduta del 7 luglio 2021 ed entrato in vigore il 1° gennaio 2022;</w:t>
      </w:r>
    </w:p>
    <w:p w:rsidR="00491F81" w:rsidRDefault="00491F81" w:rsidP="00491F81">
      <w:pPr>
        <w:spacing w:after="120" w:line="276" w:lineRule="auto"/>
        <w:jc w:val="both"/>
        <w:rPr>
          <w:rFonts w:ascii="Titillium" w:hAnsi="Titillium"/>
          <w:bCs/>
          <w:sz w:val="20"/>
          <w:szCs w:val="20"/>
        </w:rPr>
      </w:pPr>
      <w:r w:rsidRPr="00491F81">
        <w:rPr>
          <w:rFonts w:ascii="Titillium" w:hAnsi="Titillium"/>
          <w:b/>
          <w:bCs/>
          <w:sz w:val="20"/>
          <w:szCs w:val="20"/>
        </w:rPr>
        <w:t xml:space="preserve">CONSIDERATO </w:t>
      </w:r>
      <w:r>
        <w:rPr>
          <w:rFonts w:ascii="Titillium" w:hAnsi="Titillium"/>
          <w:bCs/>
          <w:sz w:val="20"/>
          <w:szCs w:val="20"/>
        </w:rPr>
        <w:t>che al fine</w:t>
      </w:r>
      <w:r w:rsidRPr="00491F81">
        <w:rPr>
          <w:rFonts w:ascii="Titillium" w:hAnsi="Titillium"/>
          <w:bCs/>
          <w:sz w:val="20"/>
          <w:szCs w:val="20"/>
        </w:rPr>
        <w:t xml:space="preserve"> di minimizzare le minacce provenienti da Internet verso i servizi online </w:t>
      </w:r>
      <w:r>
        <w:rPr>
          <w:rFonts w:ascii="Titillium" w:hAnsi="Titillium"/>
          <w:bCs/>
          <w:sz w:val="20"/>
          <w:szCs w:val="20"/>
        </w:rPr>
        <w:t>l’Autorità,</w:t>
      </w:r>
      <w:r w:rsidRPr="00491F81">
        <w:rPr>
          <w:rFonts w:ascii="Titillium" w:hAnsi="Titillium"/>
          <w:bCs/>
          <w:sz w:val="20"/>
          <w:szCs w:val="20"/>
        </w:rPr>
        <w:t xml:space="preserve"> a partire dal 2013</w:t>
      </w:r>
      <w:r>
        <w:rPr>
          <w:rFonts w:ascii="Titillium" w:hAnsi="Titillium"/>
          <w:bCs/>
          <w:sz w:val="20"/>
          <w:szCs w:val="20"/>
        </w:rPr>
        <w:t>,</w:t>
      </w:r>
      <w:r w:rsidRPr="00491F81">
        <w:rPr>
          <w:rFonts w:ascii="Titillium" w:hAnsi="Titillium"/>
          <w:bCs/>
          <w:sz w:val="20"/>
          <w:szCs w:val="20"/>
        </w:rPr>
        <w:t xml:space="preserve"> </w:t>
      </w:r>
      <w:r>
        <w:rPr>
          <w:rFonts w:ascii="Titillium" w:hAnsi="Titillium"/>
          <w:bCs/>
          <w:sz w:val="20"/>
          <w:szCs w:val="20"/>
        </w:rPr>
        <w:t>ha</w:t>
      </w:r>
      <w:r w:rsidRPr="00491F81">
        <w:rPr>
          <w:rFonts w:ascii="Titillium" w:hAnsi="Titillium"/>
          <w:bCs/>
          <w:sz w:val="20"/>
          <w:szCs w:val="20"/>
        </w:rPr>
        <w:t xml:space="preserve"> implementato, in aggiunta alle tradizionali misure di sicurezza perimetrale, un filtraggio ulteriore del traffico tra la rete locale interna e l</w:t>
      </w:r>
      <w:r>
        <w:rPr>
          <w:rFonts w:ascii="Titillium" w:hAnsi="Titillium"/>
          <w:bCs/>
          <w:sz w:val="20"/>
          <w:szCs w:val="20"/>
        </w:rPr>
        <w:t>'infrastruttura dei server del CED, attraverso l’acquisto di</w:t>
      </w:r>
      <w:r w:rsidRPr="00491F81">
        <w:rPr>
          <w:rFonts w:ascii="Titillium" w:hAnsi="Titillium"/>
          <w:bCs/>
          <w:sz w:val="20"/>
          <w:szCs w:val="20"/>
        </w:rPr>
        <w:t xml:space="preserve"> una coppia di apparati fir</w:t>
      </w:r>
      <w:r>
        <w:rPr>
          <w:rFonts w:ascii="Titillium" w:hAnsi="Titillium"/>
          <w:bCs/>
          <w:sz w:val="20"/>
          <w:szCs w:val="20"/>
        </w:rPr>
        <w:t>ewall con relative licenze d’uso;</w:t>
      </w:r>
    </w:p>
    <w:p w:rsidR="00491F81" w:rsidRDefault="00491F81" w:rsidP="00491F81">
      <w:pPr>
        <w:spacing w:after="120" w:line="276" w:lineRule="auto"/>
        <w:jc w:val="both"/>
        <w:rPr>
          <w:rFonts w:ascii="Titillium" w:hAnsi="Titillium"/>
          <w:bCs/>
          <w:sz w:val="20"/>
          <w:szCs w:val="20"/>
        </w:rPr>
      </w:pPr>
      <w:r>
        <w:rPr>
          <w:rFonts w:ascii="Titillium" w:hAnsi="Titillium"/>
          <w:b/>
          <w:bCs/>
          <w:sz w:val="20"/>
          <w:szCs w:val="20"/>
        </w:rPr>
        <w:t>TENUTO CONTO</w:t>
      </w:r>
      <w:r w:rsidRPr="00491F81">
        <w:rPr>
          <w:rFonts w:ascii="Titillium" w:hAnsi="Titillium"/>
          <w:b/>
          <w:bCs/>
          <w:sz w:val="20"/>
          <w:szCs w:val="20"/>
        </w:rPr>
        <w:t xml:space="preserve"> </w:t>
      </w:r>
      <w:r>
        <w:rPr>
          <w:rFonts w:ascii="Titillium" w:hAnsi="Titillium"/>
          <w:bCs/>
          <w:sz w:val="20"/>
          <w:szCs w:val="20"/>
        </w:rPr>
        <w:t xml:space="preserve">che le licenze di detti apparati, </w:t>
      </w:r>
      <w:r w:rsidR="00704483">
        <w:rPr>
          <w:rFonts w:ascii="Titillium" w:hAnsi="Titillium"/>
          <w:bCs/>
          <w:sz w:val="20"/>
          <w:szCs w:val="20"/>
        </w:rPr>
        <w:t xml:space="preserve">basati su tecnologia </w:t>
      </w:r>
      <w:proofErr w:type="spellStart"/>
      <w:r w:rsidR="00704483">
        <w:rPr>
          <w:rFonts w:ascii="Titillium" w:hAnsi="Titillium"/>
          <w:bCs/>
          <w:sz w:val="20"/>
          <w:szCs w:val="20"/>
        </w:rPr>
        <w:t>Sonic</w:t>
      </w:r>
      <w:proofErr w:type="spellEnd"/>
      <w:r w:rsidR="00704483">
        <w:rPr>
          <w:rFonts w:ascii="Titillium" w:hAnsi="Titillium"/>
          <w:bCs/>
          <w:sz w:val="20"/>
          <w:szCs w:val="20"/>
        </w:rPr>
        <w:t xml:space="preserve"> </w:t>
      </w:r>
      <w:proofErr w:type="spellStart"/>
      <w:r w:rsidR="00704483">
        <w:rPr>
          <w:rFonts w:ascii="Titillium" w:hAnsi="Titillium"/>
          <w:bCs/>
          <w:sz w:val="20"/>
          <w:szCs w:val="20"/>
        </w:rPr>
        <w:t>W</w:t>
      </w:r>
      <w:r w:rsidRPr="00491F81">
        <w:rPr>
          <w:rFonts w:ascii="Titillium" w:hAnsi="Titillium"/>
          <w:bCs/>
          <w:sz w:val="20"/>
          <w:szCs w:val="20"/>
        </w:rPr>
        <w:t>all</w:t>
      </w:r>
      <w:proofErr w:type="spellEnd"/>
      <w:r>
        <w:rPr>
          <w:rFonts w:ascii="Titillium" w:hAnsi="Titillium"/>
          <w:bCs/>
          <w:sz w:val="20"/>
          <w:szCs w:val="20"/>
        </w:rPr>
        <w:t xml:space="preserve">, andranno in scadenza il prossimo </w:t>
      </w:r>
      <w:r w:rsidR="00F95061" w:rsidRPr="00F95061">
        <w:rPr>
          <w:rFonts w:ascii="Titillium" w:hAnsi="Titillium"/>
          <w:bCs/>
          <w:sz w:val="20"/>
          <w:szCs w:val="20"/>
        </w:rPr>
        <w:t>24/9/2023</w:t>
      </w:r>
      <w:r w:rsidRPr="00F95061">
        <w:rPr>
          <w:rFonts w:ascii="Titillium" w:hAnsi="Titillium"/>
          <w:bCs/>
          <w:sz w:val="20"/>
          <w:szCs w:val="20"/>
        </w:rPr>
        <w:t>;</w:t>
      </w:r>
      <w:r>
        <w:rPr>
          <w:rFonts w:ascii="Titillium" w:hAnsi="Titillium"/>
          <w:bCs/>
          <w:sz w:val="20"/>
          <w:szCs w:val="20"/>
        </w:rPr>
        <w:t xml:space="preserve"> </w:t>
      </w:r>
    </w:p>
    <w:p w:rsidR="00491F81" w:rsidRPr="00491F81" w:rsidRDefault="00491F81" w:rsidP="00491F81">
      <w:pPr>
        <w:spacing w:after="120" w:line="276" w:lineRule="auto"/>
        <w:jc w:val="both"/>
        <w:rPr>
          <w:rFonts w:ascii="Titillium" w:hAnsi="Titillium"/>
          <w:bCs/>
          <w:sz w:val="20"/>
          <w:szCs w:val="20"/>
        </w:rPr>
      </w:pPr>
      <w:r w:rsidRPr="00491F81">
        <w:rPr>
          <w:rFonts w:ascii="Titillium" w:hAnsi="Titillium"/>
          <w:b/>
          <w:bCs/>
          <w:sz w:val="20"/>
          <w:szCs w:val="20"/>
        </w:rPr>
        <w:t>CONSIDERATO</w:t>
      </w:r>
      <w:r>
        <w:rPr>
          <w:rFonts w:ascii="Titillium" w:hAnsi="Titillium"/>
          <w:bCs/>
          <w:sz w:val="20"/>
          <w:szCs w:val="20"/>
        </w:rPr>
        <w:t xml:space="preserve"> inoltre che gli apparati in questione </w:t>
      </w:r>
      <w:r w:rsidRPr="00491F81">
        <w:rPr>
          <w:rFonts w:ascii="Titillium" w:hAnsi="Titillium"/>
          <w:bCs/>
          <w:sz w:val="20"/>
          <w:szCs w:val="20"/>
        </w:rPr>
        <w:t>hanno ormai delle prestazioni che, per natura</w:t>
      </w:r>
      <w:r>
        <w:rPr>
          <w:rFonts w:ascii="Titillium" w:hAnsi="Titillium"/>
          <w:bCs/>
          <w:sz w:val="20"/>
          <w:szCs w:val="20"/>
        </w:rPr>
        <w:t>le obsolescenza, non sono più ad</w:t>
      </w:r>
      <w:r w:rsidRPr="00491F81">
        <w:rPr>
          <w:rFonts w:ascii="Titillium" w:hAnsi="Titillium"/>
          <w:bCs/>
          <w:sz w:val="20"/>
          <w:szCs w:val="20"/>
        </w:rPr>
        <w:t>eg</w:t>
      </w:r>
      <w:r>
        <w:rPr>
          <w:rFonts w:ascii="Titillium" w:hAnsi="Titillium"/>
          <w:bCs/>
          <w:sz w:val="20"/>
          <w:szCs w:val="20"/>
        </w:rPr>
        <w:t>uate</w:t>
      </w:r>
      <w:r w:rsidRPr="00491F81">
        <w:rPr>
          <w:rFonts w:ascii="Titillium" w:hAnsi="Titillium"/>
          <w:bCs/>
          <w:sz w:val="20"/>
          <w:szCs w:val="20"/>
        </w:rPr>
        <w:t xml:space="preserve"> alle </w:t>
      </w:r>
      <w:r>
        <w:rPr>
          <w:rFonts w:ascii="Titillium" w:hAnsi="Titillium"/>
          <w:bCs/>
          <w:sz w:val="20"/>
          <w:szCs w:val="20"/>
        </w:rPr>
        <w:t xml:space="preserve">attuali </w:t>
      </w:r>
      <w:r w:rsidRPr="00491F81">
        <w:rPr>
          <w:rFonts w:ascii="Titillium" w:hAnsi="Titillium"/>
          <w:bCs/>
          <w:sz w:val="20"/>
          <w:szCs w:val="20"/>
        </w:rPr>
        <w:t>esigenze dell'Autorità</w:t>
      </w:r>
      <w:r>
        <w:rPr>
          <w:rFonts w:ascii="Titillium" w:hAnsi="Titillium"/>
          <w:bCs/>
          <w:sz w:val="20"/>
          <w:szCs w:val="20"/>
        </w:rPr>
        <w:t>;</w:t>
      </w:r>
    </w:p>
    <w:p w:rsidR="00152ABC" w:rsidRDefault="00242E26" w:rsidP="00B53854">
      <w:pPr>
        <w:spacing w:after="120" w:line="276" w:lineRule="auto"/>
        <w:jc w:val="both"/>
        <w:rPr>
          <w:rFonts w:ascii="Titillium" w:hAnsi="Titillium"/>
          <w:bCs/>
          <w:sz w:val="20"/>
          <w:szCs w:val="20"/>
        </w:rPr>
      </w:pPr>
      <w:r w:rsidRPr="00491F81">
        <w:rPr>
          <w:rFonts w:ascii="Titillium" w:hAnsi="Titillium"/>
          <w:b/>
          <w:bCs/>
          <w:sz w:val="20"/>
          <w:szCs w:val="20"/>
        </w:rPr>
        <w:t xml:space="preserve">VISTA </w:t>
      </w:r>
      <w:r w:rsidRPr="00491F81">
        <w:rPr>
          <w:rFonts w:ascii="Titillium" w:hAnsi="Titillium"/>
          <w:bCs/>
          <w:sz w:val="20"/>
          <w:szCs w:val="20"/>
        </w:rPr>
        <w:t xml:space="preserve">la nota </w:t>
      </w:r>
      <w:proofErr w:type="spellStart"/>
      <w:r w:rsidRPr="00491F81">
        <w:rPr>
          <w:rFonts w:ascii="Titillium" w:hAnsi="Titillium"/>
          <w:bCs/>
          <w:sz w:val="20"/>
          <w:szCs w:val="20"/>
        </w:rPr>
        <w:t>prot</w:t>
      </w:r>
      <w:proofErr w:type="spellEnd"/>
      <w:r w:rsidRPr="00491F81">
        <w:rPr>
          <w:rFonts w:ascii="Titillium" w:hAnsi="Titillium"/>
          <w:bCs/>
          <w:sz w:val="20"/>
          <w:szCs w:val="20"/>
        </w:rPr>
        <w:t xml:space="preserve">. n. </w:t>
      </w:r>
      <w:r w:rsidR="00491F81" w:rsidRPr="00491F81">
        <w:rPr>
          <w:rFonts w:ascii="Titillium" w:hAnsi="Titillium"/>
          <w:bCs/>
          <w:sz w:val="20"/>
          <w:szCs w:val="20"/>
        </w:rPr>
        <w:t>68271</w:t>
      </w:r>
      <w:r w:rsidR="009F7335" w:rsidRPr="00491F81">
        <w:rPr>
          <w:rFonts w:ascii="Titillium" w:hAnsi="Titillium"/>
          <w:bCs/>
          <w:sz w:val="20"/>
          <w:szCs w:val="20"/>
        </w:rPr>
        <w:t xml:space="preserve"> del </w:t>
      </w:r>
      <w:r w:rsidR="00491F81" w:rsidRPr="00491F81">
        <w:rPr>
          <w:rFonts w:ascii="Titillium" w:hAnsi="Titillium"/>
          <w:bCs/>
          <w:sz w:val="20"/>
          <w:szCs w:val="20"/>
        </w:rPr>
        <w:t>30</w:t>
      </w:r>
      <w:r w:rsidR="009F7335" w:rsidRPr="00491F81">
        <w:rPr>
          <w:rFonts w:ascii="Titillium" w:hAnsi="Titillium"/>
          <w:bCs/>
          <w:sz w:val="20"/>
          <w:szCs w:val="20"/>
        </w:rPr>
        <w:t>.</w:t>
      </w:r>
      <w:r w:rsidR="00491F81" w:rsidRPr="00491F81">
        <w:rPr>
          <w:rFonts w:ascii="Titillium" w:hAnsi="Titillium"/>
          <w:bCs/>
          <w:sz w:val="20"/>
          <w:szCs w:val="20"/>
        </w:rPr>
        <w:t>8</w:t>
      </w:r>
      <w:r w:rsidR="009F7335" w:rsidRPr="00491F81">
        <w:rPr>
          <w:rFonts w:ascii="Titillium" w:hAnsi="Titillium"/>
          <w:bCs/>
          <w:sz w:val="20"/>
          <w:szCs w:val="20"/>
        </w:rPr>
        <w:t>.2023</w:t>
      </w:r>
      <w:r w:rsidRPr="00491F81">
        <w:rPr>
          <w:rFonts w:ascii="Titillium" w:hAnsi="Titillium"/>
          <w:bCs/>
          <w:sz w:val="20"/>
          <w:szCs w:val="20"/>
        </w:rPr>
        <w:t xml:space="preserve"> con </w:t>
      </w:r>
      <w:r w:rsidR="00CA15C1" w:rsidRPr="00491F81">
        <w:rPr>
          <w:rFonts w:ascii="Titillium" w:hAnsi="Titillium"/>
          <w:bCs/>
          <w:sz w:val="20"/>
          <w:szCs w:val="20"/>
        </w:rPr>
        <w:t xml:space="preserve">la quale </w:t>
      </w:r>
      <w:r w:rsidR="00335D2A" w:rsidRPr="00491F81">
        <w:rPr>
          <w:rFonts w:ascii="Titillium" w:hAnsi="Titillium"/>
          <w:bCs/>
          <w:sz w:val="20"/>
          <w:szCs w:val="20"/>
        </w:rPr>
        <w:t>l’Ufficio USIS</w:t>
      </w:r>
      <w:r w:rsidR="00491F81">
        <w:rPr>
          <w:rFonts w:ascii="Titillium" w:hAnsi="Titillium"/>
          <w:bCs/>
          <w:sz w:val="20"/>
          <w:szCs w:val="20"/>
        </w:rPr>
        <w:t xml:space="preserve">, al fine di </w:t>
      </w:r>
      <w:proofErr w:type="spellStart"/>
      <w:r w:rsidR="00491F81">
        <w:rPr>
          <w:rFonts w:ascii="Titillium" w:hAnsi="Titillium"/>
          <w:bCs/>
          <w:sz w:val="20"/>
          <w:szCs w:val="20"/>
        </w:rPr>
        <w:t>implentare</w:t>
      </w:r>
      <w:proofErr w:type="spellEnd"/>
      <w:r w:rsidR="00491F81">
        <w:rPr>
          <w:rFonts w:ascii="Titillium" w:hAnsi="Titillium"/>
          <w:bCs/>
          <w:sz w:val="20"/>
          <w:szCs w:val="20"/>
        </w:rPr>
        <w:t xml:space="preserve"> il livello di sicurezza </w:t>
      </w:r>
      <w:r w:rsidR="00C01928">
        <w:rPr>
          <w:rFonts w:ascii="Titillium" w:hAnsi="Titillium"/>
          <w:bCs/>
          <w:sz w:val="20"/>
          <w:szCs w:val="20"/>
        </w:rPr>
        <w:t xml:space="preserve">dell’impianto </w:t>
      </w:r>
      <w:r w:rsidR="00491F81">
        <w:rPr>
          <w:rFonts w:ascii="Titillium" w:hAnsi="Titillium"/>
          <w:bCs/>
          <w:sz w:val="20"/>
          <w:szCs w:val="20"/>
        </w:rPr>
        <w:t>ICT,</w:t>
      </w:r>
      <w:r w:rsidR="00E82CFF" w:rsidRPr="00491F81">
        <w:rPr>
          <w:rFonts w:ascii="Titillium" w:hAnsi="Titillium"/>
          <w:bCs/>
          <w:sz w:val="20"/>
          <w:szCs w:val="20"/>
        </w:rPr>
        <w:t xml:space="preserve"> </w:t>
      </w:r>
      <w:r w:rsidRPr="00491F81">
        <w:rPr>
          <w:rFonts w:ascii="Titillium" w:hAnsi="Titillium"/>
          <w:bCs/>
          <w:sz w:val="20"/>
          <w:szCs w:val="20"/>
        </w:rPr>
        <w:t xml:space="preserve">ha </w:t>
      </w:r>
      <w:r w:rsidR="00C328EC" w:rsidRPr="00491F81">
        <w:rPr>
          <w:rFonts w:ascii="Titillium" w:hAnsi="Titillium"/>
          <w:bCs/>
          <w:sz w:val="20"/>
          <w:szCs w:val="20"/>
        </w:rPr>
        <w:t xml:space="preserve">rappresentato </w:t>
      </w:r>
      <w:r w:rsidR="00DC2257" w:rsidRPr="00491F81">
        <w:rPr>
          <w:rFonts w:ascii="Titillium" w:hAnsi="Titillium"/>
          <w:bCs/>
          <w:sz w:val="20"/>
          <w:szCs w:val="20"/>
        </w:rPr>
        <w:t xml:space="preserve">l’esigenza di </w:t>
      </w:r>
      <w:r w:rsidR="00491F81">
        <w:rPr>
          <w:rFonts w:ascii="Titillium" w:hAnsi="Titillium"/>
          <w:bCs/>
          <w:sz w:val="20"/>
          <w:szCs w:val="20"/>
        </w:rPr>
        <w:t xml:space="preserve">acquisire apparati </w:t>
      </w:r>
      <w:r w:rsidR="00F02636">
        <w:rPr>
          <w:rFonts w:ascii="Titillium" w:hAnsi="Titillium"/>
          <w:bCs/>
          <w:sz w:val="20"/>
          <w:szCs w:val="20"/>
        </w:rPr>
        <w:t xml:space="preserve">firewall </w:t>
      </w:r>
      <w:proofErr w:type="spellStart"/>
      <w:r w:rsidR="00491F81">
        <w:rPr>
          <w:rFonts w:ascii="Titillium" w:hAnsi="Titillium"/>
          <w:bCs/>
          <w:sz w:val="20"/>
          <w:szCs w:val="20"/>
        </w:rPr>
        <w:t>Sonic</w:t>
      </w:r>
      <w:proofErr w:type="spellEnd"/>
      <w:r w:rsidR="00704483">
        <w:rPr>
          <w:rFonts w:ascii="Titillium" w:hAnsi="Titillium"/>
          <w:bCs/>
          <w:sz w:val="20"/>
          <w:szCs w:val="20"/>
        </w:rPr>
        <w:t xml:space="preserve"> </w:t>
      </w:r>
      <w:proofErr w:type="spellStart"/>
      <w:r w:rsidR="00704483">
        <w:rPr>
          <w:rFonts w:ascii="Titillium" w:hAnsi="Titillium"/>
          <w:bCs/>
          <w:sz w:val="20"/>
          <w:szCs w:val="20"/>
        </w:rPr>
        <w:t>W</w:t>
      </w:r>
      <w:r w:rsidR="00491F81">
        <w:rPr>
          <w:rFonts w:ascii="Titillium" w:hAnsi="Titillium"/>
          <w:bCs/>
          <w:sz w:val="20"/>
          <w:szCs w:val="20"/>
        </w:rPr>
        <w:t>all</w:t>
      </w:r>
      <w:proofErr w:type="spellEnd"/>
      <w:r w:rsidR="00491F81">
        <w:rPr>
          <w:rFonts w:ascii="Titillium" w:hAnsi="Titillium"/>
          <w:bCs/>
          <w:sz w:val="20"/>
          <w:szCs w:val="20"/>
        </w:rPr>
        <w:t xml:space="preserve"> di nuova generazione, comprensivi di licenze con validità 36 mesi</w:t>
      </w:r>
      <w:r w:rsidR="004B2CCF">
        <w:rPr>
          <w:rFonts w:ascii="Titillium" w:hAnsi="Titillium"/>
          <w:bCs/>
          <w:sz w:val="20"/>
          <w:szCs w:val="20"/>
        </w:rPr>
        <w:t xml:space="preserve"> e</w:t>
      </w:r>
      <w:r w:rsidR="00491F81">
        <w:rPr>
          <w:rFonts w:ascii="Titillium" w:hAnsi="Titillium"/>
          <w:bCs/>
          <w:sz w:val="20"/>
          <w:szCs w:val="20"/>
        </w:rPr>
        <w:t xml:space="preserve"> </w:t>
      </w:r>
      <w:r w:rsidR="004B2CCF">
        <w:rPr>
          <w:rFonts w:ascii="Titillium" w:hAnsi="Titillium"/>
          <w:bCs/>
          <w:sz w:val="20"/>
          <w:szCs w:val="20"/>
        </w:rPr>
        <w:t xml:space="preserve">di </w:t>
      </w:r>
      <w:r w:rsidR="00491F81">
        <w:rPr>
          <w:rFonts w:ascii="Titillium" w:hAnsi="Titillium"/>
          <w:bCs/>
          <w:sz w:val="20"/>
          <w:szCs w:val="20"/>
        </w:rPr>
        <w:t xml:space="preserve">servizi di consulenza </w:t>
      </w:r>
      <w:r w:rsidR="004B2CCF">
        <w:rPr>
          <w:rFonts w:ascii="Titillium" w:hAnsi="Titillium"/>
          <w:bCs/>
          <w:sz w:val="20"/>
          <w:szCs w:val="20"/>
        </w:rPr>
        <w:t>per migrazione e installazione</w:t>
      </w:r>
      <w:r w:rsidR="00EF4BE9" w:rsidRPr="00491F81">
        <w:rPr>
          <w:rFonts w:ascii="Titillium" w:hAnsi="Titillium"/>
          <w:bCs/>
          <w:sz w:val="20"/>
          <w:szCs w:val="20"/>
        </w:rPr>
        <w:t xml:space="preserve">, per un importo stimato di € </w:t>
      </w:r>
      <w:r w:rsidR="00491F81" w:rsidRPr="00491F81">
        <w:rPr>
          <w:rFonts w:ascii="Titillium" w:hAnsi="Titillium"/>
          <w:bCs/>
          <w:sz w:val="20"/>
          <w:szCs w:val="20"/>
        </w:rPr>
        <w:t>90</w:t>
      </w:r>
      <w:r w:rsidR="00EF4BE9" w:rsidRPr="00491F81">
        <w:rPr>
          <w:rFonts w:ascii="Titillium" w:hAnsi="Titillium"/>
          <w:bCs/>
          <w:sz w:val="20"/>
          <w:szCs w:val="20"/>
        </w:rPr>
        <w:t>.000,00, oltre IVA</w:t>
      </w:r>
      <w:r w:rsidR="00491F81" w:rsidRPr="00491F81">
        <w:rPr>
          <w:rFonts w:ascii="Titillium" w:hAnsi="Titillium"/>
          <w:bCs/>
          <w:sz w:val="20"/>
          <w:szCs w:val="20"/>
        </w:rPr>
        <w:t>;</w:t>
      </w:r>
    </w:p>
    <w:p w:rsidR="009270AA" w:rsidRDefault="009270AA" w:rsidP="00B53854">
      <w:pPr>
        <w:spacing w:after="120" w:line="276" w:lineRule="auto"/>
        <w:jc w:val="both"/>
        <w:rPr>
          <w:rFonts w:ascii="Titillium" w:hAnsi="Titillium"/>
          <w:bCs/>
          <w:sz w:val="20"/>
          <w:szCs w:val="20"/>
        </w:rPr>
      </w:pPr>
      <w:r>
        <w:rPr>
          <w:rFonts w:ascii="Titillium" w:hAnsi="Titillium"/>
          <w:b/>
          <w:bCs/>
          <w:sz w:val="20"/>
          <w:szCs w:val="20"/>
        </w:rPr>
        <w:t xml:space="preserve">TENUTO CONTO </w:t>
      </w:r>
      <w:r w:rsidRPr="009270AA">
        <w:rPr>
          <w:rFonts w:ascii="Titillium" w:hAnsi="Titillium"/>
          <w:bCs/>
          <w:sz w:val="20"/>
          <w:szCs w:val="20"/>
        </w:rPr>
        <w:t xml:space="preserve">che </w:t>
      </w:r>
      <w:r>
        <w:rPr>
          <w:rFonts w:ascii="Titillium" w:hAnsi="Titillium"/>
          <w:bCs/>
          <w:sz w:val="20"/>
          <w:szCs w:val="20"/>
        </w:rPr>
        <w:t xml:space="preserve">nella predetta nota, al fine di garantire un supporto certificato all’installazione e alla gestione della soluzione hardware e software, </w:t>
      </w:r>
      <w:r w:rsidRPr="00491F81">
        <w:rPr>
          <w:rFonts w:ascii="Titillium" w:hAnsi="Titillium"/>
          <w:bCs/>
          <w:sz w:val="20"/>
          <w:szCs w:val="20"/>
        </w:rPr>
        <w:t>l’Ufficio USIS</w:t>
      </w:r>
      <w:r>
        <w:rPr>
          <w:rFonts w:ascii="Titillium" w:hAnsi="Titillium"/>
          <w:bCs/>
          <w:sz w:val="20"/>
          <w:szCs w:val="20"/>
        </w:rPr>
        <w:t xml:space="preserve"> ha richiesto di individuare il fornitore tra i partner </w:t>
      </w:r>
      <w:proofErr w:type="spellStart"/>
      <w:r>
        <w:rPr>
          <w:rFonts w:ascii="Titillium" w:hAnsi="Titillium"/>
          <w:bCs/>
          <w:sz w:val="20"/>
          <w:szCs w:val="20"/>
        </w:rPr>
        <w:t>secure</w:t>
      </w:r>
      <w:proofErr w:type="spellEnd"/>
      <w:r>
        <w:rPr>
          <w:rFonts w:ascii="Titillium" w:hAnsi="Titillium"/>
          <w:bCs/>
          <w:sz w:val="20"/>
          <w:szCs w:val="20"/>
        </w:rPr>
        <w:t xml:space="preserve"> first di </w:t>
      </w:r>
      <w:proofErr w:type="spellStart"/>
      <w:r>
        <w:rPr>
          <w:rFonts w:ascii="Titillium" w:hAnsi="Titillium"/>
          <w:bCs/>
          <w:sz w:val="20"/>
          <w:szCs w:val="20"/>
        </w:rPr>
        <w:t>Soni</w:t>
      </w:r>
      <w:r w:rsidR="006277AA">
        <w:rPr>
          <w:rFonts w:ascii="Titillium" w:hAnsi="Titillium"/>
          <w:bCs/>
          <w:sz w:val="20"/>
          <w:szCs w:val="20"/>
        </w:rPr>
        <w:t>c</w:t>
      </w:r>
      <w:proofErr w:type="spellEnd"/>
      <w:r>
        <w:rPr>
          <w:rFonts w:ascii="Titillium" w:hAnsi="Titillium"/>
          <w:bCs/>
          <w:sz w:val="20"/>
          <w:szCs w:val="20"/>
        </w:rPr>
        <w:t xml:space="preserve"> </w:t>
      </w:r>
      <w:proofErr w:type="spellStart"/>
      <w:r>
        <w:rPr>
          <w:rFonts w:ascii="Titillium" w:hAnsi="Titillium"/>
          <w:bCs/>
          <w:sz w:val="20"/>
          <w:szCs w:val="20"/>
        </w:rPr>
        <w:t>Wall</w:t>
      </w:r>
      <w:proofErr w:type="spellEnd"/>
      <w:r w:rsidR="00C8509C">
        <w:rPr>
          <w:rFonts w:ascii="Titillium" w:hAnsi="Titillium"/>
          <w:bCs/>
          <w:sz w:val="20"/>
          <w:szCs w:val="20"/>
        </w:rPr>
        <w:t xml:space="preserve"> di livello compreso tra </w:t>
      </w:r>
      <w:proofErr w:type="spellStart"/>
      <w:r w:rsidR="00C8509C">
        <w:rPr>
          <w:rFonts w:ascii="Titillium" w:hAnsi="Titillium"/>
          <w:bCs/>
          <w:sz w:val="20"/>
          <w:szCs w:val="20"/>
        </w:rPr>
        <w:t>gold</w:t>
      </w:r>
      <w:proofErr w:type="spellEnd"/>
      <w:r w:rsidR="00C8509C">
        <w:rPr>
          <w:rFonts w:ascii="Titillium" w:hAnsi="Titillium"/>
          <w:bCs/>
          <w:sz w:val="20"/>
          <w:szCs w:val="20"/>
        </w:rPr>
        <w:t xml:space="preserve"> e </w:t>
      </w:r>
      <w:proofErr w:type="spellStart"/>
      <w:r w:rsidR="00C8509C">
        <w:rPr>
          <w:rFonts w:ascii="Titillium" w:hAnsi="Titillium"/>
          <w:bCs/>
          <w:sz w:val="20"/>
          <w:szCs w:val="20"/>
        </w:rPr>
        <w:t>platinum</w:t>
      </w:r>
      <w:proofErr w:type="spellEnd"/>
      <w:r>
        <w:rPr>
          <w:rFonts w:ascii="Titillium" w:hAnsi="Titillium"/>
          <w:bCs/>
          <w:sz w:val="20"/>
          <w:szCs w:val="20"/>
        </w:rPr>
        <w:t>;</w:t>
      </w:r>
    </w:p>
    <w:p w:rsidR="00C8509C" w:rsidRDefault="00C8509C" w:rsidP="00B53854">
      <w:pPr>
        <w:spacing w:after="120" w:line="276" w:lineRule="auto"/>
        <w:jc w:val="both"/>
        <w:rPr>
          <w:rFonts w:ascii="Titillium" w:hAnsi="Titillium"/>
          <w:bCs/>
          <w:sz w:val="20"/>
          <w:szCs w:val="20"/>
        </w:rPr>
      </w:pPr>
      <w:r w:rsidRPr="00C8509C">
        <w:rPr>
          <w:rFonts w:ascii="Titillium" w:hAnsi="Titillium"/>
          <w:b/>
          <w:bCs/>
          <w:sz w:val="20"/>
          <w:szCs w:val="20"/>
        </w:rPr>
        <w:t xml:space="preserve">CONSIDERATO </w:t>
      </w:r>
      <w:r w:rsidRPr="00C8509C">
        <w:rPr>
          <w:rFonts w:ascii="Titillium" w:hAnsi="Titillium"/>
          <w:bCs/>
          <w:sz w:val="20"/>
          <w:szCs w:val="20"/>
        </w:rPr>
        <w:t xml:space="preserve">che dal sito del produttore </w:t>
      </w:r>
      <w:proofErr w:type="spellStart"/>
      <w:r>
        <w:rPr>
          <w:rFonts w:ascii="Titillium" w:hAnsi="Titillium"/>
          <w:bCs/>
          <w:sz w:val="20"/>
          <w:szCs w:val="20"/>
        </w:rPr>
        <w:t>Sonic</w:t>
      </w:r>
      <w:proofErr w:type="spellEnd"/>
      <w:r>
        <w:rPr>
          <w:rFonts w:ascii="Titillium" w:hAnsi="Titillium"/>
          <w:bCs/>
          <w:sz w:val="20"/>
          <w:szCs w:val="20"/>
        </w:rPr>
        <w:t xml:space="preserve"> </w:t>
      </w:r>
      <w:proofErr w:type="spellStart"/>
      <w:r>
        <w:rPr>
          <w:rFonts w:ascii="Titillium" w:hAnsi="Titillium"/>
          <w:bCs/>
          <w:sz w:val="20"/>
          <w:szCs w:val="20"/>
        </w:rPr>
        <w:t>Wall</w:t>
      </w:r>
      <w:proofErr w:type="spellEnd"/>
      <w:r w:rsidRPr="00C8509C">
        <w:rPr>
          <w:rFonts w:ascii="Titillium" w:hAnsi="Titillium"/>
          <w:bCs/>
          <w:sz w:val="20"/>
          <w:szCs w:val="20"/>
        </w:rPr>
        <w:t xml:space="preserve"> </w:t>
      </w:r>
      <w:r w:rsidR="004645DA">
        <w:rPr>
          <w:rFonts w:ascii="Titillium" w:hAnsi="Titillium"/>
          <w:bCs/>
          <w:sz w:val="20"/>
          <w:szCs w:val="20"/>
        </w:rPr>
        <w:t xml:space="preserve">tra i </w:t>
      </w:r>
      <w:proofErr w:type="spellStart"/>
      <w:r w:rsidR="004645DA">
        <w:rPr>
          <w:rFonts w:ascii="Titillium" w:hAnsi="Titillium"/>
          <w:bCs/>
          <w:sz w:val="20"/>
          <w:szCs w:val="20"/>
        </w:rPr>
        <w:t>professional</w:t>
      </w:r>
      <w:proofErr w:type="spellEnd"/>
      <w:r w:rsidR="004645DA">
        <w:rPr>
          <w:rFonts w:ascii="Titillium" w:hAnsi="Titillium"/>
          <w:bCs/>
          <w:sz w:val="20"/>
          <w:szCs w:val="20"/>
        </w:rPr>
        <w:t xml:space="preserve"> </w:t>
      </w:r>
      <w:proofErr w:type="spellStart"/>
      <w:r w:rsidR="004645DA">
        <w:rPr>
          <w:rFonts w:ascii="Titillium" w:hAnsi="Titillium"/>
          <w:bCs/>
          <w:sz w:val="20"/>
          <w:szCs w:val="20"/>
        </w:rPr>
        <w:t>service</w:t>
      </w:r>
      <w:r w:rsidR="00C63AD8">
        <w:rPr>
          <w:rFonts w:ascii="Titillium" w:hAnsi="Titillium"/>
          <w:bCs/>
          <w:sz w:val="20"/>
          <w:szCs w:val="20"/>
        </w:rPr>
        <w:t>s</w:t>
      </w:r>
      <w:proofErr w:type="spellEnd"/>
      <w:r w:rsidRPr="00C8509C">
        <w:rPr>
          <w:rFonts w:ascii="Titillium" w:hAnsi="Titillium"/>
          <w:bCs/>
          <w:sz w:val="20"/>
          <w:szCs w:val="20"/>
        </w:rPr>
        <w:t xml:space="preserve"> partner </w:t>
      </w:r>
      <w:proofErr w:type="spellStart"/>
      <w:r>
        <w:rPr>
          <w:rFonts w:ascii="Titillium" w:hAnsi="Titillium"/>
          <w:bCs/>
          <w:sz w:val="20"/>
          <w:szCs w:val="20"/>
        </w:rPr>
        <w:t>secure</w:t>
      </w:r>
      <w:proofErr w:type="spellEnd"/>
      <w:r>
        <w:rPr>
          <w:rFonts w:ascii="Titillium" w:hAnsi="Titillium"/>
          <w:bCs/>
          <w:sz w:val="20"/>
          <w:szCs w:val="20"/>
        </w:rPr>
        <w:t xml:space="preserve"> first di livello </w:t>
      </w:r>
      <w:proofErr w:type="spellStart"/>
      <w:r>
        <w:rPr>
          <w:rFonts w:ascii="Titillium" w:hAnsi="Titillium"/>
          <w:bCs/>
          <w:sz w:val="20"/>
          <w:szCs w:val="20"/>
        </w:rPr>
        <w:t>gold</w:t>
      </w:r>
      <w:proofErr w:type="spellEnd"/>
      <w:r>
        <w:rPr>
          <w:rFonts w:ascii="Titillium" w:hAnsi="Titillium"/>
          <w:bCs/>
          <w:sz w:val="20"/>
          <w:szCs w:val="20"/>
        </w:rPr>
        <w:t xml:space="preserve"> e </w:t>
      </w:r>
      <w:proofErr w:type="spellStart"/>
      <w:r>
        <w:rPr>
          <w:rFonts w:ascii="Titillium" w:hAnsi="Titillium"/>
          <w:bCs/>
          <w:sz w:val="20"/>
          <w:szCs w:val="20"/>
        </w:rPr>
        <w:t>platinum</w:t>
      </w:r>
      <w:proofErr w:type="spellEnd"/>
      <w:r>
        <w:rPr>
          <w:rFonts w:ascii="Titillium" w:hAnsi="Titillium"/>
          <w:bCs/>
          <w:sz w:val="20"/>
          <w:szCs w:val="20"/>
        </w:rPr>
        <w:t xml:space="preserve">, </w:t>
      </w:r>
      <w:r w:rsidRPr="00C8509C">
        <w:rPr>
          <w:rFonts w:ascii="Titillium" w:hAnsi="Titillium"/>
          <w:bCs/>
          <w:sz w:val="20"/>
          <w:szCs w:val="20"/>
        </w:rPr>
        <w:t>con sede nel t</w:t>
      </w:r>
      <w:r>
        <w:rPr>
          <w:rFonts w:ascii="Titillium" w:hAnsi="Titillium"/>
          <w:bCs/>
          <w:sz w:val="20"/>
          <w:szCs w:val="20"/>
        </w:rPr>
        <w:t>erritorio italiano, specializzati</w:t>
      </w:r>
      <w:r w:rsidRPr="00C8509C">
        <w:rPr>
          <w:rFonts w:ascii="Titillium" w:hAnsi="Titillium"/>
          <w:bCs/>
          <w:sz w:val="20"/>
          <w:szCs w:val="20"/>
        </w:rPr>
        <w:t xml:space="preserve"> nella rivendita </w:t>
      </w:r>
      <w:r>
        <w:rPr>
          <w:rFonts w:ascii="Titillium" w:hAnsi="Titillium"/>
          <w:bCs/>
          <w:sz w:val="20"/>
          <w:szCs w:val="20"/>
        </w:rPr>
        <w:t xml:space="preserve">degli apparati e </w:t>
      </w:r>
      <w:r w:rsidRPr="00C8509C">
        <w:rPr>
          <w:rFonts w:ascii="Titillium" w:hAnsi="Titillium"/>
          <w:bCs/>
          <w:sz w:val="20"/>
          <w:szCs w:val="20"/>
        </w:rPr>
        <w:t>delle licenze</w:t>
      </w:r>
      <w:r w:rsidR="002661C0">
        <w:rPr>
          <w:rFonts w:ascii="Titillium" w:hAnsi="Titillium"/>
          <w:bCs/>
          <w:sz w:val="20"/>
          <w:szCs w:val="20"/>
        </w:rPr>
        <w:t xml:space="preserve"> in questione</w:t>
      </w:r>
      <w:r w:rsidRPr="00C8509C">
        <w:rPr>
          <w:rFonts w:ascii="Titillium" w:hAnsi="Titillium"/>
          <w:bCs/>
          <w:sz w:val="20"/>
          <w:szCs w:val="20"/>
        </w:rPr>
        <w:t xml:space="preserve">, ma anche nell’erogazione dei servizi </w:t>
      </w:r>
      <w:r>
        <w:rPr>
          <w:rFonts w:ascii="Titillium" w:hAnsi="Titillium"/>
          <w:bCs/>
          <w:sz w:val="20"/>
          <w:szCs w:val="20"/>
        </w:rPr>
        <w:t xml:space="preserve">di consulenza </w:t>
      </w:r>
      <w:r w:rsidR="00884F1E">
        <w:rPr>
          <w:rFonts w:ascii="Titillium" w:hAnsi="Titillium"/>
          <w:bCs/>
          <w:sz w:val="20"/>
          <w:szCs w:val="20"/>
        </w:rPr>
        <w:t>specialistica</w:t>
      </w:r>
      <w:r w:rsidR="00C63AD8">
        <w:rPr>
          <w:rFonts w:ascii="Titillium" w:hAnsi="Titillium"/>
          <w:bCs/>
          <w:sz w:val="20"/>
          <w:szCs w:val="20"/>
        </w:rPr>
        <w:t>,</w:t>
      </w:r>
      <w:r w:rsidRPr="00C8509C">
        <w:rPr>
          <w:rFonts w:ascii="Titillium" w:hAnsi="Titillium"/>
          <w:bCs/>
          <w:sz w:val="20"/>
          <w:szCs w:val="20"/>
        </w:rPr>
        <w:t xml:space="preserve"> sono</w:t>
      </w:r>
      <w:r w:rsidR="004645DA">
        <w:rPr>
          <w:rFonts w:ascii="Titillium" w:hAnsi="Titillium"/>
          <w:bCs/>
          <w:sz w:val="20"/>
          <w:szCs w:val="20"/>
        </w:rPr>
        <w:t xml:space="preserve"> ricomprese </w:t>
      </w:r>
      <w:r w:rsidRPr="00C8509C">
        <w:rPr>
          <w:rFonts w:ascii="Titillium" w:hAnsi="Titillium"/>
          <w:bCs/>
          <w:sz w:val="20"/>
          <w:szCs w:val="20"/>
        </w:rPr>
        <w:t xml:space="preserve">le società </w:t>
      </w:r>
      <w:proofErr w:type="spellStart"/>
      <w:r w:rsidR="00F45F45" w:rsidRPr="00F45F45">
        <w:rPr>
          <w:rFonts w:ascii="Titillium" w:hAnsi="Titillium"/>
          <w:bCs/>
          <w:sz w:val="20"/>
          <w:szCs w:val="20"/>
        </w:rPr>
        <w:t>Advnet</w:t>
      </w:r>
      <w:proofErr w:type="spellEnd"/>
      <w:r w:rsidR="00F45F45" w:rsidRPr="00F45F45">
        <w:rPr>
          <w:rFonts w:ascii="Titillium" w:hAnsi="Titillium"/>
          <w:bCs/>
          <w:sz w:val="20"/>
          <w:szCs w:val="20"/>
        </w:rPr>
        <w:t xml:space="preserve"> S.r.l.</w:t>
      </w:r>
      <w:r w:rsidR="00F45F45">
        <w:rPr>
          <w:rFonts w:ascii="Titillium" w:hAnsi="Titillium"/>
          <w:bCs/>
          <w:sz w:val="20"/>
          <w:szCs w:val="20"/>
        </w:rPr>
        <w:t>,</w:t>
      </w:r>
      <w:r w:rsidR="00F45F45" w:rsidRPr="00F45F45">
        <w:rPr>
          <w:rFonts w:ascii="Titillium" w:hAnsi="Titillium"/>
          <w:bCs/>
          <w:sz w:val="20"/>
          <w:szCs w:val="20"/>
        </w:rPr>
        <w:t xml:space="preserve"> </w:t>
      </w:r>
      <w:proofErr w:type="spellStart"/>
      <w:r w:rsidR="00BD52E1">
        <w:rPr>
          <w:rFonts w:ascii="Titillium" w:hAnsi="Titillium"/>
          <w:bCs/>
          <w:sz w:val="20"/>
          <w:szCs w:val="20"/>
        </w:rPr>
        <w:t>Key</w:t>
      </w:r>
      <w:proofErr w:type="spellEnd"/>
      <w:r w:rsidR="00BD52E1">
        <w:rPr>
          <w:rFonts w:ascii="Titillium" w:hAnsi="Titillium"/>
          <w:bCs/>
          <w:sz w:val="20"/>
          <w:szCs w:val="20"/>
        </w:rPr>
        <w:t xml:space="preserve"> Data</w:t>
      </w:r>
      <w:r w:rsidRPr="00C8509C">
        <w:rPr>
          <w:rFonts w:ascii="Titillium" w:hAnsi="Titillium"/>
          <w:bCs/>
          <w:sz w:val="20"/>
          <w:szCs w:val="20"/>
        </w:rPr>
        <w:t xml:space="preserve"> </w:t>
      </w:r>
      <w:r w:rsidR="004645DA">
        <w:rPr>
          <w:rFonts w:ascii="Titillium" w:hAnsi="Titillium"/>
          <w:bCs/>
          <w:sz w:val="20"/>
          <w:szCs w:val="20"/>
        </w:rPr>
        <w:t>S</w:t>
      </w:r>
      <w:r w:rsidRPr="00C8509C">
        <w:rPr>
          <w:rFonts w:ascii="Titillium" w:hAnsi="Titillium"/>
          <w:bCs/>
          <w:sz w:val="20"/>
          <w:szCs w:val="20"/>
        </w:rPr>
        <w:t>.r.l.</w:t>
      </w:r>
      <w:r w:rsidR="004645DA">
        <w:rPr>
          <w:rFonts w:ascii="Titillium" w:hAnsi="Titillium"/>
          <w:bCs/>
          <w:sz w:val="20"/>
          <w:szCs w:val="20"/>
        </w:rPr>
        <w:t xml:space="preserve">, </w:t>
      </w:r>
      <w:proofErr w:type="spellStart"/>
      <w:r w:rsidR="00F45F45">
        <w:rPr>
          <w:rFonts w:ascii="Titillium" w:hAnsi="Titillium"/>
          <w:bCs/>
          <w:sz w:val="20"/>
          <w:szCs w:val="20"/>
        </w:rPr>
        <w:t>Mips</w:t>
      </w:r>
      <w:proofErr w:type="spellEnd"/>
      <w:r w:rsidR="00F45F45">
        <w:rPr>
          <w:rFonts w:ascii="Titillium" w:hAnsi="Titillium"/>
          <w:bCs/>
          <w:sz w:val="20"/>
          <w:szCs w:val="20"/>
        </w:rPr>
        <w:t xml:space="preserve"> Informatica S.p.A. e </w:t>
      </w:r>
      <w:proofErr w:type="spellStart"/>
      <w:proofErr w:type="gramStart"/>
      <w:r w:rsidR="004645DA">
        <w:rPr>
          <w:rFonts w:ascii="Titillium" w:hAnsi="Titillium"/>
          <w:bCs/>
          <w:sz w:val="20"/>
          <w:szCs w:val="20"/>
        </w:rPr>
        <w:t>Verxo</w:t>
      </w:r>
      <w:proofErr w:type="spellEnd"/>
      <w:r w:rsidR="004645DA">
        <w:rPr>
          <w:rFonts w:ascii="Titillium" w:hAnsi="Titillium"/>
          <w:bCs/>
          <w:sz w:val="20"/>
          <w:szCs w:val="20"/>
        </w:rPr>
        <w:t xml:space="preserve"> </w:t>
      </w:r>
      <w:r w:rsidRPr="00C8509C">
        <w:rPr>
          <w:rFonts w:ascii="Titillium" w:hAnsi="Titillium"/>
          <w:bCs/>
          <w:sz w:val="20"/>
          <w:szCs w:val="20"/>
        </w:rPr>
        <w:t xml:space="preserve"> </w:t>
      </w:r>
      <w:r w:rsidR="004645DA">
        <w:rPr>
          <w:rFonts w:ascii="Titillium" w:hAnsi="Titillium"/>
          <w:bCs/>
          <w:sz w:val="20"/>
          <w:szCs w:val="20"/>
        </w:rPr>
        <w:t>S</w:t>
      </w:r>
      <w:r w:rsidR="004645DA" w:rsidRPr="00C8509C">
        <w:rPr>
          <w:rFonts w:ascii="Titillium" w:hAnsi="Titillium"/>
          <w:bCs/>
          <w:sz w:val="20"/>
          <w:szCs w:val="20"/>
        </w:rPr>
        <w:t>.r.l.</w:t>
      </w:r>
      <w:proofErr w:type="gramEnd"/>
      <w:r w:rsidRPr="00C8509C">
        <w:rPr>
          <w:rFonts w:ascii="Titillium" w:hAnsi="Titillium"/>
          <w:bCs/>
          <w:sz w:val="20"/>
          <w:szCs w:val="20"/>
        </w:rPr>
        <w:t>;</w:t>
      </w:r>
    </w:p>
    <w:p w:rsidR="00152ABC" w:rsidRPr="00491F81" w:rsidRDefault="00152ABC" w:rsidP="00B53854">
      <w:pPr>
        <w:spacing w:after="120" w:line="276" w:lineRule="auto"/>
        <w:jc w:val="both"/>
        <w:rPr>
          <w:rFonts w:ascii="Titillium" w:hAnsi="Titillium"/>
          <w:sz w:val="20"/>
          <w:szCs w:val="20"/>
          <w:highlight w:val="yellow"/>
        </w:rPr>
      </w:pPr>
      <w:r w:rsidRPr="00F95061">
        <w:rPr>
          <w:rFonts w:ascii="Titillium" w:hAnsi="Titillium"/>
          <w:b/>
          <w:sz w:val="20"/>
          <w:szCs w:val="20"/>
        </w:rPr>
        <w:t xml:space="preserve">CONSIDERATO </w:t>
      </w:r>
      <w:r w:rsidRPr="00F95061">
        <w:rPr>
          <w:rFonts w:ascii="Titillium" w:hAnsi="Titillium"/>
          <w:sz w:val="20"/>
          <w:szCs w:val="20"/>
        </w:rPr>
        <w:t xml:space="preserve">che </w:t>
      </w:r>
      <w:r w:rsidR="008920DE" w:rsidRPr="00F95061">
        <w:rPr>
          <w:rFonts w:ascii="Titillium" w:hAnsi="Titillium"/>
          <w:sz w:val="20"/>
          <w:szCs w:val="20"/>
        </w:rPr>
        <w:t>n</w:t>
      </w:r>
      <w:r w:rsidRPr="00F95061">
        <w:rPr>
          <w:rFonts w:ascii="Titillium" w:hAnsi="Titillium"/>
          <w:sz w:val="20"/>
          <w:szCs w:val="20"/>
        </w:rPr>
        <w:t xml:space="preserve">ell’Atto di programmazione degli acquisti di beni e servizi di importo pari o superiore a 40.000 euro per il biennio 2023-2024, approvato dal Consiglio dell’Autorità in data 7.12.2022, è prevista l’acquisizione di cui </w:t>
      </w:r>
      <w:r w:rsidRPr="004B2CCF">
        <w:rPr>
          <w:rFonts w:ascii="Titillium" w:hAnsi="Titillium"/>
          <w:sz w:val="20"/>
          <w:szCs w:val="20"/>
        </w:rPr>
        <w:t>trattasi</w:t>
      </w:r>
      <w:r w:rsidR="008920DE" w:rsidRPr="004B2CCF">
        <w:rPr>
          <w:rFonts w:ascii="Titillium" w:hAnsi="Titillium"/>
          <w:sz w:val="20"/>
          <w:szCs w:val="20"/>
        </w:rPr>
        <w:t xml:space="preserve"> </w:t>
      </w:r>
      <w:r w:rsidRPr="004B2CCF">
        <w:rPr>
          <w:rFonts w:ascii="Titillium" w:hAnsi="Titillium"/>
          <w:sz w:val="20"/>
          <w:szCs w:val="20"/>
        </w:rPr>
        <w:t xml:space="preserve">(CUI </w:t>
      </w:r>
      <w:r w:rsidR="004B2CCF" w:rsidRPr="004B2CCF">
        <w:rPr>
          <w:rFonts w:ascii="Titillium" w:hAnsi="Titillium"/>
          <w:sz w:val="20"/>
          <w:szCs w:val="20"/>
        </w:rPr>
        <w:t>S97584460584202300015</w:t>
      </w:r>
      <w:r w:rsidRPr="004B2CCF">
        <w:rPr>
          <w:rFonts w:ascii="Titillium" w:hAnsi="Titillium"/>
          <w:sz w:val="20"/>
          <w:szCs w:val="20"/>
        </w:rPr>
        <w:t>);</w:t>
      </w:r>
    </w:p>
    <w:p w:rsidR="00A325BF" w:rsidRPr="00805555" w:rsidRDefault="005817E0" w:rsidP="00B53854">
      <w:pPr>
        <w:pStyle w:val="Corpodeltesto2"/>
        <w:spacing w:line="276" w:lineRule="auto"/>
        <w:jc w:val="both"/>
        <w:rPr>
          <w:rFonts w:ascii="Titillium" w:hAnsi="Titillium"/>
          <w:sz w:val="20"/>
          <w:szCs w:val="20"/>
        </w:rPr>
      </w:pPr>
      <w:r w:rsidRPr="00805555">
        <w:rPr>
          <w:rFonts w:ascii="Titillium" w:hAnsi="Titillium"/>
          <w:b/>
          <w:sz w:val="20"/>
          <w:szCs w:val="20"/>
        </w:rPr>
        <w:t xml:space="preserve">ACCERTATO </w:t>
      </w:r>
      <w:r w:rsidRPr="00805555">
        <w:rPr>
          <w:rFonts w:ascii="Titillium" w:hAnsi="Titillium"/>
          <w:sz w:val="20"/>
          <w:szCs w:val="20"/>
        </w:rPr>
        <w:t xml:space="preserve">che la disponibilità finanziaria sul pertinente capitolo n. </w:t>
      </w:r>
      <w:r w:rsidR="00EF4BE9" w:rsidRPr="00805555">
        <w:rPr>
          <w:rFonts w:ascii="Titillium" w:hAnsi="Titillium"/>
          <w:sz w:val="20"/>
          <w:szCs w:val="20"/>
        </w:rPr>
        <w:t>210</w:t>
      </w:r>
      <w:r w:rsidR="00805555" w:rsidRPr="00805555">
        <w:rPr>
          <w:rFonts w:ascii="Titillium" w:hAnsi="Titillium"/>
          <w:sz w:val="20"/>
          <w:szCs w:val="20"/>
        </w:rPr>
        <w:t>2</w:t>
      </w:r>
      <w:r w:rsidRPr="00805555">
        <w:rPr>
          <w:rFonts w:ascii="Titillium" w:hAnsi="Titillium"/>
          <w:sz w:val="20"/>
          <w:szCs w:val="20"/>
        </w:rPr>
        <w:t>.</w:t>
      </w:r>
      <w:r w:rsidR="00805555" w:rsidRPr="00805555">
        <w:rPr>
          <w:rFonts w:ascii="Titillium" w:hAnsi="Titillium"/>
          <w:sz w:val="20"/>
          <w:szCs w:val="20"/>
        </w:rPr>
        <w:t>2</w:t>
      </w:r>
      <w:r w:rsidRPr="00805555">
        <w:rPr>
          <w:rFonts w:ascii="Titillium" w:hAnsi="Titillium"/>
          <w:sz w:val="20"/>
          <w:szCs w:val="20"/>
        </w:rPr>
        <w:t xml:space="preserve"> del bilancio </w:t>
      </w:r>
      <w:r w:rsidR="001E2898" w:rsidRPr="00805555">
        <w:rPr>
          <w:rFonts w:ascii="Titillium" w:hAnsi="Titillium"/>
          <w:sz w:val="20"/>
          <w:szCs w:val="20"/>
        </w:rPr>
        <w:t xml:space="preserve">per l’anno </w:t>
      </w:r>
      <w:r w:rsidRPr="00805555">
        <w:rPr>
          <w:rFonts w:ascii="Titillium" w:hAnsi="Titillium"/>
          <w:sz w:val="20"/>
          <w:szCs w:val="20"/>
        </w:rPr>
        <w:t>2023 di previsione dell’A.N.AC. è congrua per accogliere la spesa stimata per l’</w:t>
      </w:r>
      <w:r w:rsidR="00297998" w:rsidRPr="00805555">
        <w:rPr>
          <w:rFonts w:ascii="Titillium" w:hAnsi="Titillium"/>
          <w:sz w:val="20"/>
          <w:szCs w:val="20"/>
        </w:rPr>
        <w:t>appalto</w:t>
      </w:r>
      <w:r w:rsidRPr="00805555">
        <w:rPr>
          <w:rFonts w:ascii="Titillium" w:hAnsi="Titillium"/>
          <w:sz w:val="20"/>
          <w:szCs w:val="20"/>
        </w:rPr>
        <w:t xml:space="preserve"> in esame;</w:t>
      </w:r>
    </w:p>
    <w:p w:rsidR="00EC2145" w:rsidRPr="00491F81" w:rsidRDefault="00EC2145" w:rsidP="00A00B26">
      <w:pPr>
        <w:pStyle w:val="Corpodeltesto2"/>
        <w:spacing w:before="120" w:after="0" w:line="276" w:lineRule="auto"/>
        <w:jc w:val="both"/>
        <w:rPr>
          <w:rFonts w:ascii="Titillium" w:hAnsi="Titillium"/>
          <w:sz w:val="20"/>
          <w:szCs w:val="20"/>
          <w:highlight w:val="yellow"/>
        </w:rPr>
      </w:pPr>
    </w:p>
    <w:p w:rsidR="00317AEE" w:rsidRPr="004B2CCF" w:rsidRDefault="00135F2E" w:rsidP="00B53854">
      <w:pPr>
        <w:pStyle w:val="ANAC-TitoloParagrafo"/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before="120" w:after="240" w:line="276" w:lineRule="auto"/>
        <w:ind w:left="0"/>
        <w:jc w:val="center"/>
      </w:pPr>
      <w:r w:rsidRPr="004B2CCF">
        <w:t>D I S P O N E</w:t>
      </w:r>
    </w:p>
    <w:p w:rsidR="00682237" w:rsidRPr="004B2CCF" w:rsidRDefault="00BD52E1" w:rsidP="004B6E0D">
      <w:pPr>
        <w:pStyle w:val="Paragrafoelenco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rFonts w:ascii="Titillium" w:hAnsi="Titillium"/>
          <w:sz w:val="20"/>
          <w:szCs w:val="20"/>
        </w:rPr>
      </w:pPr>
      <w:r w:rsidRPr="00A7117D">
        <w:rPr>
          <w:rFonts w:ascii="Titillium" w:hAnsi="Titillium"/>
          <w:sz w:val="20"/>
          <w:szCs w:val="20"/>
        </w:rPr>
        <w:t xml:space="preserve">l’espletamento della procedura di affidamento diretto </w:t>
      </w:r>
      <w:r>
        <w:rPr>
          <w:rFonts w:ascii="Titillium" w:hAnsi="Titillium"/>
          <w:sz w:val="20"/>
          <w:szCs w:val="20"/>
        </w:rPr>
        <w:t>previa consultazione di più operatori economici</w:t>
      </w:r>
      <w:r w:rsidR="00152ABC" w:rsidRPr="004B2CCF">
        <w:rPr>
          <w:rFonts w:ascii="Titillium" w:hAnsi="Titillium"/>
          <w:sz w:val="20"/>
          <w:szCs w:val="20"/>
        </w:rPr>
        <w:t xml:space="preserve">, </w:t>
      </w:r>
      <w:r w:rsidR="00964882" w:rsidRPr="004B2CCF">
        <w:rPr>
          <w:rFonts w:ascii="Titillium" w:hAnsi="Titillium"/>
          <w:sz w:val="20"/>
          <w:szCs w:val="20"/>
        </w:rPr>
        <w:t xml:space="preserve">ai sensi dell’art. </w:t>
      </w:r>
      <w:r w:rsidR="00261017" w:rsidRPr="004B2CCF">
        <w:rPr>
          <w:rFonts w:ascii="Titillium" w:hAnsi="Titillium"/>
          <w:sz w:val="20"/>
          <w:szCs w:val="20"/>
        </w:rPr>
        <w:t>50</w:t>
      </w:r>
      <w:r w:rsidR="00964882" w:rsidRPr="004B2CCF">
        <w:rPr>
          <w:rFonts w:ascii="Titillium" w:hAnsi="Titillium"/>
          <w:sz w:val="20"/>
          <w:szCs w:val="20"/>
        </w:rPr>
        <w:t xml:space="preserve"> – comma </w:t>
      </w:r>
      <w:r w:rsidR="00E52B29" w:rsidRPr="004B2CCF">
        <w:rPr>
          <w:rFonts w:ascii="Titillium" w:hAnsi="Titillium"/>
          <w:sz w:val="20"/>
          <w:szCs w:val="20"/>
        </w:rPr>
        <w:t>1</w:t>
      </w:r>
      <w:r w:rsidR="00964882" w:rsidRPr="004B2CCF">
        <w:rPr>
          <w:rFonts w:ascii="Titillium" w:hAnsi="Titillium"/>
          <w:sz w:val="20"/>
          <w:szCs w:val="20"/>
        </w:rPr>
        <w:t xml:space="preserve"> – </w:t>
      </w:r>
      <w:proofErr w:type="spellStart"/>
      <w:r w:rsidR="00964882" w:rsidRPr="004B2CCF">
        <w:rPr>
          <w:rFonts w:ascii="Titillium" w:hAnsi="Titillium"/>
          <w:sz w:val="20"/>
          <w:szCs w:val="20"/>
        </w:rPr>
        <w:t>lett</w:t>
      </w:r>
      <w:proofErr w:type="spellEnd"/>
      <w:r w:rsidR="00964882" w:rsidRPr="004B2CCF">
        <w:rPr>
          <w:rFonts w:ascii="Titillium" w:hAnsi="Titillium"/>
          <w:sz w:val="20"/>
          <w:szCs w:val="20"/>
        </w:rPr>
        <w:t xml:space="preserve">. </w:t>
      </w:r>
      <w:r w:rsidR="00704483">
        <w:rPr>
          <w:rFonts w:ascii="Titillium" w:hAnsi="Titillium"/>
          <w:sz w:val="20"/>
          <w:szCs w:val="20"/>
        </w:rPr>
        <w:t>b</w:t>
      </w:r>
      <w:r w:rsidR="00964882" w:rsidRPr="004B2CCF">
        <w:rPr>
          <w:rFonts w:ascii="Titillium" w:hAnsi="Titillium"/>
          <w:sz w:val="20"/>
          <w:szCs w:val="20"/>
        </w:rPr>
        <w:t>)</w:t>
      </w:r>
      <w:r w:rsidR="00682237" w:rsidRPr="004B2CCF">
        <w:rPr>
          <w:rFonts w:ascii="Titillium" w:hAnsi="Titillium"/>
          <w:sz w:val="20"/>
          <w:szCs w:val="20"/>
        </w:rPr>
        <w:t xml:space="preserve"> del D.lgs. </w:t>
      </w:r>
      <w:r w:rsidR="00261017" w:rsidRPr="004B2CCF">
        <w:rPr>
          <w:rFonts w:ascii="Titillium" w:hAnsi="Titillium"/>
          <w:sz w:val="20"/>
          <w:szCs w:val="20"/>
        </w:rPr>
        <w:t>36</w:t>
      </w:r>
      <w:r w:rsidR="00682237" w:rsidRPr="004B2CCF">
        <w:rPr>
          <w:rFonts w:ascii="Titillium" w:hAnsi="Titillium"/>
          <w:sz w:val="20"/>
          <w:szCs w:val="20"/>
        </w:rPr>
        <w:t>/20</w:t>
      </w:r>
      <w:r w:rsidR="00261017" w:rsidRPr="004B2CCF">
        <w:rPr>
          <w:rFonts w:ascii="Titillium" w:hAnsi="Titillium"/>
          <w:sz w:val="20"/>
          <w:szCs w:val="20"/>
        </w:rPr>
        <w:t>23</w:t>
      </w:r>
      <w:r w:rsidR="00964882" w:rsidRPr="004B2CCF">
        <w:rPr>
          <w:rFonts w:ascii="Titillium" w:hAnsi="Titillium"/>
          <w:sz w:val="20"/>
          <w:szCs w:val="20"/>
        </w:rPr>
        <w:t>,</w:t>
      </w:r>
      <w:r w:rsidR="00964882" w:rsidRPr="004B2CCF">
        <w:rPr>
          <w:rFonts w:ascii="Titillium Web SemiBold" w:hAnsi="Titillium Web SemiBold"/>
          <w:color w:val="313840"/>
          <w:sz w:val="32"/>
          <w:szCs w:val="32"/>
          <w:shd w:val="clear" w:color="auto" w:fill="FFFFFF"/>
        </w:rPr>
        <w:t xml:space="preserve"> </w:t>
      </w:r>
      <w:r w:rsidRPr="00964882">
        <w:rPr>
          <w:rFonts w:ascii="Titillium" w:hAnsi="Titillium"/>
          <w:sz w:val="20"/>
          <w:szCs w:val="20"/>
        </w:rPr>
        <w:t>mediante confronto di preventivi</w:t>
      </w:r>
      <w:r>
        <w:rPr>
          <w:rFonts w:ascii="Titillium" w:hAnsi="Titillium"/>
          <w:sz w:val="20"/>
          <w:szCs w:val="20"/>
        </w:rPr>
        <w:t xml:space="preserve"> </w:t>
      </w:r>
      <w:r w:rsidRPr="00A7117D">
        <w:rPr>
          <w:rFonts w:ascii="Titillium" w:hAnsi="Titillium"/>
          <w:sz w:val="20"/>
          <w:szCs w:val="20"/>
        </w:rPr>
        <w:t>sul MEPA</w:t>
      </w:r>
      <w:r>
        <w:rPr>
          <w:rFonts w:ascii="Titillium" w:hAnsi="Titillium"/>
          <w:sz w:val="20"/>
          <w:szCs w:val="20"/>
        </w:rPr>
        <w:t xml:space="preserve"> da </w:t>
      </w:r>
      <w:r w:rsidRPr="00C63AD8">
        <w:rPr>
          <w:rFonts w:ascii="Titillium" w:hAnsi="Titillium"/>
          <w:sz w:val="20"/>
          <w:szCs w:val="20"/>
        </w:rPr>
        <w:lastRenderedPageBreak/>
        <w:t xml:space="preserve">richiedere alle società </w:t>
      </w:r>
      <w:proofErr w:type="spellStart"/>
      <w:r w:rsidR="00F45F45" w:rsidRPr="00F45F45">
        <w:rPr>
          <w:rFonts w:ascii="Titillium" w:hAnsi="Titillium"/>
          <w:bCs/>
          <w:sz w:val="20"/>
          <w:szCs w:val="20"/>
        </w:rPr>
        <w:t>Advnet</w:t>
      </w:r>
      <w:proofErr w:type="spellEnd"/>
      <w:r w:rsidR="00F45F45" w:rsidRPr="00F45F45">
        <w:rPr>
          <w:rFonts w:ascii="Titillium" w:hAnsi="Titillium"/>
          <w:bCs/>
          <w:sz w:val="20"/>
          <w:szCs w:val="20"/>
        </w:rPr>
        <w:t xml:space="preserve"> S.r.l.</w:t>
      </w:r>
      <w:r w:rsidR="00382558">
        <w:rPr>
          <w:rFonts w:ascii="Titillium" w:hAnsi="Titillium"/>
          <w:bCs/>
          <w:sz w:val="20"/>
          <w:szCs w:val="20"/>
        </w:rPr>
        <w:t xml:space="preserve"> (</w:t>
      </w:r>
      <w:r w:rsidR="008D5789">
        <w:rPr>
          <w:rFonts w:ascii="Titillium" w:hAnsi="Titillium"/>
          <w:bCs/>
          <w:sz w:val="20"/>
          <w:szCs w:val="20"/>
        </w:rPr>
        <w:t>C.F.</w:t>
      </w:r>
      <w:r w:rsidR="00382558">
        <w:rPr>
          <w:rFonts w:ascii="Titillium" w:hAnsi="Titillium"/>
          <w:bCs/>
          <w:sz w:val="20"/>
          <w:szCs w:val="20"/>
        </w:rPr>
        <w:t xml:space="preserve"> 02928250246)</w:t>
      </w:r>
      <w:r w:rsidR="00F45F45">
        <w:rPr>
          <w:rFonts w:ascii="Titillium" w:hAnsi="Titillium"/>
          <w:bCs/>
          <w:sz w:val="20"/>
          <w:szCs w:val="20"/>
        </w:rPr>
        <w:t>,</w:t>
      </w:r>
      <w:r w:rsidR="00F45F45" w:rsidRPr="00F45F45">
        <w:rPr>
          <w:rFonts w:ascii="Titillium" w:hAnsi="Titillium"/>
          <w:bCs/>
          <w:sz w:val="20"/>
          <w:szCs w:val="20"/>
        </w:rPr>
        <w:t xml:space="preserve"> </w:t>
      </w:r>
      <w:proofErr w:type="spellStart"/>
      <w:r w:rsidR="00F45F45">
        <w:rPr>
          <w:rFonts w:ascii="Titillium" w:hAnsi="Titillium"/>
          <w:bCs/>
          <w:sz w:val="20"/>
          <w:szCs w:val="20"/>
        </w:rPr>
        <w:t>Key</w:t>
      </w:r>
      <w:proofErr w:type="spellEnd"/>
      <w:r w:rsidR="00F45F45">
        <w:rPr>
          <w:rFonts w:ascii="Titillium" w:hAnsi="Titillium"/>
          <w:bCs/>
          <w:sz w:val="20"/>
          <w:szCs w:val="20"/>
        </w:rPr>
        <w:t xml:space="preserve"> Data</w:t>
      </w:r>
      <w:r w:rsidR="00F45F45" w:rsidRPr="00C8509C">
        <w:rPr>
          <w:rFonts w:ascii="Titillium" w:hAnsi="Titillium"/>
          <w:bCs/>
          <w:sz w:val="20"/>
          <w:szCs w:val="20"/>
        </w:rPr>
        <w:t xml:space="preserve"> </w:t>
      </w:r>
      <w:r w:rsidR="00F45F45">
        <w:rPr>
          <w:rFonts w:ascii="Titillium" w:hAnsi="Titillium"/>
          <w:bCs/>
          <w:sz w:val="20"/>
          <w:szCs w:val="20"/>
        </w:rPr>
        <w:t>S</w:t>
      </w:r>
      <w:r w:rsidR="00F45F45" w:rsidRPr="00C8509C">
        <w:rPr>
          <w:rFonts w:ascii="Titillium" w:hAnsi="Titillium"/>
          <w:bCs/>
          <w:sz w:val="20"/>
          <w:szCs w:val="20"/>
        </w:rPr>
        <w:t>.r.l.</w:t>
      </w:r>
      <w:r w:rsidR="00382558">
        <w:rPr>
          <w:rFonts w:ascii="Titillium" w:hAnsi="Titillium"/>
          <w:bCs/>
          <w:sz w:val="20"/>
          <w:szCs w:val="20"/>
        </w:rPr>
        <w:t xml:space="preserve"> (</w:t>
      </w:r>
      <w:r w:rsidR="008D5789">
        <w:rPr>
          <w:rFonts w:ascii="Titillium" w:hAnsi="Titillium"/>
          <w:bCs/>
          <w:sz w:val="20"/>
          <w:szCs w:val="20"/>
        </w:rPr>
        <w:t>C.F.</w:t>
      </w:r>
      <w:r w:rsidR="00382558">
        <w:rPr>
          <w:rFonts w:ascii="Titillium" w:hAnsi="Titillium"/>
          <w:bCs/>
          <w:sz w:val="20"/>
          <w:szCs w:val="20"/>
        </w:rPr>
        <w:t xml:space="preserve"> 02900990587)</w:t>
      </w:r>
      <w:r w:rsidR="00F45F45">
        <w:rPr>
          <w:rFonts w:ascii="Titillium" w:hAnsi="Titillium"/>
          <w:bCs/>
          <w:sz w:val="20"/>
          <w:szCs w:val="20"/>
        </w:rPr>
        <w:t xml:space="preserve">, </w:t>
      </w:r>
      <w:proofErr w:type="spellStart"/>
      <w:r w:rsidR="00F45F45">
        <w:rPr>
          <w:rFonts w:ascii="Titillium" w:hAnsi="Titillium"/>
          <w:bCs/>
          <w:sz w:val="20"/>
          <w:szCs w:val="20"/>
        </w:rPr>
        <w:t>Mips</w:t>
      </w:r>
      <w:proofErr w:type="spellEnd"/>
      <w:r w:rsidR="00F45F45">
        <w:rPr>
          <w:rFonts w:ascii="Titillium" w:hAnsi="Titillium"/>
          <w:bCs/>
          <w:sz w:val="20"/>
          <w:szCs w:val="20"/>
        </w:rPr>
        <w:t xml:space="preserve"> Informatica S.p.A. </w:t>
      </w:r>
      <w:r w:rsidR="00382558">
        <w:rPr>
          <w:rFonts w:ascii="Titillium" w:hAnsi="Titillium"/>
          <w:bCs/>
          <w:sz w:val="20"/>
          <w:szCs w:val="20"/>
        </w:rPr>
        <w:t>(</w:t>
      </w:r>
      <w:r w:rsidR="008D5789">
        <w:rPr>
          <w:rFonts w:ascii="Titillium" w:hAnsi="Titillium"/>
          <w:bCs/>
          <w:sz w:val="20"/>
          <w:szCs w:val="20"/>
        </w:rPr>
        <w:t>C.F.</w:t>
      </w:r>
      <w:r w:rsidR="00382558">
        <w:rPr>
          <w:rFonts w:ascii="Titillium" w:hAnsi="Titillium"/>
          <w:bCs/>
          <w:sz w:val="20"/>
          <w:szCs w:val="20"/>
        </w:rPr>
        <w:t xml:space="preserve"> </w:t>
      </w:r>
      <w:r w:rsidR="00382558" w:rsidRPr="00382558">
        <w:rPr>
          <w:rFonts w:ascii="Titillium" w:hAnsi="Titillium"/>
          <w:bCs/>
          <w:sz w:val="20"/>
          <w:szCs w:val="20"/>
        </w:rPr>
        <w:t>03311300101</w:t>
      </w:r>
      <w:r w:rsidR="00382558">
        <w:rPr>
          <w:rFonts w:ascii="Titillium" w:hAnsi="Titillium"/>
          <w:bCs/>
          <w:sz w:val="20"/>
          <w:szCs w:val="20"/>
        </w:rPr>
        <w:t xml:space="preserve">) </w:t>
      </w:r>
      <w:r w:rsidR="00F45F45">
        <w:rPr>
          <w:rFonts w:ascii="Titillium" w:hAnsi="Titillium"/>
          <w:bCs/>
          <w:sz w:val="20"/>
          <w:szCs w:val="20"/>
        </w:rPr>
        <w:t xml:space="preserve">e </w:t>
      </w:r>
      <w:proofErr w:type="spellStart"/>
      <w:r w:rsidR="00F45F45">
        <w:rPr>
          <w:rFonts w:ascii="Titillium" w:hAnsi="Titillium"/>
          <w:bCs/>
          <w:sz w:val="20"/>
          <w:szCs w:val="20"/>
        </w:rPr>
        <w:t>Verxo</w:t>
      </w:r>
      <w:proofErr w:type="spellEnd"/>
      <w:r w:rsidR="00F45F45">
        <w:rPr>
          <w:rFonts w:ascii="Titillium" w:hAnsi="Titillium"/>
          <w:bCs/>
          <w:sz w:val="20"/>
          <w:szCs w:val="20"/>
        </w:rPr>
        <w:t xml:space="preserve"> </w:t>
      </w:r>
      <w:r w:rsidR="00F45F45" w:rsidRPr="00C8509C">
        <w:rPr>
          <w:rFonts w:ascii="Titillium" w:hAnsi="Titillium"/>
          <w:bCs/>
          <w:sz w:val="20"/>
          <w:szCs w:val="20"/>
        </w:rPr>
        <w:t xml:space="preserve"> </w:t>
      </w:r>
      <w:r w:rsidR="00F45F45">
        <w:rPr>
          <w:rFonts w:ascii="Titillium" w:hAnsi="Titillium"/>
          <w:bCs/>
          <w:sz w:val="20"/>
          <w:szCs w:val="20"/>
        </w:rPr>
        <w:t>S</w:t>
      </w:r>
      <w:r w:rsidR="00F45F45" w:rsidRPr="00C8509C">
        <w:rPr>
          <w:rFonts w:ascii="Titillium" w:hAnsi="Titillium"/>
          <w:bCs/>
          <w:sz w:val="20"/>
          <w:szCs w:val="20"/>
        </w:rPr>
        <w:t>.r.l.</w:t>
      </w:r>
      <w:r w:rsidR="00382558">
        <w:rPr>
          <w:rFonts w:ascii="Titillium" w:hAnsi="Titillium"/>
          <w:bCs/>
          <w:sz w:val="20"/>
          <w:szCs w:val="20"/>
        </w:rPr>
        <w:t xml:space="preserve"> (</w:t>
      </w:r>
      <w:r w:rsidR="008D5789">
        <w:rPr>
          <w:rFonts w:ascii="Titillium" w:hAnsi="Titillium"/>
          <w:bCs/>
          <w:sz w:val="20"/>
          <w:szCs w:val="20"/>
        </w:rPr>
        <w:t>C.F.</w:t>
      </w:r>
      <w:r w:rsidR="004B6E0D">
        <w:rPr>
          <w:rFonts w:ascii="Titillium" w:hAnsi="Titillium"/>
          <w:bCs/>
          <w:sz w:val="20"/>
          <w:szCs w:val="20"/>
        </w:rPr>
        <w:t xml:space="preserve"> </w:t>
      </w:r>
      <w:r w:rsidR="004B6E0D" w:rsidRPr="004B6E0D">
        <w:rPr>
          <w:rFonts w:ascii="Titillium" w:hAnsi="Titillium"/>
          <w:bCs/>
          <w:sz w:val="20"/>
          <w:szCs w:val="20"/>
        </w:rPr>
        <w:t>03742020989</w:t>
      </w:r>
      <w:r w:rsidR="00382558">
        <w:rPr>
          <w:rFonts w:ascii="Titillium" w:hAnsi="Titillium"/>
          <w:bCs/>
          <w:sz w:val="20"/>
          <w:szCs w:val="20"/>
        </w:rPr>
        <w:t>)</w:t>
      </w:r>
      <w:r w:rsidR="00682237" w:rsidRPr="00C63AD8">
        <w:rPr>
          <w:rFonts w:ascii="Titillium" w:hAnsi="Titillium"/>
          <w:sz w:val="20"/>
          <w:szCs w:val="20"/>
        </w:rPr>
        <w:t>,</w:t>
      </w:r>
      <w:r w:rsidR="00682237" w:rsidRPr="004B2CCF">
        <w:rPr>
          <w:rFonts w:ascii="Titillium" w:hAnsi="Titillium"/>
          <w:sz w:val="20"/>
          <w:szCs w:val="20"/>
        </w:rPr>
        <w:t xml:space="preserve"> </w:t>
      </w:r>
      <w:r>
        <w:rPr>
          <w:rFonts w:ascii="Titillium" w:hAnsi="Titillium"/>
          <w:sz w:val="20"/>
          <w:szCs w:val="20"/>
        </w:rPr>
        <w:t xml:space="preserve">da aggiudicare con il criterio del minor prezzo, per l’acquisizione dei prodotti di cui in premessa, </w:t>
      </w:r>
      <w:r w:rsidR="001833D2" w:rsidRPr="004B2CCF">
        <w:rPr>
          <w:rFonts w:ascii="Titillium" w:hAnsi="Titillium"/>
          <w:sz w:val="20"/>
          <w:szCs w:val="20"/>
        </w:rPr>
        <w:t xml:space="preserve">per </w:t>
      </w:r>
      <w:r w:rsidR="00135F2E" w:rsidRPr="004B2CCF">
        <w:rPr>
          <w:rFonts w:ascii="Titillium" w:hAnsi="Titillium"/>
          <w:sz w:val="20"/>
          <w:szCs w:val="20"/>
        </w:rPr>
        <w:t xml:space="preserve">una spesa complessiva </w:t>
      </w:r>
      <w:r w:rsidR="00570207" w:rsidRPr="004B2CCF">
        <w:rPr>
          <w:rFonts w:ascii="Titillium" w:hAnsi="Titillium"/>
          <w:sz w:val="20"/>
          <w:szCs w:val="20"/>
        </w:rPr>
        <w:t>così distinta:</w:t>
      </w:r>
    </w:p>
    <w:tbl>
      <w:tblPr>
        <w:tblStyle w:val="Grigliatabella"/>
        <w:tblW w:w="935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8"/>
        <w:gridCol w:w="1666"/>
      </w:tblGrid>
      <w:tr w:rsidR="00F22986" w:rsidRPr="004B2CCF" w:rsidTr="00A00B26">
        <w:tc>
          <w:tcPr>
            <w:tcW w:w="768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22986" w:rsidRPr="004B2CCF" w:rsidRDefault="004B2CCF" w:rsidP="00EF4BE9">
            <w:pPr>
              <w:pStyle w:val="Paragrafoelenco"/>
              <w:numPr>
                <w:ilvl w:val="0"/>
                <w:numId w:val="6"/>
              </w:numPr>
              <w:spacing w:before="120" w:line="276" w:lineRule="auto"/>
              <w:ind w:left="511"/>
              <w:jc w:val="both"/>
              <w:rPr>
                <w:rFonts w:ascii="Titillium" w:hAnsi="Titillium"/>
                <w:sz w:val="20"/>
                <w:szCs w:val="20"/>
              </w:rPr>
            </w:pPr>
            <w:r w:rsidRPr="004B2CCF">
              <w:rPr>
                <w:rFonts w:ascii="Titillium" w:hAnsi="Titillium"/>
                <w:bCs/>
                <w:sz w:val="20"/>
                <w:szCs w:val="20"/>
              </w:rPr>
              <w:t xml:space="preserve">fornitura apparati </w:t>
            </w:r>
            <w:proofErr w:type="spellStart"/>
            <w:r w:rsidRPr="004B2CCF">
              <w:rPr>
                <w:rFonts w:ascii="Titillium" w:hAnsi="Titillium"/>
                <w:bCs/>
                <w:sz w:val="20"/>
                <w:szCs w:val="20"/>
              </w:rPr>
              <w:t>Sonic</w:t>
            </w:r>
            <w:proofErr w:type="spellEnd"/>
            <w:r w:rsidR="009270AA">
              <w:rPr>
                <w:rFonts w:ascii="Titillium" w:hAnsi="Titillium"/>
                <w:bCs/>
                <w:sz w:val="20"/>
                <w:szCs w:val="20"/>
              </w:rPr>
              <w:t xml:space="preserve"> </w:t>
            </w:r>
            <w:proofErr w:type="spellStart"/>
            <w:r w:rsidR="009270AA">
              <w:rPr>
                <w:rFonts w:ascii="Titillium" w:hAnsi="Titillium"/>
                <w:bCs/>
                <w:sz w:val="20"/>
                <w:szCs w:val="20"/>
              </w:rPr>
              <w:t>W</w:t>
            </w:r>
            <w:r w:rsidRPr="004B2CCF">
              <w:rPr>
                <w:rFonts w:ascii="Titillium" w:hAnsi="Titillium"/>
                <w:bCs/>
                <w:sz w:val="20"/>
                <w:szCs w:val="20"/>
              </w:rPr>
              <w:t>all</w:t>
            </w:r>
            <w:proofErr w:type="spellEnd"/>
            <w:r w:rsidRPr="004B2CCF">
              <w:rPr>
                <w:rFonts w:ascii="Titillium" w:hAnsi="Titillium"/>
                <w:bCs/>
                <w:sz w:val="20"/>
                <w:szCs w:val="20"/>
              </w:rPr>
              <w:t xml:space="preserve"> comprensivi di licenze, migrazione e installazione  </w:t>
            </w:r>
          </w:p>
        </w:tc>
        <w:tc>
          <w:tcPr>
            <w:tcW w:w="16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22986" w:rsidRPr="004B2CCF" w:rsidRDefault="00A00B26" w:rsidP="002A5EAD">
            <w:pPr>
              <w:spacing w:before="120" w:line="276" w:lineRule="auto"/>
              <w:jc w:val="right"/>
              <w:rPr>
                <w:rFonts w:ascii="Titillium" w:hAnsi="Titillium"/>
                <w:sz w:val="20"/>
                <w:szCs w:val="20"/>
              </w:rPr>
            </w:pPr>
            <w:r w:rsidRPr="004B2CCF">
              <w:rPr>
                <w:rFonts w:ascii="Titillium" w:hAnsi="Titillium"/>
                <w:sz w:val="20"/>
                <w:szCs w:val="20"/>
              </w:rPr>
              <w:t xml:space="preserve">€ </w:t>
            </w:r>
            <w:r w:rsidR="00805555" w:rsidRPr="004B2CCF">
              <w:rPr>
                <w:rFonts w:ascii="Titillium" w:hAnsi="Titillium"/>
                <w:sz w:val="20"/>
                <w:szCs w:val="20"/>
              </w:rPr>
              <w:t>9</w:t>
            </w:r>
            <w:r w:rsidR="002A5EAD" w:rsidRPr="004B2CCF">
              <w:rPr>
                <w:rFonts w:ascii="Titillium" w:hAnsi="Titillium"/>
                <w:sz w:val="20"/>
                <w:szCs w:val="20"/>
              </w:rPr>
              <w:t>0.000,00</w:t>
            </w:r>
          </w:p>
        </w:tc>
      </w:tr>
      <w:tr w:rsidR="001F09E8" w:rsidRPr="00805555" w:rsidTr="00A00B26">
        <w:tc>
          <w:tcPr>
            <w:tcW w:w="768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F09E8" w:rsidRPr="00805555" w:rsidRDefault="00A86EDC" w:rsidP="003645ED">
            <w:pPr>
              <w:pStyle w:val="Paragrafoelenco"/>
              <w:numPr>
                <w:ilvl w:val="0"/>
                <w:numId w:val="6"/>
              </w:numPr>
              <w:spacing w:before="120" w:line="276" w:lineRule="auto"/>
              <w:ind w:left="511"/>
              <w:jc w:val="both"/>
              <w:rPr>
                <w:rFonts w:ascii="Titillium" w:hAnsi="Titillium"/>
                <w:sz w:val="20"/>
                <w:szCs w:val="20"/>
              </w:rPr>
            </w:pPr>
            <w:r w:rsidRPr="00805555">
              <w:rPr>
                <w:rFonts w:ascii="Titillium" w:hAnsi="Titillium"/>
                <w:sz w:val="20"/>
                <w:szCs w:val="20"/>
              </w:rPr>
              <w:t>IVA</w:t>
            </w:r>
            <w:r w:rsidR="00DC56C0" w:rsidRPr="00805555">
              <w:rPr>
                <w:rFonts w:ascii="Titillium" w:hAnsi="Titillium"/>
                <w:sz w:val="20"/>
                <w:szCs w:val="20"/>
              </w:rPr>
              <w:t xml:space="preserve"> </w:t>
            </w:r>
            <w:r w:rsidR="003645ED" w:rsidRPr="00805555">
              <w:rPr>
                <w:rFonts w:ascii="Titillium" w:hAnsi="Titillium"/>
                <w:sz w:val="20"/>
                <w:szCs w:val="20"/>
              </w:rPr>
              <w:t>al 22%</w:t>
            </w:r>
          </w:p>
        </w:tc>
        <w:tc>
          <w:tcPr>
            <w:tcW w:w="16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F09E8" w:rsidRPr="00805555" w:rsidRDefault="003645ED" w:rsidP="00805555">
            <w:pPr>
              <w:spacing w:before="120" w:line="276" w:lineRule="auto"/>
              <w:jc w:val="right"/>
              <w:rPr>
                <w:rFonts w:ascii="Titillium" w:hAnsi="Titillium"/>
                <w:sz w:val="20"/>
                <w:szCs w:val="20"/>
              </w:rPr>
            </w:pPr>
            <w:r w:rsidRPr="00805555">
              <w:rPr>
                <w:rFonts w:ascii="Titillium" w:hAnsi="Titillium"/>
                <w:sz w:val="20"/>
                <w:szCs w:val="20"/>
              </w:rPr>
              <w:t xml:space="preserve">€ </w:t>
            </w:r>
            <w:r w:rsidR="00805555" w:rsidRPr="00805555">
              <w:rPr>
                <w:rFonts w:ascii="Titillium" w:hAnsi="Titillium"/>
                <w:sz w:val="20"/>
                <w:szCs w:val="20"/>
              </w:rPr>
              <w:t>19</w:t>
            </w:r>
            <w:r w:rsidR="002A5EAD" w:rsidRPr="00805555">
              <w:rPr>
                <w:rFonts w:ascii="Titillium" w:hAnsi="Titillium"/>
                <w:sz w:val="20"/>
                <w:szCs w:val="20"/>
              </w:rPr>
              <w:t>.800</w:t>
            </w:r>
          </w:p>
        </w:tc>
      </w:tr>
      <w:tr w:rsidR="00F22986" w:rsidRPr="00805555" w:rsidTr="00A00B26">
        <w:trPr>
          <w:trHeight w:val="403"/>
        </w:trPr>
        <w:tc>
          <w:tcPr>
            <w:tcW w:w="768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22986" w:rsidRPr="00805555" w:rsidRDefault="009937DC" w:rsidP="00A00B26">
            <w:pPr>
              <w:tabs>
                <w:tab w:val="left" w:pos="7371"/>
              </w:tabs>
              <w:spacing w:before="120" w:line="276" w:lineRule="auto"/>
              <w:rPr>
                <w:rFonts w:ascii="Titillium" w:hAnsi="Titillium"/>
                <w:b/>
                <w:sz w:val="20"/>
                <w:szCs w:val="20"/>
              </w:rPr>
            </w:pPr>
            <w:r w:rsidRPr="00805555">
              <w:rPr>
                <w:rFonts w:ascii="Titillium" w:hAnsi="Titillium"/>
                <w:b/>
                <w:sz w:val="20"/>
                <w:szCs w:val="20"/>
              </w:rPr>
              <w:t xml:space="preserve">Importo </w:t>
            </w:r>
            <w:r w:rsidR="007C722E" w:rsidRPr="00805555">
              <w:rPr>
                <w:rFonts w:ascii="Titillium" w:hAnsi="Titillium"/>
                <w:b/>
                <w:sz w:val="20"/>
                <w:szCs w:val="20"/>
              </w:rPr>
              <w:t>complessivo</w:t>
            </w:r>
            <w:r w:rsidRPr="00805555">
              <w:rPr>
                <w:rFonts w:ascii="Titillium" w:hAnsi="Titillium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22986" w:rsidRPr="00805555" w:rsidRDefault="003645ED" w:rsidP="00805555">
            <w:pPr>
              <w:jc w:val="right"/>
              <w:rPr>
                <w:rFonts w:ascii="Titillium" w:hAnsi="Titillium" w:cs="Calibri"/>
                <w:b/>
                <w:bCs/>
                <w:color w:val="000000"/>
                <w:sz w:val="20"/>
                <w:szCs w:val="20"/>
              </w:rPr>
            </w:pPr>
            <w:r w:rsidRPr="00805555">
              <w:rPr>
                <w:rFonts w:ascii="Titillium" w:hAnsi="Titillium" w:cs="Calibri"/>
                <w:b/>
                <w:bCs/>
                <w:color w:val="000000"/>
                <w:sz w:val="20"/>
                <w:szCs w:val="20"/>
              </w:rPr>
              <w:t xml:space="preserve">€ </w:t>
            </w:r>
            <w:r w:rsidR="002A5EAD" w:rsidRPr="00805555">
              <w:rPr>
                <w:rFonts w:ascii="Titillium" w:hAnsi="Titillium" w:cs="Calibri"/>
                <w:b/>
                <w:bCs/>
                <w:color w:val="000000"/>
                <w:sz w:val="20"/>
                <w:szCs w:val="20"/>
              </w:rPr>
              <w:t>1</w:t>
            </w:r>
            <w:r w:rsidR="00805555" w:rsidRPr="00805555">
              <w:rPr>
                <w:rFonts w:ascii="Titillium" w:hAnsi="Titillium" w:cs="Calibri"/>
                <w:b/>
                <w:bCs/>
                <w:color w:val="000000"/>
                <w:sz w:val="20"/>
                <w:szCs w:val="20"/>
              </w:rPr>
              <w:t>09</w:t>
            </w:r>
            <w:r w:rsidR="002A5EAD" w:rsidRPr="00805555">
              <w:rPr>
                <w:rFonts w:ascii="Titillium" w:hAnsi="Titillium" w:cs="Calibri"/>
                <w:b/>
                <w:bCs/>
                <w:color w:val="000000"/>
                <w:sz w:val="20"/>
                <w:szCs w:val="20"/>
              </w:rPr>
              <w:t>.800,00</w:t>
            </w:r>
          </w:p>
        </w:tc>
      </w:tr>
    </w:tbl>
    <w:p w:rsidR="00C81CB5" w:rsidRDefault="00C81CB5" w:rsidP="00B53854">
      <w:pPr>
        <w:pStyle w:val="Paragrafoelenco"/>
        <w:numPr>
          <w:ilvl w:val="0"/>
          <w:numId w:val="8"/>
        </w:numPr>
        <w:spacing w:after="120" w:line="276" w:lineRule="auto"/>
        <w:ind w:left="284" w:hanging="284"/>
        <w:contextualSpacing w:val="0"/>
        <w:jc w:val="both"/>
        <w:rPr>
          <w:rFonts w:ascii="Titillium" w:hAnsi="Titillium"/>
          <w:sz w:val="20"/>
          <w:szCs w:val="20"/>
        </w:rPr>
      </w:pPr>
      <w:r w:rsidRPr="004B2CCF">
        <w:rPr>
          <w:rFonts w:ascii="Titillium" w:hAnsi="Titillium"/>
          <w:sz w:val="20"/>
          <w:szCs w:val="20"/>
        </w:rPr>
        <w:t>di autorizzare la spesa complessiva stimata da porsi a carico del bilancio di previsio</w:t>
      </w:r>
      <w:r w:rsidR="00E63EE0" w:rsidRPr="004B2CCF">
        <w:rPr>
          <w:rFonts w:ascii="Titillium" w:hAnsi="Titillium"/>
          <w:sz w:val="20"/>
          <w:szCs w:val="20"/>
        </w:rPr>
        <w:t>ne dell’Autorità per l’anno 2023</w:t>
      </w:r>
      <w:r w:rsidRPr="004B2CCF">
        <w:rPr>
          <w:rFonts w:ascii="Titillium" w:hAnsi="Titillium"/>
          <w:sz w:val="20"/>
          <w:szCs w:val="20"/>
        </w:rPr>
        <w:t xml:space="preserve">, sul capitolo n. </w:t>
      </w:r>
      <w:r w:rsidR="002A5EAD" w:rsidRPr="004B2CCF">
        <w:rPr>
          <w:rFonts w:ascii="Titillium" w:hAnsi="Titillium"/>
          <w:sz w:val="20"/>
          <w:szCs w:val="20"/>
        </w:rPr>
        <w:t>210</w:t>
      </w:r>
      <w:r w:rsidR="004B2CCF" w:rsidRPr="004B2CCF">
        <w:rPr>
          <w:rFonts w:ascii="Titillium" w:hAnsi="Titillium"/>
          <w:sz w:val="20"/>
          <w:szCs w:val="20"/>
        </w:rPr>
        <w:t>2</w:t>
      </w:r>
      <w:r w:rsidR="003645ED" w:rsidRPr="004B2CCF">
        <w:rPr>
          <w:rFonts w:ascii="Titillium" w:hAnsi="Titillium"/>
          <w:sz w:val="20"/>
          <w:szCs w:val="20"/>
        </w:rPr>
        <w:t>.</w:t>
      </w:r>
      <w:r w:rsidR="004B2CCF" w:rsidRPr="004B2CCF">
        <w:rPr>
          <w:rFonts w:ascii="Titillium" w:hAnsi="Titillium"/>
          <w:sz w:val="20"/>
          <w:szCs w:val="20"/>
        </w:rPr>
        <w:t>2</w:t>
      </w:r>
      <w:r w:rsidRPr="004B2CCF">
        <w:rPr>
          <w:rFonts w:ascii="Titillium" w:hAnsi="Titillium"/>
          <w:sz w:val="20"/>
          <w:szCs w:val="20"/>
        </w:rPr>
        <w:t>;</w:t>
      </w:r>
    </w:p>
    <w:p w:rsidR="00B451DA" w:rsidRPr="004B2CCF" w:rsidRDefault="00884F1E" w:rsidP="00B53854">
      <w:pPr>
        <w:pStyle w:val="Paragrafoelenco"/>
        <w:numPr>
          <w:ilvl w:val="0"/>
          <w:numId w:val="8"/>
        </w:numPr>
        <w:spacing w:after="120" w:line="276" w:lineRule="auto"/>
        <w:ind w:left="284" w:hanging="284"/>
        <w:contextualSpacing w:val="0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di nominare</w:t>
      </w:r>
      <w:r w:rsidR="00B451DA" w:rsidRPr="004B2CCF">
        <w:rPr>
          <w:rFonts w:ascii="Titillium" w:hAnsi="Titillium"/>
          <w:sz w:val="20"/>
          <w:szCs w:val="20"/>
        </w:rPr>
        <w:t xml:space="preserve"> Responsabile unico del progetto</w:t>
      </w:r>
      <w:r>
        <w:rPr>
          <w:rFonts w:ascii="Titillium" w:hAnsi="Titillium"/>
          <w:sz w:val="20"/>
          <w:szCs w:val="20"/>
        </w:rPr>
        <w:t>,</w:t>
      </w:r>
      <w:r w:rsidR="00B451DA" w:rsidRPr="004B2CCF">
        <w:rPr>
          <w:rFonts w:ascii="Titillium" w:hAnsi="Titillium"/>
          <w:sz w:val="20"/>
          <w:szCs w:val="20"/>
        </w:rPr>
        <w:t xml:space="preserve"> di cui all’art. 15 del d.lgs. 36/2023</w:t>
      </w:r>
      <w:r>
        <w:rPr>
          <w:rFonts w:ascii="Titillium" w:hAnsi="Titillium"/>
          <w:sz w:val="20"/>
          <w:szCs w:val="20"/>
        </w:rPr>
        <w:t>,</w:t>
      </w:r>
      <w:r w:rsidR="00B451DA" w:rsidRPr="004B2CCF">
        <w:rPr>
          <w:rFonts w:ascii="Titillium" w:hAnsi="Titillium"/>
          <w:sz w:val="20"/>
          <w:szCs w:val="20"/>
        </w:rPr>
        <w:t xml:space="preserve"> il Dirigente dell’Ufficio </w:t>
      </w:r>
      <w:r w:rsidR="00B451DA">
        <w:rPr>
          <w:rFonts w:ascii="Titillium" w:hAnsi="Titillium"/>
          <w:sz w:val="20"/>
          <w:szCs w:val="20"/>
        </w:rPr>
        <w:t>USIS</w:t>
      </w:r>
      <w:r>
        <w:rPr>
          <w:rFonts w:ascii="Titillium" w:hAnsi="Titillium"/>
          <w:sz w:val="20"/>
          <w:szCs w:val="20"/>
        </w:rPr>
        <w:t>,</w:t>
      </w:r>
      <w:r w:rsidR="00B451DA" w:rsidRPr="004B2CCF">
        <w:rPr>
          <w:rFonts w:ascii="Titillium" w:hAnsi="Titillium"/>
          <w:sz w:val="20"/>
          <w:szCs w:val="20"/>
        </w:rPr>
        <w:t xml:space="preserve"> Ing. </w:t>
      </w:r>
      <w:r w:rsidR="00B451DA">
        <w:rPr>
          <w:rFonts w:ascii="Titillium" w:hAnsi="Titillium"/>
          <w:sz w:val="20"/>
          <w:szCs w:val="20"/>
        </w:rPr>
        <w:t>Francesco Vargiu;</w:t>
      </w:r>
    </w:p>
    <w:p w:rsidR="00C81CB5" w:rsidRPr="004B2CCF" w:rsidRDefault="00884F1E" w:rsidP="00B53854">
      <w:pPr>
        <w:pStyle w:val="Paragrafoelenco"/>
        <w:numPr>
          <w:ilvl w:val="0"/>
          <w:numId w:val="8"/>
        </w:numPr>
        <w:spacing w:after="120" w:line="276" w:lineRule="auto"/>
        <w:ind w:left="284" w:hanging="284"/>
        <w:contextualSpacing w:val="0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f</w:t>
      </w:r>
      <w:r w:rsidR="00B451DA" w:rsidRPr="00B451DA">
        <w:rPr>
          <w:rFonts w:ascii="Titillium" w:hAnsi="Titillium"/>
          <w:sz w:val="20"/>
          <w:szCs w:val="20"/>
        </w:rPr>
        <w:t>ermo restando quanto indicato al punto precedente, ai sensi dell’art 15 – comma 4 - del d.lgs. n. 36/2023, il responsabile di procedimento per la sola fase di affida</w:t>
      </w:r>
      <w:r>
        <w:rPr>
          <w:rFonts w:ascii="Titillium" w:hAnsi="Titillium"/>
          <w:sz w:val="20"/>
          <w:szCs w:val="20"/>
        </w:rPr>
        <w:t>mento è l’ing. Settimio Picca, D</w:t>
      </w:r>
      <w:bookmarkStart w:id="0" w:name="_GoBack"/>
      <w:bookmarkEnd w:id="0"/>
      <w:r w:rsidR="00B451DA" w:rsidRPr="00B451DA">
        <w:rPr>
          <w:rFonts w:ascii="Titillium" w:hAnsi="Titillium"/>
          <w:sz w:val="20"/>
          <w:szCs w:val="20"/>
        </w:rPr>
        <w:t>irigente dell’Ufficio UGARE</w:t>
      </w:r>
      <w:r w:rsidR="00570207" w:rsidRPr="004B2CCF">
        <w:rPr>
          <w:rFonts w:ascii="Titillium" w:hAnsi="Titillium"/>
          <w:sz w:val="20"/>
          <w:szCs w:val="20"/>
        </w:rPr>
        <w:t>;</w:t>
      </w:r>
    </w:p>
    <w:p w:rsidR="00135F2E" w:rsidRPr="004B2CCF" w:rsidRDefault="00C81CB5" w:rsidP="00B53854">
      <w:pPr>
        <w:pStyle w:val="Paragrafoelenco"/>
        <w:numPr>
          <w:ilvl w:val="0"/>
          <w:numId w:val="8"/>
        </w:numPr>
        <w:spacing w:after="120" w:line="276" w:lineRule="auto"/>
        <w:ind w:left="284" w:hanging="284"/>
        <w:contextualSpacing w:val="0"/>
        <w:jc w:val="both"/>
        <w:rPr>
          <w:rFonts w:ascii="Titillium" w:hAnsi="Titillium"/>
          <w:sz w:val="20"/>
          <w:szCs w:val="20"/>
        </w:rPr>
      </w:pPr>
      <w:r w:rsidRPr="004B2CCF">
        <w:rPr>
          <w:rFonts w:ascii="Titillium" w:hAnsi="Titillium"/>
          <w:sz w:val="20"/>
          <w:szCs w:val="20"/>
        </w:rPr>
        <w:t xml:space="preserve">di nominare </w:t>
      </w:r>
      <w:r w:rsidR="007C722E" w:rsidRPr="004B2CCF">
        <w:rPr>
          <w:rFonts w:ascii="Titillium" w:hAnsi="Titillium"/>
          <w:sz w:val="20"/>
          <w:szCs w:val="20"/>
        </w:rPr>
        <w:t xml:space="preserve">Direttore dell’esecuzione del contratto </w:t>
      </w:r>
      <w:r w:rsidR="002A5EAD" w:rsidRPr="004B2CCF">
        <w:rPr>
          <w:rFonts w:ascii="Titillium" w:hAnsi="Titillium"/>
          <w:sz w:val="20"/>
          <w:szCs w:val="20"/>
        </w:rPr>
        <w:t xml:space="preserve">il </w:t>
      </w:r>
      <w:r w:rsidR="00F4489A" w:rsidRPr="004B2CCF">
        <w:rPr>
          <w:rFonts w:ascii="Titillium" w:hAnsi="Titillium"/>
          <w:sz w:val="20"/>
          <w:szCs w:val="20"/>
        </w:rPr>
        <w:t>Dott.</w:t>
      </w:r>
      <w:r w:rsidR="002A5EAD" w:rsidRPr="004B2CCF">
        <w:rPr>
          <w:rFonts w:ascii="Titillium" w:hAnsi="Titillium"/>
          <w:sz w:val="20"/>
          <w:szCs w:val="20"/>
        </w:rPr>
        <w:t xml:space="preserve"> Gaetano Giarrusso</w:t>
      </w:r>
      <w:r w:rsidRPr="004B2CCF">
        <w:rPr>
          <w:rFonts w:ascii="Titillium" w:hAnsi="Titillium"/>
          <w:sz w:val="20"/>
          <w:szCs w:val="20"/>
        </w:rPr>
        <w:t xml:space="preserve">, </w:t>
      </w:r>
      <w:r w:rsidR="00F4489A" w:rsidRPr="004B2CCF">
        <w:rPr>
          <w:rFonts w:ascii="Titillium" w:hAnsi="Titillium"/>
          <w:sz w:val="20"/>
          <w:szCs w:val="20"/>
        </w:rPr>
        <w:t>funzionario dell’</w:t>
      </w:r>
      <w:r w:rsidR="00B53854" w:rsidRPr="004B2CCF">
        <w:rPr>
          <w:rFonts w:ascii="Titillium" w:hAnsi="Titillium"/>
          <w:sz w:val="20"/>
          <w:szCs w:val="20"/>
        </w:rPr>
        <w:t xml:space="preserve">Ufficio </w:t>
      </w:r>
      <w:proofErr w:type="gramStart"/>
      <w:r w:rsidR="002A5EAD" w:rsidRPr="004B2CCF">
        <w:rPr>
          <w:rFonts w:ascii="Titillium" w:hAnsi="Titillium"/>
          <w:sz w:val="20"/>
          <w:szCs w:val="20"/>
        </w:rPr>
        <w:t xml:space="preserve">USIS </w:t>
      </w:r>
      <w:r w:rsidR="00B451DA">
        <w:rPr>
          <w:rFonts w:ascii="Titillium" w:hAnsi="Titillium"/>
          <w:sz w:val="20"/>
          <w:szCs w:val="20"/>
        </w:rPr>
        <w:t xml:space="preserve"> dell’AN</w:t>
      </w:r>
      <w:r w:rsidR="00E63EE0" w:rsidRPr="004B2CCF">
        <w:rPr>
          <w:rFonts w:ascii="Titillium" w:hAnsi="Titillium"/>
          <w:sz w:val="20"/>
          <w:szCs w:val="20"/>
        </w:rPr>
        <w:t>AC</w:t>
      </w:r>
      <w:proofErr w:type="gramEnd"/>
      <w:r w:rsidR="007C722E" w:rsidRPr="004B2CCF">
        <w:rPr>
          <w:rFonts w:ascii="Titillium" w:hAnsi="Titillium"/>
          <w:sz w:val="20"/>
          <w:szCs w:val="20"/>
        </w:rPr>
        <w:t>.</w:t>
      </w:r>
    </w:p>
    <w:p w:rsidR="00570207" w:rsidRDefault="00570207" w:rsidP="00570207">
      <w:pPr>
        <w:pStyle w:val="Paragrafoelenco"/>
        <w:ind w:left="284"/>
        <w:contextualSpacing w:val="0"/>
        <w:jc w:val="both"/>
        <w:rPr>
          <w:rFonts w:ascii="Titillium" w:hAnsi="Titillium"/>
          <w:sz w:val="20"/>
          <w:szCs w:val="20"/>
        </w:rPr>
      </w:pPr>
    </w:p>
    <w:p w:rsidR="002A5EAD" w:rsidRDefault="002A5EAD" w:rsidP="00570207">
      <w:pPr>
        <w:pStyle w:val="Paragrafoelenco"/>
        <w:ind w:left="284"/>
        <w:contextualSpacing w:val="0"/>
        <w:jc w:val="both"/>
        <w:rPr>
          <w:rFonts w:ascii="Titillium" w:hAnsi="Titillium"/>
          <w:sz w:val="20"/>
          <w:szCs w:val="20"/>
        </w:rPr>
      </w:pPr>
    </w:p>
    <w:tbl>
      <w:tblPr>
        <w:tblW w:w="4118" w:type="pct"/>
        <w:tblInd w:w="156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2548"/>
        <w:gridCol w:w="2697"/>
      </w:tblGrid>
      <w:tr w:rsidR="002A5EAD" w:rsidRPr="00A10E00" w:rsidTr="00FA73AA">
        <w:trPr>
          <w:trHeight w:val="343"/>
        </w:trPr>
        <w:tc>
          <w:tcPr>
            <w:tcW w:w="1696" w:type="pct"/>
            <w:shd w:val="clear" w:color="auto" w:fill="2770B7"/>
            <w:vAlign w:val="center"/>
          </w:tcPr>
          <w:p w:rsidR="002A5EAD" w:rsidRPr="00A10E00" w:rsidRDefault="002A5EAD" w:rsidP="00FA73AA">
            <w:pPr>
              <w:tabs>
                <w:tab w:val="left" w:pos="284"/>
                <w:tab w:val="left" w:pos="567"/>
                <w:tab w:val="left" w:pos="708"/>
                <w:tab w:val="left" w:pos="851"/>
                <w:tab w:val="left" w:pos="1134"/>
                <w:tab w:val="left" w:pos="1418"/>
                <w:tab w:val="left" w:pos="2124"/>
                <w:tab w:val="right" w:pos="2268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265"/>
                <w:tab w:val="right" w:pos="10348"/>
              </w:tabs>
              <w:spacing w:after="160" w:line="276" w:lineRule="auto"/>
              <w:ind w:right="142"/>
              <w:rPr>
                <w:rFonts w:ascii="Gotham Book" w:eastAsia="Calibri" w:hAnsi="Gotham Book" w:cs="Titillium Web"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1605" w:type="pct"/>
            <w:shd w:val="clear" w:color="auto" w:fill="2770B7"/>
            <w:vAlign w:val="center"/>
          </w:tcPr>
          <w:p w:rsidR="002A5EAD" w:rsidRPr="00A10E00" w:rsidRDefault="002A5EAD" w:rsidP="00FA73AA">
            <w:pPr>
              <w:tabs>
                <w:tab w:val="left" w:pos="284"/>
                <w:tab w:val="left" w:pos="567"/>
                <w:tab w:val="left" w:pos="708"/>
                <w:tab w:val="left" w:pos="851"/>
                <w:tab w:val="left" w:pos="1134"/>
                <w:tab w:val="left" w:pos="1418"/>
                <w:tab w:val="left" w:pos="2124"/>
                <w:tab w:val="right" w:pos="2268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265"/>
                <w:tab w:val="right" w:pos="10348"/>
              </w:tabs>
              <w:spacing w:after="160" w:line="276" w:lineRule="auto"/>
              <w:ind w:right="142"/>
              <w:rPr>
                <w:rFonts w:ascii="Gotham Book" w:eastAsia="Calibri" w:hAnsi="Gotham Book" w:cs="Titillium Web"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1699" w:type="pct"/>
            <w:shd w:val="clear" w:color="auto" w:fill="2770B7"/>
            <w:vAlign w:val="center"/>
          </w:tcPr>
          <w:p w:rsidR="002A5EAD" w:rsidRPr="00A10E00" w:rsidRDefault="002A5EAD" w:rsidP="00FA73AA">
            <w:pPr>
              <w:tabs>
                <w:tab w:val="left" w:pos="284"/>
                <w:tab w:val="left" w:pos="567"/>
                <w:tab w:val="left" w:pos="708"/>
                <w:tab w:val="left" w:pos="851"/>
                <w:tab w:val="left" w:pos="1134"/>
                <w:tab w:val="left" w:pos="1418"/>
                <w:tab w:val="left" w:pos="2124"/>
                <w:tab w:val="right" w:pos="2268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265"/>
                <w:tab w:val="right" w:pos="10348"/>
              </w:tabs>
              <w:spacing w:after="160" w:line="276" w:lineRule="auto"/>
              <w:ind w:right="142"/>
              <w:rPr>
                <w:rFonts w:ascii="Gotham Book" w:eastAsia="Calibri" w:hAnsi="Gotham Book" w:cs="Titillium Web"/>
                <w:color w:val="FFFFFF"/>
                <w:sz w:val="20"/>
                <w:szCs w:val="20"/>
                <w:lang w:eastAsia="en-US"/>
              </w:rPr>
            </w:pPr>
            <w:r w:rsidRPr="00A10E00">
              <w:rPr>
                <w:rFonts w:ascii="Gotham Book" w:eastAsia="Calibri" w:hAnsi="Gotham Book" w:cs="Titillium Web"/>
                <w:color w:val="FFFFFF"/>
                <w:sz w:val="20"/>
                <w:szCs w:val="20"/>
                <w:lang w:eastAsia="en-US"/>
              </w:rPr>
              <w:t xml:space="preserve">Il Segretario Generale </w:t>
            </w:r>
          </w:p>
        </w:tc>
      </w:tr>
      <w:tr w:rsidR="002A5EAD" w:rsidRPr="00A10E00" w:rsidTr="00FA73AA">
        <w:trPr>
          <w:trHeight w:val="434"/>
        </w:trPr>
        <w:tc>
          <w:tcPr>
            <w:tcW w:w="1696" w:type="pct"/>
            <w:shd w:val="clear" w:color="auto" w:fill="auto"/>
            <w:vAlign w:val="center"/>
          </w:tcPr>
          <w:p w:rsidR="002A5EAD" w:rsidRPr="00A10E00" w:rsidRDefault="002A5EAD" w:rsidP="00FA73AA">
            <w:pPr>
              <w:rPr>
                <w:i/>
              </w:rPr>
            </w:pPr>
          </w:p>
        </w:tc>
        <w:tc>
          <w:tcPr>
            <w:tcW w:w="1605" w:type="pct"/>
            <w:vAlign w:val="center"/>
          </w:tcPr>
          <w:p w:rsidR="002A5EAD" w:rsidRPr="00A10E00" w:rsidRDefault="002A5EAD" w:rsidP="00FA73AA">
            <w:pPr>
              <w:rPr>
                <w:rFonts w:ascii="Titillium" w:hAnsi="Titillium"/>
                <w:i/>
                <w:sz w:val="20"/>
                <w:szCs w:val="20"/>
              </w:rPr>
            </w:pPr>
          </w:p>
        </w:tc>
        <w:tc>
          <w:tcPr>
            <w:tcW w:w="1699" w:type="pct"/>
            <w:shd w:val="clear" w:color="auto" w:fill="auto"/>
            <w:vAlign w:val="center"/>
          </w:tcPr>
          <w:p w:rsidR="002A5EAD" w:rsidRPr="00A10E00" w:rsidRDefault="002A5EAD" w:rsidP="00FA73AA">
            <w:pPr>
              <w:rPr>
                <w:rFonts w:ascii="Titillium" w:hAnsi="Titillium"/>
                <w:i/>
                <w:sz w:val="20"/>
                <w:szCs w:val="20"/>
              </w:rPr>
            </w:pPr>
            <w:r>
              <w:rPr>
                <w:rFonts w:ascii="Titillium" w:hAnsi="Titillium"/>
                <w:i/>
                <w:sz w:val="20"/>
                <w:szCs w:val="20"/>
              </w:rPr>
              <w:t xml:space="preserve">     </w:t>
            </w:r>
            <w:r w:rsidRPr="00A10E00">
              <w:rPr>
                <w:rFonts w:ascii="Titillium" w:hAnsi="Titillium"/>
                <w:i/>
                <w:sz w:val="20"/>
                <w:szCs w:val="20"/>
              </w:rPr>
              <w:t>Ing. Filippo Romano</w:t>
            </w:r>
          </w:p>
        </w:tc>
      </w:tr>
    </w:tbl>
    <w:p w:rsidR="002A5EAD" w:rsidRDefault="002A5EAD" w:rsidP="002A5EAD">
      <w:pPr>
        <w:spacing w:after="120" w:line="276" w:lineRule="auto"/>
        <w:jc w:val="both"/>
        <w:rPr>
          <w:rFonts w:ascii="Garamond" w:hAnsi="Garamond"/>
        </w:rPr>
      </w:pPr>
    </w:p>
    <w:p w:rsidR="002A5EAD" w:rsidRDefault="002A5EAD" w:rsidP="002A5EAD">
      <w:pPr>
        <w:spacing w:after="120" w:line="276" w:lineRule="auto"/>
        <w:jc w:val="both"/>
        <w:rPr>
          <w:rFonts w:ascii="Garamond" w:hAnsi="Garamond"/>
        </w:rPr>
      </w:pPr>
    </w:p>
    <w:p w:rsidR="00B53854" w:rsidRDefault="00B53854" w:rsidP="002A5EAD">
      <w:pPr>
        <w:spacing w:after="120" w:line="276" w:lineRule="auto"/>
        <w:jc w:val="both"/>
        <w:rPr>
          <w:rFonts w:ascii="Garamond" w:hAnsi="Garamond"/>
        </w:rPr>
      </w:pPr>
    </w:p>
    <w:p w:rsidR="002A5EAD" w:rsidRDefault="002A5EAD" w:rsidP="002A5EAD">
      <w:pPr>
        <w:spacing w:after="120" w:line="276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tblpY="1"/>
        <w:tblOverlap w:val="never"/>
        <w:tblW w:w="2471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3"/>
      </w:tblGrid>
      <w:tr w:rsidR="002A5EAD" w:rsidRPr="00A10E00" w:rsidTr="00FA73AA">
        <w:trPr>
          <w:trHeight w:val="658"/>
        </w:trPr>
        <w:tc>
          <w:tcPr>
            <w:tcW w:w="5000" w:type="pct"/>
            <w:shd w:val="clear" w:color="auto" w:fill="2770B7"/>
            <w:vAlign w:val="center"/>
          </w:tcPr>
          <w:p w:rsidR="002A5EAD" w:rsidRPr="00A10E00" w:rsidRDefault="002A5EAD" w:rsidP="00FA73AA">
            <w:pPr>
              <w:tabs>
                <w:tab w:val="left" w:pos="284"/>
                <w:tab w:val="left" w:pos="567"/>
                <w:tab w:val="left" w:pos="708"/>
                <w:tab w:val="left" w:pos="851"/>
                <w:tab w:val="left" w:pos="1134"/>
                <w:tab w:val="left" w:pos="1418"/>
                <w:tab w:val="left" w:pos="2124"/>
                <w:tab w:val="right" w:pos="2268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265"/>
                <w:tab w:val="right" w:pos="10348"/>
              </w:tabs>
              <w:spacing w:line="276" w:lineRule="auto"/>
              <w:ind w:right="142"/>
              <w:jc w:val="center"/>
              <w:rPr>
                <w:rFonts w:ascii="Gotham Book" w:eastAsia="Calibri" w:hAnsi="Gotham Book" w:cs="Titillium Web"/>
                <w:color w:val="FFFFFF"/>
                <w:sz w:val="20"/>
                <w:szCs w:val="20"/>
                <w:lang w:eastAsia="en-US"/>
              </w:rPr>
            </w:pPr>
            <w:r w:rsidRPr="00A10E00">
              <w:rPr>
                <w:rFonts w:ascii="Gotham Book" w:eastAsia="Calibri" w:hAnsi="Gotham Book" w:cs="Titillium Web"/>
                <w:color w:val="FFFFFF"/>
                <w:sz w:val="20"/>
                <w:szCs w:val="20"/>
                <w:lang w:eastAsia="en-US"/>
              </w:rPr>
              <w:t>Visto</w:t>
            </w:r>
          </w:p>
          <w:p w:rsidR="002A5EAD" w:rsidRPr="00A10E00" w:rsidRDefault="002A5EAD" w:rsidP="00FA73AA">
            <w:pPr>
              <w:tabs>
                <w:tab w:val="left" w:pos="284"/>
                <w:tab w:val="left" w:pos="567"/>
                <w:tab w:val="left" w:pos="708"/>
                <w:tab w:val="left" w:pos="851"/>
                <w:tab w:val="left" w:pos="1134"/>
                <w:tab w:val="left" w:pos="1418"/>
                <w:tab w:val="left" w:pos="2124"/>
                <w:tab w:val="right" w:pos="2268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265"/>
                <w:tab w:val="right" w:pos="10348"/>
              </w:tabs>
              <w:spacing w:line="276" w:lineRule="auto"/>
              <w:ind w:right="142"/>
              <w:jc w:val="center"/>
              <w:rPr>
                <w:rFonts w:ascii="Gotham Book" w:eastAsia="Calibri" w:hAnsi="Gotham Book" w:cs="Titillium Web"/>
                <w:color w:val="FFFFFF"/>
                <w:sz w:val="20"/>
                <w:szCs w:val="20"/>
                <w:lang w:eastAsia="en-US"/>
              </w:rPr>
            </w:pPr>
            <w:r w:rsidRPr="00A10E00">
              <w:rPr>
                <w:rFonts w:ascii="Gotham Book" w:eastAsia="Calibri" w:hAnsi="Gotham Book" w:cs="Titillium Web"/>
                <w:color w:val="FFFFFF"/>
                <w:sz w:val="20"/>
                <w:szCs w:val="20"/>
                <w:lang w:eastAsia="en-US"/>
              </w:rPr>
              <w:t>Il Dirigente dell’Ufficio Gare e logistica</w:t>
            </w:r>
          </w:p>
        </w:tc>
      </w:tr>
      <w:tr w:rsidR="002A5EAD" w:rsidRPr="00A10E00" w:rsidTr="00FA73AA">
        <w:trPr>
          <w:trHeight w:val="233"/>
        </w:trPr>
        <w:tc>
          <w:tcPr>
            <w:tcW w:w="5000" w:type="pct"/>
            <w:shd w:val="clear" w:color="auto" w:fill="auto"/>
            <w:vAlign w:val="center"/>
          </w:tcPr>
          <w:p w:rsidR="002A5EAD" w:rsidRPr="00A10E00" w:rsidRDefault="002A5EAD" w:rsidP="00FA73AA">
            <w:pPr>
              <w:jc w:val="center"/>
              <w:rPr>
                <w:i/>
              </w:rPr>
            </w:pPr>
            <w:r>
              <w:rPr>
                <w:rFonts w:ascii="Titillium" w:hAnsi="Titillium"/>
                <w:i/>
                <w:sz w:val="20"/>
                <w:szCs w:val="20"/>
              </w:rPr>
              <w:t>Ing. Settimio Picca</w:t>
            </w:r>
          </w:p>
        </w:tc>
      </w:tr>
    </w:tbl>
    <w:p w:rsidR="002A5EAD" w:rsidRPr="00A10E00" w:rsidRDefault="002A5EAD" w:rsidP="002A5EAD">
      <w:pPr>
        <w:rPr>
          <w:rFonts w:ascii="Garamond" w:hAnsi="Garamond"/>
        </w:rPr>
      </w:pPr>
      <w:r w:rsidRPr="00A10E00">
        <w:rPr>
          <w:rFonts w:ascii="Garamond" w:hAnsi="Garamond"/>
        </w:rPr>
        <w:t xml:space="preserve">  </w:t>
      </w:r>
    </w:p>
    <w:p w:rsidR="002A5EAD" w:rsidRPr="00A10E00" w:rsidRDefault="002A5EAD" w:rsidP="002A5EAD">
      <w:pPr>
        <w:rPr>
          <w:rFonts w:ascii="Garamond" w:hAnsi="Garamond"/>
        </w:rPr>
      </w:pPr>
    </w:p>
    <w:p w:rsidR="002A5EAD" w:rsidRPr="00A10E00" w:rsidRDefault="002A5EAD" w:rsidP="002A5EAD">
      <w:pPr>
        <w:rPr>
          <w:rFonts w:ascii="Garamond" w:hAnsi="Garamond"/>
        </w:rPr>
      </w:pPr>
    </w:p>
    <w:p w:rsidR="002A5EAD" w:rsidRPr="00A10E00" w:rsidRDefault="002A5EAD" w:rsidP="002A5EAD">
      <w:pPr>
        <w:rPr>
          <w:rFonts w:ascii="Garamond" w:hAnsi="Garamond"/>
        </w:rPr>
      </w:pPr>
    </w:p>
    <w:p w:rsidR="002A5EAD" w:rsidRPr="00A10E00" w:rsidRDefault="002A5EAD" w:rsidP="002A5EAD">
      <w:pPr>
        <w:rPr>
          <w:rFonts w:ascii="Garamond" w:hAnsi="Garamond"/>
        </w:rPr>
      </w:pPr>
    </w:p>
    <w:p w:rsidR="002A5EAD" w:rsidRDefault="002A5EAD" w:rsidP="002A5EAD">
      <w:pPr>
        <w:rPr>
          <w:rFonts w:ascii="Garamond" w:hAnsi="Garamond"/>
        </w:rPr>
      </w:pPr>
    </w:p>
    <w:p w:rsidR="002A5EAD" w:rsidRDefault="002A5EAD" w:rsidP="002A5EAD">
      <w:pPr>
        <w:rPr>
          <w:rFonts w:ascii="Garamond" w:hAnsi="Garamond"/>
        </w:rPr>
      </w:pPr>
    </w:p>
    <w:p w:rsidR="00335D2A" w:rsidRPr="00A10E00" w:rsidRDefault="00335D2A" w:rsidP="002A5EAD">
      <w:pPr>
        <w:rPr>
          <w:rFonts w:ascii="Garamond" w:hAnsi="Garamond"/>
        </w:rPr>
      </w:pPr>
    </w:p>
    <w:p w:rsidR="002A5EAD" w:rsidRPr="00A10E00" w:rsidRDefault="002A5EAD" w:rsidP="002A5EAD">
      <w:pPr>
        <w:rPr>
          <w:rFonts w:ascii="Garamond" w:hAnsi="Garamond"/>
        </w:rPr>
      </w:pPr>
    </w:p>
    <w:p w:rsidR="002A5EAD" w:rsidRPr="00A10E00" w:rsidRDefault="002A5EAD" w:rsidP="002A5EAD">
      <w:pPr>
        <w:rPr>
          <w:rFonts w:ascii="Garamond" w:hAnsi="Garamond"/>
        </w:rPr>
      </w:pPr>
    </w:p>
    <w:tbl>
      <w:tblPr>
        <w:tblpPr w:leftFromText="141" w:rightFromText="141" w:vertAnchor="text" w:tblpY="1"/>
        <w:tblOverlap w:val="never"/>
        <w:tblW w:w="2471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3"/>
      </w:tblGrid>
      <w:tr w:rsidR="002A5EAD" w:rsidRPr="00A10E00" w:rsidTr="00FA73AA">
        <w:trPr>
          <w:trHeight w:val="658"/>
        </w:trPr>
        <w:tc>
          <w:tcPr>
            <w:tcW w:w="5000" w:type="pct"/>
            <w:shd w:val="clear" w:color="auto" w:fill="2770B7"/>
            <w:vAlign w:val="center"/>
          </w:tcPr>
          <w:p w:rsidR="002A5EAD" w:rsidRPr="00A10E00" w:rsidRDefault="002A5EAD" w:rsidP="00FA73AA">
            <w:pPr>
              <w:tabs>
                <w:tab w:val="left" w:pos="284"/>
                <w:tab w:val="left" w:pos="567"/>
                <w:tab w:val="left" w:pos="708"/>
                <w:tab w:val="left" w:pos="851"/>
                <w:tab w:val="left" w:pos="1134"/>
                <w:tab w:val="left" w:pos="1418"/>
                <w:tab w:val="left" w:pos="2124"/>
                <w:tab w:val="right" w:pos="2268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265"/>
                <w:tab w:val="right" w:pos="10348"/>
              </w:tabs>
              <w:spacing w:line="276" w:lineRule="auto"/>
              <w:ind w:right="142"/>
              <w:jc w:val="center"/>
              <w:rPr>
                <w:rFonts w:ascii="Gotham Book" w:eastAsia="Calibri" w:hAnsi="Gotham Book" w:cs="Titillium Web"/>
                <w:color w:val="FFFFFF"/>
                <w:sz w:val="20"/>
                <w:szCs w:val="20"/>
                <w:lang w:eastAsia="en-US"/>
              </w:rPr>
            </w:pPr>
            <w:r w:rsidRPr="00A10E00">
              <w:rPr>
                <w:rFonts w:ascii="Gotham Book" w:eastAsia="Calibri" w:hAnsi="Gotham Book" w:cs="Titillium Web"/>
                <w:color w:val="FFFFFF"/>
                <w:sz w:val="20"/>
                <w:szCs w:val="20"/>
                <w:lang w:eastAsia="en-US"/>
              </w:rPr>
              <w:t>Visto per la copertura finanziaria</w:t>
            </w:r>
          </w:p>
          <w:p w:rsidR="002A5EAD" w:rsidRPr="00A10E00" w:rsidRDefault="002A5EAD" w:rsidP="00FA73AA">
            <w:pPr>
              <w:tabs>
                <w:tab w:val="left" w:pos="284"/>
                <w:tab w:val="left" w:pos="567"/>
                <w:tab w:val="left" w:pos="708"/>
                <w:tab w:val="left" w:pos="851"/>
                <w:tab w:val="left" w:pos="1134"/>
                <w:tab w:val="left" w:pos="1418"/>
                <w:tab w:val="left" w:pos="2124"/>
                <w:tab w:val="right" w:pos="2268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265"/>
                <w:tab w:val="right" w:pos="10348"/>
              </w:tabs>
              <w:spacing w:line="276" w:lineRule="auto"/>
              <w:ind w:right="142"/>
              <w:jc w:val="center"/>
              <w:rPr>
                <w:rFonts w:ascii="Gotham Book" w:eastAsia="Calibri" w:hAnsi="Gotham Book" w:cs="Titillium Web"/>
                <w:color w:val="FFFFFF"/>
                <w:sz w:val="20"/>
                <w:szCs w:val="20"/>
                <w:lang w:eastAsia="en-US"/>
              </w:rPr>
            </w:pPr>
            <w:r w:rsidRPr="00A10E00">
              <w:rPr>
                <w:rFonts w:ascii="Gotham Book" w:eastAsia="Calibri" w:hAnsi="Gotham Book" w:cs="Titillium Web"/>
                <w:color w:val="FFFFFF"/>
                <w:sz w:val="20"/>
                <w:szCs w:val="20"/>
                <w:lang w:eastAsia="en-US"/>
              </w:rPr>
              <w:t>Il Dirigente dell’Ufficio Programmazione</w:t>
            </w:r>
          </w:p>
          <w:p w:rsidR="002A5EAD" w:rsidRPr="00A10E00" w:rsidRDefault="002A5EAD" w:rsidP="00FA73AA">
            <w:pPr>
              <w:tabs>
                <w:tab w:val="left" w:pos="284"/>
                <w:tab w:val="left" w:pos="567"/>
                <w:tab w:val="left" w:pos="708"/>
                <w:tab w:val="left" w:pos="851"/>
                <w:tab w:val="left" w:pos="1134"/>
                <w:tab w:val="left" w:pos="1418"/>
                <w:tab w:val="left" w:pos="2124"/>
                <w:tab w:val="right" w:pos="2268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265"/>
                <w:tab w:val="right" w:pos="10348"/>
              </w:tabs>
              <w:spacing w:line="276" w:lineRule="auto"/>
              <w:ind w:right="142"/>
              <w:jc w:val="center"/>
              <w:rPr>
                <w:rFonts w:ascii="Gotham Book" w:eastAsia="Calibri" w:hAnsi="Gotham Book" w:cs="Titillium Web"/>
                <w:color w:val="FFFFFF"/>
                <w:sz w:val="20"/>
                <w:szCs w:val="20"/>
                <w:lang w:eastAsia="en-US"/>
              </w:rPr>
            </w:pPr>
            <w:r w:rsidRPr="00A10E00">
              <w:rPr>
                <w:rFonts w:ascii="Gotham Book" w:eastAsia="Calibri" w:hAnsi="Gotham Book" w:cs="Titillium Web"/>
                <w:color w:val="FFFFFF"/>
                <w:sz w:val="20"/>
                <w:szCs w:val="20"/>
                <w:lang w:eastAsia="en-US"/>
              </w:rPr>
              <w:t>delle risorse finanziarie, bilancio e contabilità</w:t>
            </w:r>
          </w:p>
        </w:tc>
      </w:tr>
      <w:tr w:rsidR="002A5EAD" w:rsidRPr="00A10E00" w:rsidTr="00FA73AA">
        <w:trPr>
          <w:trHeight w:val="233"/>
        </w:trPr>
        <w:tc>
          <w:tcPr>
            <w:tcW w:w="5000" w:type="pct"/>
            <w:shd w:val="clear" w:color="auto" w:fill="auto"/>
            <w:vAlign w:val="center"/>
          </w:tcPr>
          <w:p w:rsidR="002A5EAD" w:rsidRPr="00A10E00" w:rsidRDefault="002A5EAD" w:rsidP="00FA73AA">
            <w:pPr>
              <w:jc w:val="center"/>
              <w:rPr>
                <w:i/>
              </w:rPr>
            </w:pPr>
            <w:r>
              <w:rPr>
                <w:rFonts w:ascii="Titillium" w:hAnsi="Titillium"/>
                <w:i/>
                <w:sz w:val="20"/>
                <w:szCs w:val="20"/>
              </w:rPr>
              <w:t xml:space="preserve">Dott. </w:t>
            </w:r>
            <w:r w:rsidRPr="00A10E00">
              <w:rPr>
                <w:rFonts w:ascii="Titillium" w:hAnsi="Titillium"/>
                <w:i/>
                <w:sz w:val="20"/>
                <w:szCs w:val="20"/>
              </w:rPr>
              <w:t>Stefano Ceccarelli</w:t>
            </w:r>
          </w:p>
        </w:tc>
      </w:tr>
    </w:tbl>
    <w:p w:rsidR="002A5EAD" w:rsidRDefault="002A5EAD" w:rsidP="002A5EAD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</w:p>
    <w:p w:rsidR="002A5EAD" w:rsidRDefault="002A5EAD" w:rsidP="002A5EAD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</w:p>
    <w:p w:rsidR="002A5EAD" w:rsidRDefault="002A5EAD" w:rsidP="002A5EAD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</w:p>
    <w:p w:rsidR="002A5EAD" w:rsidRPr="00FE361A" w:rsidRDefault="002A5EAD" w:rsidP="00570207">
      <w:pPr>
        <w:pStyle w:val="Paragrafoelenco"/>
        <w:ind w:left="284"/>
        <w:contextualSpacing w:val="0"/>
        <w:jc w:val="both"/>
        <w:rPr>
          <w:rFonts w:ascii="Titillium" w:hAnsi="Titillium"/>
          <w:sz w:val="20"/>
          <w:szCs w:val="20"/>
        </w:rPr>
      </w:pPr>
    </w:p>
    <w:p w:rsidR="00DA550A" w:rsidRDefault="00DA550A" w:rsidP="00570207">
      <w:pPr>
        <w:spacing w:line="276" w:lineRule="auto"/>
        <w:ind w:left="5664" w:firstLine="708"/>
        <w:rPr>
          <w:rFonts w:ascii="Garamond" w:hAnsi="Garamond"/>
          <w:i/>
        </w:rPr>
      </w:pPr>
    </w:p>
    <w:sectPr w:rsidR="00DA550A" w:rsidSect="003645ED">
      <w:headerReference w:type="default" r:id="rId8"/>
      <w:footerReference w:type="default" r:id="rId9"/>
      <w:headerReference w:type="first" r:id="rId10"/>
      <w:pgSz w:w="11906" w:h="16838"/>
      <w:pgMar w:top="1418" w:right="1134" w:bottom="993" w:left="1134" w:header="284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9C1" w:rsidRDefault="006B39C1">
      <w:r>
        <w:separator/>
      </w:r>
    </w:p>
  </w:endnote>
  <w:endnote w:type="continuationSeparator" w:id="0">
    <w:p w:rsidR="006B39C1" w:rsidRDefault="006B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tillium Web">
    <w:altName w:val="Times New Roman"/>
    <w:charset w:val="4D"/>
    <w:family w:val="auto"/>
    <w:pitch w:val="variable"/>
    <w:sig w:usb0="00000007" w:usb1="00000001" w:usb2="00000000" w:usb3="00000000" w:csb0="00000093" w:csb1="00000000"/>
  </w:font>
  <w:font w:name="Titillium Web SemiBold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2BF" w:rsidRPr="00485D4D" w:rsidRDefault="00AB62BF">
    <w:pPr>
      <w:pStyle w:val="Pidipagina"/>
      <w:jc w:val="right"/>
      <w:rPr>
        <w:rFonts w:ascii="Titillium" w:hAnsi="Titillium"/>
        <w:sz w:val="16"/>
        <w:szCs w:val="16"/>
      </w:rPr>
    </w:pPr>
    <w:r w:rsidRPr="00485D4D">
      <w:rPr>
        <w:rFonts w:ascii="Titillium" w:hAnsi="Titillium"/>
        <w:sz w:val="16"/>
        <w:szCs w:val="16"/>
      </w:rPr>
      <w:t xml:space="preserve">Pag. </w:t>
    </w:r>
    <w:sdt>
      <w:sdtPr>
        <w:rPr>
          <w:rFonts w:ascii="Titillium" w:hAnsi="Titillium"/>
          <w:sz w:val="16"/>
          <w:szCs w:val="16"/>
        </w:rPr>
        <w:id w:val="-5750778"/>
        <w:docPartObj>
          <w:docPartGallery w:val="Page Numbers (Bottom of Page)"/>
          <w:docPartUnique/>
        </w:docPartObj>
      </w:sdtPr>
      <w:sdtEndPr/>
      <w:sdtContent>
        <w:r w:rsidRPr="00485D4D">
          <w:rPr>
            <w:rFonts w:ascii="Titillium" w:hAnsi="Titillium"/>
            <w:sz w:val="16"/>
            <w:szCs w:val="16"/>
          </w:rPr>
          <w:fldChar w:fldCharType="begin"/>
        </w:r>
        <w:r w:rsidRPr="00485D4D">
          <w:rPr>
            <w:rFonts w:ascii="Titillium" w:hAnsi="Titillium"/>
            <w:sz w:val="16"/>
            <w:szCs w:val="16"/>
          </w:rPr>
          <w:instrText>PAGE   \* MERGEFORMAT</w:instrText>
        </w:r>
        <w:r w:rsidRPr="00485D4D">
          <w:rPr>
            <w:rFonts w:ascii="Titillium" w:hAnsi="Titillium"/>
            <w:sz w:val="16"/>
            <w:szCs w:val="16"/>
          </w:rPr>
          <w:fldChar w:fldCharType="separate"/>
        </w:r>
        <w:r w:rsidR="00884F1E">
          <w:rPr>
            <w:rFonts w:ascii="Titillium" w:hAnsi="Titillium"/>
            <w:noProof/>
            <w:sz w:val="16"/>
            <w:szCs w:val="16"/>
          </w:rPr>
          <w:t>2</w:t>
        </w:r>
        <w:r w:rsidRPr="00485D4D">
          <w:rPr>
            <w:rFonts w:ascii="Titillium" w:hAnsi="Titillium"/>
            <w:sz w:val="16"/>
            <w:szCs w:val="16"/>
          </w:rPr>
          <w:fldChar w:fldCharType="end"/>
        </w:r>
      </w:sdtContent>
    </w:sdt>
  </w:p>
  <w:p w:rsidR="003A446F" w:rsidRDefault="003A44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9C1" w:rsidRDefault="006B39C1">
      <w:r>
        <w:separator/>
      </w:r>
    </w:p>
  </w:footnote>
  <w:footnote w:type="continuationSeparator" w:id="0">
    <w:p w:rsidR="006B39C1" w:rsidRDefault="006B3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EE6" w:rsidRPr="0012576B" w:rsidRDefault="006B39C1" w:rsidP="009A6162">
    <w:pPr>
      <w:tabs>
        <w:tab w:val="center" w:pos="4678"/>
      </w:tabs>
      <w:spacing w:before="120"/>
      <w:ind w:right="284"/>
      <w:jc w:val="center"/>
      <w:rPr>
        <w:i/>
        <w:color w:val="1F497D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5ED" w:rsidRDefault="003645ED">
    <w:pPr>
      <w:pStyle w:val="Intestazione"/>
    </w:pPr>
    <w:r w:rsidRPr="00812E18">
      <w:rPr>
        <w:noProof/>
      </w:rPr>
      <w:drawing>
        <wp:anchor distT="0" distB="0" distL="114300" distR="114300" simplePos="0" relativeHeight="251659264" behindDoc="0" locked="0" layoutInCell="1" allowOverlap="1" wp14:anchorId="0F838EB9" wp14:editId="4507024F">
          <wp:simplePos x="0" y="0"/>
          <wp:positionH relativeFrom="margin">
            <wp:posOffset>0</wp:posOffset>
          </wp:positionH>
          <wp:positionV relativeFrom="margin">
            <wp:posOffset>-545465</wp:posOffset>
          </wp:positionV>
          <wp:extent cx="2879725" cy="341630"/>
          <wp:effectExtent l="0" t="0" r="0" b="127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25" cy="341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376D"/>
    <w:multiLevelType w:val="hybridMultilevel"/>
    <w:tmpl w:val="49B2AEE0"/>
    <w:lvl w:ilvl="0" w:tplc="04100017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255E08"/>
    <w:multiLevelType w:val="hybridMultilevel"/>
    <w:tmpl w:val="49B2AEE0"/>
    <w:lvl w:ilvl="0" w:tplc="0410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0CB5EE4"/>
    <w:multiLevelType w:val="hybridMultilevel"/>
    <w:tmpl w:val="2334E084"/>
    <w:lvl w:ilvl="0" w:tplc="6DACF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5704E"/>
    <w:multiLevelType w:val="hybridMultilevel"/>
    <w:tmpl w:val="7E7CF69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A6C1960"/>
    <w:multiLevelType w:val="hybridMultilevel"/>
    <w:tmpl w:val="52C82252"/>
    <w:lvl w:ilvl="0" w:tplc="6DACF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E69A7"/>
    <w:multiLevelType w:val="hybridMultilevel"/>
    <w:tmpl w:val="71486406"/>
    <w:lvl w:ilvl="0" w:tplc="773A90A4">
      <w:start w:val="2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E1A3467"/>
    <w:multiLevelType w:val="hybridMultilevel"/>
    <w:tmpl w:val="D6CCF7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F73E4"/>
    <w:multiLevelType w:val="hybridMultilevel"/>
    <w:tmpl w:val="0428C0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7300A"/>
    <w:multiLevelType w:val="hybridMultilevel"/>
    <w:tmpl w:val="49B2AEE0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6AA64E3"/>
    <w:multiLevelType w:val="hybridMultilevel"/>
    <w:tmpl w:val="3020C0E0"/>
    <w:lvl w:ilvl="0" w:tplc="6DACF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B6B65"/>
    <w:multiLevelType w:val="hybridMultilevel"/>
    <w:tmpl w:val="6B5C1EFA"/>
    <w:lvl w:ilvl="0" w:tplc="BCD6E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43643"/>
    <w:multiLevelType w:val="hybridMultilevel"/>
    <w:tmpl w:val="DF88186C"/>
    <w:lvl w:ilvl="0" w:tplc="214CE708">
      <w:numFmt w:val="bullet"/>
      <w:lvlText w:val="•"/>
      <w:lvlJc w:val="left"/>
      <w:pPr>
        <w:ind w:left="720" w:hanging="360"/>
      </w:pPr>
      <w:rPr>
        <w:rFonts w:ascii="Titillium" w:eastAsia="Times New Roman" w:hAnsi="Titill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B2E43"/>
    <w:multiLevelType w:val="hybridMultilevel"/>
    <w:tmpl w:val="64A6D25E"/>
    <w:lvl w:ilvl="0" w:tplc="E0F4AA76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E532467A">
      <w:numFmt w:val="bullet"/>
      <w:lvlText w:val=""/>
      <w:lvlJc w:val="left"/>
      <w:pPr>
        <w:ind w:left="2007" w:hanging="360"/>
      </w:pPr>
      <w:rPr>
        <w:rFonts w:ascii="Symbol" w:eastAsiaTheme="minorHAnsi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12"/>
  </w:num>
  <w:num w:numId="10">
    <w:abstractNumId w:val="9"/>
  </w:num>
  <w:num w:numId="11">
    <w:abstractNumId w:val="6"/>
  </w:num>
  <w:num w:numId="12">
    <w:abstractNumId w:val="1"/>
  </w:num>
  <w:num w:numId="13">
    <w:abstractNumId w:val="2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7F"/>
    <w:rsid w:val="00005679"/>
    <w:rsid w:val="0001478E"/>
    <w:rsid w:val="00027E87"/>
    <w:rsid w:val="00075C20"/>
    <w:rsid w:val="00096CB2"/>
    <w:rsid w:val="000A1CCC"/>
    <w:rsid w:val="000C4B00"/>
    <w:rsid w:val="0010664A"/>
    <w:rsid w:val="00114C4C"/>
    <w:rsid w:val="0011731E"/>
    <w:rsid w:val="00127A81"/>
    <w:rsid w:val="00135F2E"/>
    <w:rsid w:val="00152ABC"/>
    <w:rsid w:val="00160522"/>
    <w:rsid w:val="00175D4E"/>
    <w:rsid w:val="001833D2"/>
    <w:rsid w:val="00190808"/>
    <w:rsid w:val="001A2E3E"/>
    <w:rsid w:val="001B574D"/>
    <w:rsid w:val="001C3FA7"/>
    <w:rsid w:val="001C466C"/>
    <w:rsid w:val="001D1EE5"/>
    <w:rsid w:val="001E2898"/>
    <w:rsid w:val="001E4706"/>
    <w:rsid w:val="001F09E8"/>
    <w:rsid w:val="001F513E"/>
    <w:rsid w:val="00227F61"/>
    <w:rsid w:val="00230E11"/>
    <w:rsid w:val="00242E26"/>
    <w:rsid w:val="00244674"/>
    <w:rsid w:val="0024510C"/>
    <w:rsid w:val="00247AB2"/>
    <w:rsid w:val="002571ED"/>
    <w:rsid w:val="00261017"/>
    <w:rsid w:val="002661C0"/>
    <w:rsid w:val="00267832"/>
    <w:rsid w:val="002751E9"/>
    <w:rsid w:val="0028415D"/>
    <w:rsid w:val="00292591"/>
    <w:rsid w:val="00297998"/>
    <w:rsid w:val="002A2864"/>
    <w:rsid w:val="002A5EAD"/>
    <w:rsid w:val="002C4276"/>
    <w:rsid w:val="002D62A6"/>
    <w:rsid w:val="00301E86"/>
    <w:rsid w:val="00302DE1"/>
    <w:rsid w:val="00310F9B"/>
    <w:rsid w:val="00317AEE"/>
    <w:rsid w:val="00335D2A"/>
    <w:rsid w:val="00351851"/>
    <w:rsid w:val="00356F6E"/>
    <w:rsid w:val="00360A38"/>
    <w:rsid w:val="003645ED"/>
    <w:rsid w:val="0037403A"/>
    <w:rsid w:val="00381B15"/>
    <w:rsid w:val="00382558"/>
    <w:rsid w:val="00383DFD"/>
    <w:rsid w:val="003A446F"/>
    <w:rsid w:val="003A7725"/>
    <w:rsid w:val="003B09C0"/>
    <w:rsid w:val="003B6D56"/>
    <w:rsid w:val="003B7756"/>
    <w:rsid w:val="003C423E"/>
    <w:rsid w:val="003C53D9"/>
    <w:rsid w:val="003D1A74"/>
    <w:rsid w:val="003E52ED"/>
    <w:rsid w:val="00403DDA"/>
    <w:rsid w:val="00417722"/>
    <w:rsid w:val="00420DE6"/>
    <w:rsid w:val="004219F2"/>
    <w:rsid w:val="00423D5C"/>
    <w:rsid w:val="00450CFC"/>
    <w:rsid w:val="004645DA"/>
    <w:rsid w:val="00485D4D"/>
    <w:rsid w:val="00491F81"/>
    <w:rsid w:val="004973E5"/>
    <w:rsid w:val="004B2CCF"/>
    <w:rsid w:val="004B6E0D"/>
    <w:rsid w:val="00504D4B"/>
    <w:rsid w:val="0052646B"/>
    <w:rsid w:val="0053090E"/>
    <w:rsid w:val="00531B30"/>
    <w:rsid w:val="005368B4"/>
    <w:rsid w:val="00546E80"/>
    <w:rsid w:val="00564B66"/>
    <w:rsid w:val="0056782A"/>
    <w:rsid w:val="00570207"/>
    <w:rsid w:val="00575246"/>
    <w:rsid w:val="005817E0"/>
    <w:rsid w:val="005C7822"/>
    <w:rsid w:val="005D6FFD"/>
    <w:rsid w:val="005F5963"/>
    <w:rsid w:val="00600C6C"/>
    <w:rsid w:val="00617DAB"/>
    <w:rsid w:val="00623474"/>
    <w:rsid w:val="006277AA"/>
    <w:rsid w:val="00637842"/>
    <w:rsid w:val="00676EF3"/>
    <w:rsid w:val="00682237"/>
    <w:rsid w:val="006A3F11"/>
    <w:rsid w:val="006A669C"/>
    <w:rsid w:val="006B39C1"/>
    <w:rsid w:val="006B55BF"/>
    <w:rsid w:val="006D0051"/>
    <w:rsid w:val="006D64E8"/>
    <w:rsid w:val="006E0783"/>
    <w:rsid w:val="00704483"/>
    <w:rsid w:val="00704DE5"/>
    <w:rsid w:val="00713014"/>
    <w:rsid w:val="00721312"/>
    <w:rsid w:val="00721AFB"/>
    <w:rsid w:val="0072520B"/>
    <w:rsid w:val="007330C5"/>
    <w:rsid w:val="00753616"/>
    <w:rsid w:val="007546E7"/>
    <w:rsid w:val="0075767F"/>
    <w:rsid w:val="00762FF3"/>
    <w:rsid w:val="007648CF"/>
    <w:rsid w:val="007A2D21"/>
    <w:rsid w:val="007C4A98"/>
    <w:rsid w:val="007C4F60"/>
    <w:rsid w:val="007C722E"/>
    <w:rsid w:val="007D15C4"/>
    <w:rsid w:val="007D726E"/>
    <w:rsid w:val="007E5A4E"/>
    <w:rsid w:val="007F7E05"/>
    <w:rsid w:val="008031B4"/>
    <w:rsid w:val="00805555"/>
    <w:rsid w:val="0083089C"/>
    <w:rsid w:val="00837E58"/>
    <w:rsid w:val="00852815"/>
    <w:rsid w:val="008736B2"/>
    <w:rsid w:val="0087432A"/>
    <w:rsid w:val="00877254"/>
    <w:rsid w:val="00877846"/>
    <w:rsid w:val="00884F1E"/>
    <w:rsid w:val="00887F83"/>
    <w:rsid w:val="008920DE"/>
    <w:rsid w:val="008B4624"/>
    <w:rsid w:val="008B4DB6"/>
    <w:rsid w:val="008C5C31"/>
    <w:rsid w:val="008D32E1"/>
    <w:rsid w:val="008D5789"/>
    <w:rsid w:val="008D7A38"/>
    <w:rsid w:val="008E5E21"/>
    <w:rsid w:val="008F4263"/>
    <w:rsid w:val="009060DE"/>
    <w:rsid w:val="00917076"/>
    <w:rsid w:val="009265BF"/>
    <w:rsid w:val="009270AA"/>
    <w:rsid w:val="009415F7"/>
    <w:rsid w:val="00946B87"/>
    <w:rsid w:val="00950EE1"/>
    <w:rsid w:val="00961103"/>
    <w:rsid w:val="00964882"/>
    <w:rsid w:val="009745E7"/>
    <w:rsid w:val="009937DC"/>
    <w:rsid w:val="00993D37"/>
    <w:rsid w:val="009A11D9"/>
    <w:rsid w:val="009B06A1"/>
    <w:rsid w:val="009B0926"/>
    <w:rsid w:val="009B7DE6"/>
    <w:rsid w:val="009E6F77"/>
    <w:rsid w:val="009E746A"/>
    <w:rsid w:val="009F7335"/>
    <w:rsid w:val="00A00B26"/>
    <w:rsid w:val="00A02BA0"/>
    <w:rsid w:val="00A03928"/>
    <w:rsid w:val="00A10371"/>
    <w:rsid w:val="00A1785A"/>
    <w:rsid w:val="00A2590F"/>
    <w:rsid w:val="00A318D6"/>
    <w:rsid w:val="00A325BF"/>
    <w:rsid w:val="00A563BB"/>
    <w:rsid w:val="00A65734"/>
    <w:rsid w:val="00A7117D"/>
    <w:rsid w:val="00A74FE2"/>
    <w:rsid w:val="00A754EB"/>
    <w:rsid w:val="00A75992"/>
    <w:rsid w:val="00A77226"/>
    <w:rsid w:val="00A86EDC"/>
    <w:rsid w:val="00A93C7A"/>
    <w:rsid w:val="00AA591F"/>
    <w:rsid w:val="00AA6E3E"/>
    <w:rsid w:val="00AB62BF"/>
    <w:rsid w:val="00AC6AB4"/>
    <w:rsid w:val="00AC6E03"/>
    <w:rsid w:val="00AD7223"/>
    <w:rsid w:val="00AD7D3F"/>
    <w:rsid w:val="00B04A07"/>
    <w:rsid w:val="00B314BC"/>
    <w:rsid w:val="00B31A25"/>
    <w:rsid w:val="00B34779"/>
    <w:rsid w:val="00B35D68"/>
    <w:rsid w:val="00B43196"/>
    <w:rsid w:val="00B451DA"/>
    <w:rsid w:val="00B53854"/>
    <w:rsid w:val="00B579A2"/>
    <w:rsid w:val="00B66B33"/>
    <w:rsid w:val="00B7025F"/>
    <w:rsid w:val="00B74FF9"/>
    <w:rsid w:val="00B77FE3"/>
    <w:rsid w:val="00B9299E"/>
    <w:rsid w:val="00B944C1"/>
    <w:rsid w:val="00BD021A"/>
    <w:rsid w:val="00BD52E1"/>
    <w:rsid w:val="00BE70AF"/>
    <w:rsid w:val="00C01928"/>
    <w:rsid w:val="00C11028"/>
    <w:rsid w:val="00C20DA0"/>
    <w:rsid w:val="00C2425F"/>
    <w:rsid w:val="00C2597F"/>
    <w:rsid w:val="00C328EC"/>
    <w:rsid w:val="00C3575F"/>
    <w:rsid w:val="00C50676"/>
    <w:rsid w:val="00C56DB3"/>
    <w:rsid w:val="00C63AD8"/>
    <w:rsid w:val="00C770F6"/>
    <w:rsid w:val="00C81CB5"/>
    <w:rsid w:val="00C8509C"/>
    <w:rsid w:val="00CA15C1"/>
    <w:rsid w:val="00CB662A"/>
    <w:rsid w:val="00CD7A70"/>
    <w:rsid w:val="00CE447D"/>
    <w:rsid w:val="00CF4B1E"/>
    <w:rsid w:val="00D0550D"/>
    <w:rsid w:val="00D15A98"/>
    <w:rsid w:val="00D23673"/>
    <w:rsid w:val="00D64BD2"/>
    <w:rsid w:val="00D64E56"/>
    <w:rsid w:val="00D651EA"/>
    <w:rsid w:val="00DA550A"/>
    <w:rsid w:val="00DB1768"/>
    <w:rsid w:val="00DC2257"/>
    <w:rsid w:val="00DC56C0"/>
    <w:rsid w:val="00DE03B6"/>
    <w:rsid w:val="00DE1AF3"/>
    <w:rsid w:val="00DF0701"/>
    <w:rsid w:val="00DF2AEB"/>
    <w:rsid w:val="00DF7C09"/>
    <w:rsid w:val="00E17EC3"/>
    <w:rsid w:val="00E52B29"/>
    <w:rsid w:val="00E57115"/>
    <w:rsid w:val="00E63AE9"/>
    <w:rsid w:val="00E63EE0"/>
    <w:rsid w:val="00E80F80"/>
    <w:rsid w:val="00E82CFF"/>
    <w:rsid w:val="00E94323"/>
    <w:rsid w:val="00EA2D35"/>
    <w:rsid w:val="00EA3565"/>
    <w:rsid w:val="00EB33DB"/>
    <w:rsid w:val="00EB527D"/>
    <w:rsid w:val="00EC2145"/>
    <w:rsid w:val="00ED1901"/>
    <w:rsid w:val="00ED7169"/>
    <w:rsid w:val="00EE0027"/>
    <w:rsid w:val="00EE0543"/>
    <w:rsid w:val="00EF4BE9"/>
    <w:rsid w:val="00F02636"/>
    <w:rsid w:val="00F107DE"/>
    <w:rsid w:val="00F15A21"/>
    <w:rsid w:val="00F20CB0"/>
    <w:rsid w:val="00F22986"/>
    <w:rsid w:val="00F27FAF"/>
    <w:rsid w:val="00F3506B"/>
    <w:rsid w:val="00F4489A"/>
    <w:rsid w:val="00F45F45"/>
    <w:rsid w:val="00F46C8F"/>
    <w:rsid w:val="00F5346F"/>
    <w:rsid w:val="00F63A6E"/>
    <w:rsid w:val="00F80C92"/>
    <w:rsid w:val="00F85ACA"/>
    <w:rsid w:val="00F87066"/>
    <w:rsid w:val="00F95061"/>
    <w:rsid w:val="00FA375C"/>
    <w:rsid w:val="00FB3281"/>
    <w:rsid w:val="00FB7ADA"/>
    <w:rsid w:val="00FC6854"/>
    <w:rsid w:val="00FE048D"/>
    <w:rsid w:val="00FE361A"/>
    <w:rsid w:val="00FF2426"/>
    <w:rsid w:val="00FF69F7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5AF36"/>
  <w15:docId w15:val="{7BEFB838-27FD-4872-9A73-3C3E0890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5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8736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35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F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35F2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35F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35F2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35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F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F2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7A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A8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736B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736B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04D4B"/>
    <w:rPr>
      <w:color w:val="800080" w:themeColor="followedHyperlink"/>
      <w:u w:val="single"/>
    </w:rPr>
  </w:style>
  <w:style w:type="paragraph" w:customStyle="1" w:styleId="Default">
    <w:name w:val="Default"/>
    <w:rsid w:val="001F09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NAC-TitoloParagrafo">
    <w:name w:val="ANAC - Titolo Paragrafo"/>
    <w:basedOn w:val="Normale"/>
    <w:link w:val="ANAC-TitoloParagrafoCarattere"/>
    <w:qFormat/>
    <w:rsid w:val="00D651EA"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/>
      <w:ind w:left="1560" w:right="142"/>
      <w:outlineLvl w:val="4"/>
    </w:pPr>
    <w:rPr>
      <w:rFonts w:ascii="Gotham Light" w:eastAsiaTheme="majorEastAsia" w:hAnsi="Gotham Light" w:cstheme="majorBidi"/>
      <w:color w:val="2770B7"/>
      <w:sz w:val="28"/>
      <w:lang w:eastAsia="en-US"/>
    </w:rPr>
  </w:style>
  <w:style w:type="character" w:customStyle="1" w:styleId="ANAC-TitoloParagrafoCarattere">
    <w:name w:val="ANAC - Titolo Paragrafo Carattere"/>
    <w:basedOn w:val="Carpredefinitoparagrafo"/>
    <w:link w:val="ANAC-TitoloParagrafo"/>
    <w:rsid w:val="00D651EA"/>
    <w:rPr>
      <w:rFonts w:ascii="Gotham Light" w:eastAsiaTheme="majorEastAsia" w:hAnsi="Gotham Light" w:cstheme="majorBidi"/>
      <w:color w:val="2770B7"/>
      <w:sz w:val="28"/>
      <w:szCs w:val="24"/>
    </w:rPr>
  </w:style>
  <w:style w:type="paragraph" w:customStyle="1" w:styleId="ANCATABELLATITOLOBIANCO">
    <w:name w:val="ANCA_TABELLA_TITOLO BIANCO"/>
    <w:basedOn w:val="Normale"/>
    <w:qFormat/>
    <w:rsid w:val="00DA550A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after="160" w:line="276" w:lineRule="auto"/>
      <w:ind w:left="1560" w:right="142"/>
    </w:pPr>
    <w:rPr>
      <w:rFonts w:ascii="Gotham Book" w:eastAsiaTheme="minorHAnsi" w:hAnsi="Gotham Book" w:cs="Titillium Web"/>
      <w:color w:val="FFFFFF" w:themeColor="background1"/>
      <w:sz w:val="20"/>
      <w:szCs w:val="20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961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9073">
              <w:marLeft w:val="0"/>
              <w:marRight w:val="0"/>
              <w:marTop w:val="270"/>
              <w:marBottom w:val="180"/>
              <w:divBdr>
                <w:top w:val="double" w:sz="2" w:space="0" w:color="B3A3A3"/>
                <w:left w:val="double" w:sz="2" w:space="6" w:color="B3A3A3"/>
                <w:bottom w:val="double" w:sz="2" w:space="6" w:color="B3A3A3"/>
                <w:right w:val="double" w:sz="2" w:space="6" w:color="B3A3A3"/>
              </w:divBdr>
            </w:div>
          </w:divsChild>
        </w:div>
      </w:divsChild>
    </w:div>
    <w:div w:id="8365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3815">
              <w:marLeft w:val="0"/>
              <w:marRight w:val="0"/>
              <w:marTop w:val="270"/>
              <w:marBottom w:val="180"/>
              <w:divBdr>
                <w:top w:val="double" w:sz="2" w:space="0" w:color="B3A3A3"/>
                <w:left w:val="double" w:sz="2" w:space="6" w:color="B3A3A3"/>
                <w:bottom w:val="double" w:sz="2" w:space="6" w:color="B3A3A3"/>
                <w:right w:val="double" w:sz="2" w:space="6" w:color="B3A3A3"/>
              </w:divBdr>
            </w:div>
          </w:divsChild>
        </w:div>
      </w:divsChild>
    </w:div>
    <w:div w:id="17627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764C2A-633E-4149-BE38-ACA59115C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3644CB-D6EF-4C23-A6B2-B5F8D8041C67}"/>
</file>

<file path=customXml/itemProps3.xml><?xml version="1.0" encoding="utf-8"?>
<ds:datastoreItem xmlns:ds="http://schemas.openxmlformats.org/officeDocument/2006/customXml" ds:itemID="{D0167882-C269-48ED-BE83-DC83FE6720CC}"/>
</file>

<file path=customXml/itemProps4.xml><?xml version="1.0" encoding="utf-8"?>
<ds:datastoreItem xmlns:ds="http://schemas.openxmlformats.org/officeDocument/2006/customXml" ds:itemID="{901A8582-26DB-4FA2-A976-8A0EC44DF5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4704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Lorenzetti Maria Luisa</dc:creator>
  <cp:lastModifiedBy>Pallotta Luca</cp:lastModifiedBy>
  <cp:revision>26</cp:revision>
  <cp:lastPrinted>2023-09-07T08:30:00Z</cp:lastPrinted>
  <dcterms:created xsi:type="dcterms:W3CDTF">2023-07-04T08:47:00Z</dcterms:created>
  <dcterms:modified xsi:type="dcterms:W3CDTF">2023-09-07T09:29:00Z</dcterms:modified>
</cp:coreProperties>
</file>