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B4" w:rsidRDefault="000D7EB4" w:rsidP="008A58D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</w:pPr>
    </w:p>
    <w:p w:rsidR="00B5324D" w:rsidRDefault="00B5324D" w:rsidP="00B5324D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 w:right="-1"/>
        <w:jc w:val="center"/>
      </w:pPr>
    </w:p>
    <w:p w:rsidR="00D64E56" w:rsidRPr="00242E26" w:rsidRDefault="00D651EA" w:rsidP="00B5324D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 w:right="-1"/>
        <w:jc w:val="center"/>
      </w:pPr>
      <w:r w:rsidRPr="00242E26">
        <w:t>DETERMINA A CONTRARRE</w:t>
      </w:r>
    </w:p>
    <w:p w:rsidR="00570207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</w:rPr>
      </w:pPr>
    </w:p>
    <w:p w:rsidR="00B5324D" w:rsidRPr="00242E26" w:rsidRDefault="00B5324D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</w:rPr>
      </w:pPr>
    </w:p>
    <w:p w:rsidR="00381B15" w:rsidRDefault="00381B15" w:rsidP="0011731E">
      <w:pPr>
        <w:jc w:val="both"/>
        <w:rPr>
          <w:rFonts w:ascii="Titillium" w:hAnsi="Titillium"/>
          <w:b/>
          <w:sz w:val="18"/>
          <w:szCs w:val="18"/>
        </w:rPr>
      </w:pPr>
    </w:p>
    <w:p w:rsidR="00852815" w:rsidRPr="00242E26" w:rsidRDefault="00852815" w:rsidP="0011731E">
      <w:pPr>
        <w:jc w:val="both"/>
        <w:rPr>
          <w:rFonts w:ascii="Titillium" w:hAnsi="Titillium"/>
          <w:b/>
          <w:sz w:val="18"/>
          <w:szCs w:val="18"/>
        </w:rPr>
      </w:pPr>
      <w:r w:rsidRPr="00242E26">
        <w:rPr>
          <w:rFonts w:ascii="Titillium" w:hAnsi="Titillium"/>
          <w:b/>
          <w:sz w:val="18"/>
          <w:szCs w:val="18"/>
        </w:rPr>
        <w:t xml:space="preserve">VISTO </w:t>
      </w:r>
      <w:r w:rsidRPr="00242E26">
        <w:rPr>
          <w:rFonts w:ascii="Titillium" w:hAnsi="Titillium"/>
          <w:sz w:val="18"/>
          <w:szCs w:val="18"/>
        </w:rPr>
        <w:t>il decreto legislativo 18.04.2016,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:rsidR="00570207" w:rsidRPr="00242E26" w:rsidRDefault="00570207" w:rsidP="00244674">
      <w:pPr>
        <w:spacing w:before="240"/>
        <w:jc w:val="both"/>
        <w:rPr>
          <w:rFonts w:ascii="Titillium" w:hAnsi="Titillium"/>
          <w:bCs/>
          <w:sz w:val="18"/>
          <w:szCs w:val="18"/>
        </w:rPr>
      </w:pPr>
      <w:r w:rsidRPr="00242E26">
        <w:rPr>
          <w:rFonts w:ascii="Titillium" w:hAnsi="Titillium"/>
          <w:b/>
          <w:bCs/>
          <w:sz w:val="18"/>
          <w:szCs w:val="18"/>
        </w:rPr>
        <w:t xml:space="preserve">VISTO </w:t>
      </w:r>
      <w:r w:rsidRPr="00242E26">
        <w:rPr>
          <w:rFonts w:ascii="Titillium" w:hAnsi="Titillium"/>
          <w:bCs/>
          <w:sz w:val="18"/>
          <w:szCs w:val="18"/>
        </w:rPr>
        <w:t>il decreto legge 16 luglio 2020, n. 76 convertito nella legge 11 settembre 2020, n. 120, e successive modifiche;</w:t>
      </w:r>
    </w:p>
    <w:p w:rsidR="0011731E" w:rsidRPr="00242E26" w:rsidRDefault="0011731E" w:rsidP="0011731E">
      <w:pPr>
        <w:jc w:val="both"/>
        <w:rPr>
          <w:rFonts w:ascii="Titillium" w:hAnsi="Titillium"/>
          <w:b/>
          <w:bCs/>
          <w:sz w:val="18"/>
          <w:szCs w:val="18"/>
          <w:highlight w:val="yellow"/>
        </w:rPr>
      </w:pPr>
    </w:p>
    <w:p w:rsidR="00852815" w:rsidRPr="00242E26" w:rsidRDefault="00852815" w:rsidP="0011731E">
      <w:pPr>
        <w:jc w:val="both"/>
        <w:rPr>
          <w:rFonts w:ascii="Titillium" w:hAnsi="Titillium"/>
          <w:bCs/>
          <w:sz w:val="18"/>
          <w:szCs w:val="18"/>
        </w:rPr>
      </w:pPr>
      <w:r w:rsidRPr="00242E26">
        <w:rPr>
          <w:rFonts w:ascii="Titillium" w:hAnsi="Titillium"/>
          <w:b/>
          <w:bCs/>
          <w:sz w:val="18"/>
          <w:szCs w:val="18"/>
        </w:rPr>
        <w:t xml:space="preserve">VISTO </w:t>
      </w:r>
      <w:r w:rsidRPr="00242E26">
        <w:rPr>
          <w:rFonts w:ascii="Titillium" w:hAnsi="Titillium"/>
          <w:bCs/>
          <w:sz w:val="18"/>
          <w:szCs w:val="18"/>
        </w:rPr>
        <w:t>il Regolamento per la disciplina dei contratti pubblici di servizi e forniture stipulati dall’Autorità approvato in data 7.7.2021;</w:t>
      </w:r>
    </w:p>
    <w:p w:rsidR="0011731E" w:rsidRPr="00242E26" w:rsidRDefault="0011731E" w:rsidP="0011731E">
      <w:pPr>
        <w:jc w:val="both"/>
        <w:rPr>
          <w:rFonts w:ascii="Titillium" w:hAnsi="Titillium"/>
          <w:b/>
          <w:bCs/>
          <w:sz w:val="18"/>
          <w:szCs w:val="18"/>
        </w:rPr>
      </w:pPr>
    </w:p>
    <w:p w:rsidR="0011731E" w:rsidRPr="00242E26" w:rsidRDefault="00A325BF" w:rsidP="0011731E">
      <w:pPr>
        <w:jc w:val="both"/>
        <w:rPr>
          <w:rFonts w:ascii="Titillium" w:hAnsi="Titillium"/>
          <w:bCs/>
          <w:sz w:val="18"/>
          <w:szCs w:val="18"/>
          <w:highlight w:val="yellow"/>
        </w:rPr>
      </w:pPr>
      <w:r w:rsidRPr="00242E26">
        <w:rPr>
          <w:rFonts w:ascii="Titillium" w:hAnsi="Titillium"/>
          <w:b/>
          <w:bCs/>
          <w:sz w:val="18"/>
          <w:szCs w:val="18"/>
        </w:rPr>
        <w:t xml:space="preserve">VISTO </w:t>
      </w:r>
      <w:r w:rsidRPr="00242E26">
        <w:rPr>
          <w:rFonts w:ascii="Titillium" w:hAnsi="Titillium"/>
          <w:bCs/>
          <w:sz w:val="18"/>
          <w:szCs w:val="18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11731E" w:rsidRPr="00242E26" w:rsidRDefault="0011731E" w:rsidP="0011731E">
      <w:pPr>
        <w:jc w:val="both"/>
        <w:rPr>
          <w:rFonts w:ascii="Titillium" w:hAnsi="Titillium"/>
          <w:b/>
          <w:bCs/>
          <w:sz w:val="18"/>
          <w:szCs w:val="18"/>
          <w:highlight w:val="yellow"/>
        </w:rPr>
      </w:pPr>
    </w:p>
    <w:p w:rsidR="009415F7" w:rsidRPr="0059710F" w:rsidRDefault="00242E26" w:rsidP="0011731E">
      <w:pPr>
        <w:jc w:val="both"/>
        <w:rPr>
          <w:rFonts w:ascii="Titillium" w:hAnsi="Titillium"/>
          <w:bCs/>
          <w:sz w:val="18"/>
          <w:szCs w:val="18"/>
          <w:highlight w:val="yellow"/>
        </w:rPr>
      </w:pPr>
      <w:r w:rsidRPr="0059710F">
        <w:rPr>
          <w:rFonts w:ascii="Titillium" w:hAnsi="Titillium"/>
          <w:b/>
          <w:bCs/>
          <w:sz w:val="18"/>
          <w:szCs w:val="18"/>
        </w:rPr>
        <w:t xml:space="preserve">VISTA </w:t>
      </w:r>
      <w:r w:rsidR="00DD7553" w:rsidRPr="0059710F">
        <w:rPr>
          <w:rFonts w:ascii="Titillium" w:hAnsi="Titillium"/>
          <w:bCs/>
          <w:sz w:val="18"/>
          <w:szCs w:val="18"/>
        </w:rPr>
        <w:t>la nota prot. n. 0011698</w:t>
      </w:r>
      <w:r w:rsidRPr="0059710F">
        <w:rPr>
          <w:rFonts w:ascii="Titillium" w:hAnsi="Titillium"/>
          <w:bCs/>
          <w:sz w:val="18"/>
          <w:szCs w:val="18"/>
        </w:rPr>
        <w:t xml:space="preserve"> del </w:t>
      </w:r>
      <w:r w:rsidR="00DD7553" w:rsidRPr="0059710F">
        <w:rPr>
          <w:rFonts w:ascii="Titillium" w:hAnsi="Titillium"/>
          <w:bCs/>
          <w:sz w:val="18"/>
          <w:szCs w:val="18"/>
        </w:rPr>
        <w:t>10.2</w:t>
      </w:r>
      <w:r w:rsidRPr="0059710F">
        <w:rPr>
          <w:rFonts w:ascii="Titillium" w:hAnsi="Titillium"/>
          <w:bCs/>
          <w:sz w:val="18"/>
          <w:szCs w:val="18"/>
        </w:rPr>
        <w:t xml:space="preserve">.2023 con cui il Dirigente dell’Ufficio </w:t>
      </w:r>
      <w:proofErr w:type="spellStart"/>
      <w:r w:rsidR="008500E8">
        <w:rPr>
          <w:rFonts w:ascii="Titillium" w:hAnsi="Titillium"/>
          <w:bCs/>
          <w:sz w:val="18"/>
          <w:szCs w:val="18"/>
        </w:rPr>
        <w:t>Usis</w:t>
      </w:r>
      <w:proofErr w:type="spellEnd"/>
      <w:r w:rsidR="008B2EBA" w:rsidRPr="002B2428">
        <w:rPr>
          <w:rFonts w:ascii="Titillium" w:hAnsi="Titillium"/>
          <w:bCs/>
          <w:sz w:val="18"/>
          <w:szCs w:val="18"/>
        </w:rPr>
        <w:t xml:space="preserve">, </w:t>
      </w:r>
      <w:r w:rsidR="002B2428">
        <w:rPr>
          <w:rFonts w:ascii="Titillium" w:hAnsi="Titillium"/>
          <w:bCs/>
          <w:sz w:val="18"/>
          <w:szCs w:val="18"/>
        </w:rPr>
        <w:t>in relazione all’attività di incremento delle po</w:t>
      </w:r>
      <w:r w:rsidR="00833965">
        <w:rPr>
          <w:rFonts w:ascii="Titillium" w:hAnsi="Titillium"/>
          <w:bCs/>
          <w:sz w:val="18"/>
          <w:szCs w:val="18"/>
        </w:rPr>
        <w:t>stazioni di lavoro già avviata con esito positivo</w:t>
      </w:r>
      <w:r w:rsidR="002B2428">
        <w:rPr>
          <w:rFonts w:ascii="Titillium" w:hAnsi="Titillium"/>
          <w:bCs/>
          <w:sz w:val="18"/>
          <w:szCs w:val="18"/>
        </w:rPr>
        <w:t xml:space="preserve"> negli anni precedenti, </w:t>
      </w:r>
      <w:r w:rsidR="002B2428" w:rsidRPr="002B2428">
        <w:rPr>
          <w:rFonts w:ascii="Titillium" w:hAnsi="Titillium"/>
          <w:bCs/>
          <w:sz w:val="18"/>
          <w:szCs w:val="18"/>
        </w:rPr>
        <w:t>ha rappresentato l’esigenza di acquisire materiale informatico vario</w:t>
      </w:r>
      <w:r w:rsidR="00DD7553" w:rsidRPr="002B2428">
        <w:rPr>
          <w:rFonts w:ascii="Titillium" w:hAnsi="Titillium"/>
          <w:bCs/>
          <w:sz w:val="18"/>
          <w:szCs w:val="18"/>
        </w:rPr>
        <w:t xml:space="preserve">, </w:t>
      </w:r>
      <w:r w:rsidR="00120243" w:rsidRPr="002B2428">
        <w:rPr>
          <w:rFonts w:ascii="Titillium" w:hAnsi="Titillium"/>
          <w:bCs/>
          <w:sz w:val="18"/>
          <w:szCs w:val="18"/>
        </w:rPr>
        <w:t xml:space="preserve">per un costo totale </w:t>
      </w:r>
      <w:r w:rsidR="002B2428" w:rsidRPr="002B2428">
        <w:rPr>
          <w:rFonts w:ascii="Titillium" w:hAnsi="Titillium"/>
          <w:bCs/>
          <w:sz w:val="18"/>
          <w:szCs w:val="18"/>
        </w:rPr>
        <w:t xml:space="preserve">presunto </w:t>
      </w:r>
      <w:r w:rsidR="00120243" w:rsidRPr="002B2428">
        <w:rPr>
          <w:rFonts w:ascii="Titillium" w:hAnsi="Titillium"/>
          <w:bCs/>
          <w:sz w:val="18"/>
          <w:szCs w:val="18"/>
        </w:rPr>
        <w:t xml:space="preserve">di € </w:t>
      </w:r>
      <w:r w:rsidR="002B2428" w:rsidRPr="002B2428">
        <w:rPr>
          <w:rFonts w:ascii="Titillium" w:hAnsi="Titillium"/>
          <w:bCs/>
          <w:sz w:val="18"/>
          <w:szCs w:val="18"/>
        </w:rPr>
        <w:t>8</w:t>
      </w:r>
      <w:r w:rsidR="008B2EBA" w:rsidRPr="002B2428">
        <w:rPr>
          <w:rFonts w:ascii="Titillium" w:hAnsi="Titillium"/>
          <w:bCs/>
          <w:sz w:val="18"/>
          <w:szCs w:val="18"/>
        </w:rPr>
        <w:t>.</w:t>
      </w:r>
      <w:r w:rsidR="002B2428" w:rsidRPr="002B2428">
        <w:rPr>
          <w:rFonts w:ascii="Titillium" w:hAnsi="Titillium"/>
          <w:bCs/>
          <w:sz w:val="18"/>
          <w:szCs w:val="18"/>
        </w:rPr>
        <w:t>310</w:t>
      </w:r>
      <w:r w:rsidR="002F5D11">
        <w:rPr>
          <w:rFonts w:ascii="Titillium" w:hAnsi="Titillium"/>
          <w:bCs/>
          <w:sz w:val="18"/>
          <w:szCs w:val="18"/>
        </w:rPr>
        <w:t>,0</w:t>
      </w:r>
      <w:r w:rsidR="008B2EBA" w:rsidRPr="002B2428">
        <w:rPr>
          <w:rFonts w:ascii="Titillium" w:hAnsi="Titillium"/>
          <w:bCs/>
          <w:sz w:val="18"/>
          <w:szCs w:val="18"/>
        </w:rPr>
        <w:t>0 oltre Iva</w:t>
      </w:r>
      <w:r w:rsidR="009415F7" w:rsidRPr="002B2428">
        <w:rPr>
          <w:rFonts w:ascii="Titillium" w:hAnsi="Titillium"/>
          <w:bCs/>
          <w:sz w:val="18"/>
          <w:szCs w:val="18"/>
        </w:rPr>
        <w:t>;</w:t>
      </w:r>
    </w:p>
    <w:p w:rsidR="001A2E3E" w:rsidRPr="0059710F" w:rsidRDefault="001A2E3E" w:rsidP="0011731E">
      <w:pPr>
        <w:jc w:val="both"/>
        <w:rPr>
          <w:rFonts w:ascii="Titillium" w:hAnsi="Titillium"/>
          <w:bCs/>
          <w:sz w:val="18"/>
          <w:szCs w:val="18"/>
          <w:highlight w:val="yellow"/>
        </w:rPr>
      </w:pPr>
    </w:p>
    <w:p w:rsidR="000F54E3" w:rsidRDefault="00120243" w:rsidP="0011731E">
      <w:pPr>
        <w:jc w:val="both"/>
        <w:rPr>
          <w:rFonts w:ascii="Titillium" w:hAnsi="Titillium"/>
          <w:bCs/>
          <w:sz w:val="18"/>
          <w:szCs w:val="18"/>
        </w:rPr>
      </w:pPr>
      <w:r w:rsidRPr="00440A41">
        <w:rPr>
          <w:rFonts w:ascii="Titillium" w:hAnsi="Titillium"/>
          <w:b/>
          <w:bCs/>
          <w:sz w:val="18"/>
          <w:szCs w:val="18"/>
        </w:rPr>
        <w:t>CONSIDERATO</w:t>
      </w:r>
      <w:r w:rsidRPr="00440A41">
        <w:rPr>
          <w:rFonts w:ascii="Titillium" w:hAnsi="Titillium"/>
          <w:bCs/>
          <w:sz w:val="18"/>
          <w:szCs w:val="18"/>
        </w:rPr>
        <w:t xml:space="preserve"> che </w:t>
      </w:r>
      <w:r w:rsidR="002B2428" w:rsidRPr="00440A41">
        <w:rPr>
          <w:rFonts w:ascii="Titillium" w:hAnsi="Titillium"/>
          <w:bCs/>
          <w:sz w:val="18"/>
          <w:szCs w:val="18"/>
        </w:rPr>
        <w:t xml:space="preserve">a seguito </w:t>
      </w:r>
      <w:r w:rsidR="00A324E9">
        <w:rPr>
          <w:rFonts w:ascii="Titillium" w:hAnsi="Titillium"/>
          <w:bCs/>
          <w:sz w:val="18"/>
          <w:szCs w:val="18"/>
        </w:rPr>
        <w:t>di quanto sopra</w:t>
      </w:r>
      <w:r w:rsidR="00BC59AE">
        <w:rPr>
          <w:rFonts w:ascii="Titillium" w:hAnsi="Titillium"/>
          <w:bCs/>
          <w:sz w:val="18"/>
          <w:szCs w:val="18"/>
        </w:rPr>
        <w:t>,</w:t>
      </w:r>
      <w:r w:rsidR="00770F19">
        <w:rPr>
          <w:rFonts w:ascii="Titillium" w:hAnsi="Titillium"/>
          <w:bCs/>
          <w:sz w:val="18"/>
          <w:szCs w:val="18"/>
        </w:rPr>
        <w:t xml:space="preserve"> gli Uffici Ugare e </w:t>
      </w:r>
      <w:proofErr w:type="spellStart"/>
      <w:r w:rsidR="00770F19">
        <w:rPr>
          <w:rFonts w:ascii="Titillium" w:hAnsi="Titillium"/>
          <w:bCs/>
          <w:sz w:val="18"/>
          <w:szCs w:val="18"/>
        </w:rPr>
        <w:t>Usis</w:t>
      </w:r>
      <w:proofErr w:type="spellEnd"/>
      <w:r w:rsidR="00770F19">
        <w:rPr>
          <w:rFonts w:ascii="Titillium" w:hAnsi="Titillium"/>
          <w:bCs/>
          <w:sz w:val="18"/>
          <w:szCs w:val="18"/>
        </w:rPr>
        <w:t xml:space="preserve"> </w:t>
      </w:r>
      <w:r w:rsidR="00440A41" w:rsidRPr="00440A41">
        <w:rPr>
          <w:rFonts w:ascii="Titillium" w:hAnsi="Titillium"/>
          <w:bCs/>
          <w:sz w:val="18"/>
          <w:szCs w:val="18"/>
        </w:rPr>
        <w:t xml:space="preserve">hanno avviato </w:t>
      </w:r>
      <w:r w:rsidR="002B2428" w:rsidRPr="00440A41">
        <w:rPr>
          <w:rFonts w:ascii="Titillium" w:hAnsi="Titillium"/>
          <w:bCs/>
          <w:sz w:val="18"/>
          <w:szCs w:val="18"/>
        </w:rPr>
        <w:t>una ricerca su MePA</w:t>
      </w:r>
      <w:r w:rsidR="00E6410D">
        <w:rPr>
          <w:rFonts w:ascii="Titillium" w:hAnsi="Titillium"/>
          <w:bCs/>
          <w:sz w:val="18"/>
          <w:szCs w:val="18"/>
        </w:rPr>
        <w:t xml:space="preserve">, </w:t>
      </w:r>
      <w:r w:rsidR="00353006">
        <w:rPr>
          <w:rFonts w:ascii="Titillium" w:hAnsi="Titillium"/>
          <w:bCs/>
          <w:sz w:val="18"/>
          <w:szCs w:val="18"/>
        </w:rPr>
        <w:t>al fine di individuare la migliore soluzione per l’acquisto de</w:t>
      </w:r>
      <w:r w:rsidR="00DB0F60">
        <w:rPr>
          <w:rFonts w:ascii="Titillium" w:hAnsi="Titillium"/>
          <w:bCs/>
          <w:sz w:val="18"/>
          <w:szCs w:val="18"/>
        </w:rPr>
        <w:t>i</w:t>
      </w:r>
      <w:r w:rsidR="00353006">
        <w:rPr>
          <w:rFonts w:ascii="Titillium" w:hAnsi="Titillium"/>
          <w:bCs/>
          <w:sz w:val="18"/>
          <w:szCs w:val="18"/>
        </w:rPr>
        <w:t xml:space="preserve"> beni informatici </w:t>
      </w:r>
      <w:r w:rsidR="004F27F7">
        <w:rPr>
          <w:rFonts w:ascii="Titillium" w:hAnsi="Titillium"/>
          <w:bCs/>
          <w:sz w:val="18"/>
          <w:szCs w:val="18"/>
        </w:rPr>
        <w:t>richiesti</w:t>
      </w:r>
      <w:r w:rsidR="00353006">
        <w:rPr>
          <w:rFonts w:ascii="Titillium" w:hAnsi="Titillium"/>
          <w:bCs/>
          <w:sz w:val="18"/>
          <w:szCs w:val="18"/>
        </w:rPr>
        <w:t>;</w:t>
      </w:r>
    </w:p>
    <w:p w:rsidR="00C5513F" w:rsidRDefault="00C5513F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E6410D" w:rsidRDefault="00353006" w:rsidP="0011731E">
      <w:pPr>
        <w:jc w:val="both"/>
        <w:rPr>
          <w:rFonts w:ascii="Titillium" w:hAnsi="Titillium"/>
          <w:bCs/>
          <w:sz w:val="18"/>
          <w:szCs w:val="18"/>
        </w:rPr>
      </w:pPr>
      <w:r>
        <w:rPr>
          <w:rFonts w:ascii="Titillium" w:hAnsi="Titillium"/>
          <w:b/>
          <w:bCs/>
          <w:sz w:val="18"/>
          <w:szCs w:val="18"/>
        </w:rPr>
        <w:t>TENUTO CONTO</w:t>
      </w:r>
      <w:r>
        <w:rPr>
          <w:rFonts w:ascii="Titillium" w:hAnsi="Titillium"/>
          <w:bCs/>
          <w:sz w:val="18"/>
          <w:szCs w:val="18"/>
        </w:rPr>
        <w:t xml:space="preserve"> che </w:t>
      </w:r>
      <w:r w:rsidR="00ED3846">
        <w:rPr>
          <w:rFonts w:ascii="Titillium" w:hAnsi="Titillium"/>
          <w:bCs/>
          <w:sz w:val="18"/>
          <w:szCs w:val="18"/>
        </w:rPr>
        <w:t xml:space="preserve">attraverso la predetta </w:t>
      </w:r>
      <w:r w:rsidR="00DB0F60" w:rsidRPr="00DB0F60">
        <w:rPr>
          <w:rFonts w:ascii="Titillium" w:hAnsi="Titillium"/>
          <w:bCs/>
          <w:sz w:val="18"/>
          <w:szCs w:val="18"/>
        </w:rPr>
        <w:t>ricerca</w:t>
      </w:r>
      <w:r w:rsidR="00DB0F60">
        <w:rPr>
          <w:rFonts w:ascii="Titillium" w:hAnsi="Titillium"/>
          <w:b/>
          <w:bCs/>
          <w:sz w:val="18"/>
          <w:szCs w:val="18"/>
        </w:rPr>
        <w:t xml:space="preserve"> </w:t>
      </w:r>
      <w:r w:rsidR="00DB0F60" w:rsidRPr="00DB0F60">
        <w:rPr>
          <w:rFonts w:ascii="Titillium" w:hAnsi="Titillium"/>
          <w:bCs/>
          <w:sz w:val="18"/>
          <w:szCs w:val="18"/>
        </w:rPr>
        <w:t xml:space="preserve">è stata individuata la </w:t>
      </w:r>
      <w:r w:rsidR="00ED3846">
        <w:rPr>
          <w:rFonts w:ascii="Titillium" w:hAnsi="Titillium"/>
          <w:bCs/>
          <w:sz w:val="18"/>
          <w:szCs w:val="18"/>
        </w:rPr>
        <w:t xml:space="preserve">società </w:t>
      </w:r>
      <w:r w:rsidR="00DB0F60" w:rsidRPr="00324E8A">
        <w:rPr>
          <w:rFonts w:ascii="Titillium" w:hAnsi="Titillium"/>
          <w:bCs/>
          <w:sz w:val="18"/>
          <w:szCs w:val="18"/>
        </w:rPr>
        <w:t>ISI ENGINEERING S</w:t>
      </w:r>
      <w:r w:rsidR="00833965">
        <w:rPr>
          <w:rFonts w:ascii="Titillium" w:hAnsi="Titillium"/>
          <w:bCs/>
          <w:sz w:val="18"/>
          <w:szCs w:val="18"/>
        </w:rPr>
        <w:t>.r.l.</w:t>
      </w:r>
      <w:r w:rsidR="004F27F7">
        <w:rPr>
          <w:rFonts w:ascii="Titillium" w:hAnsi="Titillium"/>
          <w:bCs/>
          <w:sz w:val="18"/>
          <w:szCs w:val="18"/>
        </w:rPr>
        <w:t xml:space="preserve"> i cui prodotti</w:t>
      </w:r>
      <w:r w:rsidR="00DB0F60">
        <w:rPr>
          <w:rFonts w:ascii="Titillium" w:hAnsi="Titillium"/>
          <w:bCs/>
          <w:sz w:val="18"/>
          <w:szCs w:val="18"/>
        </w:rPr>
        <w:t xml:space="preserve">, oltre a rispondere all’esigenza </w:t>
      </w:r>
      <w:r w:rsidR="004F27F7">
        <w:rPr>
          <w:rFonts w:ascii="Titillium" w:hAnsi="Titillium"/>
          <w:bCs/>
          <w:sz w:val="18"/>
          <w:szCs w:val="18"/>
        </w:rPr>
        <w:t>di cui sopra, risultano essere economicamente convenienti;</w:t>
      </w:r>
    </w:p>
    <w:p w:rsidR="00120243" w:rsidRDefault="00120243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4F27F7" w:rsidRDefault="004F27F7" w:rsidP="0011731E">
      <w:pPr>
        <w:jc w:val="both"/>
        <w:rPr>
          <w:rFonts w:ascii="Titillium" w:hAnsi="Titillium"/>
          <w:bCs/>
          <w:sz w:val="18"/>
          <w:szCs w:val="18"/>
        </w:rPr>
      </w:pPr>
      <w:r w:rsidRPr="00440A41">
        <w:rPr>
          <w:rFonts w:ascii="Titillium" w:hAnsi="Titillium"/>
          <w:b/>
          <w:bCs/>
          <w:sz w:val="18"/>
          <w:szCs w:val="18"/>
        </w:rPr>
        <w:t>CONSIDERATO</w:t>
      </w:r>
      <w:r>
        <w:rPr>
          <w:rFonts w:ascii="Titillium" w:hAnsi="Titillium"/>
          <w:b/>
          <w:bCs/>
          <w:sz w:val="18"/>
          <w:szCs w:val="18"/>
        </w:rPr>
        <w:t xml:space="preserve"> </w:t>
      </w:r>
      <w:r>
        <w:rPr>
          <w:rFonts w:ascii="Titillium" w:hAnsi="Titillium"/>
          <w:bCs/>
          <w:sz w:val="18"/>
          <w:szCs w:val="18"/>
        </w:rPr>
        <w:t>che, al fine di avere conferma sulla rispondenza tecnica ed economica dei prodotti individuati su MePA rispetto a</w:t>
      </w:r>
      <w:r w:rsidR="00574BC1">
        <w:rPr>
          <w:rFonts w:ascii="Titillium" w:hAnsi="Titillium"/>
          <w:bCs/>
          <w:sz w:val="18"/>
          <w:szCs w:val="18"/>
        </w:rPr>
        <w:t>ll’esigenza</w:t>
      </w:r>
      <w:r>
        <w:rPr>
          <w:rFonts w:ascii="Titillium" w:hAnsi="Titillium"/>
          <w:bCs/>
          <w:sz w:val="18"/>
          <w:szCs w:val="18"/>
        </w:rPr>
        <w:t xml:space="preserve">, è stato richiesto un preventivo di spesa alla </w:t>
      </w:r>
      <w:r w:rsidR="00ED3846">
        <w:rPr>
          <w:rFonts w:ascii="Titillium" w:hAnsi="Titillium"/>
          <w:bCs/>
          <w:sz w:val="18"/>
          <w:szCs w:val="18"/>
        </w:rPr>
        <w:t xml:space="preserve">suddetta </w:t>
      </w:r>
      <w:r>
        <w:rPr>
          <w:rFonts w:ascii="Titillium" w:hAnsi="Titillium"/>
          <w:bCs/>
          <w:sz w:val="18"/>
          <w:szCs w:val="18"/>
        </w:rPr>
        <w:t>società;</w:t>
      </w:r>
    </w:p>
    <w:p w:rsidR="004F27F7" w:rsidRDefault="004F27F7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324E8A" w:rsidRDefault="00324E8A" w:rsidP="0011731E">
      <w:pPr>
        <w:jc w:val="both"/>
        <w:rPr>
          <w:rFonts w:ascii="Titillium" w:hAnsi="Titillium"/>
          <w:bCs/>
          <w:sz w:val="18"/>
          <w:szCs w:val="18"/>
        </w:rPr>
      </w:pPr>
      <w:r w:rsidRPr="00324E8A">
        <w:rPr>
          <w:rFonts w:ascii="Titillium" w:hAnsi="Titillium"/>
          <w:b/>
          <w:bCs/>
          <w:sz w:val="18"/>
          <w:szCs w:val="18"/>
        </w:rPr>
        <w:t xml:space="preserve">VISTO </w:t>
      </w:r>
      <w:r w:rsidRPr="00324E8A">
        <w:rPr>
          <w:rFonts w:ascii="Titillium" w:hAnsi="Titillium"/>
          <w:bCs/>
          <w:sz w:val="18"/>
          <w:szCs w:val="18"/>
        </w:rPr>
        <w:t>il</w:t>
      </w:r>
      <w:r>
        <w:rPr>
          <w:rFonts w:ascii="Titillium" w:hAnsi="Titillium"/>
          <w:bCs/>
          <w:sz w:val="18"/>
          <w:szCs w:val="18"/>
        </w:rPr>
        <w:t xml:space="preserve"> preventivo di spesa prot. n. </w:t>
      </w:r>
      <w:r w:rsidR="00343D41">
        <w:rPr>
          <w:rFonts w:ascii="Titillium" w:hAnsi="Titillium"/>
          <w:bCs/>
          <w:sz w:val="18"/>
          <w:szCs w:val="18"/>
        </w:rPr>
        <w:t>00</w:t>
      </w:r>
      <w:r w:rsidR="00EE0B14">
        <w:rPr>
          <w:rFonts w:ascii="Titillium" w:hAnsi="Titillium"/>
          <w:bCs/>
          <w:sz w:val="18"/>
          <w:szCs w:val="18"/>
        </w:rPr>
        <w:t>14124</w:t>
      </w:r>
      <w:r>
        <w:rPr>
          <w:rFonts w:ascii="Titillium" w:hAnsi="Titillium"/>
          <w:bCs/>
          <w:sz w:val="18"/>
          <w:szCs w:val="18"/>
        </w:rPr>
        <w:t xml:space="preserve"> del </w:t>
      </w:r>
      <w:r w:rsidR="00EE0B14">
        <w:rPr>
          <w:rFonts w:ascii="Titillium" w:hAnsi="Titillium"/>
          <w:bCs/>
          <w:sz w:val="18"/>
          <w:szCs w:val="18"/>
        </w:rPr>
        <w:t>20.2.2023</w:t>
      </w:r>
      <w:r>
        <w:rPr>
          <w:rFonts w:ascii="Titillium" w:hAnsi="Titillium"/>
          <w:bCs/>
          <w:sz w:val="18"/>
          <w:szCs w:val="18"/>
        </w:rPr>
        <w:t xml:space="preserve"> della società </w:t>
      </w:r>
      <w:r w:rsidRPr="00324E8A">
        <w:rPr>
          <w:rFonts w:ascii="Titillium" w:hAnsi="Titillium"/>
          <w:bCs/>
          <w:sz w:val="18"/>
          <w:szCs w:val="18"/>
        </w:rPr>
        <w:t>ISI ENGINEERING SRL</w:t>
      </w:r>
      <w:r>
        <w:rPr>
          <w:rFonts w:ascii="Titillium" w:hAnsi="Titillium"/>
          <w:bCs/>
          <w:sz w:val="18"/>
          <w:szCs w:val="18"/>
        </w:rPr>
        <w:t>, per la fornitura del materiale informatico in questione, per un importo totale di € 4.572,40 oltre Iva;</w:t>
      </w:r>
    </w:p>
    <w:p w:rsidR="00A324E9" w:rsidRDefault="00A324E9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A324E9" w:rsidRPr="00A324E9" w:rsidRDefault="008A58D7" w:rsidP="0011731E">
      <w:pPr>
        <w:jc w:val="both"/>
        <w:rPr>
          <w:rFonts w:ascii="Titillium" w:hAnsi="Titillium"/>
          <w:bCs/>
          <w:sz w:val="18"/>
          <w:szCs w:val="18"/>
        </w:rPr>
      </w:pPr>
      <w:r w:rsidRPr="008A58D7">
        <w:rPr>
          <w:rFonts w:ascii="Titillium" w:hAnsi="Titillium"/>
          <w:b/>
          <w:bCs/>
          <w:sz w:val="18"/>
          <w:szCs w:val="18"/>
        </w:rPr>
        <w:t>TENUTO CONTO</w:t>
      </w:r>
      <w:r w:rsidR="00A324E9">
        <w:rPr>
          <w:rFonts w:ascii="Titillium" w:hAnsi="Titillium"/>
          <w:b/>
          <w:bCs/>
          <w:sz w:val="18"/>
          <w:szCs w:val="18"/>
        </w:rPr>
        <w:t xml:space="preserve"> </w:t>
      </w:r>
      <w:r w:rsidR="00A324E9">
        <w:rPr>
          <w:rFonts w:ascii="Titillium" w:hAnsi="Titillium"/>
          <w:bCs/>
          <w:sz w:val="18"/>
          <w:szCs w:val="18"/>
        </w:rPr>
        <w:t xml:space="preserve">che </w:t>
      </w:r>
      <w:r w:rsidR="004F27F7">
        <w:rPr>
          <w:rFonts w:ascii="Titillium" w:hAnsi="Titillium"/>
          <w:bCs/>
          <w:sz w:val="18"/>
          <w:szCs w:val="18"/>
        </w:rPr>
        <w:t xml:space="preserve">gli articoli </w:t>
      </w:r>
      <w:r w:rsidR="00503DDB">
        <w:rPr>
          <w:rFonts w:ascii="Titillium" w:hAnsi="Titillium"/>
          <w:bCs/>
          <w:sz w:val="18"/>
          <w:szCs w:val="18"/>
        </w:rPr>
        <w:t>elencati</w:t>
      </w:r>
      <w:r w:rsidR="004F27F7">
        <w:rPr>
          <w:rFonts w:ascii="Titillium" w:hAnsi="Titillium"/>
          <w:bCs/>
          <w:sz w:val="18"/>
          <w:szCs w:val="18"/>
        </w:rPr>
        <w:t xml:space="preserve"> nel suddetto preventivo sono conformi a quanto richiesto </w:t>
      </w:r>
      <w:r w:rsidR="00ED3846">
        <w:rPr>
          <w:rFonts w:ascii="Titillium" w:hAnsi="Titillium"/>
          <w:bCs/>
          <w:sz w:val="18"/>
          <w:szCs w:val="18"/>
        </w:rPr>
        <w:t xml:space="preserve">dall’Ufficio </w:t>
      </w:r>
      <w:proofErr w:type="spellStart"/>
      <w:r w:rsidR="00ED3846">
        <w:rPr>
          <w:rFonts w:ascii="Titillium" w:hAnsi="Titillium"/>
          <w:bCs/>
          <w:sz w:val="18"/>
          <w:szCs w:val="18"/>
        </w:rPr>
        <w:t>U</w:t>
      </w:r>
      <w:r w:rsidR="00503DDB">
        <w:rPr>
          <w:rFonts w:ascii="Titillium" w:hAnsi="Titillium"/>
          <w:bCs/>
          <w:sz w:val="18"/>
          <w:szCs w:val="18"/>
        </w:rPr>
        <w:t>sis</w:t>
      </w:r>
      <w:proofErr w:type="spellEnd"/>
      <w:r w:rsidR="00503DDB">
        <w:rPr>
          <w:rFonts w:ascii="Titillium" w:hAnsi="Titillium"/>
          <w:bCs/>
          <w:sz w:val="18"/>
          <w:szCs w:val="18"/>
        </w:rPr>
        <w:t xml:space="preserve">, </w:t>
      </w:r>
      <w:r w:rsidR="00ED3846">
        <w:rPr>
          <w:rFonts w:ascii="Titillium" w:hAnsi="Titillium"/>
          <w:bCs/>
          <w:sz w:val="18"/>
          <w:szCs w:val="18"/>
        </w:rPr>
        <w:t xml:space="preserve">e che </w:t>
      </w:r>
      <w:r w:rsidR="00503DDB">
        <w:rPr>
          <w:rFonts w:ascii="Titillium" w:hAnsi="Titillium"/>
          <w:bCs/>
          <w:sz w:val="18"/>
          <w:szCs w:val="18"/>
        </w:rPr>
        <w:t>il costo totale</w:t>
      </w:r>
      <w:r w:rsidR="00ED3846">
        <w:rPr>
          <w:rFonts w:ascii="Titillium" w:hAnsi="Titillium"/>
          <w:bCs/>
          <w:sz w:val="18"/>
          <w:szCs w:val="18"/>
        </w:rPr>
        <w:t xml:space="preserve"> </w:t>
      </w:r>
      <w:r w:rsidR="00574BC1">
        <w:rPr>
          <w:rFonts w:ascii="Titillium" w:hAnsi="Titillium"/>
          <w:bCs/>
          <w:sz w:val="18"/>
          <w:szCs w:val="18"/>
        </w:rPr>
        <w:t>della fornitura</w:t>
      </w:r>
      <w:r w:rsidR="00503DDB" w:rsidRPr="00503DDB">
        <w:rPr>
          <w:rFonts w:ascii="Titillium" w:hAnsi="Titillium"/>
          <w:bCs/>
          <w:sz w:val="18"/>
          <w:szCs w:val="18"/>
        </w:rPr>
        <w:t xml:space="preserve"> </w:t>
      </w:r>
      <w:r w:rsidR="00ED3846">
        <w:rPr>
          <w:rFonts w:ascii="Titillium" w:hAnsi="Titillium"/>
          <w:bCs/>
          <w:sz w:val="18"/>
          <w:szCs w:val="18"/>
        </w:rPr>
        <w:t>è considerevolmente inferiore rispetto alla previsione di spesa</w:t>
      </w:r>
      <w:r w:rsidR="00503DDB">
        <w:rPr>
          <w:rFonts w:ascii="Titillium" w:hAnsi="Titillium"/>
          <w:bCs/>
          <w:sz w:val="18"/>
          <w:szCs w:val="18"/>
        </w:rPr>
        <w:t xml:space="preserve"> indicata </w:t>
      </w:r>
      <w:r w:rsidR="00503DDB" w:rsidRPr="00ED3846">
        <w:rPr>
          <w:rFonts w:ascii="Titillium" w:hAnsi="Titillium"/>
          <w:bCs/>
          <w:sz w:val="18"/>
          <w:szCs w:val="18"/>
        </w:rPr>
        <w:t>nella nota prot. n. 0011698 del 10.2.2023</w:t>
      </w:r>
      <w:r w:rsidR="003464B0">
        <w:rPr>
          <w:rFonts w:ascii="Titillium" w:hAnsi="Titillium"/>
          <w:bCs/>
          <w:sz w:val="18"/>
          <w:szCs w:val="18"/>
        </w:rPr>
        <w:t>;</w:t>
      </w:r>
    </w:p>
    <w:p w:rsidR="0011731E" w:rsidRDefault="0011731E" w:rsidP="0011731E">
      <w:pPr>
        <w:pStyle w:val="Corpodeltesto2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</w:p>
    <w:p w:rsidR="008A58D7" w:rsidRDefault="008A58D7" w:rsidP="0011731E">
      <w:pPr>
        <w:pStyle w:val="Corpodeltesto2"/>
        <w:spacing w:after="0" w:line="240" w:lineRule="auto"/>
        <w:jc w:val="both"/>
        <w:rPr>
          <w:rFonts w:ascii="Titillium" w:hAnsi="Titillium"/>
          <w:bCs/>
          <w:sz w:val="18"/>
          <w:szCs w:val="18"/>
        </w:rPr>
      </w:pPr>
      <w:r w:rsidRPr="008A58D7">
        <w:rPr>
          <w:rFonts w:ascii="Titillium" w:hAnsi="Titillium"/>
          <w:b/>
          <w:sz w:val="18"/>
          <w:szCs w:val="18"/>
        </w:rPr>
        <w:t xml:space="preserve">RITENUTO </w:t>
      </w:r>
      <w:r>
        <w:rPr>
          <w:rFonts w:ascii="Titillium" w:hAnsi="Titillium"/>
          <w:sz w:val="18"/>
          <w:szCs w:val="18"/>
        </w:rPr>
        <w:t xml:space="preserve">pertanto opportuno affidare la fornitura del </w:t>
      </w:r>
      <w:r w:rsidR="004073BF">
        <w:rPr>
          <w:rFonts w:ascii="Titillium" w:hAnsi="Titillium"/>
          <w:sz w:val="18"/>
          <w:szCs w:val="18"/>
        </w:rPr>
        <w:t xml:space="preserve">predetto </w:t>
      </w:r>
      <w:r>
        <w:rPr>
          <w:rFonts w:ascii="Titillium" w:hAnsi="Titillium"/>
          <w:sz w:val="18"/>
          <w:szCs w:val="18"/>
        </w:rPr>
        <w:t xml:space="preserve">materiale informatico alla società </w:t>
      </w:r>
      <w:r w:rsidRPr="008A58D7">
        <w:rPr>
          <w:rFonts w:ascii="Titillium" w:hAnsi="Titillium"/>
          <w:bCs/>
          <w:sz w:val="18"/>
          <w:szCs w:val="18"/>
        </w:rPr>
        <w:t>ISI ENGINEERING SRL</w:t>
      </w:r>
      <w:r>
        <w:rPr>
          <w:rFonts w:ascii="Titillium" w:hAnsi="Titillium"/>
          <w:bCs/>
          <w:sz w:val="18"/>
          <w:szCs w:val="18"/>
        </w:rPr>
        <w:t xml:space="preserve">; </w:t>
      </w:r>
    </w:p>
    <w:p w:rsidR="008A58D7" w:rsidRDefault="008A58D7" w:rsidP="0011731E">
      <w:pPr>
        <w:pStyle w:val="Corpodeltesto2"/>
        <w:spacing w:after="0" w:line="240" w:lineRule="auto"/>
        <w:jc w:val="both"/>
        <w:rPr>
          <w:rFonts w:ascii="Titillium" w:hAnsi="Titillium"/>
          <w:bCs/>
          <w:sz w:val="18"/>
          <w:szCs w:val="18"/>
        </w:rPr>
      </w:pPr>
    </w:p>
    <w:p w:rsidR="008A58D7" w:rsidRDefault="008A58D7" w:rsidP="0011731E">
      <w:pPr>
        <w:pStyle w:val="Corpodeltesto2"/>
        <w:spacing w:after="0" w:line="240" w:lineRule="auto"/>
        <w:jc w:val="both"/>
        <w:rPr>
          <w:rFonts w:ascii="Titillium" w:hAnsi="Titillium"/>
          <w:sz w:val="18"/>
          <w:szCs w:val="18"/>
        </w:rPr>
      </w:pPr>
      <w:r w:rsidRPr="008A58D7">
        <w:rPr>
          <w:rFonts w:ascii="Titillium" w:hAnsi="Titillium"/>
          <w:b/>
          <w:sz w:val="18"/>
          <w:szCs w:val="18"/>
        </w:rPr>
        <w:t xml:space="preserve">CONSIDERATO </w:t>
      </w:r>
      <w:r w:rsidRPr="008A58D7">
        <w:rPr>
          <w:rFonts w:ascii="Titillium" w:hAnsi="Titillium"/>
          <w:sz w:val="18"/>
          <w:szCs w:val="18"/>
        </w:rPr>
        <w:t>che sussistono i presuppo</w:t>
      </w:r>
      <w:r>
        <w:rPr>
          <w:rFonts w:ascii="Titillium" w:hAnsi="Titillium"/>
          <w:sz w:val="18"/>
          <w:szCs w:val="18"/>
        </w:rPr>
        <w:t>sti per procedere all’affidamento diretto</w:t>
      </w:r>
      <w:r w:rsidRPr="008A58D7">
        <w:rPr>
          <w:rFonts w:ascii="Titillium" w:hAnsi="Titillium"/>
          <w:sz w:val="18"/>
          <w:szCs w:val="18"/>
        </w:rPr>
        <w:t xml:space="preserve"> ai sensi dell’art. 36, comma 2, lett. a) del d.lgs. 50/2016, in combinato disposto con l’art. 1, comma 2, lettera a) del d.l. n. 76/2020, convertito con modificazioni dalla l. 120/2020;</w:t>
      </w:r>
    </w:p>
    <w:p w:rsidR="008A58D7" w:rsidRPr="008A58D7" w:rsidRDefault="008A58D7" w:rsidP="0011731E">
      <w:pPr>
        <w:pStyle w:val="Corpodeltesto2"/>
        <w:spacing w:after="0" w:line="240" w:lineRule="auto"/>
        <w:jc w:val="both"/>
        <w:rPr>
          <w:rFonts w:ascii="Titillium" w:hAnsi="Titillium"/>
          <w:sz w:val="18"/>
          <w:szCs w:val="18"/>
        </w:rPr>
      </w:pPr>
    </w:p>
    <w:p w:rsidR="00A325BF" w:rsidRPr="00324E8A" w:rsidRDefault="005817E0" w:rsidP="0011731E">
      <w:pPr>
        <w:pStyle w:val="Corpodeltesto2"/>
        <w:spacing w:after="0" w:line="240" w:lineRule="auto"/>
        <w:jc w:val="both"/>
        <w:rPr>
          <w:rFonts w:ascii="Titillium" w:hAnsi="Titillium"/>
          <w:sz w:val="20"/>
          <w:szCs w:val="20"/>
        </w:rPr>
      </w:pPr>
      <w:r w:rsidRPr="00324E8A">
        <w:rPr>
          <w:rFonts w:ascii="Titillium" w:hAnsi="Titillium"/>
          <w:b/>
          <w:sz w:val="18"/>
          <w:szCs w:val="18"/>
        </w:rPr>
        <w:t xml:space="preserve">ACCERTATO </w:t>
      </w:r>
      <w:r w:rsidRPr="00324E8A">
        <w:rPr>
          <w:rFonts w:ascii="Titillium" w:hAnsi="Titillium"/>
          <w:sz w:val="18"/>
          <w:szCs w:val="18"/>
        </w:rPr>
        <w:t xml:space="preserve">che la disponibilità finanziaria sul pertinente capitolo n. </w:t>
      </w:r>
      <w:r w:rsidR="00324E8A" w:rsidRPr="00324E8A">
        <w:rPr>
          <w:rFonts w:ascii="Titillium" w:hAnsi="Titillium"/>
          <w:sz w:val="18"/>
          <w:szCs w:val="18"/>
        </w:rPr>
        <w:t>1303</w:t>
      </w:r>
      <w:r w:rsidRPr="00324E8A">
        <w:rPr>
          <w:rFonts w:ascii="Titillium" w:hAnsi="Titillium"/>
          <w:sz w:val="18"/>
          <w:szCs w:val="18"/>
        </w:rPr>
        <w:t>.</w:t>
      </w:r>
      <w:r w:rsidR="00324E8A" w:rsidRPr="00324E8A">
        <w:rPr>
          <w:rFonts w:ascii="Titillium" w:hAnsi="Titillium"/>
          <w:sz w:val="18"/>
          <w:szCs w:val="18"/>
        </w:rPr>
        <w:t>2</w:t>
      </w:r>
      <w:r w:rsidRPr="00324E8A">
        <w:rPr>
          <w:rFonts w:ascii="Titillium" w:hAnsi="Titillium"/>
          <w:sz w:val="18"/>
          <w:szCs w:val="18"/>
        </w:rPr>
        <w:t xml:space="preserve"> del bilancio 2023</w:t>
      </w:r>
      <w:r w:rsidR="002F5D11">
        <w:rPr>
          <w:rFonts w:ascii="Titillium" w:hAnsi="Titillium"/>
          <w:sz w:val="18"/>
          <w:szCs w:val="18"/>
        </w:rPr>
        <w:t xml:space="preserve"> di previsione dell’ANAC</w:t>
      </w:r>
      <w:r w:rsidRPr="00324E8A">
        <w:rPr>
          <w:rFonts w:ascii="Titillium" w:hAnsi="Titillium"/>
          <w:sz w:val="18"/>
          <w:szCs w:val="18"/>
        </w:rPr>
        <w:t xml:space="preserve"> è congrua per accogliere la spesa stimat</w:t>
      </w:r>
      <w:r w:rsidR="006A0051" w:rsidRPr="00324E8A">
        <w:rPr>
          <w:rFonts w:ascii="Titillium" w:hAnsi="Titillium"/>
          <w:sz w:val="18"/>
          <w:szCs w:val="18"/>
        </w:rPr>
        <w:t>a per l’affidamento della fornitura</w:t>
      </w:r>
      <w:r w:rsidR="00B5324D">
        <w:rPr>
          <w:rFonts w:ascii="Titillium" w:hAnsi="Titillium"/>
          <w:sz w:val="18"/>
          <w:szCs w:val="18"/>
        </w:rPr>
        <w:t xml:space="preserve"> in esame,</w:t>
      </w:r>
    </w:p>
    <w:p w:rsidR="00570207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  <w:highlight w:val="yellow"/>
        </w:rPr>
      </w:pPr>
    </w:p>
    <w:p w:rsidR="00B5324D" w:rsidRPr="0059710F" w:rsidRDefault="00B5324D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  <w:highlight w:val="yellow"/>
        </w:rPr>
      </w:pPr>
    </w:p>
    <w:p w:rsidR="00317AEE" w:rsidRDefault="00135F2E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  <w:r w:rsidRPr="00324E8A">
        <w:t>D I S P O N E</w:t>
      </w:r>
    </w:p>
    <w:p w:rsidR="00B5324D" w:rsidRPr="00324E8A" w:rsidRDefault="00B5324D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</w:p>
    <w:p w:rsidR="00570207" w:rsidRPr="0059710F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  <w:highlight w:val="yellow"/>
        </w:rPr>
      </w:pPr>
    </w:p>
    <w:p w:rsidR="00417722" w:rsidRDefault="007B7B77" w:rsidP="007D15C4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7B7B77">
        <w:rPr>
          <w:rFonts w:ascii="Titillium" w:hAnsi="Titillium"/>
          <w:sz w:val="18"/>
          <w:szCs w:val="18"/>
        </w:rPr>
        <w:t>di affidare, ai sensi dell’art. 36, comma 2, lett. a) del d.lgs. 50/2016, in combinato disposto con l’articolo 1, comma 2, lettera a) del d.l. n. 76/2020, convertito con modificazioni dalla l. 120/2020,</w:t>
      </w:r>
      <w:r>
        <w:rPr>
          <w:rFonts w:ascii="Titillium" w:hAnsi="Titillium"/>
          <w:sz w:val="18"/>
          <w:szCs w:val="18"/>
        </w:rPr>
        <w:t xml:space="preserve"> </w:t>
      </w:r>
      <w:r w:rsidR="00324E8A" w:rsidRPr="00903BA2">
        <w:rPr>
          <w:rFonts w:ascii="Titillium" w:hAnsi="Titillium"/>
          <w:sz w:val="18"/>
          <w:szCs w:val="18"/>
        </w:rPr>
        <w:t>la</w:t>
      </w:r>
      <w:r w:rsidR="00324E8A" w:rsidRPr="00324E8A">
        <w:rPr>
          <w:rFonts w:ascii="Titillium" w:hAnsi="Titillium"/>
          <w:sz w:val="18"/>
          <w:szCs w:val="18"/>
        </w:rPr>
        <w:t xml:space="preserve"> fornitura</w:t>
      </w:r>
      <w:r w:rsidR="00BD021A" w:rsidRPr="00324E8A">
        <w:rPr>
          <w:rFonts w:ascii="Titillium" w:hAnsi="Titillium"/>
          <w:sz w:val="18"/>
          <w:szCs w:val="18"/>
        </w:rPr>
        <w:t xml:space="preserve"> </w:t>
      </w:r>
      <w:r>
        <w:rPr>
          <w:rFonts w:ascii="Titillium" w:hAnsi="Titillium"/>
          <w:sz w:val="18"/>
          <w:szCs w:val="18"/>
        </w:rPr>
        <w:t xml:space="preserve">di materiale informatico vario </w:t>
      </w:r>
      <w:r w:rsidRPr="00324E8A">
        <w:rPr>
          <w:rFonts w:ascii="Titillium" w:hAnsi="Titillium"/>
          <w:sz w:val="18"/>
          <w:szCs w:val="18"/>
        </w:rPr>
        <w:t xml:space="preserve">alla società </w:t>
      </w:r>
      <w:r w:rsidRPr="00324E8A">
        <w:rPr>
          <w:rFonts w:ascii="Titillium" w:hAnsi="Titillium"/>
          <w:bCs/>
          <w:iCs/>
          <w:sz w:val="18"/>
          <w:szCs w:val="18"/>
        </w:rPr>
        <w:t xml:space="preserve">ISI ENGINEERING </w:t>
      </w:r>
      <w:r w:rsidRPr="00903BA2">
        <w:rPr>
          <w:rFonts w:ascii="Titillium" w:hAnsi="Titillium"/>
          <w:bCs/>
          <w:iCs/>
          <w:sz w:val="18"/>
          <w:szCs w:val="18"/>
        </w:rPr>
        <w:t>SRL</w:t>
      </w:r>
      <w:r w:rsidRPr="00903BA2">
        <w:rPr>
          <w:rFonts w:ascii="Titillium" w:hAnsi="Titillium"/>
          <w:sz w:val="18"/>
          <w:szCs w:val="18"/>
        </w:rPr>
        <w:t xml:space="preserve"> (C.F. 02095540262)</w:t>
      </w:r>
      <w:r>
        <w:rPr>
          <w:rFonts w:ascii="Titillium" w:hAnsi="Titillium"/>
          <w:sz w:val="18"/>
          <w:szCs w:val="18"/>
        </w:rPr>
        <w:t xml:space="preserve">, </w:t>
      </w:r>
      <w:r w:rsidRPr="00324E8A">
        <w:rPr>
          <w:rFonts w:ascii="Titillium" w:hAnsi="Titillium"/>
          <w:sz w:val="18"/>
          <w:szCs w:val="18"/>
        </w:rPr>
        <w:t xml:space="preserve">mediante ordine diretto su </w:t>
      </w:r>
      <w:proofErr w:type="gramStart"/>
      <w:r w:rsidRPr="00324E8A">
        <w:rPr>
          <w:rFonts w:ascii="Titillium" w:hAnsi="Titillium"/>
          <w:sz w:val="18"/>
          <w:szCs w:val="18"/>
        </w:rPr>
        <w:t>MePA</w:t>
      </w:r>
      <w:r>
        <w:rPr>
          <w:rFonts w:ascii="Titillium" w:hAnsi="Titillium"/>
          <w:sz w:val="18"/>
          <w:szCs w:val="18"/>
        </w:rPr>
        <w:t>,</w:t>
      </w:r>
      <w:r w:rsidRPr="00903BA2">
        <w:rPr>
          <w:rFonts w:ascii="Titillium" w:hAnsi="Titillium"/>
          <w:sz w:val="18"/>
          <w:szCs w:val="18"/>
        </w:rPr>
        <w:t xml:space="preserve"> </w:t>
      </w:r>
      <w:r w:rsidR="00324E8A" w:rsidRPr="00324E8A">
        <w:rPr>
          <w:rFonts w:ascii="Titillium" w:hAnsi="Titillium"/>
          <w:sz w:val="18"/>
          <w:szCs w:val="18"/>
        </w:rPr>
        <w:t xml:space="preserve"> </w:t>
      </w:r>
      <w:r w:rsidR="001833D2" w:rsidRPr="00324E8A">
        <w:rPr>
          <w:rFonts w:ascii="Titillium" w:hAnsi="Titillium"/>
          <w:sz w:val="18"/>
          <w:szCs w:val="18"/>
        </w:rPr>
        <w:t>per</w:t>
      </w:r>
      <w:proofErr w:type="gramEnd"/>
      <w:r w:rsidR="001833D2" w:rsidRPr="00324E8A">
        <w:rPr>
          <w:rFonts w:ascii="Titillium" w:hAnsi="Titillium"/>
          <w:sz w:val="18"/>
          <w:szCs w:val="18"/>
        </w:rPr>
        <w:t xml:space="preserve"> </w:t>
      </w:r>
      <w:r w:rsidR="00135F2E" w:rsidRPr="00324E8A">
        <w:rPr>
          <w:rFonts w:ascii="Titillium" w:hAnsi="Titillium"/>
          <w:sz w:val="18"/>
          <w:szCs w:val="18"/>
        </w:rPr>
        <w:t xml:space="preserve">una spesa complessiva </w:t>
      </w:r>
      <w:r w:rsidR="00570207" w:rsidRPr="00324E8A">
        <w:rPr>
          <w:rFonts w:ascii="Titillium" w:hAnsi="Titillium"/>
          <w:sz w:val="18"/>
          <w:szCs w:val="18"/>
        </w:rPr>
        <w:t>così distinta:</w:t>
      </w:r>
    </w:p>
    <w:p w:rsidR="000D7EB4" w:rsidRPr="00324E8A" w:rsidRDefault="000D7EB4" w:rsidP="000D7EB4">
      <w:pPr>
        <w:pStyle w:val="Paragrafoelenco"/>
        <w:ind w:left="284"/>
        <w:contextualSpacing w:val="0"/>
        <w:jc w:val="both"/>
        <w:rPr>
          <w:rFonts w:ascii="Titillium" w:hAnsi="Titillium"/>
          <w:sz w:val="18"/>
          <w:szCs w:val="18"/>
        </w:rPr>
      </w:pPr>
    </w:p>
    <w:tbl>
      <w:tblPr>
        <w:tblStyle w:val="Grigliatabella"/>
        <w:tblW w:w="95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1666"/>
      </w:tblGrid>
      <w:tr w:rsidR="00F22986" w:rsidRPr="0059710F" w:rsidTr="00A86EDC"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31285" w:rsidRPr="000B5A7E" w:rsidRDefault="000B5A7E" w:rsidP="000B5A7E">
            <w:pPr>
              <w:pStyle w:val="Paragrafoelenco"/>
              <w:numPr>
                <w:ilvl w:val="0"/>
                <w:numId w:val="6"/>
              </w:numPr>
              <w:ind w:left="511"/>
              <w:jc w:val="both"/>
              <w:rPr>
                <w:rFonts w:ascii="Titillium" w:hAnsi="Titillium"/>
                <w:sz w:val="18"/>
                <w:szCs w:val="18"/>
              </w:rPr>
            </w:pPr>
            <w:r w:rsidRPr="000B5A7E">
              <w:rPr>
                <w:rFonts w:ascii="Titillium" w:hAnsi="Titillium"/>
                <w:sz w:val="18"/>
                <w:szCs w:val="18"/>
              </w:rPr>
              <w:t>fornitura di materiale informatico vario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31285" w:rsidRPr="000B5A7E" w:rsidRDefault="00E63EE0" w:rsidP="000B5A7E">
            <w:pPr>
              <w:rPr>
                <w:rFonts w:ascii="Titillium" w:hAnsi="Titillium"/>
                <w:sz w:val="18"/>
                <w:szCs w:val="18"/>
              </w:rPr>
            </w:pPr>
            <w:r w:rsidRPr="000B5A7E">
              <w:rPr>
                <w:rFonts w:ascii="Titillium" w:hAnsi="Titillium"/>
                <w:sz w:val="18"/>
                <w:szCs w:val="18"/>
              </w:rPr>
              <w:t xml:space="preserve">            </w:t>
            </w:r>
            <w:r w:rsidR="000B5A7E" w:rsidRPr="000B5A7E">
              <w:rPr>
                <w:rFonts w:ascii="Titillium" w:hAnsi="Titillium"/>
                <w:sz w:val="18"/>
                <w:szCs w:val="18"/>
              </w:rPr>
              <w:t xml:space="preserve"> €    4</w:t>
            </w:r>
            <w:r w:rsidR="001D1EE5" w:rsidRPr="000B5A7E">
              <w:rPr>
                <w:rFonts w:ascii="Titillium" w:hAnsi="Titillium"/>
                <w:sz w:val="18"/>
                <w:szCs w:val="18"/>
              </w:rPr>
              <w:t>.</w:t>
            </w:r>
            <w:r w:rsidR="000B5A7E" w:rsidRPr="000B5A7E">
              <w:rPr>
                <w:rFonts w:ascii="Titillium" w:hAnsi="Titillium"/>
                <w:sz w:val="18"/>
                <w:szCs w:val="18"/>
              </w:rPr>
              <w:t>572</w:t>
            </w:r>
            <w:r w:rsidR="00FF7A4A" w:rsidRPr="000B5A7E">
              <w:rPr>
                <w:rFonts w:ascii="Titillium" w:hAnsi="Titillium"/>
                <w:sz w:val="18"/>
                <w:szCs w:val="18"/>
              </w:rPr>
              <w:t>,</w:t>
            </w:r>
            <w:r w:rsidR="000B5A7E" w:rsidRPr="000B5A7E">
              <w:rPr>
                <w:rFonts w:ascii="Titillium" w:hAnsi="Titillium"/>
                <w:sz w:val="18"/>
                <w:szCs w:val="18"/>
              </w:rPr>
              <w:t>4</w:t>
            </w:r>
            <w:r w:rsidR="00FF7A4A" w:rsidRPr="000B5A7E">
              <w:rPr>
                <w:rFonts w:ascii="Titillium" w:hAnsi="Titillium"/>
                <w:sz w:val="18"/>
                <w:szCs w:val="18"/>
              </w:rPr>
              <w:t>0</w:t>
            </w:r>
          </w:p>
        </w:tc>
      </w:tr>
      <w:tr w:rsidR="001F09E8" w:rsidRPr="0059710F" w:rsidTr="00A86EDC"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9E8" w:rsidRPr="000B5A7E" w:rsidRDefault="00A86EDC" w:rsidP="00631285">
            <w:pPr>
              <w:pStyle w:val="Paragrafoelenco"/>
              <w:numPr>
                <w:ilvl w:val="0"/>
                <w:numId w:val="6"/>
              </w:numPr>
              <w:ind w:left="511"/>
              <w:jc w:val="both"/>
              <w:rPr>
                <w:rFonts w:ascii="Titillium" w:hAnsi="Titillium"/>
                <w:sz w:val="18"/>
                <w:szCs w:val="18"/>
              </w:rPr>
            </w:pPr>
            <w:r w:rsidRPr="000B5A7E">
              <w:rPr>
                <w:rFonts w:ascii="Titillium" w:hAnsi="Titillium"/>
                <w:sz w:val="18"/>
                <w:szCs w:val="18"/>
              </w:rPr>
              <w:t>IVA</w:t>
            </w:r>
            <w:r w:rsidR="00DC56C0" w:rsidRPr="000B5A7E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631285" w:rsidRPr="000B5A7E">
              <w:rPr>
                <w:rFonts w:ascii="Titillium" w:hAnsi="Titillium"/>
                <w:sz w:val="18"/>
                <w:szCs w:val="18"/>
              </w:rPr>
              <w:t>al 22%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9E8" w:rsidRPr="000B5A7E" w:rsidRDefault="00631285" w:rsidP="000B5A7E">
            <w:pPr>
              <w:rPr>
                <w:rFonts w:ascii="Titillium" w:hAnsi="Titillium"/>
                <w:sz w:val="18"/>
                <w:szCs w:val="18"/>
              </w:rPr>
            </w:pPr>
            <w:r w:rsidRPr="000B5A7E">
              <w:rPr>
                <w:rFonts w:ascii="Titillium" w:hAnsi="Titillium"/>
                <w:sz w:val="18"/>
                <w:szCs w:val="18"/>
              </w:rPr>
              <w:t xml:space="preserve">         </w:t>
            </w:r>
            <w:r w:rsidR="00A86EDC" w:rsidRPr="000B5A7E">
              <w:rPr>
                <w:rFonts w:ascii="Titillium" w:hAnsi="Titillium"/>
                <w:sz w:val="18"/>
                <w:szCs w:val="18"/>
              </w:rPr>
              <w:t xml:space="preserve">    </w:t>
            </w:r>
            <w:r w:rsidR="001F09E8" w:rsidRPr="000B5A7E">
              <w:rPr>
                <w:rFonts w:ascii="Titillium" w:hAnsi="Titillium"/>
                <w:sz w:val="18"/>
                <w:szCs w:val="18"/>
              </w:rPr>
              <w:t>€</w:t>
            </w:r>
            <w:r w:rsidR="00FF7A4A" w:rsidRPr="000B5A7E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E17EC3" w:rsidRPr="000B5A7E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E63EE0" w:rsidRPr="000B5A7E">
              <w:rPr>
                <w:rFonts w:ascii="Titillium" w:hAnsi="Titillium"/>
                <w:sz w:val="18"/>
                <w:szCs w:val="18"/>
              </w:rPr>
              <w:t xml:space="preserve">  </w:t>
            </w:r>
            <w:r w:rsidR="000B5A7E" w:rsidRPr="000B5A7E">
              <w:rPr>
                <w:rFonts w:ascii="Titillium" w:hAnsi="Titillium"/>
                <w:sz w:val="18"/>
                <w:szCs w:val="18"/>
              </w:rPr>
              <w:t>1.005,93</w:t>
            </w:r>
          </w:p>
        </w:tc>
      </w:tr>
      <w:tr w:rsidR="00F22986" w:rsidRPr="0059710F" w:rsidTr="00A86EDC">
        <w:trPr>
          <w:trHeight w:val="403"/>
        </w:trPr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0B5A7E" w:rsidRDefault="009937DC" w:rsidP="007C722E">
            <w:pPr>
              <w:tabs>
                <w:tab w:val="left" w:pos="7371"/>
              </w:tabs>
              <w:rPr>
                <w:rFonts w:ascii="Titillium" w:hAnsi="Titillium"/>
                <w:b/>
                <w:sz w:val="18"/>
                <w:szCs w:val="18"/>
              </w:rPr>
            </w:pPr>
            <w:r w:rsidRPr="000B5A7E">
              <w:rPr>
                <w:rFonts w:ascii="Titillium" w:hAnsi="Titillium"/>
                <w:b/>
                <w:sz w:val="18"/>
                <w:szCs w:val="18"/>
              </w:rPr>
              <w:t xml:space="preserve">Importo </w:t>
            </w:r>
            <w:r w:rsidR="007C722E" w:rsidRPr="000B5A7E">
              <w:rPr>
                <w:rFonts w:ascii="Titillium" w:hAnsi="Titillium"/>
                <w:b/>
                <w:sz w:val="18"/>
                <w:szCs w:val="18"/>
              </w:rPr>
              <w:t>complessivo</w:t>
            </w:r>
            <w:r w:rsidRPr="000B5A7E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0B5A7E" w:rsidRDefault="00A86EDC" w:rsidP="000B5A7E">
            <w:pPr>
              <w:pStyle w:val="Paragrafoelenco"/>
              <w:ind w:left="0"/>
              <w:contextualSpacing w:val="0"/>
              <w:jc w:val="center"/>
              <w:rPr>
                <w:rFonts w:ascii="Titillium" w:hAnsi="Titillium"/>
                <w:b/>
                <w:sz w:val="18"/>
                <w:szCs w:val="18"/>
              </w:rPr>
            </w:pPr>
            <w:r w:rsidRPr="000B5A7E">
              <w:rPr>
                <w:rFonts w:ascii="Titillium" w:hAnsi="Titillium"/>
                <w:b/>
                <w:sz w:val="18"/>
                <w:szCs w:val="18"/>
              </w:rPr>
              <w:t xml:space="preserve">         </w:t>
            </w:r>
            <w:r w:rsidR="007C722E" w:rsidRPr="000B5A7E">
              <w:rPr>
                <w:rFonts w:ascii="Titillium" w:hAnsi="Titillium"/>
                <w:b/>
                <w:sz w:val="18"/>
                <w:szCs w:val="18"/>
              </w:rPr>
              <w:t xml:space="preserve">  </w:t>
            </w:r>
            <w:r w:rsidR="00F22986" w:rsidRPr="000B5A7E">
              <w:rPr>
                <w:rFonts w:ascii="Titillium" w:hAnsi="Titillium"/>
                <w:b/>
                <w:sz w:val="18"/>
                <w:szCs w:val="18"/>
              </w:rPr>
              <w:t>€</w:t>
            </w:r>
            <w:r w:rsidR="009265BF" w:rsidRPr="000B5A7E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  <w:r w:rsidR="000B5A7E" w:rsidRPr="000B5A7E">
              <w:rPr>
                <w:rFonts w:ascii="Titillium" w:hAnsi="Titillium"/>
                <w:b/>
                <w:sz w:val="18"/>
                <w:szCs w:val="18"/>
              </w:rPr>
              <w:t xml:space="preserve">    5</w:t>
            </w:r>
            <w:r w:rsidR="00E63EE0" w:rsidRPr="000B5A7E">
              <w:rPr>
                <w:rFonts w:ascii="Titillium" w:hAnsi="Titillium"/>
                <w:b/>
                <w:sz w:val="18"/>
                <w:szCs w:val="18"/>
              </w:rPr>
              <w:t>.</w:t>
            </w:r>
            <w:r w:rsidR="000B5A7E" w:rsidRPr="000B5A7E">
              <w:rPr>
                <w:rFonts w:ascii="Titillium" w:hAnsi="Titillium"/>
                <w:b/>
                <w:sz w:val="18"/>
                <w:szCs w:val="18"/>
              </w:rPr>
              <w:t>578</w:t>
            </w:r>
            <w:r w:rsidR="009937DC" w:rsidRPr="000B5A7E">
              <w:rPr>
                <w:rFonts w:ascii="Titillium" w:hAnsi="Titillium"/>
                <w:b/>
                <w:sz w:val="18"/>
                <w:szCs w:val="18"/>
              </w:rPr>
              <w:t>,</w:t>
            </w:r>
            <w:r w:rsidR="000B5A7E" w:rsidRPr="000B5A7E">
              <w:rPr>
                <w:rFonts w:ascii="Titillium" w:hAnsi="Titillium"/>
                <w:b/>
                <w:sz w:val="18"/>
                <w:szCs w:val="18"/>
              </w:rPr>
              <w:t>33</w:t>
            </w:r>
          </w:p>
        </w:tc>
      </w:tr>
    </w:tbl>
    <w:p w:rsidR="00B5324D" w:rsidRDefault="00B5324D" w:rsidP="00B5324D">
      <w:pPr>
        <w:pStyle w:val="Paragrafoelenco"/>
        <w:ind w:left="284"/>
        <w:contextualSpacing w:val="0"/>
        <w:jc w:val="both"/>
        <w:rPr>
          <w:rFonts w:ascii="Titillium" w:hAnsi="Titillium"/>
          <w:sz w:val="18"/>
          <w:szCs w:val="18"/>
        </w:rPr>
      </w:pPr>
    </w:p>
    <w:p w:rsidR="00B5324D" w:rsidRDefault="00B5324D" w:rsidP="00B5324D">
      <w:pPr>
        <w:pStyle w:val="Paragrafoelenco"/>
        <w:ind w:left="284"/>
        <w:contextualSpacing w:val="0"/>
        <w:jc w:val="both"/>
        <w:rPr>
          <w:rFonts w:ascii="Titillium" w:hAnsi="Titillium"/>
          <w:sz w:val="18"/>
          <w:szCs w:val="18"/>
        </w:rPr>
      </w:pPr>
    </w:p>
    <w:p w:rsidR="00B5324D" w:rsidRPr="00B5324D" w:rsidRDefault="00B5324D" w:rsidP="00B5324D">
      <w:pPr>
        <w:pStyle w:val="Paragrafoelenco"/>
        <w:ind w:left="284"/>
        <w:contextualSpacing w:val="0"/>
        <w:jc w:val="both"/>
        <w:rPr>
          <w:rFonts w:ascii="Titillium" w:hAnsi="Titillium"/>
          <w:sz w:val="18"/>
          <w:szCs w:val="18"/>
        </w:rPr>
      </w:pPr>
      <w:bookmarkStart w:id="0" w:name="_GoBack"/>
      <w:bookmarkEnd w:id="0"/>
    </w:p>
    <w:p w:rsidR="00C81CB5" w:rsidRPr="00903BA2" w:rsidRDefault="00C81CB5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0B5A7E">
        <w:rPr>
          <w:rFonts w:ascii="Titillium" w:hAnsi="Titillium"/>
          <w:sz w:val="18"/>
          <w:szCs w:val="18"/>
        </w:rPr>
        <w:t>di autorizzare la spesa complessiva stimata da porsi a carico del bilancio di previsio</w:t>
      </w:r>
      <w:r w:rsidR="00E63EE0" w:rsidRPr="000B5A7E">
        <w:rPr>
          <w:rFonts w:ascii="Titillium" w:hAnsi="Titillium"/>
          <w:sz w:val="18"/>
          <w:szCs w:val="18"/>
        </w:rPr>
        <w:t>ne dell’Autorità per l’anno 2023</w:t>
      </w:r>
      <w:r w:rsidRPr="000B5A7E">
        <w:rPr>
          <w:rFonts w:ascii="Titillium" w:hAnsi="Titillium"/>
          <w:sz w:val="18"/>
          <w:szCs w:val="18"/>
        </w:rPr>
        <w:t xml:space="preserve">, sul capitolo </w:t>
      </w:r>
      <w:r w:rsidRPr="00903BA2">
        <w:rPr>
          <w:rFonts w:ascii="Titillium" w:hAnsi="Titillium"/>
          <w:sz w:val="18"/>
          <w:szCs w:val="18"/>
        </w:rPr>
        <w:t xml:space="preserve">n. </w:t>
      </w:r>
      <w:r w:rsidR="000B5A7E" w:rsidRPr="00903BA2">
        <w:rPr>
          <w:rFonts w:ascii="Titillium" w:hAnsi="Titillium"/>
          <w:sz w:val="18"/>
          <w:szCs w:val="18"/>
        </w:rPr>
        <w:t>13</w:t>
      </w:r>
      <w:r w:rsidR="00BF4628">
        <w:rPr>
          <w:rFonts w:ascii="Titillium" w:hAnsi="Titillium"/>
          <w:sz w:val="18"/>
          <w:szCs w:val="18"/>
        </w:rPr>
        <w:t>03</w:t>
      </w:r>
      <w:r w:rsidR="000B5A7E" w:rsidRPr="00903BA2">
        <w:rPr>
          <w:rFonts w:ascii="Titillium" w:hAnsi="Titillium"/>
          <w:sz w:val="18"/>
          <w:szCs w:val="18"/>
        </w:rPr>
        <w:t>.2</w:t>
      </w:r>
      <w:r w:rsidRPr="00903BA2">
        <w:rPr>
          <w:rFonts w:ascii="Titillium" w:hAnsi="Titillium"/>
          <w:sz w:val="18"/>
          <w:szCs w:val="18"/>
        </w:rPr>
        <w:t>;</w:t>
      </w:r>
    </w:p>
    <w:p w:rsidR="00C81CB5" w:rsidRPr="00903BA2" w:rsidRDefault="00DE03B6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903BA2">
        <w:rPr>
          <w:rFonts w:ascii="Titillium" w:hAnsi="Titillium"/>
          <w:sz w:val="18"/>
          <w:szCs w:val="18"/>
        </w:rPr>
        <w:t>i</w:t>
      </w:r>
      <w:r w:rsidR="00C81CB5" w:rsidRPr="00903BA2">
        <w:rPr>
          <w:rFonts w:ascii="Titillium" w:hAnsi="Titillium"/>
          <w:sz w:val="18"/>
          <w:szCs w:val="18"/>
        </w:rPr>
        <w:t xml:space="preserve">l RUP art. 31 del d.lgs. 50/2016 </w:t>
      </w:r>
      <w:r w:rsidR="00C6766C" w:rsidRPr="00903BA2">
        <w:rPr>
          <w:rFonts w:ascii="Titillium" w:hAnsi="Titillium"/>
          <w:sz w:val="18"/>
          <w:szCs w:val="18"/>
        </w:rPr>
        <w:t xml:space="preserve">è </w:t>
      </w:r>
      <w:r w:rsidR="00C5513F">
        <w:rPr>
          <w:rFonts w:ascii="Titillium" w:hAnsi="Titillium"/>
          <w:sz w:val="18"/>
          <w:szCs w:val="18"/>
        </w:rPr>
        <w:t xml:space="preserve">l’Ing. Francesco Vargiu, Dirigente </w:t>
      </w:r>
      <w:r w:rsidR="00C5513F" w:rsidRPr="00903BA2">
        <w:rPr>
          <w:rFonts w:ascii="Titillium" w:hAnsi="Titillium"/>
          <w:sz w:val="18"/>
          <w:szCs w:val="18"/>
        </w:rPr>
        <w:t>dell’Ufficio USIS dell’ANAC</w:t>
      </w:r>
      <w:r w:rsidR="00570207" w:rsidRPr="00903BA2">
        <w:rPr>
          <w:rFonts w:ascii="Titillium" w:hAnsi="Titillium"/>
          <w:sz w:val="18"/>
          <w:szCs w:val="18"/>
        </w:rPr>
        <w:t>;</w:t>
      </w:r>
    </w:p>
    <w:p w:rsidR="00135F2E" w:rsidRPr="00903BA2" w:rsidRDefault="00C81CB5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903BA2">
        <w:rPr>
          <w:rFonts w:ascii="Titillium" w:hAnsi="Titillium"/>
          <w:sz w:val="18"/>
          <w:szCs w:val="18"/>
        </w:rPr>
        <w:t xml:space="preserve">di nominare </w:t>
      </w:r>
      <w:r w:rsidR="007C722E" w:rsidRPr="00903BA2">
        <w:rPr>
          <w:rFonts w:ascii="Titillium" w:hAnsi="Titillium"/>
          <w:sz w:val="18"/>
          <w:szCs w:val="18"/>
        </w:rPr>
        <w:t xml:space="preserve">Direttore dell’esecuzione del contratto </w:t>
      </w:r>
      <w:r w:rsidR="00BC08FB" w:rsidRPr="00903BA2">
        <w:rPr>
          <w:rFonts w:ascii="Titillium" w:hAnsi="Titillium"/>
          <w:sz w:val="18"/>
          <w:szCs w:val="18"/>
        </w:rPr>
        <w:t>il Dott.</w:t>
      </w:r>
      <w:r w:rsidR="006A3FE8" w:rsidRPr="00903BA2">
        <w:rPr>
          <w:rFonts w:ascii="Titillium" w:hAnsi="Titillium"/>
          <w:sz w:val="18"/>
          <w:szCs w:val="18"/>
        </w:rPr>
        <w:t xml:space="preserve"> Gaetano Giarrusso, funzionario dell’Ufficio </w:t>
      </w:r>
      <w:r w:rsidR="00BC08FB" w:rsidRPr="00903BA2">
        <w:rPr>
          <w:rFonts w:ascii="Titillium" w:hAnsi="Titillium"/>
          <w:sz w:val="18"/>
          <w:szCs w:val="18"/>
        </w:rPr>
        <w:t xml:space="preserve">USIS </w:t>
      </w:r>
      <w:r w:rsidR="002F5D11" w:rsidRPr="00903BA2">
        <w:rPr>
          <w:rFonts w:ascii="Titillium" w:hAnsi="Titillium"/>
          <w:sz w:val="18"/>
          <w:szCs w:val="18"/>
        </w:rPr>
        <w:t>dell’AN</w:t>
      </w:r>
      <w:r w:rsidR="00E63EE0" w:rsidRPr="00903BA2">
        <w:rPr>
          <w:rFonts w:ascii="Titillium" w:hAnsi="Titillium"/>
          <w:sz w:val="18"/>
          <w:szCs w:val="18"/>
        </w:rPr>
        <w:t>AC</w:t>
      </w:r>
      <w:r w:rsidR="00BC08FB" w:rsidRPr="00903BA2">
        <w:rPr>
          <w:rFonts w:ascii="Titillium" w:hAnsi="Titillium"/>
          <w:sz w:val="18"/>
          <w:szCs w:val="18"/>
        </w:rPr>
        <w:t>.</w:t>
      </w:r>
    </w:p>
    <w:p w:rsidR="00570207" w:rsidRDefault="00570207" w:rsidP="00570207">
      <w:pPr>
        <w:pStyle w:val="Paragrafoelenco"/>
        <w:ind w:left="284"/>
        <w:contextualSpacing w:val="0"/>
        <w:jc w:val="both"/>
        <w:rPr>
          <w:rFonts w:ascii="Titillium" w:hAnsi="Titillium"/>
          <w:sz w:val="20"/>
          <w:szCs w:val="20"/>
          <w:highlight w:val="yellow"/>
        </w:rPr>
      </w:pPr>
    </w:p>
    <w:p w:rsidR="008A58D7" w:rsidRPr="0059710F" w:rsidRDefault="008A58D7" w:rsidP="00570207">
      <w:pPr>
        <w:pStyle w:val="Paragrafoelenco"/>
        <w:ind w:left="284"/>
        <w:contextualSpacing w:val="0"/>
        <w:jc w:val="both"/>
        <w:rPr>
          <w:rFonts w:ascii="Titillium" w:hAnsi="Titillium"/>
          <w:sz w:val="20"/>
          <w:szCs w:val="20"/>
          <w:highlight w:val="yellow"/>
        </w:rPr>
      </w:pPr>
    </w:p>
    <w:tbl>
      <w:tblPr>
        <w:tblW w:w="4092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6"/>
        <w:gridCol w:w="2532"/>
        <w:gridCol w:w="2680"/>
      </w:tblGrid>
      <w:tr w:rsidR="00DA550A" w:rsidRPr="00C6766C" w:rsidTr="00570207">
        <w:trPr>
          <w:trHeight w:val="330"/>
        </w:trPr>
        <w:tc>
          <w:tcPr>
            <w:tcW w:w="1696" w:type="pct"/>
            <w:shd w:val="clear" w:color="auto" w:fill="2770B7"/>
            <w:vAlign w:val="center"/>
          </w:tcPr>
          <w:p w:rsidR="00DA550A" w:rsidRPr="00C6766C" w:rsidRDefault="00DA550A" w:rsidP="00570207">
            <w:pPr>
              <w:pStyle w:val="ANCATABELLATITOLOBIANCO"/>
              <w:spacing w:after="0"/>
              <w:ind w:left="720"/>
              <w:rPr>
                <w:lang w:val="it-IT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:rsidR="00DA550A" w:rsidRPr="00C6766C" w:rsidRDefault="00DA550A" w:rsidP="00570207">
            <w:pPr>
              <w:pStyle w:val="ANCATABELLATITOLOBIANCO"/>
              <w:spacing w:after="0"/>
              <w:ind w:left="0"/>
              <w:rPr>
                <w:lang w:val="it-IT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:rsidR="00DA550A" w:rsidRPr="00C6766C" w:rsidRDefault="00DA550A" w:rsidP="00570207">
            <w:pPr>
              <w:pStyle w:val="ANCATABELLATITOLOBIANCO"/>
              <w:spacing w:after="0"/>
              <w:ind w:left="0"/>
              <w:rPr>
                <w:lang w:val="it-IT"/>
              </w:rPr>
            </w:pPr>
            <w:r w:rsidRPr="00C6766C">
              <w:rPr>
                <w:lang w:val="it-IT"/>
              </w:rPr>
              <w:t xml:space="preserve">Il </w:t>
            </w:r>
            <w:r w:rsidR="00C770F6" w:rsidRPr="00C6766C">
              <w:rPr>
                <w:lang w:val="it-IT"/>
              </w:rPr>
              <w:t>Dirigente dell’Ufficio Gare e logistica</w:t>
            </w:r>
          </w:p>
        </w:tc>
      </w:tr>
      <w:tr w:rsidR="00DA550A" w:rsidRPr="00C6766C" w:rsidTr="00570207">
        <w:trPr>
          <w:trHeight w:val="117"/>
        </w:trPr>
        <w:tc>
          <w:tcPr>
            <w:tcW w:w="1696" w:type="pct"/>
            <w:shd w:val="clear" w:color="auto" w:fill="auto"/>
            <w:vAlign w:val="center"/>
          </w:tcPr>
          <w:p w:rsidR="00DA550A" w:rsidRPr="00C6766C" w:rsidRDefault="00DA550A" w:rsidP="00570207">
            <w:pPr>
              <w:rPr>
                <w:i/>
              </w:rPr>
            </w:pPr>
          </w:p>
        </w:tc>
        <w:tc>
          <w:tcPr>
            <w:tcW w:w="1605" w:type="pct"/>
            <w:vAlign w:val="center"/>
          </w:tcPr>
          <w:p w:rsidR="00DA550A" w:rsidRPr="00C6766C" w:rsidRDefault="00570207" w:rsidP="00570207">
            <w:pPr>
              <w:rPr>
                <w:rFonts w:ascii="Titillium" w:hAnsi="Titillium"/>
                <w:i/>
                <w:sz w:val="20"/>
                <w:szCs w:val="20"/>
              </w:rPr>
            </w:pPr>
            <w:r w:rsidRPr="00C6766C">
              <w:rPr>
                <w:rFonts w:ascii="Titillium" w:hAnsi="Titillium"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DA550A" w:rsidRPr="00C6766C" w:rsidRDefault="006D0051" w:rsidP="00570207">
            <w:pPr>
              <w:rPr>
                <w:rFonts w:ascii="Titillium" w:hAnsi="Titillium"/>
                <w:i/>
                <w:sz w:val="20"/>
                <w:szCs w:val="20"/>
              </w:rPr>
            </w:pPr>
            <w:r w:rsidRPr="00C6766C">
              <w:rPr>
                <w:rFonts w:ascii="Titillium" w:hAnsi="Titillium"/>
                <w:i/>
                <w:sz w:val="20"/>
                <w:szCs w:val="20"/>
              </w:rPr>
              <w:t xml:space="preserve">       </w:t>
            </w:r>
            <w:r w:rsidR="00C770F6" w:rsidRPr="00C6766C">
              <w:rPr>
                <w:rFonts w:ascii="Titillium" w:hAnsi="Titillium"/>
                <w:i/>
                <w:sz w:val="20"/>
                <w:szCs w:val="20"/>
              </w:rPr>
              <w:t>Ilario Sorrentino</w:t>
            </w:r>
          </w:p>
        </w:tc>
      </w:tr>
    </w:tbl>
    <w:p w:rsidR="00570207" w:rsidRPr="00C6766C" w:rsidRDefault="00570207" w:rsidP="00570207">
      <w:pPr>
        <w:rPr>
          <w:rFonts w:ascii="Titillium" w:hAnsi="Titillium"/>
          <w:sz w:val="20"/>
          <w:szCs w:val="20"/>
        </w:rPr>
      </w:pPr>
    </w:p>
    <w:p w:rsidR="00381B15" w:rsidRPr="00C6766C" w:rsidRDefault="00381B15" w:rsidP="00570207">
      <w:pPr>
        <w:rPr>
          <w:rFonts w:ascii="Titillium" w:hAnsi="Titillium"/>
          <w:sz w:val="20"/>
          <w:szCs w:val="20"/>
        </w:rPr>
      </w:pPr>
    </w:p>
    <w:p w:rsidR="00531B30" w:rsidRPr="00C6766C" w:rsidRDefault="00531B30" w:rsidP="00570207">
      <w:pPr>
        <w:rPr>
          <w:rFonts w:ascii="Titillium" w:hAnsi="Titillium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DA550A" w:rsidRPr="00C6766C" w:rsidTr="003C3AEC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DA550A" w:rsidRPr="00C6766C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C6766C">
              <w:rPr>
                <w:lang w:val="it-IT"/>
              </w:rPr>
              <w:t>Visto per la copertura finanziaria</w:t>
            </w:r>
          </w:p>
          <w:p w:rsidR="00DA550A" w:rsidRPr="00C6766C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C6766C">
              <w:rPr>
                <w:lang w:val="it-IT"/>
              </w:rPr>
              <w:t xml:space="preserve">Il Dirigente dell’Ufficio Programmazione </w:t>
            </w:r>
          </w:p>
          <w:p w:rsidR="00DA550A" w:rsidRPr="00C6766C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C6766C">
              <w:rPr>
                <w:lang w:val="it-IT"/>
              </w:rPr>
              <w:t>delle risorse finanziarie, bilancio e contabilità</w:t>
            </w:r>
          </w:p>
        </w:tc>
      </w:tr>
      <w:tr w:rsidR="00DA550A" w:rsidRPr="004E4908" w:rsidTr="003C3AEC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DA550A" w:rsidRPr="004E4908" w:rsidRDefault="007C722E" w:rsidP="007C722E">
            <w:pPr>
              <w:rPr>
                <w:rFonts w:ascii="Titillium" w:hAnsi="Titillium"/>
                <w:i/>
                <w:sz w:val="18"/>
                <w:szCs w:val="18"/>
              </w:rPr>
            </w:pPr>
            <w:r w:rsidRPr="00C6766C">
              <w:rPr>
                <w:rFonts w:ascii="Titillium" w:hAnsi="Titillium"/>
                <w:i/>
                <w:sz w:val="20"/>
                <w:szCs w:val="20"/>
              </w:rPr>
              <w:t xml:space="preserve">                                    </w:t>
            </w:r>
            <w:r w:rsidR="00DA550A" w:rsidRPr="00C6766C">
              <w:rPr>
                <w:rFonts w:ascii="Titillium" w:hAnsi="Titillium"/>
                <w:i/>
                <w:sz w:val="20"/>
                <w:szCs w:val="20"/>
              </w:rPr>
              <w:t>Stefano Ceccarelli</w:t>
            </w:r>
          </w:p>
        </w:tc>
      </w:tr>
    </w:tbl>
    <w:p w:rsidR="00DA550A" w:rsidRDefault="00DA550A" w:rsidP="00570207">
      <w:pPr>
        <w:spacing w:line="276" w:lineRule="auto"/>
        <w:ind w:left="5664" w:firstLine="708"/>
        <w:rPr>
          <w:rFonts w:ascii="Garamond" w:hAnsi="Garamond"/>
          <w:i/>
        </w:rPr>
      </w:pPr>
    </w:p>
    <w:p w:rsidR="00DA550A" w:rsidRDefault="00DA550A" w:rsidP="00570207">
      <w:pPr>
        <w:spacing w:line="276" w:lineRule="auto"/>
        <w:ind w:left="5664" w:firstLine="708"/>
        <w:rPr>
          <w:rFonts w:ascii="Garamond" w:hAnsi="Garamond"/>
          <w:i/>
        </w:rPr>
      </w:pPr>
    </w:p>
    <w:sectPr w:rsidR="00DA550A" w:rsidSect="00D651EA">
      <w:headerReference w:type="default" r:id="rId8"/>
      <w:footerReference w:type="default" r:id="rId9"/>
      <w:pgSz w:w="11906" w:h="16838"/>
      <w:pgMar w:top="1418" w:right="1134" w:bottom="993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00" w:rsidRDefault="00947E00">
      <w:r>
        <w:separator/>
      </w:r>
    </w:p>
  </w:endnote>
  <w:endnote w:type="continuationSeparator" w:id="0">
    <w:p w:rsidR="00947E00" w:rsidRDefault="0094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F" w:rsidRPr="00485D4D" w:rsidRDefault="00AB62BF">
    <w:pPr>
      <w:pStyle w:val="Pidipagina"/>
      <w:jc w:val="right"/>
      <w:rPr>
        <w:rFonts w:ascii="Titillium" w:hAnsi="Titillium"/>
        <w:sz w:val="16"/>
        <w:szCs w:val="16"/>
      </w:rPr>
    </w:pPr>
    <w:r w:rsidRPr="00485D4D">
      <w:rPr>
        <w:rFonts w:ascii="Titillium" w:hAnsi="Titillium"/>
        <w:sz w:val="16"/>
        <w:szCs w:val="16"/>
      </w:rPr>
      <w:t xml:space="preserve">Pag. </w:t>
    </w:r>
    <w:sdt>
      <w:sdtPr>
        <w:rPr>
          <w:rFonts w:ascii="Titillium" w:hAnsi="Titillium"/>
          <w:sz w:val="16"/>
          <w:szCs w:val="16"/>
        </w:rPr>
        <w:id w:val="-5750778"/>
        <w:docPartObj>
          <w:docPartGallery w:val="Page Numbers (Bottom of Page)"/>
          <w:docPartUnique/>
        </w:docPartObj>
      </w:sdtPr>
      <w:sdtEndPr/>
      <w:sdtContent>
        <w:r w:rsidRPr="00485D4D">
          <w:rPr>
            <w:rFonts w:ascii="Titillium" w:hAnsi="Titillium"/>
            <w:sz w:val="16"/>
            <w:szCs w:val="16"/>
          </w:rPr>
          <w:fldChar w:fldCharType="begin"/>
        </w:r>
        <w:r w:rsidRPr="00485D4D">
          <w:rPr>
            <w:rFonts w:ascii="Titillium" w:hAnsi="Titillium"/>
            <w:sz w:val="16"/>
            <w:szCs w:val="16"/>
          </w:rPr>
          <w:instrText>PAGE   \* MERGEFORMAT</w:instrText>
        </w:r>
        <w:r w:rsidRPr="00485D4D">
          <w:rPr>
            <w:rFonts w:ascii="Titillium" w:hAnsi="Titillium"/>
            <w:sz w:val="16"/>
            <w:szCs w:val="16"/>
          </w:rPr>
          <w:fldChar w:fldCharType="separate"/>
        </w:r>
        <w:r w:rsidR="00B5324D">
          <w:rPr>
            <w:rFonts w:ascii="Titillium" w:hAnsi="Titillium"/>
            <w:noProof/>
            <w:sz w:val="16"/>
            <w:szCs w:val="16"/>
          </w:rPr>
          <w:t>2</w:t>
        </w:r>
        <w:r w:rsidRPr="00485D4D">
          <w:rPr>
            <w:rFonts w:ascii="Titillium" w:hAnsi="Titillium"/>
            <w:sz w:val="16"/>
            <w:szCs w:val="16"/>
          </w:rPr>
          <w:fldChar w:fldCharType="end"/>
        </w:r>
      </w:sdtContent>
    </w:sdt>
  </w:p>
  <w:p w:rsidR="003A446F" w:rsidRDefault="003A4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00" w:rsidRDefault="00947E00">
      <w:r>
        <w:separator/>
      </w:r>
    </w:p>
  </w:footnote>
  <w:footnote w:type="continuationSeparator" w:id="0">
    <w:p w:rsidR="00947E00" w:rsidRDefault="0094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E6" w:rsidRPr="0012576B" w:rsidRDefault="00D651EA" w:rsidP="009A6162">
    <w:pPr>
      <w:tabs>
        <w:tab w:val="center" w:pos="4678"/>
      </w:tabs>
      <w:spacing w:before="120"/>
      <w:ind w:right="284"/>
      <w:jc w:val="center"/>
      <w:rPr>
        <w:i/>
        <w:color w:val="1F497D"/>
        <w:sz w:val="20"/>
        <w:szCs w:val="20"/>
      </w:rPr>
    </w:pPr>
    <w:r w:rsidRPr="00812E18">
      <w:rPr>
        <w:noProof/>
      </w:rPr>
      <w:drawing>
        <wp:anchor distT="0" distB="0" distL="114300" distR="114300" simplePos="0" relativeHeight="251659264" behindDoc="0" locked="0" layoutInCell="1" allowOverlap="1" wp14:anchorId="0FF36ACC" wp14:editId="0854DB98">
          <wp:simplePos x="0" y="0"/>
          <wp:positionH relativeFrom="margin">
            <wp:posOffset>-111760</wp:posOffset>
          </wp:positionH>
          <wp:positionV relativeFrom="margin">
            <wp:posOffset>-520065</wp:posOffset>
          </wp:positionV>
          <wp:extent cx="2879725" cy="341630"/>
          <wp:effectExtent l="0" t="0" r="0" b="127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76D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255E08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1A3467"/>
    <w:multiLevelType w:val="hybridMultilevel"/>
    <w:tmpl w:val="D6CCF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73E4"/>
    <w:multiLevelType w:val="hybridMultilevel"/>
    <w:tmpl w:val="0428C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AA64E3"/>
    <w:multiLevelType w:val="hybridMultilevel"/>
    <w:tmpl w:val="3020C0E0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B6B65"/>
    <w:multiLevelType w:val="hybridMultilevel"/>
    <w:tmpl w:val="AE207DE2"/>
    <w:lvl w:ilvl="0" w:tplc="D662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43"/>
    <w:multiLevelType w:val="hybridMultilevel"/>
    <w:tmpl w:val="64A6D25E"/>
    <w:lvl w:ilvl="0" w:tplc="E0F4AA7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E532467A">
      <w:numFmt w:val="bullet"/>
      <w:lvlText w:val=""/>
      <w:lvlJc w:val="left"/>
      <w:pPr>
        <w:ind w:left="2007" w:hanging="360"/>
      </w:pPr>
      <w:rPr>
        <w:rFonts w:ascii="Symbol" w:eastAsiaTheme="minorHAns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F"/>
    <w:rsid w:val="00005679"/>
    <w:rsid w:val="0001478E"/>
    <w:rsid w:val="00027E87"/>
    <w:rsid w:val="00075C20"/>
    <w:rsid w:val="000A1CCC"/>
    <w:rsid w:val="000B5A7E"/>
    <w:rsid w:val="000C4B00"/>
    <w:rsid w:val="000D7EB4"/>
    <w:rsid w:val="000F54E3"/>
    <w:rsid w:val="0010664A"/>
    <w:rsid w:val="00114C4C"/>
    <w:rsid w:val="0011731E"/>
    <w:rsid w:val="00120243"/>
    <w:rsid w:val="00127A81"/>
    <w:rsid w:val="00135F2E"/>
    <w:rsid w:val="00160522"/>
    <w:rsid w:val="00175D4E"/>
    <w:rsid w:val="001833D2"/>
    <w:rsid w:val="00190808"/>
    <w:rsid w:val="001A2E3E"/>
    <w:rsid w:val="001B574D"/>
    <w:rsid w:val="001C3FA7"/>
    <w:rsid w:val="001C466C"/>
    <w:rsid w:val="001D1EE5"/>
    <w:rsid w:val="001E4706"/>
    <w:rsid w:val="001F09E8"/>
    <w:rsid w:val="001F513E"/>
    <w:rsid w:val="00227F61"/>
    <w:rsid w:val="00230E11"/>
    <w:rsid w:val="00241BA2"/>
    <w:rsid w:val="00242E26"/>
    <w:rsid w:val="00244674"/>
    <w:rsid w:val="0024510C"/>
    <w:rsid w:val="00247AB2"/>
    <w:rsid w:val="002571ED"/>
    <w:rsid w:val="00267832"/>
    <w:rsid w:val="002751E9"/>
    <w:rsid w:val="00292591"/>
    <w:rsid w:val="002A2864"/>
    <w:rsid w:val="002B2428"/>
    <w:rsid w:val="002C4276"/>
    <w:rsid w:val="002D62A6"/>
    <w:rsid w:val="002F5D11"/>
    <w:rsid w:val="00301E86"/>
    <w:rsid w:val="00302DE1"/>
    <w:rsid w:val="00310F9B"/>
    <w:rsid w:val="00317AEE"/>
    <w:rsid w:val="00324E8A"/>
    <w:rsid w:val="00343D41"/>
    <w:rsid w:val="003464B0"/>
    <w:rsid w:val="00351851"/>
    <w:rsid w:val="00353006"/>
    <w:rsid w:val="00356F6E"/>
    <w:rsid w:val="00360A38"/>
    <w:rsid w:val="0037403A"/>
    <w:rsid w:val="00381B15"/>
    <w:rsid w:val="00383DFD"/>
    <w:rsid w:val="003A446F"/>
    <w:rsid w:val="003A7725"/>
    <w:rsid w:val="003B09C0"/>
    <w:rsid w:val="003B6D56"/>
    <w:rsid w:val="003B7756"/>
    <w:rsid w:val="003C423E"/>
    <w:rsid w:val="003C53D9"/>
    <w:rsid w:val="003D1A74"/>
    <w:rsid w:val="003E52ED"/>
    <w:rsid w:val="004073BF"/>
    <w:rsid w:val="00417722"/>
    <w:rsid w:val="004219F2"/>
    <w:rsid w:val="00440A41"/>
    <w:rsid w:val="00450CFC"/>
    <w:rsid w:val="004777EF"/>
    <w:rsid w:val="00485D4D"/>
    <w:rsid w:val="004F27F7"/>
    <w:rsid w:val="00503DDB"/>
    <w:rsid w:val="00504D4B"/>
    <w:rsid w:val="0052646B"/>
    <w:rsid w:val="0053090E"/>
    <w:rsid w:val="00531B30"/>
    <w:rsid w:val="005368B4"/>
    <w:rsid w:val="00546E80"/>
    <w:rsid w:val="00564B66"/>
    <w:rsid w:val="0056782A"/>
    <w:rsid w:val="00570207"/>
    <w:rsid w:val="00574BC1"/>
    <w:rsid w:val="00575246"/>
    <w:rsid w:val="005817E0"/>
    <w:rsid w:val="0059710F"/>
    <w:rsid w:val="005C7822"/>
    <w:rsid w:val="005D6FFD"/>
    <w:rsid w:val="005F5963"/>
    <w:rsid w:val="00600C6C"/>
    <w:rsid w:val="00617DAB"/>
    <w:rsid w:val="00631285"/>
    <w:rsid w:val="00637842"/>
    <w:rsid w:val="00676EF3"/>
    <w:rsid w:val="006A0051"/>
    <w:rsid w:val="006A3F11"/>
    <w:rsid w:val="006A3FE8"/>
    <w:rsid w:val="006B55BF"/>
    <w:rsid w:val="006D0051"/>
    <w:rsid w:val="006D64E8"/>
    <w:rsid w:val="006E0783"/>
    <w:rsid w:val="00713014"/>
    <w:rsid w:val="00721312"/>
    <w:rsid w:val="00721AFB"/>
    <w:rsid w:val="0072520B"/>
    <w:rsid w:val="007330C5"/>
    <w:rsid w:val="00753616"/>
    <w:rsid w:val="007546E7"/>
    <w:rsid w:val="0075767F"/>
    <w:rsid w:val="00762FF3"/>
    <w:rsid w:val="007648CF"/>
    <w:rsid w:val="00770F19"/>
    <w:rsid w:val="007A2D21"/>
    <w:rsid w:val="007B7B77"/>
    <w:rsid w:val="007C4F60"/>
    <w:rsid w:val="007C722E"/>
    <w:rsid w:val="007D15C4"/>
    <w:rsid w:val="007D726E"/>
    <w:rsid w:val="007E5A4E"/>
    <w:rsid w:val="007F7E05"/>
    <w:rsid w:val="008031B4"/>
    <w:rsid w:val="0083089C"/>
    <w:rsid w:val="00833965"/>
    <w:rsid w:val="00837E58"/>
    <w:rsid w:val="008500E8"/>
    <w:rsid w:val="00852815"/>
    <w:rsid w:val="008736B2"/>
    <w:rsid w:val="0087432A"/>
    <w:rsid w:val="00877254"/>
    <w:rsid w:val="00877846"/>
    <w:rsid w:val="00887F83"/>
    <w:rsid w:val="008A58D7"/>
    <w:rsid w:val="008B2EBA"/>
    <w:rsid w:val="008B4DB6"/>
    <w:rsid w:val="008C5C31"/>
    <w:rsid w:val="008D32E1"/>
    <w:rsid w:val="008D7A38"/>
    <w:rsid w:val="008E5E21"/>
    <w:rsid w:val="008F4263"/>
    <w:rsid w:val="00903BA2"/>
    <w:rsid w:val="009060DE"/>
    <w:rsid w:val="00917076"/>
    <w:rsid w:val="009265BF"/>
    <w:rsid w:val="009415F7"/>
    <w:rsid w:val="00946B87"/>
    <w:rsid w:val="00947E00"/>
    <w:rsid w:val="00950EE1"/>
    <w:rsid w:val="00961103"/>
    <w:rsid w:val="009745E7"/>
    <w:rsid w:val="009937DC"/>
    <w:rsid w:val="00993D37"/>
    <w:rsid w:val="009A11D9"/>
    <w:rsid w:val="009B06A1"/>
    <w:rsid w:val="009B0926"/>
    <w:rsid w:val="009B7DE6"/>
    <w:rsid w:val="009E6F77"/>
    <w:rsid w:val="009E746A"/>
    <w:rsid w:val="00A02BA0"/>
    <w:rsid w:val="00A03928"/>
    <w:rsid w:val="00A10371"/>
    <w:rsid w:val="00A1785A"/>
    <w:rsid w:val="00A2590F"/>
    <w:rsid w:val="00A318D6"/>
    <w:rsid w:val="00A324E9"/>
    <w:rsid w:val="00A325BF"/>
    <w:rsid w:val="00A563BB"/>
    <w:rsid w:val="00A65734"/>
    <w:rsid w:val="00A74FE2"/>
    <w:rsid w:val="00A754EB"/>
    <w:rsid w:val="00A75992"/>
    <w:rsid w:val="00A77226"/>
    <w:rsid w:val="00A86EDC"/>
    <w:rsid w:val="00A93C7A"/>
    <w:rsid w:val="00AA591F"/>
    <w:rsid w:val="00AA6E3E"/>
    <w:rsid w:val="00AB62BF"/>
    <w:rsid w:val="00AC6AB4"/>
    <w:rsid w:val="00AC6E03"/>
    <w:rsid w:val="00AD7223"/>
    <w:rsid w:val="00AD7D3F"/>
    <w:rsid w:val="00B04A07"/>
    <w:rsid w:val="00B31A25"/>
    <w:rsid w:val="00B34779"/>
    <w:rsid w:val="00B35D68"/>
    <w:rsid w:val="00B5324D"/>
    <w:rsid w:val="00B579A2"/>
    <w:rsid w:val="00B66B33"/>
    <w:rsid w:val="00B7025F"/>
    <w:rsid w:val="00B74FF9"/>
    <w:rsid w:val="00B77FE3"/>
    <w:rsid w:val="00B9299E"/>
    <w:rsid w:val="00B944C1"/>
    <w:rsid w:val="00BC08FB"/>
    <w:rsid w:val="00BC59AE"/>
    <w:rsid w:val="00BD021A"/>
    <w:rsid w:val="00BE70AF"/>
    <w:rsid w:val="00BF4628"/>
    <w:rsid w:val="00C11028"/>
    <w:rsid w:val="00C20DA0"/>
    <w:rsid w:val="00C2425F"/>
    <w:rsid w:val="00C2597F"/>
    <w:rsid w:val="00C50676"/>
    <w:rsid w:val="00C5513F"/>
    <w:rsid w:val="00C56DB3"/>
    <w:rsid w:val="00C6766C"/>
    <w:rsid w:val="00C770F6"/>
    <w:rsid w:val="00C81CB5"/>
    <w:rsid w:val="00CB662A"/>
    <w:rsid w:val="00CD7A70"/>
    <w:rsid w:val="00CE447D"/>
    <w:rsid w:val="00CF4B1E"/>
    <w:rsid w:val="00D0550D"/>
    <w:rsid w:val="00D15A98"/>
    <w:rsid w:val="00D23673"/>
    <w:rsid w:val="00D64BD2"/>
    <w:rsid w:val="00D64E56"/>
    <w:rsid w:val="00D651EA"/>
    <w:rsid w:val="00DA550A"/>
    <w:rsid w:val="00DB0F60"/>
    <w:rsid w:val="00DB1768"/>
    <w:rsid w:val="00DC23FB"/>
    <w:rsid w:val="00DC56C0"/>
    <w:rsid w:val="00DD7553"/>
    <w:rsid w:val="00DE03B6"/>
    <w:rsid w:val="00DE1AF3"/>
    <w:rsid w:val="00DF0701"/>
    <w:rsid w:val="00DF2AEB"/>
    <w:rsid w:val="00DF7C09"/>
    <w:rsid w:val="00E17EC3"/>
    <w:rsid w:val="00E57115"/>
    <w:rsid w:val="00E63EE0"/>
    <w:rsid w:val="00E6410D"/>
    <w:rsid w:val="00E80F80"/>
    <w:rsid w:val="00E94323"/>
    <w:rsid w:val="00EA2D35"/>
    <w:rsid w:val="00EA3565"/>
    <w:rsid w:val="00EA4563"/>
    <w:rsid w:val="00EB33DB"/>
    <w:rsid w:val="00ED1901"/>
    <w:rsid w:val="00ED3846"/>
    <w:rsid w:val="00ED7169"/>
    <w:rsid w:val="00EE0027"/>
    <w:rsid w:val="00EE0543"/>
    <w:rsid w:val="00EE0B14"/>
    <w:rsid w:val="00F107DE"/>
    <w:rsid w:val="00F20CB0"/>
    <w:rsid w:val="00F22986"/>
    <w:rsid w:val="00F27FAF"/>
    <w:rsid w:val="00F3506B"/>
    <w:rsid w:val="00F41FD8"/>
    <w:rsid w:val="00F4489A"/>
    <w:rsid w:val="00F46C8F"/>
    <w:rsid w:val="00F5346F"/>
    <w:rsid w:val="00F63A6E"/>
    <w:rsid w:val="00F85ACA"/>
    <w:rsid w:val="00F87066"/>
    <w:rsid w:val="00FB3281"/>
    <w:rsid w:val="00FB7ADA"/>
    <w:rsid w:val="00FC6854"/>
    <w:rsid w:val="00FE048D"/>
    <w:rsid w:val="00FE361A"/>
    <w:rsid w:val="00FF2426"/>
    <w:rsid w:val="00FF69F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340A"/>
  <w15:docId w15:val="{7BEFB838-27FD-4872-9A73-3C3E089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36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5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5F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35F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2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36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36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D4B"/>
    <w:rPr>
      <w:color w:val="800080" w:themeColor="followedHyperlink"/>
      <w:u w:val="single"/>
    </w:rPr>
  </w:style>
  <w:style w:type="paragraph" w:customStyle="1" w:styleId="Default">
    <w:name w:val="Default"/>
    <w:rsid w:val="001F0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D651EA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lang w:eastAsia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D651EA"/>
    <w:rPr>
      <w:rFonts w:ascii="Gotham Light" w:eastAsiaTheme="majorEastAsia" w:hAnsi="Gotham Light" w:cstheme="majorBidi"/>
      <w:color w:val="2770B7"/>
      <w:sz w:val="28"/>
      <w:szCs w:val="24"/>
    </w:rPr>
  </w:style>
  <w:style w:type="paragraph" w:customStyle="1" w:styleId="ANCATABELLATITOLOBIANCO">
    <w:name w:val="ANCA_TABELLA_TITOLO BIANCO"/>
    <w:basedOn w:val="Normale"/>
    <w:qFormat/>
    <w:rsid w:val="00DA550A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6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073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836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815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1762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737A0-264B-47CB-995E-EBAEFD534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D5693-9A32-48EE-972A-45B8C9E7E89C}"/>
</file>

<file path=customXml/itemProps3.xml><?xml version="1.0" encoding="utf-8"?>
<ds:datastoreItem xmlns:ds="http://schemas.openxmlformats.org/officeDocument/2006/customXml" ds:itemID="{F382B425-FA0F-46BE-A8AD-6D6283AF2EDC}"/>
</file>

<file path=customXml/itemProps4.xml><?xml version="1.0" encoding="utf-8"?>
<ds:datastoreItem xmlns:ds="http://schemas.openxmlformats.org/officeDocument/2006/customXml" ds:itemID="{9EDFFC05-80C3-4E38-8326-DE3911E0B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Lorenzetti Maria Luisa</dc:creator>
  <cp:lastModifiedBy>Sorrentino Ilario</cp:lastModifiedBy>
  <cp:revision>7</cp:revision>
  <cp:lastPrinted>2023-02-22T08:49:00Z</cp:lastPrinted>
  <dcterms:created xsi:type="dcterms:W3CDTF">2023-02-21T17:06:00Z</dcterms:created>
  <dcterms:modified xsi:type="dcterms:W3CDTF">2023-02-22T12:50:00Z</dcterms:modified>
</cp:coreProperties>
</file>