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57" w:rsidRDefault="007B1157" w:rsidP="005F76E1">
      <w:pPr>
        <w:tabs>
          <w:tab w:val="left" w:pos="2774"/>
        </w:tabs>
        <w:spacing w:before="120" w:after="120" w:line="276" w:lineRule="auto"/>
        <w:rPr>
          <w:rFonts w:ascii="Gotham Book" w:hAnsi="Gotham Book" w:cs="Arial"/>
          <w:b/>
          <w:color w:val="2E74B5"/>
          <w:sz w:val="16"/>
          <w:szCs w:val="16"/>
        </w:rPr>
      </w:pPr>
    </w:p>
    <w:p w:rsidR="00DE191A" w:rsidRDefault="00DE191A" w:rsidP="005F76E1">
      <w:pPr>
        <w:tabs>
          <w:tab w:val="left" w:pos="2774"/>
        </w:tabs>
        <w:spacing w:before="120" w:after="120" w:line="276" w:lineRule="auto"/>
        <w:rPr>
          <w:rFonts w:ascii="Gotham Book" w:hAnsi="Gotham Book" w:cs="Arial"/>
          <w:b/>
          <w:color w:val="2E74B5"/>
          <w:sz w:val="16"/>
          <w:szCs w:val="16"/>
        </w:rPr>
      </w:pPr>
    </w:p>
    <w:p w:rsidR="006A145C" w:rsidRPr="00F43EF3" w:rsidRDefault="006A145C" w:rsidP="005F76E1">
      <w:pPr>
        <w:tabs>
          <w:tab w:val="left" w:pos="2774"/>
        </w:tabs>
        <w:spacing w:before="120" w:after="120" w:line="276" w:lineRule="auto"/>
        <w:rPr>
          <w:rFonts w:ascii="Gotham Book" w:hAnsi="Gotham Book" w:cs="Arial"/>
          <w:b/>
          <w:color w:val="2E74B5"/>
          <w:sz w:val="16"/>
          <w:szCs w:val="16"/>
        </w:rPr>
      </w:pPr>
    </w:p>
    <w:p w:rsidR="00B80660" w:rsidRPr="00DE191A" w:rsidRDefault="00B7245F" w:rsidP="00B7245F">
      <w:pPr>
        <w:tabs>
          <w:tab w:val="left" w:pos="2774"/>
        </w:tabs>
        <w:spacing w:before="120" w:after="120" w:line="276" w:lineRule="auto"/>
        <w:jc w:val="center"/>
        <w:rPr>
          <w:rFonts w:ascii="Gotham Light" w:hAnsi="Gotham Light" w:cs="Arial"/>
          <w:b/>
          <w:color w:val="2E74B5"/>
          <w:sz w:val="40"/>
          <w:szCs w:val="40"/>
        </w:rPr>
      </w:pPr>
      <w:r w:rsidRPr="00DE191A">
        <w:rPr>
          <w:rFonts w:ascii="Gotham Light" w:hAnsi="Gotham Light" w:cs="Arial"/>
          <w:b/>
          <w:color w:val="2E74B5"/>
          <w:sz w:val="40"/>
          <w:szCs w:val="40"/>
        </w:rPr>
        <w:t>DETERMINA A CONTRARRE</w:t>
      </w:r>
    </w:p>
    <w:p w:rsidR="00DE191A" w:rsidRDefault="00DE191A" w:rsidP="00B7245F">
      <w:pPr>
        <w:tabs>
          <w:tab w:val="left" w:pos="2774"/>
        </w:tabs>
        <w:spacing w:before="120" w:after="120" w:line="276" w:lineRule="auto"/>
        <w:jc w:val="center"/>
        <w:rPr>
          <w:rFonts w:ascii="Gotham Light" w:hAnsi="Gotham Light"/>
          <w:b/>
          <w:sz w:val="36"/>
          <w:szCs w:val="36"/>
        </w:rPr>
      </w:pPr>
      <w:r w:rsidRPr="00DE191A">
        <w:rPr>
          <w:rFonts w:ascii="Gotham Light" w:hAnsi="Gotham Light" w:cs="Arial"/>
          <w:b/>
          <w:color w:val="2E74B5"/>
          <w:sz w:val="40"/>
          <w:szCs w:val="40"/>
        </w:rPr>
        <w:t>IL DIRIGENTE</w:t>
      </w:r>
    </w:p>
    <w:p w:rsidR="00DE191A" w:rsidRPr="00F43EF3" w:rsidRDefault="00DE191A" w:rsidP="00F43EF3">
      <w:pPr>
        <w:tabs>
          <w:tab w:val="left" w:pos="2774"/>
        </w:tabs>
        <w:spacing w:before="120" w:after="120" w:line="276" w:lineRule="auto"/>
        <w:jc w:val="both"/>
        <w:rPr>
          <w:rFonts w:ascii="Gotham Light" w:hAnsi="Gotham Light"/>
          <w:b/>
          <w:sz w:val="36"/>
          <w:szCs w:val="36"/>
        </w:rPr>
      </w:pPr>
    </w:p>
    <w:p w:rsidR="00332723" w:rsidRPr="00C450E4" w:rsidRDefault="00B7245F" w:rsidP="00212EAF">
      <w:pPr>
        <w:spacing w:after="100" w:line="276" w:lineRule="auto"/>
        <w:jc w:val="both"/>
        <w:rPr>
          <w:rFonts w:ascii="Titillium" w:hAnsi="Titillium"/>
          <w:sz w:val="18"/>
          <w:szCs w:val="18"/>
        </w:rPr>
      </w:pPr>
      <w:r w:rsidRPr="00C450E4">
        <w:rPr>
          <w:rFonts w:ascii="Titillium" w:hAnsi="Titillium"/>
          <w:b/>
          <w:sz w:val="18"/>
          <w:szCs w:val="18"/>
        </w:rPr>
        <w:t xml:space="preserve">VISTO </w:t>
      </w:r>
      <w:r w:rsidRPr="00C450E4">
        <w:rPr>
          <w:rFonts w:ascii="Titillium" w:hAnsi="Titillium"/>
          <w:sz w:val="18"/>
          <w:szCs w:val="18"/>
        </w:rPr>
        <w:t>il decreto legislativo 18.04.2016, n. 50, ed in particolare il comma 2 dell’art. 32, il quale prevede che, prima dell’avvio delle procedure di affidamento dei contratti pubblici, le stazioni appaltanti, in conformità ai propri ordinamenti, decretino o determinino di contrarre, individuando gli elementi essenziali del contratto e i criteri di selezione degli operatori economici e delle offerte;</w:t>
      </w:r>
    </w:p>
    <w:p w:rsidR="00F160DC" w:rsidRPr="00C450E4" w:rsidRDefault="00B7245F" w:rsidP="00212EAF">
      <w:pPr>
        <w:spacing w:after="100" w:line="276" w:lineRule="auto"/>
        <w:jc w:val="both"/>
        <w:rPr>
          <w:rFonts w:ascii="Titillium" w:hAnsi="Titillium"/>
          <w:sz w:val="18"/>
          <w:szCs w:val="18"/>
        </w:rPr>
      </w:pPr>
      <w:r w:rsidRPr="00C450E4">
        <w:rPr>
          <w:rFonts w:ascii="Titillium" w:hAnsi="Titillium"/>
          <w:b/>
          <w:bCs/>
          <w:sz w:val="18"/>
          <w:szCs w:val="18"/>
        </w:rPr>
        <w:t xml:space="preserve">VISTO </w:t>
      </w:r>
      <w:r w:rsidRPr="00C450E4">
        <w:rPr>
          <w:rFonts w:ascii="Titillium" w:hAnsi="Titillium"/>
          <w:bCs/>
          <w:sz w:val="18"/>
          <w:szCs w:val="18"/>
        </w:rPr>
        <w:t>il decreto legge 16 luglio 2020, n. 76 convertito nella legge 11 settembre 2020, n. 120, e successive modifiche;</w:t>
      </w:r>
    </w:p>
    <w:p w:rsidR="00332723" w:rsidRPr="00C450E4" w:rsidRDefault="00B7245F" w:rsidP="00212EAF">
      <w:pPr>
        <w:spacing w:after="100" w:line="276" w:lineRule="auto"/>
        <w:jc w:val="both"/>
        <w:rPr>
          <w:rFonts w:ascii="Titillium" w:hAnsi="Titillium"/>
          <w:sz w:val="18"/>
          <w:szCs w:val="18"/>
        </w:rPr>
      </w:pPr>
      <w:r w:rsidRPr="00C450E4">
        <w:rPr>
          <w:rFonts w:ascii="Titillium" w:hAnsi="Titillium"/>
          <w:b/>
          <w:bCs/>
          <w:sz w:val="18"/>
          <w:szCs w:val="18"/>
        </w:rPr>
        <w:t xml:space="preserve">VISTO </w:t>
      </w:r>
      <w:r w:rsidRPr="00C450E4">
        <w:rPr>
          <w:rFonts w:ascii="Titillium" w:hAnsi="Titillium"/>
          <w:bCs/>
          <w:sz w:val="18"/>
          <w:szCs w:val="18"/>
        </w:rPr>
        <w:t>il Regolamento per la disciplina dei contratti pubblici di servizi e forniture stipulati dall’Autorità approvato in data 7.7.2021;</w:t>
      </w:r>
    </w:p>
    <w:p w:rsidR="002169EF" w:rsidRDefault="002169EF" w:rsidP="00212EAF">
      <w:pPr>
        <w:spacing w:after="100" w:line="276" w:lineRule="auto"/>
        <w:jc w:val="both"/>
        <w:rPr>
          <w:rFonts w:ascii="Titillium" w:hAnsi="Titillium"/>
          <w:sz w:val="18"/>
          <w:szCs w:val="18"/>
        </w:rPr>
      </w:pPr>
      <w:r w:rsidRPr="00C450E4">
        <w:rPr>
          <w:rFonts w:ascii="Titillium" w:hAnsi="Titillium"/>
          <w:b/>
          <w:sz w:val="18"/>
          <w:szCs w:val="18"/>
        </w:rPr>
        <w:t xml:space="preserve">CONSIDERATO </w:t>
      </w:r>
      <w:r w:rsidR="00C450E4" w:rsidRPr="00C450E4">
        <w:rPr>
          <w:rFonts w:ascii="Titillium" w:hAnsi="Titillium"/>
          <w:sz w:val="18"/>
          <w:szCs w:val="18"/>
        </w:rPr>
        <w:t>che in data 23.5.2023 giungerà a scadenza il contratto di abbonamento annuale a “Il SOLE 24 ORE DIGITAL + QUOTIDIANO EDILIZA E TERRITORIO” stipulato con IL SOLE 24ORE S.P.A.;</w:t>
      </w:r>
    </w:p>
    <w:p w:rsidR="00C450E4" w:rsidRDefault="00C450E4" w:rsidP="00212EAF">
      <w:pPr>
        <w:spacing w:after="100" w:line="276" w:lineRule="auto"/>
        <w:jc w:val="both"/>
        <w:rPr>
          <w:rFonts w:ascii="Titillium" w:hAnsi="Titillium"/>
          <w:sz w:val="18"/>
          <w:szCs w:val="18"/>
        </w:rPr>
      </w:pPr>
      <w:r w:rsidRPr="00C450E4">
        <w:rPr>
          <w:rFonts w:ascii="Titillium" w:hAnsi="Titillium"/>
          <w:b/>
          <w:sz w:val="18"/>
          <w:szCs w:val="18"/>
        </w:rPr>
        <w:t xml:space="preserve">TENUTO CONTO </w:t>
      </w:r>
      <w:r w:rsidRPr="00C450E4">
        <w:rPr>
          <w:rFonts w:ascii="Titillium" w:hAnsi="Titillium"/>
          <w:sz w:val="18"/>
          <w:szCs w:val="18"/>
        </w:rPr>
        <w:t>che il servizio di abbonamento in questione è fornito esclusivamente dalla suddetta società;</w:t>
      </w:r>
    </w:p>
    <w:p w:rsidR="00C450E4" w:rsidRDefault="00C450E4" w:rsidP="00212EAF">
      <w:pPr>
        <w:spacing w:after="100" w:line="276" w:lineRule="auto"/>
        <w:jc w:val="both"/>
        <w:rPr>
          <w:rFonts w:ascii="Titillium" w:hAnsi="Titillium"/>
          <w:sz w:val="18"/>
          <w:szCs w:val="18"/>
        </w:rPr>
      </w:pPr>
      <w:r w:rsidRPr="00C450E4">
        <w:rPr>
          <w:rFonts w:ascii="Titillium" w:hAnsi="Titillium"/>
          <w:b/>
          <w:sz w:val="18"/>
          <w:szCs w:val="18"/>
        </w:rPr>
        <w:t xml:space="preserve">VISTA </w:t>
      </w:r>
      <w:r w:rsidRPr="00C450E4">
        <w:rPr>
          <w:rFonts w:ascii="Titillium" w:hAnsi="Titillium"/>
          <w:sz w:val="18"/>
          <w:szCs w:val="18"/>
        </w:rPr>
        <w:t xml:space="preserve">la comunicazione del 30.3.2023, con la quale la responsabile della Biblioteca dell’Autorità ha comunicato il nulla osta del Consigliere Paolo </w:t>
      </w:r>
      <w:proofErr w:type="spellStart"/>
      <w:r w:rsidRPr="00C450E4">
        <w:rPr>
          <w:rFonts w:ascii="Titillium" w:hAnsi="Titillium"/>
          <w:sz w:val="18"/>
          <w:szCs w:val="18"/>
        </w:rPr>
        <w:t>Giacomazzo</w:t>
      </w:r>
      <w:proofErr w:type="spellEnd"/>
      <w:r w:rsidRPr="00C450E4">
        <w:rPr>
          <w:rFonts w:ascii="Titillium" w:hAnsi="Titillium"/>
          <w:sz w:val="18"/>
          <w:szCs w:val="18"/>
        </w:rPr>
        <w:t>, delegato dal Consiglio per la valutazione delle esigenze per la biblioteca dell’Autorità, a procedere al rinnovo di tutte le banche dati e abbonamenti della biblioteca in scadenza nel corrente anno 2023;</w:t>
      </w:r>
    </w:p>
    <w:p w:rsidR="00511126" w:rsidRPr="00C450E4" w:rsidRDefault="00C450E4" w:rsidP="00212EAF">
      <w:pPr>
        <w:spacing w:after="100" w:line="276" w:lineRule="auto"/>
        <w:jc w:val="both"/>
        <w:rPr>
          <w:rFonts w:ascii="Titillium" w:hAnsi="Titillium"/>
          <w:b/>
          <w:iCs/>
          <w:sz w:val="18"/>
          <w:szCs w:val="18"/>
          <w:highlight w:val="yellow"/>
        </w:rPr>
      </w:pPr>
      <w:r w:rsidRPr="00C450E4">
        <w:rPr>
          <w:rFonts w:ascii="Titillium" w:hAnsi="Titillium"/>
          <w:b/>
          <w:sz w:val="18"/>
          <w:szCs w:val="18"/>
        </w:rPr>
        <w:t xml:space="preserve">VISTO </w:t>
      </w:r>
      <w:r w:rsidRPr="00C450E4">
        <w:rPr>
          <w:rFonts w:ascii="Titillium" w:hAnsi="Titillium"/>
          <w:sz w:val="18"/>
          <w:szCs w:val="18"/>
        </w:rPr>
        <w:t>il preventivo inviato da IL SOLE 24ORE S.P.A.</w:t>
      </w:r>
      <w:r w:rsidRPr="00C450E4">
        <w:rPr>
          <w:rFonts w:ascii="Titillium" w:hAnsi="Titillium"/>
          <w:iCs/>
          <w:sz w:val="18"/>
          <w:szCs w:val="18"/>
        </w:rPr>
        <w:t xml:space="preserve"> in data </w:t>
      </w:r>
      <w:r>
        <w:rPr>
          <w:rFonts w:ascii="Titillium" w:hAnsi="Titillium"/>
          <w:iCs/>
          <w:sz w:val="18"/>
          <w:szCs w:val="18"/>
        </w:rPr>
        <w:t>3.5.</w:t>
      </w:r>
      <w:r w:rsidRPr="00C450E4">
        <w:rPr>
          <w:rFonts w:ascii="Titillium" w:hAnsi="Titillium"/>
          <w:iCs/>
          <w:sz w:val="18"/>
          <w:szCs w:val="18"/>
        </w:rPr>
        <w:t xml:space="preserve">2023, </w:t>
      </w:r>
      <w:proofErr w:type="spellStart"/>
      <w:r w:rsidRPr="00C450E4">
        <w:rPr>
          <w:rFonts w:ascii="Titillium" w:hAnsi="Titillium"/>
          <w:iCs/>
          <w:sz w:val="18"/>
          <w:szCs w:val="18"/>
        </w:rPr>
        <w:t>prot</w:t>
      </w:r>
      <w:proofErr w:type="spellEnd"/>
      <w:r w:rsidRPr="00C450E4">
        <w:rPr>
          <w:rFonts w:ascii="Titillium" w:hAnsi="Titillium"/>
          <w:iCs/>
          <w:sz w:val="18"/>
          <w:szCs w:val="18"/>
        </w:rPr>
        <w:t xml:space="preserve">. n. 33582, riferito al rinnovo annuale del predetto abbonamento, comprensivo anche dell’abbonamento gratuito a </w:t>
      </w:r>
      <w:r w:rsidRPr="00C450E4">
        <w:rPr>
          <w:rFonts w:ascii="Titillium" w:hAnsi="Titillium"/>
          <w:iCs/>
          <w:sz w:val="18"/>
          <w:szCs w:val="18"/>
          <w:lang w:val="en-US"/>
        </w:rPr>
        <w:t>Premium 24+</w:t>
      </w:r>
      <w:r w:rsidRPr="00C450E4">
        <w:rPr>
          <w:rFonts w:ascii="Titillium" w:hAnsi="Titillium"/>
          <w:iCs/>
          <w:sz w:val="18"/>
          <w:szCs w:val="18"/>
        </w:rPr>
        <w:t xml:space="preserve"> (pacchetto denominato “IL SOLE 24 ORE DIGITAL +24+NT+EE.LL. EDILIZIA”), per un costo totale di euro 368,40, oltre Iva al 4%;</w:t>
      </w:r>
    </w:p>
    <w:p w:rsidR="00337D6B" w:rsidRPr="00C450E4" w:rsidRDefault="00337D6B" w:rsidP="00212EAF">
      <w:pPr>
        <w:spacing w:after="100" w:line="276" w:lineRule="auto"/>
        <w:jc w:val="both"/>
        <w:rPr>
          <w:rFonts w:ascii="Titillium" w:hAnsi="Titillium"/>
          <w:sz w:val="18"/>
          <w:szCs w:val="18"/>
        </w:rPr>
      </w:pPr>
      <w:r w:rsidRPr="00C450E4">
        <w:rPr>
          <w:rFonts w:ascii="Titillium" w:hAnsi="Titillium"/>
          <w:b/>
          <w:sz w:val="18"/>
          <w:szCs w:val="18"/>
        </w:rPr>
        <w:t xml:space="preserve">CONSIDERATO </w:t>
      </w:r>
      <w:r w:rsidRPr="00C450E4">
        <w:rPr>
          <w:rFonts w:ascii="Titillium" w:hAnsi="Titillium"/>
          <w:sz w:val="18"/>
          <w:szCs w:val="18"/>
        </w:rPr>
        <w:t xml:space="preserve">che sussistono i presupposti per procedere all’affidamento diretto ai sensi dell’art. 36, comma 2, </w:t>
      </w:r>
      <w:proofErr w:type="spellStart"/>
      <w:r w:rsidRPr="00C450E4">
        <w:rPr>
          <w:rFonts w:ascii="Titillium" w:hAnsi="Titillium"/>
          <w:sz w:val="18"/>
          <w:szCs w:val="18"/>
        </w:rPr>
        <w:t>lett</w:t>
      </w:r>
      <w:proofErr w:type="spellEnd"/>
      <w:r w:rsidRPr="00C450E4">
        <w:rPr>
          <w:rFonts w:ascii="Titillium" w:hAnsi="Titillium"/>
          <w:sz w:val="18"/>
          <w:szCs w:val="18"/>
        </w:rPr>
        <w:t xml:space="preserve">. a) del d.lgs. 50/2016, in combinato disposto con l’art. 1, comma 2, lettera a) del </w:t>
      </w:r>
      <w:proofErr w:type="spellStart"/>
      <w:r w:rsidRPr="00C450E4">
        <w:rPr>
          <w:rFonts w:ascii="Titillium" w:hAnsi="Titillium"/>
          <w:sz w:val="18"/>
          <w:szCs w:val="18"/>
        </w:rPr>
        <w:t>d.l.</w:t>
      </w:r>
      <w:proofErr w:type="spellEnd"/>
      <w:r w:rsidRPr="00C450E4">
        <w:rPr>
          <w:rFonts w:ascii="Titillium" w:hAnsi="Titillium"/>
          <w:sz w:val="18"/>
          <w:szCs w:val="18"/>
        </w:rPr>
        <w:t xml:space="preserve"> n. 76/2020, convertito con modificazioni dalla l. 120/2020;</w:t>
      </w:r>
    </w:p>
    <w:p w:rsidR="006A3614" w:rsidRPr="00C450E4" w:rsidRDefault="00332723" w:rsidP="00F77C35">
      <w:pPr>
        <w:spacing w:after="120" w:line="276" w:lineRule="auto"/>
        <w:jc w:val="both"/>
        <w:rPr>
          <w:rFonts w:ascii="Titillium" w:hAnsi="Titillium"/>
          <w:sz w:val="18"/>
          <w:szCs w:val="18"/>
        </w:rPr>
      </w:pPr>
      <w:r w:rsidRPr="00C450E4">
        <w:rPr>
          <w:rFonts w:ascii="Titillium" w:hAnsi="Titillium"/>
          <w:b/>
          <w:sz w:val="18"/>
          <w:szCs w:val="18"/>
        </w:rPr>
        <w:t>ACCERTATO</w:t>
      </w:r>
      <w:r w:rsidRPr="00C450E4">
        <w:rPr>
          <w:rFonts w:ascii="Titillium" w:hAnsi="Titillium"/>
          <w:sz w:val="18"/>
          <w:szCs w:val="18"/>
        </w:rPr>
        <w:t xml:space="preserve"> che la disponibilità finanziaria su</w:t>
      </w:r>
      <w:r w:rsidR="008B5218" w:rsidRPr="00C450E4">
        <w:rPr>
          <w:rFonts w:ascii="Titillium" w:hAnsi="Titillium"/>
          <w:sz w:val="18"/>
          <w:szCs w:val="18"/>
        </w:rPr>
        <w:t>l</w:t>
      </w:r>
      <w:r w:rsidRPr="00C450E4">
        <w:rPr>
          <w:rFonts w:ascii="Titillium" w:hAnsi="Titillium"/>
          <w:sz w:val="18"/>
          <w:szCs w:val="18"/>
        </w:rPr>
        <w:t xml:space="preserve"> pertinent</w:t>
      </w:r>
      <w:r w:rsidR="008B5218" w:rsidRPr="00C450E4">
        <w:rPr>
          <w:rFonts w:ascii="Titillium" w:hAnsi="Titillium"/>
          <w:sz w:val="18"/>
          <w:szCs w:val="18"/>
        </w:rPr>
        <w:t>e capitolo</w:t>
      </w:r>
      <w:r w:rsidR="00212000" w:rsidRPr="00C450E4">
        <w:rPr>
          <w:rFonts w:ascii="Titillium" w:hAnsi="Titillium"/>
          <w:sz w:val="18"/>
          <w:szCs w:val="18"/>
        </w:rPr>
        <w:t xml:space="preserve"> n</w:t>
      </w:r>
      <w:r w:rsidRPr="00C450E4">
        <w:rPr>
          <w:rFonts w:ascii="Titillium" w:hAnsi="Titillium"/>
          <w:sz w:val="18"/>
          <w:szCs w:val="18"/>
        </w:rPr>
        <w:t xml:space="preserve">. </w:t>
      </w:r>
      <w:r w:rsidR="00B219DE" w:rsidRPr="00C450E4">
        <w:rPr>
          <w:rFonts w:ascii="Titillium" w:hAnsi="Titillium"/>
          <w:sz w:val="18"/>
          <w:szCs w:val="18"/>
        </w:rPr>
        <w:t>1301.1</w:t>
      </w:r>
      <w:r w:rsidR="00D17E5C" w:rsidRPr="00C450E4">
        <w:rPr>
          <w:rFonts w:ascii="Titillium" w:hAnsi="Titillium"/>
          <w:sz w:val="18"/>
          <w:szCs w:val="18"/>
        </w:rPr>
        <w:t xml:space="preserve"> </w:t>
      </w:r>
      <w:r w:rsidR="00F50B94" w:rsidRPr="00C450E4">
        <w:rPr>
          <w:rFonts w:ascii="Titillium" w:hAnsi="Titillium"/>
          <w:sz w:val="18"/>
          <w:szCs w:val="18"/>
        </w:rPr>
        <w:t>del</w:t>
      </w:r>
      <w:r w:rsidR="007228DC" w:rsidRPr="00C450E4">
        <w:rPr>
          <w:rFonts w:ascii="Titillium" w:hAnsi="Titillium"/>
          <w:sz w:val="18"/>
          <w:szCs w:val="18"/>
        </w:rPr>
        <w:t xml:space="preserve"> </w:t>
      </w:r>
      <w:r w:rsidR="00C10A17" w:rsidRPr="00C450E4">
        <w:rPr>
          <w:rFonts w:ascii="Titillium" w:hAnsi="Titillium"/>
          <w:sz w:val="18"/>
          <w:szCs w:val="18"/>
        </w:rPr>
        <w:t xml:space="preserve">bilancio </w:t>
      </w:r>
      <w:r w:rsidR="00765701" w:rsidRPr="00C450E4">
        <w:rPr>
          <w:rFonts w:ascii="Titillium" w:hAnsi="Titillium"/>
          <w:sz w:val="18"/>
          <w:szCs w:val="18"/>
        </w:rPr>
        <w:t>202</w:t>
      </w:r>
      <w:r w:rsidR="000A588E" w:rsidRPr="00C450E4">
        <w:rPr>
          <w:rFonts w:ascii="Titillium" w:hAnsi="Titillium"/>
          <w:sz w:val="18"/>
          <w:szCs w:val="18"/>
        </w:rPr>
        <w:t>3</w:t>
      </w:r>
      <w:r w:rsidR="00C10A17" w:rsidRPr="00C450E4">
        <w:rPr>
          <w:rFonts w:ascii="Titillium" w:hAnsi="Titillium"/>
          <w:sz w:val="18"/>
          <w:szCs w:val="18"/>
        </w:rPr>
        <w:t xml:space="preserve"> </w:t>
      </w:r>
      <w:r w:rsidR="00212000" w:rsidRPr="00C450E4">
        <w:rPr>
          <w:rFonts w:ascii="Titillium" w:hAnsi="Titillium"/>
          <w:sz w:val="18"/>
          <w:szCs w:val="18"/>
        </w:rPr>
        <w:t>dell’</w:t>
      </w:r>
      <w:r w:rsidR="005F76E1" w:rsidRPr="00C450E4">
        <w:rPr>
          <w:rFonts w:ascii="Titillium" w:hAnsi="Titillium"/>
          <w:sz w:val="18"/>
          <w:szCs w:val="18"/>
        </w:rPr>
        <w:t xml:space="preserve">Autorità </w:t>
      </w:r>
      <w:r w:rsidRPr="00C450E4">
        <w:rPr>
          <w:rFonts w:ascii="Titillium" w:hAnsi="Titillium"/>
          <w:sz w:val="18"/>
          <w:szCs w:val="18"/>
        </w:rPr>
        <w:t>è congrua per accogliere la spesa stimata per l’a</w:t>
      </w:r>
      <w:r w:rsidR="001060BD" w:rsidRPr="00C450E4">
        <w:rPr>
          <w:rFonts w:ascii="Titillium" w:hAnsi="Titillium"/>
          <w:sz w:val="18"/>
          <w:szCs w:val="18"/>
        </w:rPr>
        <w:t>ffidamento in esame</w:t>
      </w:r>
      <w:r w:rsidRPr="00C450E4">
        <w:rPr>
          <w:rFonts w:ascii="Titillium" w:hAnsi="Titillium"/>
          <w:sz w:val="18"/>
          <w:szCs w:val="18"/>
        </w:rPr>
        <w:t>;</w:t>
      </w:r>
    </w:p>
    <w:p w:rsidR="006A145C" w:rsidRPr="00C450E4" w:rsidRDefault="006A145C" w:rsidP="00F77C35">
      <w:pPr>
        <w:spacing w:after="120" w:line="276" w:lineRule="auto"/>
        <w:jc w:val="both"/>
        <w:rPr>
          <w:rFonts w:ascii="Titillium" w:hAnsi="Titillium"/>
          <w:sz w:val="20"/>
          <w:szCs w:val="20"/>
        </w:rPr>
      </w:pPr>
    </w:p>
    <w:p w:rsidR="006A3614" w:rsidRPr="00C450E4" w:rsidRDefault="00332723" w:rsidP="00F43EF3">
      <w:pPr>
        <w:spacing w:before="120" w:after="120" w:line="276" w:lineRule="auto"/>
        <w:jc w:val="center"/>
        <w:rPr>
          <w:rFonts w:ascii="Gotham Light" w:hAnsi="Gotham Light" w:cs="Arial"/>
          <w:b/>
          <w:color w:val="2E74B5"/>
        </w:rPr>
      </w:pPr>
      <w:r w:rsidRPr="00C450E4">
        <w:rPr>
          <w:rFonts w:ascii="Gotham Light" w:hAnsi="Gotham Light" w:cs="Arial"/>
          <w:b/>
          <w:color w:val="2E74B5"/>
        </w:rPr>
        <w:t>D I S P O N E</w:t>
      </w:r>
    </w:p>
    <w:p w:rsidR="006A145C" w:rsidRPr="001D0785" w:rsidRDefault="006A145C" w:rsidP="00F43EF3">
      <w:pPr>
        <w:spacing w:before="120" w:after="120" w:line="276" w:lineRule="auto"/>
        <w:jc w:val="center"/>
        <w:rPr>
          <w:rFonts w:ascii="Gotham Light" w:hAnsi="Gotham Light" w:cs="Arial"/>
          <w:b/>
          <w:color w:val="2E74B5"/>
        </w:rPr>
      </w:pPr>
      <w:bookmarkStart w:id="0" w:name="_GoBack"/>
      <w:bookmarkEnd w:id="0"/>
    </w:p>
    <w:p w:rsidR="00332723" w:rsidRPr="001D0785" w:rsidRDefault="00337D6B" w:rsidP="00F43EF3">
      <w:pPr>
        <w:pStyle w:val="Paragrafoelenco"/>
        <w:numPr>
          <w:ilvl w:val="0"/>
          <w:numId w:val="1"/>
        </w:numPr>
        <w:spacing w:after="240" w:line="276" w:lineRule="auto"/>
        <w:ind w:left="284" w:hanging="284"/>
        <w:contextualSpacing w:val="0"/>
        <w:jc w:val="both"/>
        <w:rPr>
          <w:rFonts w:ascii="Titillium" w:hAnsi="Titillium"/>
          <w:sz w:val="18"/>
          <w:szCs w:val="18"/>
        </w:rPr>
      </w:pPr>
      <w:r w:rsidRPr="001D0785">
        <w:rPr>
          <w:rFonts w:ascii="Titillium" w:hAnsi="Titillium"/>
          <w:sz w:val="18"/>
          <w:szCs w:val="18"/>
        </w:rPr>
        <w:t>di affidare alla società</w:t>
      </w:r>
      <w:r w:rsidRPr="001D0785">
        <w:rPr>
          <w:rFonts w:ascii="Titillium" w:hAnsi="Titillium"/>
          <w:iCs/>
          <w:sz w:val="18"/>
          <w:szCs w:val="18"/>
        </w:rPr>
        <w:t xml:space="preserve"> </w:t>
      </w:r>
      <w:r w:rsidR="006A171C" w:rsidRPr="001D0785">
        <w:rPr>
          <w:rFonts w:ascii="Titillium" w:hAnsi="Titillium"/>
          <w:iCs/>
          <w:sz w:val="18"/>
          <w:szCs w:val="18"/>
        </w:rPr>
        <w:t xml:space="preserve">IL SOLE 24ORE S.p.A. </w:t>
      </w:r>
      <w:r w:rsidRPr="001D0785">
        <w:rPr>
          <w:rFonts w:ascii="Titillium" w:hAnsi="Titillium"/>
          <w:iCs/>
          <w:sz w:val="18"/>
          <w:szCs w:val="18"/>
        </w:rPr>
        <w:t>(</w:t>
      </w:r>
      <w:r w:rsidRPr="001D0785">
        <w:rPr>
          <w:rFonts w:ascii="Titillium" w:hAnsi="Titillium"/>
          <w:sz w:val="18"/>
          <w:szCs w:val="18"/>
        </w:rPr>
        <w:t xml:space="preserve">C.F. </w:t>
      </w:r>
      <w:r w:rsidR="001D0785" w:rsidRPr="001D0785">
        <w:rPr>
          <w:rFonts w:ascii="Titillium" w:hAnsi="Titillium"/>
          <w:sz w:val="18"/>
          <w:szCs w:val="18"/>
        </w:rPr>
        <w:t>00777910159</w:t>
      </w:r>
      <w:r w:rsidRPr="001D0785">
        <w:rPr>
          <w:rFonts w:ascii="Titillium" w:hAnsi="Titillium"/>
          <w:sz w:val="18"/>
          <w:szCs w:val="18"/>
        </w:rPr>
        <w:t>)</w:t>
      </w:r>
      <w:r w:rsidR="00D90710" w:rsidRPr="001D0785">
        <w:rPr>
          <w:rFonts w:ascii="Titillium" w:hAnsi="Titillium"/>
          <w:iCs/>
          <w:sz w:val="18"/>
          <w:szCs w:val="18"/>
        </w:rPr>
        <w:t>,</w:t>
      </w:r>
      <w:r w:rsidR="009E22C2" w:rsidRPr="001D0785">
        <w:rPr>
          <w:rFonts w:ascii="Titillium" w:hAnsi="Titillium"/>
          <w:sz w:val="18"/>
          <w:szCs w:val="18"/>
        </w:rPr>
        <w:t xml:space="preserve"> </w:t>
      </w:r>
      <w:r w:rsidRPr="001D0785">
        <w:rPr>
          <w:rFonts w:ascii="Titillium" w:hAnsi="Titillium"/>
          <w:sz w:val="18"/>
          <w:szCs w:val="18"/>
        </w:rPr>
        <w:t xml:space="preserve">ai sensi dell’art. 36, comma 2, </w:t>
      </w:r>
      <w:proofErr w:type="spellStart"/>
      <w:r w:rsidRPr="001D0785">
        <w:rPr>
          <w:rFonts w:ascii="Titillium" w:hAnsi="Titillium"/>
          <w:sz w:val="18"/>
          <w:szCs w:val="18"/>
        </w:rPr>
        <w:t>lett</w:t>
      </w:r>
      <w:proofErr w:type="spellEnd"/>
      <w:r w:rsidRPr="001D0785">
        <w:rPr>
          <w:rFonts w:ascii="Titillium" w:hAnsi="Titillium"/>
          <w:sz w:val="18"/>
          <w:szCs w:val="18"/>
        </w:rPr>
        <w:t xml:space="preserve">. a) del d.lgs. 50/2016, in combinato disposto con l’articolo 1, comma 2, lettera a) del </w:t>
      </w:r>
      <w:proofErr w:type="spellStart"/>
      <w:r w:rsidRPr="001D0785">
        <w:rPr>
          <w:rFonts w:ascii="Titillium" w:hAnsi="Titillium"/>
          <w:sz w:val="18"/>
          <w:szCs w:val="18"/>
        </w:rPr>
        <w:t>d.l.</w:t>
      </w:r>
      <w:proofErr w:type="spellEnd"/>
      <w:r w:rsidRPr="001D0785">
        <w:rPr>
          <w:rFonts w:ascii="Titillium" w:hAnsi="Titillium"/>
          <w:sz w:val="18"/>
          <w:szCs w:val="18"/>
        </w:rPr>
        <w:t xml:space="preserve"> n. 76/2020, convertito con modificazioni dalla l. 120/2020, il</w:t>
      </w:r>
      <w:r w:rsidR="00D90710" w:rsidRPr="001D0785">
        <w:rPr>
          <w:rFonts w:ascii="Titillium" w:hAnsi="Titillium"/>
          <w:sz w:val="18"/>
          <w:szCs w:val="18"/>
        </w:rPr>
        <w:t xml:space="preserve"> servizio di </w:t>
      </w:r>
      <w:r w:rsidR="002E063F" w:rsidRPr="001D0785">
        <w:rPr>
          <w:rFonts w:ascii="Titillium" w:hAnsi="Titillium"/>
          <w:sz w:val="18"/>
          <w:szCs w:val="18"/>
        </w:rPr>
        <w:t xml:space="preserve">abbonamento </w:t>
      </w:r>
      <w:r w:rsidR="006A171C" w:rsidRPr="001D0785">
        <w:rPr>
          <w:rFonts w:ascii="Titillium" w:hAnsi="Titillium"/>
          <w:sz w:val="18"/>
          <w:szCs w:val="18"/>
        </w:rPr>
        <w:t xml:space="preserve">denominato </w:t>
      </w:r>
      <w:r w:rsidR="006A171C" w:rsidRPr="001D0785">
        <w:rPr>
          <w:rFonts w:ascii="Titillium" w:hAnsi="Titillium"/>
          <w:iCs/>
          <w:sz w:val="18"/>
          <w:szCs w:val="18"/>
        </w:rPr>
        <w:t>“IL SOLE 24 ORE DIGITAL +24+NT+EE.LL. EDILIZIA”</w:t>
      </w:r>
      <w:r w:rsidR="006A171C" w:rsidRPr="001D0785">
        <w:rPr>
          <w:rFonts w:ascii="Titillium" w:hAnsi="Titillium"/>
          <w:sz w:val="18"/>
          <w:szCs w:val="18"/>
        </w:rPr>
        <w:t>, per un periodo di 12 mesi decorrenti dal 24.5.2023</w:t>
      </w:r>
      <w:r w:rsidR="00FD0CB9" w:rsidRPr="001D0785">
        <w:rPr>
          <w:rFonts w:ascii="Titillium" w:hAnsi="Titillium"/>
          <w:sz w:val="18"/>
          <w:szCs w:val="18"/>
        </w:rPr>
        <w:t>, per una spesa complessiva massima così specificata:</w:t>
      </w:r>
    </w:p>
    <w:tbl>
      <w:tblPr>
        <w:tblStyle w:val="Grigliatabella"/>
        <w:tblW w:w="96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615"/>
      </w:tblGrid>
      <w:tr w:rsidR="002175C6" w:rsidRPr="006A171C" w:rsidTr="0060381F">
        <w:trPr>
          <w:trHeight w:val="425"/>
          <w:jc w:val="right"/>
        </w:trPr>
        <w:tc>
          <w:tcPr>
            <w:tcW w:w="808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6A171C" w:rsidRDefault="006A171C" w:rsidP="00F43EF3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84" w:hanging="283"/>
              <w:contextualSpacing w:val="0"/>
              <w:jc w:val="both"/>
              <w:rPr>
                <w:rFonts w:ascii="Titillium" w:hAnsi="Titillium"/>
                <w:sz w:val="18"/>
                <w:szCs w:val="18"/>
              </w:rPr>
            </w:pPr>
            <w:r w:rsidRPr="006A171C">
              <w:rPr>
                <w:rFonts w:ascii="Titillium" w:hAnsi="Titillium"/>
                <w:sz w:val="18"/>
                <w:szCs w:val="18"/>
              </w:rPr>
              <w:t xml:space="preserve">servizio di abbonamento denominato </w:t>
            </w:r>
            <w:r w:rsidRPr="006A171C">
              <w:rPr>
                <w:rFonts w:ascii="Titillium" w:hAnsi="Titillium"/>
                <w:iCs/>
                <w:sz w:val="18"/>
                <w:szCs w:val="18"/>
              </w:rPr>
              <w:t>“IL SOLE 24 ORE DIGITAL +24+NT+EE.LL. EDILIZIA”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6A171C" w:rsidRDefault="00DE191A" w:rsidP="006A171C">
            <w:pPr>
              <w:pStyle w:val="Paragrafoelenco"/>
              <w:spacing w:after="100" w:line="276" w:lineRule="auto"/>
              <w:ind w:left="0"/>
              <w:contextualSpacing w:val="0"/>
              <w:jc w:val="center"/>
              <w:rPr>
                <w:rFonts w:ascii="Titillium" w:hAnsi="Titillium"/>
                <w:sz w:val="18"/>
                <w:szCs w:val="18"/>
              </w:rPr>
            </w:pPr>
            <w:r w:rsidRPr="006A171C">
              <w:rPr>
                <w:rFonts w:ascii="Titillium" w:hAnsi="Titillium"/>
                <w:sz w:val="18"/>
                <w:szCs w:val="18"/>
              </w:rPr>
              <w:t xml:space="preserve">   </w:t>
            </w:r>
            <w:r w:rsidR="002175C6" w:rsidRPr="006A171C">
              <w:rPr>
                <w:rFonts w:ascii="Titillium" w:hAnsi="Titillium"/>
                <w:sz w:val="18"/>
                <w:szCs w:val="18"/>
              </w:rPr>
              <w:t xml:space="preserve">€ </w:t>
            </w:r>
            <w:r w:rsidR="006A3614" w:rsidRPr="006A171C">
              <w:rPr>
                <w:rFonts w:ascii="Titillium" w:hAnsi="Titillium"/>
                <w:sz w:val="18"/>
                <w:szCs w:val="18"/>
              </w:rPr>
              <w:t xml:space="preserve">    </w:t>
            </w:r>
            <w:r w:rsidR="002E063F" w:rsidRPr="006A171C">
              <w:rPr>
                <w:rFonts w:ascii="Titillium" w:hAnsi="Titillium"/>
                <w:sz w:val="18"/>
                <w:szCs w:val="18"/>
              </w:rPr>
              <w:t xml:space="preserve">    </w:t>
            </w:r>
            <w:r w:rsidR="003A1D0F" w:rsidRPr="006A171C">
              <w:rPr>
                <w:rFonts w:ascii="Titillium" w:hAnsi="Titillium"/>
                <w:sz w:val="18"/>
                <w:szCs w:val="18"/>
              </w:rPr>
              <w:t xml:space="preserve"> </w:t>
            </w:r>
            <w:r w:rsidR="006A171C" w:rsidRPr="006A171C">
              <w:rPr>
                <w:rFonts w:ascii="Titillium" w:hAnsi="Titillium"/>
                <w:sz w:val="18"/>
                <w:szCs w:val="18"/>
              </w:rPr>
              <w:t xml:space="preserve">   368</w:t>
            </w:r>
            <w:r w:rsidR="0060381F" w:rsidRPr="006A171C">
              <w:rPr>
                <w:rFonts w:ascii="Titillium" w:hAnsi="Titillium"/>
                <w:sz w:val="18"/>
                <w:szCs w:val="18"/>
              </w:rPr>
              <w:t>,</w:t>
            </w:r>
            <w:r w:rsidR="006A171C" w:rsidRPr="006A171C">
              <w:rPr>
                <w:rFonts w:ascii="Titillium" w:hAnsi="Titillium"/>
                <w:sz w:val="18"/>
                <w:szCs w:val="18"/>
              </w:rPr>
              <w:t>4</w:t>
            </w:r>
            <w:r w:rsidR="006A3614" w:rsidRPr="006A171C">
              <w:rPr>
                <w:rFonts w:ascii="Titillium" w:hAnsi="Titillium"/>
                <w:sz w:val="18"/>
                <w:szCs w:val="18"/>
              </w:rPr>
              <w:t>0</w:t>
            </w:r>
          </w:p>
        </w:tc>
      </w:tr>
      <w:tr w:rsidR="00CC73A8" w:rsidRPr="006A171C" w:rsidTr="009733A0">
        <w:trPr>
          <w:trHeight w:val="425"/>
          <w:jc w:val="right"/>
        </w:trPr>
        <w:tc>
          <w:tcPr>
            <w:tcW w:w="9695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B3A5D" w:rsidRPr="006A171C" w:rsidRDefault="00CC73A8" w:rsidP="00F43EF3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82" w:hanging="281"/>
              <w:contextualSpacing w:val="0"/>
              <w:jc w:val="both"/>
              <w:rPr>
                <w:rFonts w:ascii="Titillium" w:hAnsi="Titillium"/>
                <w:sz w:val="18"/>
                <w:szCs w:val="18"/>
              </w:rPr>
            </w:pPr>
            <w:r w:rsidRPr="006A171C">
              <w:rPr>
                <w:rFonts w:ascii="Titillium" w:hAnsi="Titillium"/>
                <w:sz w:val="18"/>
                <w:szCs w:val="18"/>
              </w:rPr>
              <w:t xml:space="preserve">IVA </w:t>
            </w:r>
            <w:r w:rsidR="002E063F" w:rsidRPr="006A171C">
              <w:rPr>
                <w:rFonts w:ascii="Titillium" w:hAnsi="Titillium"/>
                <w:sz w:val="18"/>
                <w:szCs w:val="18"/>
              </w:rPr>
              <w:t>al 4%</w:t>
            </w:r>
            <w:r w:rsidR="00E70933" w:rsidRPr="006A171C">
              <w:rPr>
                <w:rFonts w:ascii="Titillium" w:hAnsi="Titillium"/>
                <w:sz w:val="18"/>
                <w:szCs w:val="18"/>
              </w:rPr>
              <w:t xml:space="preserve"> </w:t>
            </w:r>
            <w:r w:rsidRPr="006A171C">
              <w:rPr>
                <w:rFonts w:ascii="Titillium" w:hAnsi="Titillium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="00E70933" w:rsidRPr="006A171C">
              <w:rPr>
                <w:rFonts w:ascii="Titillium" w:hAnsi="Titillium"/>
                <w:sz w:val="18"/>
                <w:szCs w:val="18"/>
              </w:rPr>
              <w:t xml:space="preserve">           </w:t>
            </w:r>
            <w:r w:rsidR="002E063F" w:rsidRPr="006A171C">
              <w:rPr>
                <w:rFonts w:ascii="Titillium" w:hAnsi="Titillium"/>
                <w:sz w:val="18"/>
                <w:szCs w:val="18"/>
              </w:rPr>
              <w:t xml:space="preserve">                                       </w:t>
            </w:r>
            <w:r w:rsidR="00F43EF3" w:rsidRPr="006A171C">
              <w:rPr>
                <w:rFonts w:ascii="Titillium" w:hAnsi="Titillium"/>
                <w:sz w:val="18"/>
                <w:szCs w:val="18"/>
              </w:rPr>
              <w:t xml:space="preserve">       </w:t>
            </w:r>
            <w:r w:rsidR="006A171C" w:rsidRPr="006A171C">
              <w:rPr>
                <w:rFonts w:ascii="Titillium" w:hAnsi="Titillium"/>
                <w:sz w:val="18"/>
                <w:szCs w:val="18"/>
              </w:rPr>
              <w:t xml:space="preserve">                     €                14</w:t>
            </w:r>
            <w:r w:rsidR="00F160DC" w:rsidRPr="006A171C">
              <w:rPr>
                <w:rFonts w:ascii="Titillium" w:hAnsi="Titillium"/>
                <w:sz w:val="18"/>
                <w:szCs w:val="18"/>
              </w:rPr>
              <w:t>,</w:t>
            </w:r>
            <w:r w:rsidR="006A171C" w:rsidRPr="006A171C">
              <w:rPr>
                <w:rFonts w:ascii="Titillium" w:hAnsi="Titillium"/>
                <w:sz w:val="18"/>
                <w:szCs w:val="18"/>
              </w:rPr>
              <w:t>73</w:t>
            </w:r>
          </w:p>
          <w:p w:rsidR="00CC73A8" w:rsidRPr="006A171C" w:rsidRDefault="00EB3A5D" w:rsidP="006A171C">
            <w:pPr>
              <w:pStyle w:val="Paragrafoelenco"/>
              <w:spacing w:after="100" w:line="276" w:lineRule="auto"/>
              <w:ind w:left="482"/>
              <w:contextualSpacing w:val="0"/>
              <w:jc w:val="both"/>
              <w:rPr>
                <w:rFonts w:ascii="Titillium" w:hAnsi="Titillium"/>
                <w:b/>
                <w:sz w:val="18"/>
                <w:szCs w:val="18"/>
              </w:rPr>
            </w:pPr>
            <w:r w:rsidRPr="006A171C">
              <w:rPr>
                <w:rFonts w:ascii="Titillium" w:hAnsi="Titillium"/>
                <w:b/>
                <w:sz w:val="18"/>
                <w:szCs w:val="18"/>
              </w:rPr>
              <w:t xml:space="preserve">Spesa complessiva stimata                                                                                                                      </w:t>
            </w:r>
            <w:r w:rsidR="00F43EF3" w:rsidRPr="006A171C">
              <w:rPr>
                <w:rFonts w:ascii="Titillium" w:hAnsi="Titillium"/>
                <w:b/>
                <w:sz w:val="18"/>
                <w:szCs w:val="18"/>
              </w:rPr>
              <w:t xml:space="preserve">     </w:t>
            </w:r>
            <w:r w:rsidR="006A171C" w:rsidRPr="006A171C">
              <w:rPr>
                <w:rFonts w:ascii="Titillium" w:hAnsi="Titillium"/>
                <w:b/>
                <w:sz w:val="18"/>
                <w:szCs w:val="18"/>
              </w:rPr>
              <w:t xml:space="preserve">                     </w:t>
            </w:r>
            <w:r w:rsidR="00F43EF3" w:rsidRPr="006A171C">
              <w:rPr>
                <w:rFonts w:ascii="Titillium" w:hAnsi="Titillium"/>
                <w:b/>
                <w:sz w:val="18"/>
                <w:szCs w:val="18"/>
              </w:rPr>
              <w:t xml:space="preserve"> </w:t>
            </w:r>
            <w:r w:rsidRPr="006A171C">
              <w:rPr>
                <w:rFonts w:ascii="Titillium" w:hAnsi="Titillium"/>
                <w:b/>
                <w:sz w:val="18"/>
                <w:szCs w:val="18"/>
              </w:rPr>
              <w:t>€</w:t>
            </w:r>
            <w:r w:rsidR="006A3614" w:rsidRPr="006A171C">
              <w:rPr>
                <w:rFonts w:ascii="Titillium" w:hAnsi="Titillium"/>
                <w:b/>
                <w:sz w:val="18"/>
                <w:szCs w:val="18"/>
              </w:rPr>
              <w:t xml:space="preserve">         </w:t>
            </w:r>
            <w:r w:rsidR="006A171C" w:rsidRPr="006A171C">
              <w:rPr>
                <w:rFonts w:ascii="Titillium" w:hAnsi="Titillium"/>
                <w:b/>
                <w:sz w:val="18"/>
                <w:szCs w:val="18"/>
              </w:rPr>
              <w:t xml:space="preserve">    383</w:t>
            </w:r>
            <w:r w:rsidRPr="006A171C">
              <w:rPr>
                <w:rFonts w:ascii="Titillium" w:hAnsi="Titillium"/>
                <w:b/>
                <w:sz w:val="18"/>
                <w:szCs w:val="18"/>
              </w:rPr>
              <w:t>,</w:t>
            </w:r>
            <w:r w:rsidR="006A171C" w:rsidRPr="006A171C">
              <w:rPr>
                <w:rFonts w:ascii="Titillium" w:hAnsi="Titillium"/>
                <w:b/>
                <w:sz w:val="18"/>
                <w:szCs w:val="18"/>
              </w:rPr>
              <w:t>13</w:t>
            </w:r>
            <w:r w:rsidR="006A3614" w:rsidRPr="006A171C">
              <w:rPr>
                <w:rFonts w:ascii="Titillium" w:hAnsi="Titillium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6A145C" w:rsidRPr="006A171C" w:rsidRDefault="006A145C" w:rsidP="00337D6B">
      <w:pPr>
        <w:spacing w:after="100" w:line="276" w:lineRule="auto"/>
        <w:jc w:val="both"/>
        <w:rPr>
          <w:rFonts w:ascii="Titillium" w:hAnsi="Titillium"/>
          <w:sz w:val="18"/>
          <w:szCs w:val="18"/>
        </w:rPr>
      </w:pPr>
    </w:p>
    <w:p w:rsidR="006A145C" w:rsidRPr="006A171C" w:rsidRDefault="00332723" w:rsidP="00337D6B">
      <w:pPr>
        <w:pStyle w:val="Paragrafoelenco"/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tillium" w:hAnsi="Titillium"/>
          <w:sz w:val="18"/>
          <w:szCs w:val="18"/>
        </w:rPr>
      </w:pPr>
      <w:r w:rsidRPr="006A171C">
        <w:rPr>
          <w:rFonts w:ascii="Titillium" w:hAnsi="Titillium"/>
          <w:sz w:val="18"/>
          <w:szCs w:val="18"/>
        </w:rPr>
        <w:t xml:space="preserve">di autorizzare la spesa complessiva stimata da porsi a carico del bilancio </w:t>
      </w:r>
      <w:r w:rsidR="00337D6B" w:rsidRPr="006A171C">
        <w:rPr>
          <w:rFonts w:ascii="Titillium" w:hAnsi="Titillium"/>
          <w:sz w:val="18"/>
          <w:szCs w:val="18"/>
        </w:rPr>
        <w:t>2023</w:t>
      </w:r>
      <w:r w:rsidR="00C10A17" w:rsidRPr="006A171C">
        <w:rPr>
          <w:rFonts w:ascii="Titillium" w:hAnsi="Titillium"/>
          <w:sz w:val="18"/>
          <w:szCs w:val="18"/>
        </w:rPr>
        <w:t xml:space="preserve"> </w:t>
      </w:r>
      <w:r w:rsidRPr="006A171C">
        <w:rPr>
          <w:rFonts w:ascii="Titillium" w:hAnsi="Titillium"/>
          <w:sz w:val="18"/>
          <w:szCs w:val="18"/>
        </w:rPr>
        <w:t xml:space="preserve">dell’Autorità </w:t>
      </w:r>
      <w:r w:rsidR="00CC73A8" w:rsidRPr="006A171C">
        <w:rPr>
          <w:rFonts w:ascii="Titillium" w:hAnsi="Titillium"/>
          <w:sz w:val="18"/>
          <w:szCs w:val="18"/>
        </w:rPr>
        <w:t>sul capitolo</w:t>
      </w:r>
      <w:r w:rsidR="003B27F1" w:rsidRPr="006A171C">
        <w:rPr>
          <w:rFonts w:ascii="Titillium" w:hAnsi="Titillium"/>
          <w:sz w:val="18"/>
          <w:szCs w:val="18"/>
        </w:rPr>
        <w:t xml:space="preserve"> di spesa</w:t>
      </w:r>
      <w:r w:rsidR="00D17E5C" w:rsidRPr="006A171C">
        <w:rPr>
          <w:rFonts w:ascii="Titillium" w:hAnsi="Titillium"/>
          <w:sz w:val="18"/>
          <w:szCs w:val="18"/>
        </w:rPr>
        <w:t xml:space="preserve"> </w:t>
      </w:r>
      <w:r w:rsidR="003B27F1" w:rsidRPr="006A171C">
        <w:rPr>
          <w:rFonts w:ascii="Titillium" w:hAnsi="Titillium"/>
          <w:sz w:val="18"/>
          <w:szCs w:val="18"/>
        </w:rPr>
        <w:t>n. 13</w:t>
      </w:r>
      <w:r w:rsidR="00046907" w:rsidRPr="006A171C">
        <w:rPr>
          <w:rFonts w:ascii="Titillium" w:hAnsi="Titillium"/>
          <w:sz w:val="18"/>
          <w:szCs w:val="18"/>
        </w:rPr>
        <w:t>01.1</w:t>
      </w:r>
      <w:r w:rsidR="00DE191A" w:rsidRPr="006A171C">
        <w:rPr>
          <w:rFonts w:ascii="Titillium" w:hAnsi="Titillium"/>
          <w:sz w:val="18"/>
          <w:szCs w:val="18"/>
        </w:rPr>
        <w:t>;</w:t>
      </w:r>
    </w:p>
    <w:p w:rsidR="007B1157" w:rsidRPr="006A171C" w:rsidRDefault="00DE191A" w:rsidP="00F43EF3">
      <w:pPr>
        <w:pStyle w:val="Paragrafoelenco"/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tillium" w:hAnsi="Titillium"/>
          <w:sz w:val="18"/>
          <w:szCs w:val="18"/>
        </w:rPr>
      </w:pPr>
      <w:r w:rsidRPr="006A171C">
        <w:rPr>
          <w:rFonts w:ascii="Titillium" w:hAnsi="Titillium"/>
          <w:sz w:val="18"/>
          <w:szCs w:val="18"/>
        </w:rPr>
        <w:t>di nominare</w:t>
      </w:r>
      <w:r w:rsidR="004F66C7" w:rsidRPr="006A171C">
        <w:rPr>
          <w:rFonts w:ascii="Titillium" w:hAnsi="Titillium"/>
          <w:sz w:val="18"/>
          <w:szCs w:val="18"/>
        </w:rPr>
        <w:t xml:space="preserve"> R</w:t>
      </w:r>
      <w:r w:rsidR="00F43EF3" w:rsidRPr="006A171C">
        <w:rPr>
          <w:rFonts w:ascii="Titillium" w:hAnsi="Titillium"/>
          <w:sz w:val="18"/>
          <w:szCs w:val="18"/>
        </w:rPr>
        <w:t>UP</w:t>
      </w:r>
      <w:r w:rsidRPr="006A171C">
        <w:rPr>
          <w:rFonts w:ascii="Titillium" w:hAnsi="Titillium"/>
          <w:sz w:val="18"/>
          <w:szCs w:val="18"/>
        </w:rPr>
        <w:t xml:space="preserve"> del servizio ex a</w:t>
      </w:r>
      <w:r w:rsidR="004F66C7" w:rsidRPr="006A171C">
        <w:rPr>
          <w:rFonts w:ascii="Titillium" w:hAnsi="Titillium"/>
          <w:sz w:val="18"/>
          <w:szCs w:val="18"/>
        </w:rPr>
        <w:t xml:space="preserve">rt. 31 del d.lgs. 50/2016 </w:t>
      </w:r>
      <w:r w:rsidRPr="006A171C">
        <w:rPr>
          <w:rFonts w:ascii="Titillium" w:hAnsi="Titillium"/>
          <w:sz w:val="18"/>
          <w:szCs w:val="18"/>
        </w:rPr>
        <w:t>il Dr. Luca Pallotta;</w:t>
      </w:r>
    </w:p>
    <w:p w:rsidR="00243B35" w:rsidRPr="006A171C" w:rsidRDefault="00DE191A" w:rsidP="00DE191A">
      <w:pPr>
        <w:pStyle w:val="Paragrafoelenco"/>
        <w:numPr>
          <w:ilvl w:val="0"/>
          <w:numId w:val="1"/>
        </w:numPr>
        <w:spacing w:after="100" w:line="276" w:lineRule="auto"/>
        <w:ind w:left="284" w:hanging="284"/>
        <w:jc w:val="both"/>
        <w:rPr>
          <w:rFonts w:ascii="Titillium" w:hAnsi="Titillium"/>
          <w:sz w:val="20"/>
          <w:szCs w:val="20"/>
        </w:rPr>
      </w:pPr>
      <w:r w:rsidRPr="006A171C">
        <w:rPr>
          <w:rFonts w:ascii="Titillium" w:hAnsi="Titillium"/>
          <w:sz w:val="18"/>
          <w:szCs w:val="18"/>
        </w:rPr>
        <w:t xml:space="preserve">di nominare </w:t>
      </w:r>
      <w:r w:rsidR="004F66C7" w:rsidRPr="006A171C">
        <w:rPr>
          <w:rFonts w:ascii="Titillium" w:hAnsi="Titillium"/>
          <w:sz w:val="18"/>
          <w:szCs w:val="18"/>
        </w:rPr>
        <w:t xml:space="preserve">direttore dell’esecuzione del contratto </w:t>
      </w:r>
      <w:r w:rsidR="007B1157" w:rsidRPr="006A171C">
        <w:rPr>
          <w:rFonts w:ascii="Titillium" w:hAnsi="Titillium"/>
          <w:sz w:val="18"/>
          <w:szCs w:val="18"/>
        </w:rPr>
        <w:t>è la</w:t>
      </w:r>
      <w:r w:rsidR="00332723" w:rsidRPr="006A171C">
        <w:rPr>
          <w:rFonts w:ascii="Titillium" w:hAnsi="Titillium"/>
          <w:sz w:val="18"/>
          <w:szCs w:val="18"/>
        </w:rPr>
        <w:t xml:space="preserve"> </w:t>
      </w:r>
      <w:r w:rsidR="007B1157" w:rsidRPr="006A171C">
        <w:rPr>
          <w:rFonts w:ascii="Titillium" w:hAnsi="Titillium"/>
          <w:sz w:val="18"/>
          <w:szCs w:val="18"/>
        </w:rPr>
        <w:t>dott.ssa Daniela D’agostini, responsabile della Biblioteca dell’Autorità.</w:t>
      </w:r>
    </w:p>
    <w:p w:rsidR="00243B35" w:rsidRPr="00C450E4" w:rsidRDefault="00243B35" w:rsidP="007B1157">
      <w:pPr>
        <w:pStyle w:val="Paragrafoelenco"/>
        <w:spacing w:after="100" w:line="276" w:lineRule="auto"/>
        <w:ind w:left="780"/>
        <w:jc w:val="both"/>
        <w:rPr>
          <w:rFonts w:ascii="Titillium" w:hAnsi="Titillium"/>
          <w:sz w:val="20"/>
          <w:szCs w:val="20"/>
          <w:highlight w:val="yellow"/>
        </w:rPr>
      </w:pPr>
    </w:p>
    <w:tbl>
      <w:tblPr>
        <w:tblW w:w="2803" w:type="pct"/>
        <w:tblInd w:w="42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"/>
        <w:gridCol w:w="2557"/>
        <w:gridCol w:w="2705"/>
      </w:tblGrid>
      <w:tr w:rsidR="00E70CFA" w:rsidRPr="006A171C" w:rsidTr="00F43EF3">
        <w:trPr>
          <w:trHeight w:val="579"/>
        </w:trPr>
        <w:tc>
          <w:tcPr>
            <w:tcW w:w="131" w:type="pct"/>
            <w:shd w:val="clear" w:color="auto" w:fill="2770B7"/>
            <w:vAlign w:val="center"/>
          </w:tcPr>
          <w:p w:rsidR="00E70CFA" w:rsidRPr="006A171C" w:rsidRDefault="00E70CFA" w:rsidP="009536A8">
            <w:pPr>
              <w:pStyle w:val="ANCATABELLATITOLOBIANCO"/>
              <w:ind w:left="0"/>
              <w:rPr>
                <w:sz w:val="18"/>
                <w:szCs w:val="18"/>
              </w:rPr>
            </w:pPr>
          </w:p>
        </w:tc>
        <w:tc>
          <w:tcPr>
            <w:tcW w:w="2366" w:type="pct"/>
            <w:shd w:val="clear" w:color="auto" w:fill="2770B7"/>
          </w:tcPr>
          <w:p w:rsidR="00E70CFA" w:rsidRPr="006A171C" w:rsidRDefault="00E70CFA" w:rsidP="009536A8">
            <w:pPr>
              <w:pStyle w:val="ANCATABELLATITOLOBIANCO"/>
              <w:ind w:left="0"/>
              <w:rPr>
                <w:sz w:val="18"/>
                <w:szCs w:val="18"/>
              </w:rPr>
            </w:pPr>
          </w:p>
        </w:tc>
        <w:tc>
          <w:tcPr>
            <w:tcW w:w="2503" w:type="pct"/>
            <w:shd w:val="clear" w:color="auto" w:fill="2770B7"/>
            <w:vAlign w:val="center"/>
          </w:tcPr>
          <w:p w:rsidR="00E70CFA" w:rsidRPr="006A171C" w:rsidRDefault="00E70CFA" w:rsidP="009536A8">
            <w:pPr>
              <w:pStyle w:val="ANCATABELLATITOLOBIANCO"/>
              <w:ind w:left="0"/>
              <w:rPr>
                <w:lang w:val="it-IT"/>
              </w:rPr>
            </w:pPr>
            <w:r w:rsidRPr="006A171C">
              <w:rPr>
                <w:lang w:val="it-IT"/>
              </w:rPr>
              <w:t xml:space="preserve">Il Dirigente dell’Ufficio </w:t>
            </w:r>
            <w:r w:rsidR="00F43EF3" w:rsidRPr="006A171C">
              <w:rPr>
                <w:lang w:val="it-IT"/>
              </w:rPr>
              <w:t xml:space="preserve">  </w:t>
            </w:r>
            <w:r w:rsidRPr="006A171C">
              <w:rPr>
                <w:lang w:val="it-IT"/>
              </w:rPr>
              <w:t>gare e logistica</w:t>
            </w:r>
          </w:p>
        </w:tc>
      </w:tr>
    </w:tbl>
    <w:p w:rsidR="00E70CFA" w:rsidRPr="006A171C" w:rsidRDefault="004F66C7" w:rsidP="004F66C7">
      <w:pPr>
        <w:spacing w:line="276" w:lineRule="auto"/>
        <w:ind w:left="6372"/>
        <w:rPr>
          <w:rFonts w:ascii="Titillium" w:hAnsi="Titillium"/>
          <w:i/>
          <w:sz w:val="18"/>
          <w:szCs w:val="18"/>
        </w:rPr>
      </w:pPr>
      <w:r w:rsidRPr="006A171C">
        <w:rPr>
          <w:rFonts w:ascii="Titilium Regular" w:hAnsi="Titilium Regular"/>
          <w:sz w:val="18"/>
          <w:szCs w:val="18"/>
        </w:rPr>
        <w:t xml:space="preserve">      </w:t>
      </w:r>
      <w:r w:rsidR="00022368" w:rsidRPr="006A171C">
        <w:rPr>
          <w:i/>
          <w:sz w:val="18"/>
          <w:szCs w:val="18"/>
        </w:rPr>
        <w:t xml:space="preserve"> </w:t>
      </w:r>
      <w:r w:rsidR="00F43EF3" w:rsidRPr="006A171C">
        <w:rPr>
          <w:i/>
          <w:sz w:val="18"/>
          <w:szCs w:val="18"/>
        </w:rPr>
        <w:t xml:space="preserve">    </w:t>
      </w:r>
      <w:r w:rsidR="00337D6B" w:rsidRPr="006A171C">
        <w:rPr>
          <w:i/>
          <w:sz w:val="18"/>
          <w:szCs w:val="18"/>
        </w:rPr>
        <w:t xml:space="preserve">       </w:t>
      </w:r>
      <w:r w:rsidR="00D20FBE" w:rsidRPr="006A171C">
        <w:rPr>
          <w:rFonts w:ascii="Titillium" w:hAnsi="Titillium"/>
          <w:i/>
          <w:sz w:val="18"/>
          <w:szCs w:val="18"/>
        </w:rPr>
        <w:t>Settimio</w:t>
      </w:r>
      <w:r w:rsidR="00046907" w:rsidRPr="006A171C">
        <w:rPr>
          <w:rFonts w:ascii="Titillium" w:hAnsi="Titillium"/>
          <w:i/>
          <w:sz w:val="18"/>
          <w:szCs w:val="18"/>
        </w:rPr>
        <w:t xml:space="preserve"> </w:t>
      </w:r>
      <w:r w:rsidR="00D20FBE" w:rsidRPr="006A171C">
        <w:rPr>
          <w:rFonts w:ascii="Titillium" w:hAnsi="Titillium"/>
          <w:i/>
          <w:sz w:val="18"/>
          <w:szCs w:val="18"/>
        </w:rPr>
        <w:t>Picca</w:t>
      </w:r>
    </w:p>
    <w:p w:rsidR="00AE01B4" w:rsidRPr="00C450E4" w:rsidRDefault="00AE01B4" w:rsidP="00332723">
      <w:pPr>
        <w:spacing w:line="276" w:lineRule="auto"/>
        <w:rPr>
          <w:rFonts w:ascii="Titillium" w:hAnsi="Titillium"/>
          <w:sz w:val="20"/>
          <w:szCs w:val="20"/>
          <w:highlight w:val="yellow"/>
        </w:rPr>
      </w:pPr>
    </w:p>
    <w:p w:rsidR="00AE01B4" w:rsidRPr="00C450E4" w:rsidRDefault="00AE01B4" w:rsidP="00332723">
      <w:pPr>
        <w:spacing w:line="276" w:lineRule="auto"/>
        <w:rPr>
          <w:rFonts w:ascii="Titillium" w:hAnsi="Titillium"/>
          <w:sz w:val="20"/>
          <w:szCs w:val="20"/>
          <w:highlight w:val="yellow"/>
        </w:rPr>
      </w:pPr>
    </w:p>
    <w:tbl>
      <w:tblPr>
        <w:tblpPr w:leftFromText="141" w:rightFromText="141" w:vertAnchor="text" w:horzAnchor="margin" w:tblpY="217"/>
        <w:tblOverlap w:val="never"/>
        <w:tblW w:w="2839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2"/>
      </w:tblGrid>
      <w:tr w:rsidR="00B2662D" w:rsidRPr="00C450E4" w:rsidTr="00B2662D">
        <w:trPr>
          <w:trHeight w:val="658"/>
        </w:trPr>
        <w:tc>
          <w:tcPr>
            <w:tcW w:w="5000" w:type="pct"/>
            <w:shd w:val="clear" w:color="auto" w:fill="2770B7"/>
            <w:vAlign w:val="center"/>
          </w:tcPr>
          <w:p w:rsidR="00B2662D" w:rsidRPr="006A171C" w:rsidRDefault="00B2662D" w:rsidP="00B2662D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6A171C">
              <w:rPr>
                <w:lang w:val="it-IT"/>
              </w:rPr>
              <w:t>Visto per la copertura finanziaria</w:t>
            </w:r>
          </w:p>
          <w:p w:rsidR="00B2662D" w:rsidRPr="006A171C" w:rsidRDefault="00B2662D" w:rsidP="00B2662D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6A171C">
              <w:rPr>
                <w:lang w:val="it-IT"/>
              </w:rPr>
              <w:t xml:space="preserve">Il Dirigente dell’Ufficio Programmazione </w:t>
            </w:r>
          </w:p>
          <w:p w:rsidR="00B2662D" w:rsidRPr="006A171C" w:rsidRDefault="00B2662D" w:rsidP="00B2662D">
            <w:pPr>
              <w:pStyle w:val="ANCATABELLATITOLOBIANCO"/>
              <w:ind w:left="0"/>
              <w:jc w:val="center"/>
              <w:rPr>
                <w:rFonts w:ascii="Titillium" w:eastAsia="Times New Roman" w:hAnsi="Titillium"/>
              </w:rPr>
            </w:pPr>
            <w:r w:rsidRPr="006A171C">
              <w:rPr>
                <w:lang w:val="it-IT"/>
              </w:rPr>
              <w:t>delle risorse finanziarie, bilancio e contabilità</w:t>
            </w:r>
          </w:p>
        </w:tc>
      </w:tr>
      <w:tr w:rsidR="00B2662D" w:rsidRPr="00C450E4" w:rsidTr="00B2662D">
        <w:trPr>
          <w:trHeight w:val="233"/>
        </w:trPr>
        <w:tc>
          <w:tcPr>
            <w:tcW w:w="5000" w:type="pct"/>
            <w:shd w:val="clear" w:color="auto" w:fill="auto"/>
            <w:vAlign w:val="center"/>
          </w:tcPr>
          <w:p w:rsidR="00B2662D" w:rsidRPr="006A171C" w:rsidRDefault="00B2662D" w:rsidP="00B2662D">
            <w:pPr>
              <w:spacing w:line="276" w:lineRule="auto"/>
              <w:rPr>
                <w:rFonts w:ascii="Titillium" w:hAnsi="Titillium"/>
                <w:i/>
                <w:sz w:val="18"/>
                <w:szCs w:val="18"/>
              </w:rPr>
            </w:pPr>
            <w:r w:rsidRPr="006A171C">
              <w:rPr>
                <w:rFonts w:ascii="Titillium" w:hAnsi="Titillium"/>
                <w:i/>
                <w:sz w:val="20"/>
                <w:szCs w:val="20"/>
              </w:rPr>
              <w:t xml:space="preserve">                                               </w:t>
            </w:r>
            <w:r w:rsidRPr="006A171C">
              <w:rPr>
                <w:rFonts w:ascii="Titillium" w:hAnsi="Titillium"/>
                <w:i/>
                <w:sz w:val="18"/>
                <w:szCs w:val="18"/>
              </w:rPr>
              <w:t>Stefano Ceccarelli</w:t>
            </w:r>
          </w:p>
        </w:tc>
      </w:tr>
    </w:tbl>
    <w:p w:rsidR="00AE01B4" w:rsidRPr="00C450E4" w:rsidRDefault="00AE01B4" w:rsidP="00332723">
      <w:pPr>
        <w:spacing w:line="276" w:lineRule="auto"/>
        <w:rPr>
          <w:rFonts w:ascii="Titillium" w:hAnsi="Titillium"/>
          <w:sz w:val="20"/>
          <w:szCs w:val="20"/>
          <w:highlight w:val="yellow"/>
        </w:rPr>
      </w:pPr>
    </w:p>
    <w:p w:rsidR="00AE01B4" w:rsidRPr="00C450E4" w:rsidRDefault="00AE01B4" w:rsidP="00332723">
      <w:pPr>
        <w:spacing w:line="276" w:lineRule="auto"/>
        <w:rPr>
          <w:rFonts w:ascii="Titillium" w:hAnsi="Titillium"/>
          <w:sz w:val="20"/>
          <w:szCs w:val="20"/>
          <w:highlight w:val="yellow"/>
        </w:rPr>
      </w:pPr>
    </w:p>
    <w:p w:rsidR="00AE01B4" w:rsidRPr="00C450E4" w:rsidRDefault="00AE01B4" w:rsidP="00332723">
      <w:pPr>
        <w:spacing w:line="276" w:lineRule="auto"/>
        <w:rPr>
          <w:rFonts w:ascii="Titillium" w:hAnsi="Titillium"/>
          <w:sz w:val="20"/>
          <w:szCs w:val="20"/>
          <w:highlight w:val="yellow"/>
        </w:rPr>
      </w:pPr>
    </w:p>
    <w:p w:rsidR="00AE01B4" w:rsidRDefault="00AE01B4" w:rsidP="00332723">
      <w:pPr>
        <w:spacing w:line="276" w:lineRule="auto"/>
        <w:rPr>
          <w:rFonts w:ascii="Titillium" w:hAnsi="Titillium"/>
          <w:sz w:val="20"/>
          <w:szCs w:val="20"/>
        </w:rPr>
      </w:pPr>
    </w:p>
    <w:p w:rsidR="00AE01B4" w:rsidRDefault="00AE01B4" w:rsidP="00332723">
      <w:pPr>
        <w:spacing w:line="276" w:lineRule="auto"/>
        <w:rPr>
          <w:rFonts w:ascii="Titillium" w:hAnsi="Titillium"/>
          <w:sz w:val="20"/>
          <w:szCs w:val="20"/>
        </w:rPr>
      </w:pPr>
    </w:p>
    <w:p w:rsidR="00AE01B4" w:rsidRPr="00202007" w:rsidRDefault="00AE01B4" w:rsidP="00332723">
      <w:pPr>
        <w:spacing w:line="276" w:lineRule="auto"/>
        <w:rPr>
          <w:rFonts w:ascii="Titillium" w:hAnsi="Titillium"/>
          <w:sz w:val="20"/>
          <w:szCs w:val="20"/>
        </w:rPr>
      </w:pPr>
    </w:p>
    <w:p w:rsidR="00FD0CB9" w:rsidRDefault="00FD0CB9" w:rsidP="00332723">
      <w:pPr>
        <w:spacing w:line="276" w:lineRule="auto"/>
        <w:rPr>
          <w:rFonts w:ascii="Titilium Regular" w:hAnsi="Titilium Regular"/>
        </w:rPr>
      </w:pPr>
    </w:p>
    <w:p w:rsidR="004A53E6" w:rsidRPr="00C95049" w:rsidRDefault="004A53E6" w:rsidP="00332723">
      <w:pPr>
        <w:spacing w:line="276" w:lineRule="auto"/>
        <w:rPr>
          <w:rFonts w:ascii="Titilium Regular" w:hAnsi="Titilium Regular"/>
          <w:i/>
        </w:rPr>
      </w:pPr>
    </w:p>
    <w:sectPr w:rsidR="004A53E6" w:rsidRPr="00C95049" w:rsidSect="00F77C35">
      <w:headerReference w:type="default" r:id="rId8"/>
      <w:pgSz w:w="11906" w:h="16838"/>
      <w:pgMar w:top="567" w:right="1134" w:bottom="1276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B7" w:rsidRDefault="00F214B7" w:rsidP="00332723">
      <w:r>
        <w:separator/>
      </w:r>
    </w:p>
  </w:endnote>
  <w:endnote w:type="continuationSeparator" w:id="0">
    <w:p w:rsidR="00F214B7" w:rsidRDefault="00F214B7" w:rsidP="0033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">
    <w:altName w:val="Times New Roman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ium Regular">
    <w:altName w:val="Times New Roman"/>
    <w:panose1 w:val="00000000000000000000"/>
    <w:charset w:val="00"/>
    <w:family w:val="roman"/>
    <w:notTrueType/>
    <w:pitch w:val="default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B7" w:rsidRDefault="00F214B7" w:rsidP="00332723">
      <w:r>
        <w:separator/>
      </w:r>
    </w:p>
  </w:footnote>
  <w:footnote w:type="continuationSeparator" w:id="0">
    <w:p w:rsidR="00F214B7" w:rsidRDefault="00F214B7" w:rsidP="0033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49" w:rsidRDefault="00C95049" w:rsidP="008B6ABE">
    <w:pPr>
      <w:tabs>
        <w:tab w:val="center" w:pos="4678"/>
      </w:tabs>
      <w:spacing w:before="120"/>
      <w:ind w:right="284"/>
      <w:rPr>
        <w:i/>
        <w:color w:val="1F497D"/>
        <w:sz w:val="20"/>
        <w:szCs w:val="20"/>
      </w:rPr>
    </w:pPr>
    <w:r>
      <w:rPr>
        <w:noProof/>
      </w:rPr>
      <w:drawing>
        <wp:inline distT="0" distB="0" distL="0" distR="0" wp14:anchorId="6CF98EE3" wp14:editId="3CEB9739">
          <wp:extent cx="3169920" cy="40259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2723" w:rsidRPr="008B6ABE" w:rsidRDefault="008B6ABE" w:rsidP="008B6ABE">
    <w:pPr>
      <w:tabs>
        <w:tab w:val="center" w:pos="4678"/>
      </w:tabs>
      <w:spacing w:before="120"/>
      <w:ind w:right="284"/>
      <w:rPr>
        <w:rFonts w:ascii="Gotham Light" w:hAnsi="Gotham Light"/>
        <w:i/>
        <w:color w:val="1F497D"/>
        <w:sz w:val="20"/>
        <w:szCs w:val="20"/>
      </w:rPr>
    </w:pPr>
    <w:r>
      <w:rPr>
        <w:rFonts w:ascii="Gotham" w:hAnsi="Gotham" w:cs="Arial"/>
        <w:color w:val="2E74B5"/>
      </w:rPr>
      <w:t xml:space="preserve">           </w:t>
    </w:r>
    <w:r w:rsidR="006A3614">
      <w:rPr>
        <w:rFonts w:ascii="Gotham Light" w:hAnsi="Gotham Light" w:cs="Arial"/>
        <w:color w:val="2E74B5"/>
      </w:rPr>
      <w:t>UFFICIO GARE E LOGISTICA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04E"/>
    <w:multiLevelType w:val="hybridMultilevel"/>
    <w:tmpl w:val="7328280A"/>
    <w:lvl w:ilvl="0" w:tplc="934077F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3466D"/>
    <w:multiLevelType w:val="hybridMultilevel"/>
    <w:tmpl w:val="AFEECC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52"/>
    <w:rsid w:val="00022368"/>
    <w:rsid w:val="00034B34"/>
    <w:rsid w:val="000458D6"/>
    <w:rsid w:val="00046907"/>
    <w:rsid w:val="000650BE"/>
    <w:rsid w:val="000A588E"/>
    <w:rsid w:val="000B1A7A"/>
    <w:rsid w:val="000D21F9"/>
    <w:rsid w:val="001060BD"/>
    <w:rsid w:val="00110EE1"/>
    <w:rsid w:val="0012593E"/>
    <w:rsid w:val="0012647A"/>
    <w:rsid w:val="001445F9"/>
    <w:rsid w:val="00174C3A"/>
    <w:rsid w:val="001C2C46"/>
    <w:rsid w:val="001D0785"/>
    <w:rsid w:val="001F06BC"/>
    <w:rsid w:val="001F74B3"/>
    <w:rsid w:val="00202007"/>
    <w:rsid w:val="00211561"/>
    <w:rsid w:val="00212000"/>
    <w:rsid w:val="00212EAF"/>
    <w:rsid w:val="002169EF"/>
    <w:rsid w:val="002175C6"/>
    <w:rsid w:val="00231CCC"/>
    <w:rsid w:val="0023328A"/>
    <w:rsid w:val="00243B35"/>
    <w:rsid w:val="00263597"/>
    <w:rsid w:val="0026529A"/>
    <w:rsid w:val="002E063F"/>
    <w:rsid w:val="00315207"/>
    <w:rsid w:val="00332723"/>
    <w:rsid w:val="00337D6B"/>
    <w:rsid w:val="003574BE"/>
    <w:rsid w:val="00366BF6"/>
    <w:rsid w:val="003A1C13"/>
    <w:rsid w:val="003A1D0F"/>
    <w:rsid w:val="003A7A5A"/>
    <w:rsid w:val="003B27F1"/>
    <w:rsid w:val="003B4801"/>
    <w:rsid w:val="003D4614"/>
    <w:rsid w:val="003D679E"/>
    <w:rsid w:val="003E5D79"/>
    <w:rsid w:val="00400FDB"/>
    <w:rsid w:val="00404289"/>
    <w:rsid w:val="00404C3C"/>
    <w:rsid w:val="00406276"/>
    <w:rsid w:val="004072EB"/>
    <w:rsid w:val="00407756"/>
    <w:rsid w:val="00414BA9"/>
    <w:rsid w:val="00440C4E"/>
    <w:rsid w:val="00463CE9"/>
    <w:rsid w:val="00472286"/>
    <w:rsid w:val="004843CF"/>
    <w:rsid w:val="004854B5"/>
    <w:rsid w:val="00485612"/>
    <w:rsid w:val="00487647"/>
    <w:rsid w:val="004A53E6"/>
    <w:rsid w:val="004B3F99"/>
    <w:rsid w:val="004D3C82"/>
    <w:rsid w:val="004E0347"/>
    <w:rsid w:val="004E12C3"/>
    <w:rsid w:val="004F66C7"/>
    <w:rsid w:val="00511126"/>
    <w:rsid w:val="0052461B"/>
    <w:rsid w:val="005273C2"/>
    <w:rsid w:val="005565FA"/>
    <w:rsid w:val="005638FB"/>
    <w:rsid w:val="0058739E"/>
    <w:rsid w:val="005A2153"/>
    <w:rsid w:val="005E1013"/>
    <w:rsid w:val="005E1ABC"/>
    <w:rsid w:val="005E6E80"/>
    <w:rsid w:val="005F275F"/>
    <w:rsid w:val="005F4DEC"/>
    <w:rsid w:val="005F5C0C"/>
    <w:rsid w:val="005F76E1"/>
    <w:rsid w:val="0060381F"/>
    <w:rsid w:val="00624622"/>
    <w:rsid w:val="00632F5C"/>
    <w:rsid w:val="0063524C"/>
    <w:rsid w:val="00695A16"/>
    <w:rsid w:val="006979D2"/>
    <w:rsid w:val="006A145C"/>
    <w:rsid w:val="006A171C"/>
    <w:rsid w:val="006A3614"/>
    <w:rsid w:val="006A4252"/>
    <w:rsid w:val="00720A5A"/>
    <w:rsid w:val="007228DC"/>
    <w:rsid w:val="00723555"/>
    <w:rsid w:val="00727CF5"/>
    <w:rsid w:val="00727FF0"/>
    <w:rsid w:val="00765701"/>
    <w:rsid w:val="007679A2"/>
    <w:rsid w:val="007840EA"/>
    <w:rsid w:val="00786A03"/>
    <w:rsid w:val="00793F70"/>
    <w:rsid w:val="007A7C34"/>
    <w:rsid w:val="007B1157"/>
    <w:rsid w:val="007B216E"/>
    <w:rsid w:val="007B5FA8"/>
    <w:rsid w:val="007E37F5"/>
    <w:rsid w:val="00815058"/>
    <w:rsid w:val="008223E6"/>
    <w:rsid w:val="008460B1"/>
    <w:rsid w:val="008B5218"/>
    <w:rsid w:val="008B6ABE"/>
    <w:rsid w:val="008D46D1"/>
    <w:rsid w:val="008E7BDB"/>
    <w:rsid w:val="008F77F1"/>
    <w:rsid w:val="00952CF9"/>
    <w:rsid w:val="009723AB"/>
    <w:rsid w:val="009B2060"/>
    <w:rsid w:val="009B7148"/>
    <w:rsid w:val="009D423E"/>
    <w:rsid w:val="009E22C2"/>
    <w:rsid w:val="00A15C4E"/>
    <w:rsid w:val="00A6677D"/>
    <w:rsid w:val="00A67C23"/>
    <w:rsid w:val="00A80E47"/>
    <w:rsid w:val="00A90DE9"/>
    <w:rsid w:val="00AE01B4"/>
    <w:rsid w:val="00AE6E4B"/>
    <w:rsid w:val="00B1525B"/>
    <w:rsid w:val="00B219DE"/>
    <w:rsid w:val="00B2662D"/>
    <w:rsid w:val="00B37CA5"/>
    <w:rsid w:val="00B60B0F"/>
    <w:rsid w:val="00B613FA"/>
    <w:rsid w:val="00B6390B"/>
    <w:rsid w:val="00B7127D"/>
    <w:rsid w:val="00B7245F"/>
    <w:rsid w:val="00B80660"/>
    <w:rsid w:val="00B80C02"/>
    <w:rsid w:val="00B9335C"/>
    <w:rsid w:val="00BA5196"/>
    <w:rsid w:val="00BC1267"/>
    <w:rsid w:val="00BD3F44"/>
    <w:rsid w:val="00BF15B5"/>
    <w:rsid w:val="00BF2C4A"/>
    <w:rsid w:val="00BF7524"/>
    <w:rsid w:val="00C004F8"/>
    <w:rsid w:val="00C108D7"/>
    <w:rsid w:val="00C10A17"/>
    <w:rsid w:val="00C13A68"/>
    <w:rsid w:val="00C17086"/>
    <w:rsid w:val="00C450E4"/>
    <w:rsid w:val="00C60098"/>
    <w:rsid w:val="00C60786"/>
    <w:rsid w:val="00C63A35"/>
    <w:rsid w:val="00C74D70"/>
    <w:rsid w:val="00C95049"/>
    <w:rsid w:val="00CB15A8"/>
    <w:rsid w:val="00CC73A8"/>
    <w:rsid w:val="00D03AB2"/>
    <w:rsid w:val="00D17E5C"/>
    <w:rsid w:val="00D20FBE"/>
    <w:rsid w:val="00D21964"/>
    <w:rsid w:val="00D4490F"/>
    <w:rsid w:val="00D8441F"/>
    <w:rsid w:val="00D844E1"/>
    <w:rsid w:val="00D90710"/>
    <w:rsid w:val="00D95E8C"/>
    <w:rsid w:val="00DB1F58"/>
    <w:rsid w:val="00DD2A6C"/>
    <w:rsid w:val="00DD50B9"/>
    <w:rsid w:val="00DE191A"/>
    <w:rsid w:val="00E07DDB"/>
    <w:rsid w:val="00E27E0A"/>
    <w:rsid w:val="00E54758"/>
    <w:rsid w:val="00E637CD"/>
    <w:rsid w:val="00E70933"/>
    <w:rsid w:val="00E70CFA"/>
    <w:rsid w:val="00EA39F0"/>
    <w:rsid w:val="00EB3A5D"/>
    <w:rsid w:val="00EC141D"/>
    <w:rsid w:val="00EE44AD"/>
    <w:rsid w:val="00EE5A02"/>
    <w:rsid w:val="00F160DC"/>
    <w:rsid w:val="00F16816"/>
    <w:rsid w:val="00F214B7"/>
    <w:rsid w:val="00F43EF3"/>
    <w:rsid w:val="00F50B94"/>
    <w:rsid w:val="00F65D58"/>
    <w:rsid w:val="00F66E70"/>
    <w:rsid w:val="00F72632"/>
    <w:rsid w:val="00F779A2"/>
    <w:rsid w:val="00F77C35"/>
    <w:rsid w:val="00F77E49"/>
    <w:rsid w:val="00FA4424"/>
    <w:rsid w:val="00FB7162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EA85"/>
  <w15:chartTrackingRefBased/>
  <w15:docId w15:val="{0E96DBE6-CEEE-4BB2-BAFC-3A680CF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327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27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B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727FF0"/>
    <w:pPr>
      <w:spacing w:before="100" w:beforeAutospacing="1" w:after="119"/>
    </w:pPr>
    <w:rPr>
      <w:rFonts w:eastAsiaTheme="minorHAnsi"/>
    </w:rPr>
  </w:style>
  <w:style w:type="paragraph" w:customStyle="1" w:styleId="ANCATABELLATITOLOBIANCO">
    <w:name w:val="ANCA_TABELLA_TITOLO BIANCO"/>
    <w:basedOn w:val="Normale"/>
    <w:qFormat/>
    <w:rsid w:val="008B6ABE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337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30D04-0FCE-40F3-BDB4-7232CD1AB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64AA0-B489-4D34-A74D-66545708F5E0}"/>
</file>

<file path=customXml/itemProps3.xml><?xml version="1.0" encoding="utf-8"?>
<ds:datastoreItem xmlns:ds="http://schemas.openxmlformats.org/officeDocument/2006/customXml" ds:itemID="{1398E1E8-EFFE-4FCD-B0B4-E56D77AB984E}"/>
</file>

<file path=customXml/itemProps4.xml><?xml version="1.0" encoding="utf-8"?>
<ds:datastoreItem xmlns:ds="http://schemas.openxmlformats.org/officeDocument/2006/customXml" ds:itemID="{0DEA5A66-AD64-4292-AFD7-2C6A025F4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Nazionale Anticorruzione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Fontana</dc:creator>
  <cp:keywords/>
  <dc:description/>
  <cp:lastModifiedBy>Pallotta Luca</cp:lastModifiedBy>
  <cp:revision>11</cp:revision>
  <cp:lastPrinted>2021-09-16T07:17:00Z</cp:lastPrinted>
  <dcterms:created xsi:type="dcterms:W3CDTF">2022-03-30T14:20:00Z</dcterms:created>
  <dcterms:modified xsi:type="dcterms:W3CDTF">2023-05-09T06:02:00Z</dcterms:modified>
</cp:coreProperties>
</file>