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15" w:rsidRDefault="00381B15" w:rsidP="00570207">
      <w:pPr>
        <w:pStyle w:val="ANAC-TitoloParagrafo"/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0"/>
        <w:ind w:left="0"/>
        <w:jc w:val="center"/>
      </w:pPr>
    </w:p>
    <w:p w:rsidR="00D64E56" w:rsidRPr="00242E26" w:rsidRDefault="00D651EA" w:rsidP="00570207">
      <w:pPr>
        <w:pStyle w:val="ANAC-TitoloParagrafo"/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0"/>
        <w:ind w:left="0"/>
        <w:jc w:val="center"/>
      </w:pPr>
      <w:r w:rsidRPr="00242E26">
        <w:t>DETERMINA A CONTRARRE</w:t>
      </w:r>
    </w:p>
    <w:p w:rsidR="00570207" w:rsidRPr="00242E26" w:rsidRDefault="00570207" w:rsidP="00570207">
      <w:pPr>
        <w:pStyle w:val="ANAC-TitoloParagrafo"/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0"/>
        <w:ind w:left="0"/>
        <w:jc w:val="center"/>
        <w:rPr>
          <w:sz w:val="16"/>
          <w:szCs w:val="16"/>
        </w:rPr>
      </w:pPr>
    </w:p>
    <w:p w:rsidR="00381B15" w:rsidRDefault="00381B15" w:rsidP="0011731E">
      <w:pPr>
        <w:jc w:val="both"/>
        <w:rPr>
          <w:rFonts w:ascii="Titillium" w:hAnsi="Titillium"/>
          <w:b/>
          <w:sz w:val="18"/>
          <w:szCs w:val="18"/>
        </w:rPr>
      </w:pPr>
    </w:p>
    <w:p w:rsidR="00852815" w:rsidRPr="00242E26" w:rsidRDefault="00852815" w:rsidP="0011731E">
      <w:pPr>
        <w:jc w:val="both"/>
        <w:rPr>
          <w:rFonts w:ascii="Titillium" w:hAnsi="Titillium"/>
          <w:b/>
          <w:sz w:val="18"/>
          <w:szCs w:val="18"/>
        </w:rPr>
      </w:pPr>
      <w:r w:rsidRPr="00242E26">
        <w:rPr>
          <w:rFonts w:ascii="Titillium" w:hAnsi="Titillium"/>
          <w:b/>
          <w:sz w:val="18"/>
          <w:szCs w:val="18"/>
        </w:rPr>
        <w:t xml:space="preserve">VISTO </w:t>
      </w:r>
      <w:r w:rsidRPr="00242E26">
        <w:rPr>
          <w:rFonts w:ascii="Titillium" w:hAnsi="Titillium"/>
          <w:sz w:val="18"/>
          <w:szCs w:val="18"/>
        </w:rPr>
        <w:t>il decreto legislativo 18.04.2016, n. 50, ed in particolare il comma 2 dell’art. 32, il quale prevede che, prima dell’avvio delle procedure di affidamento dei contratti pubblici, le stazioni appaltanti, in conformità ai propri ordinamenti, decretino o determinino di contrarre, individuando gli elementi essenziali del contratto e i criteri di selezione degli operatori economici e delle offerte;</w:t>
      </w:r>
    </w:p>
    <w:p w:rsidR="00570207" w:rsidRPr="00242E26" w:rsidRDefault="00570207" w:rsidP="00244674">
      <w:pPr>
        <w:spacing w:before="240"/>
        <w:jc w:val="both"/>
        <w:rPr>
          <w:rFonts w:ascii="Titillium" w:hAnsi="Titillium"/>
          <w:bCs/>
          <w:sz w:val="18"/>
          <w:szCs w:val="18"/>
        </w:rPr>
      </w:pPr>
      <w:r w:rsidRPr="00242E26">
        <w:rPr>
          <w:rFonts w:ascii="Titillium" w:hAnsi="Titillium"/>
          <w:b/>
          <w:bCs/>
          <w:sz w:val="18"/>
          <w:szCs w:val="18"/>
        </w:rPr>
        <w:t xml:space="preserve">VISTO </w:t>
      </w:r>
      <w:r w:rsidRPr="00242E26">
        <w:rPr>
          <w:rFonts w:ascii="Titillium" w:hAnsi="Titillium"/>
          <w:bCs/>
          <w:sz w:val="18"/>
          <w:szCs w:val="18"/>
        </w:rPr>
        <w:t>il decreto legge 16 luglio 2020, n. 76 convertito nella legge 11 settembre 2020, n. 120, e successive modifiche;</w:t>
      </w:r>
    </w:p>
    <w:p w:rsidR="0011731E" w:rsidRPr="00242E26" w:rsidRDefault="0011731E" w:rsidP="0011731E">
      <w:pPr>
        <w:jc w:val="both"/>
        <w:rPr>
          <w:rFonts w:ascii="Titillium" w:hAnsi="Titillium"/>
          <w:b/>
          <w:bCs/>
          <w:sz w:val="18"/>
          <w:szCs w:val="18"/>
          <w:highlight w:val="yellow"/>
        </w:rPr>
      </w:pPr>
    </w:p>
    <w:p w:rsidR="00852815" w:rsidRPr="00242E26" w:rsidRDefault="00852815" w:rsidP="0011731E">
      <w:pPr>
        <w:jc w:val="both"/>
        <w:rPr>
          <w:rFonts w:ascii="Titillium" w:hAnsi="Titillium"/>
          <w:bCs/>
          <w:sz w:val="18"/>
          <w:szCs w:val="18"/>
        </w:rPr>
      </w:pPr>
      <w:r w:rsidRPr="00242E26">
        <w:rPr>
          <w:rFonts w:ascii="Titillium" w:hAnsi="Titillium"/>
          <w:b/>
          <w:bCs/>
          <w:sz w:val="18"/>
          <w:szCs w:val="18"/>
        </w:rPr>
        <w:t xml:space="preserve">VISTO </w:t>
      </w:r>
      <w:r w:rsidRPr="00242E26">
        <w:rPr>
          <w:rFonts w:ascii="Titillium" w:hAnsi="Titillium"/>
          <w:bCs/>
          <w:sz w:val="18"/>
          <w:szCs w:val="18"/>
        </w:rPr>
        <w:t>il Regolamento per la disciplina dei contratti pubblici di servizi e forniture stipulati dall’Autorità approvato in data 7.7.2021;</w:t>
      </w:r>
    </w:p>
    <w:p w:rsidR="0011731E" w:rsidRPr="00242E26" w:rsidRDefault="0011731E" w:rsidP="0011731E">
      <w:pPr>
        <w:jc w:val="both"/>
        <w:rPr>
          <w:rFonts w:ascii="Titillium" w:hAnsi="Titillium"/>
          <w:b/>
          <w:bCs/>
          <w:sz w:val="18"/>
          <w:szCs w:val="18"/>
        </w:rPr>
      </w:pPr>
    </w:p>
    <w:p w:rsidR="0011731E" w:rsidRPr="00242E26" w:rsidRDefault="00A325BF" w:rsidP="0011731E">
      <w:pPr>
        <w:jc w:val="both"/>
        <w:rPr>
          <w:rFonts w:ascii="Titillium" w:hAnsi="Titillium"/>
          <w:bCs/>
          <w:sz w:val="18"/>
          <w:szCs w:val="18"/>
          <w:highlight w:val="yellow"/>
        </w:rPr>
      </w:pPr>
      <w:r w:rsidRPr="00242E26">
        <w:rPr>
          <w:rFonts w:ascii="Titillium" w:hAnsi="Titillium"/>
          <w:b/>
          <w:bCs/>
          <w:sz w:val="18"/>
          <w:szCs w:val="18"/>
        </w:rPr>
        <w:t xml:space="preserve">VISTO </w:t>
      </w:r>
      <w:r w:rsidRPr="00242E26">
        <w:rPr>
          <w:rFonts w:ascii="Titillium" w:hAnsi="Titillium"/>
          <w:bCs/>
          <w:sz w:val="18"/>
          <w:szCs w:val="18"/>
        </w:rPr>
        <w:t>il Regolamento concernente la disciplina contabile dell’Autorità Nazionale Anticorruzione approvato dal Consiglio dell’Autorità nella seduta del 7 luglio 2021 ed entrato in vigore il 1° gennaio 2022;</w:t>
      </w:r>
    </w:p>
    <w:p w:rsidR="0011731E" w:rsidRPr="00242E26" w:rsidRDefault="0011731E" w:rsidP="0011731E">
      <w:pPr>
        <w:jc w:val="both"/>
        <w:rPr>
          <w:rFonts w:ascii="Titillium" w:hAnsi="Titillium"/>
          <w:b/>
          <w:bCs/>
          <w:sz w:val="18"/>
          <w:szCs w:val="18"/>
          <w:highlight w:val="yellow"/>
        </w:rPr>
      </w:pPr>
    </w:p>
    <w:p w:rsidR="009415F7" w:rsidRDefault="00242E26" w:rsidP="0011731E">
      <w:pPr>
        <w:jc w:val="both"/>
        <w:rPr>
          <w:rFonts w:ascii="Titillium" w:hAnsi="Titillium"/>
          <w:bCs/>
          <w:sz w:val="18"/>
          <w:szCs w:val="18"/>
        </w:rPr>
      </w:pPr>
      <w:r w:rsidRPr="00242E26">
        <w:rPr>
          <w:rFonts w:ascii="Titillium" w:hAnsi="Titillium"/>
          <w:b/>
          <w:bCs/>
          <w:sz w:val="18"/>
          <w:szCs w:val="18"/>
        </w:rPr>
        <w:t xml:space="preserve">VISTA </w:t>
      </w:r>
      <w:r w:rsidRPr="00242E26">
        <w:rPr>
          <w:rFonts w:ascii="Titillium" w:hAnsi="Titillium"/>
          <w:bCs/>
          <w:sz w:val="18"/>
          <w:szCs w:val="18"/>
        </w:rPr>
        <w:t xml:space="preserve">la nota </w:t>
      </w:r>
      <w:proofErr w:type="spellStart"/>
      <w:r w:rsidRPr="00242E26">
        <w:rPr>
          <w:rFonts w:ascii="Titillium" w:hAnsi="Titillium"/>
          <w:bCs/>
          <w:sz w:val="18"/>
          <w:szCs w:val="18"/>
        </w:rPr>
        <w:t>prot</w:t>
      </w:r>
      <w:proofErr w:type="spellEnd"/>
      <w:r w:rsidRPr="00242E26">
        <w:rPr>
          <w:rFonts w:ascii="Titillium" w:hAnsi="Titillium"/>
          <w:bCs/>
          <w:sz w:val="18"/>
          <w:szCs w:val="18"/>
        </w:rPr>
        <w:t xml:space="preserve">. n. 0004978 del 20.1.2023 con cui il Dirigente </w:t>
      </w:r>
      <w:r>
        <w:rPr>
          <w:rFonts w:ascii="Titillium" w:hAnsi="Titillium"/>
          <w:bCs/>
          <w:sz w:val="18"/>
          <w:szCs w:val="18"/>
        </w:rPr>
        <w:t xml:space="preserve">dell’Ufficio Risorse Umane e Formazione </w:t>
      </w:r>
      <w:r w:rsidRPr="00242E26">
        <w:rPr>
          <w:rFonts w:ascii="Titillium" w:hAnsi="Titillium"/>
          <w:bCs/>
          <w:sz w:val="18"/>
          <w:szCs w:val="18"/>
        </w:rPr>
        <w:t xml:space="preserve">ha manifestato l’esigenza di </w:t>
      </w:r>
      <w:r>
        <w:rPr>
          <w:rFonts w:ascii="Titillium" w:hAnsi="Titillium"/>
          <w:bCs/>
          <w:sz w:val="18"/>
          <w:szCs w:val="18"/>
        </w:rPr>
        <w:t xml:space="preserve">formare n. 8 unità di personale </w:t>
      </w:r>
      <w:r w:rsidR="00D64BD2">
        <w:rPr>
          <w:rFonts w:ascii="Titillium" w:hAnsi="Titillium"/>
          <w:bCs/>
          <w:sz w:val="18"/>
          <w:szCs w:val="18"/>
        </w:rPr>
        <w:t>all’utilizzo dell’applicativo informatico messo a disposizione dall’INPS</w:t>
      </w:r>
      <w:r w:rsidR="00F3506B">
        <w:rPr>
          <w:rFonts w:ascii="Titillium" w:hAnsi="Titillium"/>
          <w:bCs/>
          <w:sz w:val="18"/>
          <w:szCs w:val="18"/>
        </w:rPr>
        <w:t xml:space="preserve"> </w:t>
      </w:r>
      <w:r w:rsidR="00D64BD2">
        <w:rPr>
          <w:rFonts w:ascii="Titillium" w:hAnsi="Titillium"/>
          <w:bCs/>
          <w:sz w:val="18"/>
          <w:szCs w:val="18"/>
        </w:rPr>
        <w:t xml:space="preserve">denominato </w:t>
      </w:r>
      <w:r w:rsidR="009415F7">
        <w:rPr>
          <w:rFonts w:ascii="Titillium" w:hAnsi="Titillium"/>
          <w:bCs/>
          <w:sz w:val="18"/>
          <w:szCs w:val="18"/>
        </w:rPr>
        <w:t>PASSWEB;</w:t>
      </w:r>
    </w:p>
    <w:p w:rsidR="001A2E3E" w:rsidRDefault="001A2E3E" w:rsidP="0011731E">
      <w:pPr>
        <w:jc w:val="both"/>
        <w:rPr>
          <w:rFonts w:ascii="Titillium" w:hAnsi="Titillium"/>
          <w:bCs/>
          <w:sz w:val="18"/>
          <w:szCs w:val="18"/>
        </w:rPr>
      </w:pPr>
    </w:p>
    <w:p w:rsidR="001A2E3E" w:rsidRPr="001A2E3E" w:rsidRDefault="001A2E3E" w:rsidP="0011731E">
      <w:pPr>
        <w:jc w:val="both"/>
        <w:rPr>
          <w:rFonts w:ascii="Titillium" w:hAnsi="Titillium"/>
          <w:bCs/>
          <w:sz w:val="18"/>
          <w:szCs w:val="18"/>
        </w:rPr>
      </w:pPr>
      <w:r w:rsidRPr="00242E26">
        <w:rPr>
          <w:rFonts w:ascii="Titillium" w:hAnsi="Titillium"/>
          <w:b/>
          <w:bCs/>
          <w:sz w:val="18"/>
          <w:szCs w:val="18"/>
        </w:rPr>
        <w:t>VISTA</w:t>
      </w:r>
      <w:r>
        <w:rPr>
          <w:rFonts w:ascii="Titillium" w:hAnsi="Titillium"/>
          <w:b/>
          <w:bCs/>
          <w:sz w:val="18"/>
          <w:szCs w:val="18"/>
        </w:rPr>
        <w:t xml:space="preserve"> </w:t>
      </w:r>
      <w:r>
        <w:rPr>
          <w:rFonts w:ascii="Titillium" w:hAnsi="Titillium"/>
          <w:bCs/>
          <w:sz w:val="18"/>
          <w:szCs w:val="18"/>
        </w:rPr>
        <w:t xml:space="preserve">la mail del 20.1.2023 con la quale l’Ufficio </w:t>
      </w:r>
      <w:r w:rsidR="00F20CB0">
        <w:rPr>
          <w:rFonts w:ascii="Titillium" w:hAnsi="Titillium"/>
          <w:bCs/>
          <w:sz w:val="18"/>
          <w:szCs w:val="18"/>
        </w:rPr>
        <w:t>Risorse Umane e Formazione</w:t>
      </w:r>
      <w:r>
        <w:rPr>
          <w:rFonts w:ascii="Titillium" w:hAnsi="Titillium"/>
          <w:bCs/>
          <w:sz w:val="18"/>
          <w:szCs w:val="18"/>
        </w:rPr>
        <w:t xml:space="preserve"> ha comunicato all’Ufficio UGARE </w:t>
      </w:r>
      <w:r w:rsidR="00F20CB0">
        <w:rPr>
          <w:rFonts w:ascii="Titillium" w:hAnsi="Titillium"/>
          <w:bCs/>
          <w:sz w:val="18"/>
          <w:szCs w:val="18"/>
        </w:rPr>
        <w:t>di aver acquisito, per il</w:t>
      </w:r>
      <w:r w:rsidR="00B7025F">
        <w:rPr>
          <w:rFonts w:ascii="Titillium" w:hAnsi="Titillium"/>
          <w:bCs/>
          <w:sz w:val="18"/>
          <w:szCs w:val="18"/>
        </w:rPr>
        <w:t xml:space="preserve"> tramite del proprio Dirigente </w:t>
      </w:r>
      <w:bookmarkStart w:id="0" w:name="_GoBack"/>
      <w:bookmarkEnd w:id="0"/>
      <w:r w:rsidR="00F20CB0">
        <w:rPr>
          <w:rFonts w:ascii="Titillium" w:hAnsi="Titillium"/>
          <w:bCs/>
          <w:sz w:val="18"/>
          <w:szCs w:val="18"/>
        </w:rPr>
        <w:t xml:space="preserve">Antonello Colandrea, un preventivo, in data 12.1.2023, riferito alla società </w:t>
      </w:r>
      <w:r w:rsidR="00F20CB0" w:rsidRPr="00F20CB0">
        <w:rPr>
          <w:rFonts w:ascii="Titillium" w:hAnsi="Titillium"/>
          <w:bCs/>
          <w:sz w:val="18"/>
          <w:szCs w:val="18"/>
        </w:rPr>
        <w:t>FORMEL S.r.l.</w:t>
      </w:r>
      <w:r w:rsidR="00F20CB0">
        <w:rPr>
          <w:rFonts w:ascii="Titillium" w:hAnsi="Titillium"/>
          <w:bCs/>
          <w:sz w:val="18"/>
          <w:szCs w:val="18"/>
        </w:rPr>
        <w:t xml:space="preserve">, per un importo scontato di euro 340,00 (anziché euro 400,00) </w:t>
      </w:r>
      <w:r w:rsidR="0024510C">
        <w:rPr>
          <w:rFonts w:ascii="Titillium" w:hAnsi="Titillium"/>
          <w:bCs/>
          <w:sz w:val="18"/>
          <w:szCs w:val="18"/>
        </w:rPr>
        <w:t>per ogni</w:t>
      </w:r>
      <w:r w:rsidR="00F20CB0">
        <w:rPr>
          <w:rFonts w:ascii="Titillium" w:hAnsi="Titillium"/>
          <w:bCs/>
          <w:sz w:val="18"/>
          <w:szCs w:val="18"/>
        </w:rPr>
        <w:t xml:space="preserve"> partecipante</w:t>
      </w:r>
      <w:r w:rsidR="0024510C">
        <w:rPr>
          <w:rFonts w:ascii="Titillium" w:hAnsi="Titillium"/>
          <w:bCs/>
          <w:sz w:val="18"/>
          <w:szCs w:val="18"/>
        </w:rPr>
        <w:t xml:space="preserve"> al corso di formazione</w:t>
      </w:r>
      <w:r w:rsidR="00F20CB0">
        <w:rPr>
          <w:rFonts w:ascii="Titillium" w:hAnsi="Titillium"/>
          <w:bCs/>
          <w:sz w:val="18"/>
          <w:szCs w:val="18"/>
        </w:rPr>
        <w:t xml:space="preserve">; </w:t>
      </w:r>
    </w:p>
    <w:p w:rsidR="00F3506B" w:rsidRDefault="00F3506B" w:rsidP="0011731E">
      <w:pPr>
        <w:jc w:val="both"/>
        <w:rPr>
          <w:rFonts w:ascii="Titillium" w:hAnsi="Titillium"/>
          <w:bCs/>
          <w:sz w:val="18"/>
          <w:szCs w:val="18"/>
        </w:rPr>
      </w:pPr>
    </w:p>
    <w:p w:rsidR="0024510C" w:rsidRDefault="00F3506B" w:rsidP="0011731E">
      <w:pPr>
        <w:jc w:val="both"/>
        <w:rPr>
          <w:rFonts w:ascii="Titillium" w:hAnsi="Titillium"/>
          <w:bCs/>
          <w:sz w:val="18"/>
          <w:szCs w:val="18"/>
        </w:rPr>
      </w:pPr>
      <w:r w:rsidRPr="00F3506B">
        <w:rPr>
          <w:rFonts w:ascii="Titillium" w:hAnsi="Titillium"/>
          <w:b/>
          <w:bCs/>
          <w:sz w:val="18"/>
          <w:szCs w:val="18"/>
        </w:rPr>
        <w:t>CONSIDERATO</w:t>
      </w:r>
      <w:r w:rsidRPr="00F3506B">
        <w:rPr>
          <w:rFonts w:ascii="Titillium" w:hAnsi="Titillium"/>
          <w:bCs/>
          <w:sz w:val="18"/>
          <w:szCs w:val="18"/>
        </w:rPr>
        <w:t xml:space="preserve"> che </w:t>
      </w:r>
      <w:r w:rsidR="00F20CB0">
        <w:rPr>
          <w:rFonts w:ascii="Titillium" w:hAnsi="Titillium"/>
          <w:bCs/>
          <w:sz w:val="18"/>
          <w:szCs w:val="18"/>
        </w:rPr>
        <w:t xml:space="preserve">la società </w:t>
      </w:r>
      <w:r w:rsidR="00F20CB0" w:rsidRPr="00F20CB0">
        <w:rPr>
          <w:rFonts w:ascii="Titillium" w:hAnsi="Titillium"/>
          <w:bCs/>
          <w:sz w:val="18"/>
          <w:szCs w:val="18"/>
        </w:rPr>
        <w:t>FORMEL S.r.l.</w:t>
      </w:r>
      <w:r w:rsidR="00F20CB0">
        <w:rPr>
          <w:rFonts w:ascii="Titillium" w:hAnsi="Titillium"/>
          <w:bCs/>
          <w:sz w:val="18"/>
          <w:szCs w:val="18"/>
        </w:rPr>
        <w:t xml:space="preserve"> </w:t>
      </w:r>
      <w:r w:rsidR="0024510C">
        <w:rPr>
          <w:rFonts w:ascii="Titillium" w:hAnsi="Titillium"/>
          <w:bCs/>
          <w:sz w:val="18"/>
          <w:szCs w:val="18"/>
        </w:rPr>
        <w:t xml:space="preserve">è presente sul </w:t>
      </w:r>
      <w:proofErr w:type="spellStart"/>
      <w:r w:rsidR="0024510C">
        <w:rPr>
          <w:rFonts w:ascii="Titillium" w:hAnsi="Titillium"/>
          <w:bCs/>
          <w:sz w:val="18"/>
          <w:szCs w:val="18"/>
        </w:rPr>
        <w:t>MePA</w:t>
      </w:r>
      <w:proofErr w:type="spellEnd"/>
      <w:r w:rsidR="0024510C">
        <w:rPr>
          <w:rFonts w:ascii="Titillium" w:hAnsi="Titillium"/>
          <w:bCs/>
          <w:sz w:val="18"/>
          <w:szCs w:val="18"/>
        </w:rPr>
        <w:t xml:space="preserve"> e </w:t>
      </w:r>
      <w:r w:rsidRPr="00F3506B">
        <w:rPr>
          <w:rFonts w:ascii="Titillium" w:hAnsi="Titillium"/>
          <w:bCs/>
          <w:sz w:val="18"/>
          <w:szCs w:val="18"/>
        </w:rPr>
        <w:t xml:space="preserve">l’acquisto </w:t>
      </w:r>
      <w:r>
        <w:rPr>
          <w:rFonts w:ascii="Titillium" w:hAnsi="Titillium"/>
          <w:bCs/>
          <w:sz w:val="18"/>
          <w:szCs w:val="18"/>
        </w:rPr>
        <w:t xml:space="preserve">del servizio di formazione in esame </w:t>
      </w:r>
      <w:r w:rsidR="0024510C">
        <w:rPr>
          <w:rFonts w:ascii="Titillium" w:hAnsi="Titillium"/>
          <w:bCs/>
          <w:sz w:val="18"/>
          <w:szCs w:val="18"/>
        </w:rPr>
        <w:t>è identificato dal codice prodotto “</w:t>
      </w:r>
      <w:r w:rsidR="0024510C" w:rsidRPr="0024510C">
        <w:rPr>
          <w:rFonts w:ascii="Titillium" w:hAnsi="Titillium"/>
          <w:bCs/>
          <w:sz w:val="18"/>
          <w:szCs w:val="18"/>
        </w:rPr>
        <w:t>FORMAMMINISTRATIVA1</w:t>
      </w:r>
      <w:r w:rsidR="0024510C">
        <w:rPr>
          <w:rFonts w:ascii="Titillium" w:hAnsi="Titillium"/>
          <w:bCs/>
          <w:sz w:val="18"/>
          <w:szCs w:val="18"/>
        </w:rPr>
        <w:t>” ad un prezzo di euro 400,00 per ogni partecipante;</w:t>
      </w:r>
    </w:p>
    <w:p w:rsidR="0024510C" w:rsidRDefault="0024510C" w:rsidP="0011731E">
      <w:pPr>
        <w:jc w:val="both"/>
        <w:rPr>
          <w:rFonts w:ascii="Titillium" w:hAnsi="Titillium"/>
          <w:bCs/>
          <w:sz w:val="18"/>
          <w:szCs w:val="18"/>
        </w:rPr>
      </w:pPr>
    </w:p>
    <w:p w:rsidR="00F3506B" w:rsidRDefault="0024510C" w:rsidP="0011731E">
      <w:pPr>
        <w:jc w:val="both"/>
        <w:rPr>
          <w:rFonts w:ascii="Titillium" w:hAnsi="Titillium"/>
          <w:bCs/>
          <w:sz w:val="18"/>
          <w:szCs w:val="18"/>
        </w:rPr>
      </w:pPr>
      <w:r w:rsidRPr="0024510C">
        <w:rPr>
          <w:rFonts w:ascii="Titillium" w:hAnsi="Titillium"/>
          <w:b/>
          <w:bCs/>
          <w:sz w:val="18"/>
          <w:szCs w:val="18"/>
        </w:rPr>
        <w:t>TENUTO CONTO</w:t>
      </w:r>
      <w:r>
        <w:rPr>
          <w:rFonts w:ascii="Titillium" w:hAnsi="Titillium"/>
          <w:b/>
          <w:bCs/>
          <w:sz w:val="18"/>
          <w:szCs w:val="18"/>
        </w:rPr>
        <w:t xml:space="preserve"> </w:t>
      </w:r>
      <w:r>
        <w:rPr>
          <w:rFonts w:ascii="Titillium" w:hAnsi="Titillium"/>
          <w:bCs/>
          <w:sz w:val="18"/>
          <w:szCs w:val="18"/>
        </w:rPr>
        <w:t xml:space="preserve">che per ottenere l’importo scontato di euro 340,00 a partecipante </w:t>
      </w:r>
      <w:r w:rsidR="00F3506B">
        <w:rPr>
          <w:rFonts w:ascii="Titillium" w:hAnsi="Titillium"/>
          <w:bCs/>
          <w:sz w:val="18"/>
          <w:szCs w:val="18"/>
        </w:rPr>
        <w:t>si</w:t>
      </w:r>
      <w:r w:rsidR="00F3506B" w:rsidRPr="00F3506B">
        <w:rPr>
          <w:rFonts w:ascii="Titillium" w:hAnsi="Titillium"/>
          <w:bCs/>
          <w:sz w:val="18"/>
          <w:szCs w:val="18"/>
        </w:rPr>
        <w:t xml:space="preserve"> p</w:t>
      </w:r>
      <w:r w:rsidR="00F3506B">
        <w:rPr>
          <w:rFonts w:ascii="Titillium" w:hAnsi="Titillium"/>
          <w:bCs/>
          <w:sz w:val="18"/>
          <w:szCs w:val="18"/>
        </w:rPr>
        <w:t>uò</w:t>
      </w:r>
      <w:r w:rsidR="00F3506B" w:rsidRPr="00F3506B">
        <w:rPr>
          <w:rFonts w:ascii="Titillium" w:hAnsi="Titillium"/>
          <w:bCs/>
          <w:sz w:val="18"/>
          <w:szCs w:val="18"/>
        </w:rPr>
        <w:t xml:space="preserve"> ricorrere a</w:t>
      </w:r>
      <w:r w:rsidR="00F3506B">
        <w:rPr>
          <w:rFonts w:ascii="Titillium" w:hAnsi="Titillium"/>
          <w:bCs/>
          <w:sz w:val="18"/>
          <w:szCs w:val="18"/>
        </w:rPr>
        <w:t xml:space="preserve">d una Trattativa diretta </w:t>
      </w:r>
      <w:r w:rsidR="00F3506B" w:rsidRPr="00F3506B">
        <w:rPr>
          <w:rFonts w:ascii="Titillium" w:hAnsi="Titillium"/>
          <w:bCs/>
          <w:sz w:val="18"/>
          <w:szCs w:val="18"/>
        </w:rPr>
        <w:t xml:space="preserve">sul </w:t>
      </w:r>
      <w:proofErr w:type="spellStart"/>
      <w:r w:rsidR="00F3506B" w:rsidRPr="00F3506B">
        <w:rPr>
          <w:rFonts w:ascii="Titillium" w:hAnsi="Titillium"/>
          <w:bCs/>
          <w:sz w:val="18"/>
          <w:szCs w:val="18"/>
        </w:rPr>
        <w:t>MePA</w:t>
      </w:r>
      <w:proofErr w:type="spellEnd"/>
      <w:r w:rsidR="009060DE">
        <w:rPr>
          <w:rFonts w:ascii="Titillium" w:hAnsi="Titillium"/>
          <w:bCs/>
          <w:sz w:val="18"/>
          <w:szCs w:val="18"/>
        </w:rPr>
        <w:t xml:space="preserve"> </w:t>
      </w:r>
      <w:r w:rsidR="00F3506B" w:rsidRPr="00F3506B">
        <w:rPr>
          <w:rFonts w:ascii="Titillium" w:hAnsi="Titillium"/>
          <w:bCs/>
          <w:sz w:val="18"/>
          <w:szCs w:val="18"/>
        </w:rPr>
        <w:t xml:space="preserve">con </w:t>
      </w:r>
      <w:r>
        <w:rPr>
          <w:rFonts w:ascii="Titillium" w:hAnsi="Titillium"/>
          <w:bCs/>
          <w:sz w:val="18"/>
          <w:szCs w:val="18"/>
        </w:rPr>
        <w:t>la predetta</w:t>
      </w:r>
      <w:r w:rsidR="00381B15">
        <w:rPr>
          <w:rFonts w:ascii="Titillium" w:hAnsi="Titillium"/>
          <w:bCs/>
          <w:sz w:val="18"/>
          <w:szCs w:val="18"/>
        </w:rPr>
        <w:t xml:space="preserve"> società</w:t>
      </w:r>
      <w:r w:rsidR="009060DE">
        <w:rPr>
          <w:rFonts w:ascii="Titillium" w:hAnsi="Titillium"/>
          <w:bCs/>
          <w:sz w:val="18"/>
          <w:szCs w:val="18"/>
        </w:rPr>
        <w:t xml:space="preserve">; </w:t>
      </w:r>
    </w:p>
    <w:p w:rsidR="009415F7" w:rsidRDefault="009415F7" w:rsidP="0011731E">
      <w:pPr>
        <w:jc w:val="both"/>
        <w:rPr>
          <w:rFonts w:ascii="Titillium" w:hAnsi="Titillium"/>
          <w:bCs/>
          <w:sz w:val="18"/>
          <w:szCs w:val="18"/>
          <w:highlight w:val="yellow"/>
        </w:rPr>
      </w:pPr>
    </w:p>
    <w:p w:rsidR="007330C5" w:rsidRPr="00AA591F" w:rsidRDefault="001F513E" w:rsidP="0011731E">
      <w:pPr>
        <w:jc w:val="both"/>
        <w:rPr>
          <w:rFonts w:ascii="Titillium" w:hAnsi="Titillium"/>
          <w:bCs/>
          <w:sz w:val="18"/>
          <w:szCs w:val="18"/>
        </w:rPr>
      </w:pPr>
      <w:r w:rsidRPr="001F513E">
        <w:rPr>
          <w:rFonts w:ascii="Titillium" w:hAnsi="Titillium"/>
          <w:b/>
          <w:bCs/>
          <w:sz w:val="18"/>
          <w:szCs w:val="18"/>
        </w:rPr>
        <w:t>CONSIDERATO</w:t>
      </w:r>
      <w:r>
        <w:rPr>
          <w:rFonts w:ascii="Titillium" w:hAnsi="Titillium"/>
          <w:b/>
          <w:bCs/>
          <w:sz w:val="18"/>
          <w:szCs w:val="18"/>
        </w:rPr>
        <w:t xml:space="preserve"> </w:t>
      </w:r>
      <w:r>
        <w:rPr>
          <w:rFonts w:ascii="Titillium" w:hAnsi="Titillium"/>
          <w:bCs/>
          <w:sz w:val="18"/>
          <w:szCs w:val="18"/>
        </w:rPr>
        <w:t>pertanto che</w:t>
      </w:r>
      <w:r w:rsidR="009060DE">
        <w:rPr>
          <w:rFonts w:ascii="Titillium" w:hAnsi="Titillium"/>
          <w:bCs/>
          <w:sz w:val="18"/>
          <w:szCs w:val="18"/>
        </w:rPr>
        <w:t xml:space="preserve"> il costo del suddetto servizio di formazione </w:t>
      </w:r>
      <w:r w:rsidR="00AA591F" w:rsidRPr="00AA591F">
        <w:rPr>
          <w:rFonts w:ascii="Titillium" w:hAnsi="Titillium"/>
          <w:bCs/>
          <w:sz w:val="18"/>
          <w:szCs w:val="18"/>
        </w:rPr>
        <w:t xml:space="preserve">in modalità </w:t>
      </w:r>
      <w:proofErr w:type="spellStart"/>
      <w:r w:rsidR="00AA591F" w:rsidRPr="00AA591F">
        <w:rPr>
          <w:rFonts w:ascii="Titillium" w:hAnsi="Titillium"/>
          <w:bCs/>
          <w:sz w:val="18"/>
          <w:szCs w:val="18"/>
        </w:rPr>
        <w:t>webinar</w:t>
      </w:r>
      <w:proofErr w:type="spellEnd"/>
      <w:r w:rsidR="00AA591F" w:rsidRPr="00AA591F">
        <w:rPr>
          <w:rFonts w:ascii="Titillium" w:hAnsi="Titillium"/>
          <w:bCs/>
          <w:sz w:val="18"/>
          <w:szCs w:val="18"/>
        </w:rPr>
        <w:t xml:space="preserve"> per la durata di n. 1 giorno (6 ore complessive), </w:t>
      </w:r>
      <w:r w:rsidR="009060DE">
        <w:rPr>
          <w:rFonts w:ascii="Titillium" w:hAnsi="Titillium"/>
          <w:bCs/>
          <w:sz w:val="18"/>
          <w:szCs w:val="18"/>
        </w:rPr>
        <w:t>è pari a</w:t>
      </w:r>
      <w:r>
        <w:rPr>
          <w:rFonts w:ascii="Titillium" w:hAnsi="Titillium"/>
          <w:bCs/>
          <w:sz w:val="18"/>
          <w:szCs w:val="18"/>
        </w:rPr>
        <w:t xml:space="preserve"> euro 340,00 </w:t>
      </w:r>
      <w:r w:rsidR="00AA591F" w:rsidRPr="00AA591F">
        <w:rPr>
          <w:rFonts w:ascii="Titillium" w:hAnsi="Titillium"/>
          <w:bCs/>
          <w:sz w:val="18"/>
          <w:szCs w:val="18"/>
        </w:rPr>
        <w:t>a partecipante</w:t>
      </w:r>
      <w:r w:rsidR="00AA591F">
        <w:rPr>
          <w:rFonts w:ascii="Titillium" w:hAnsi="Titillium"/>
          <w:bCs/>
          <w:sz w:val="18"/>
          <w:szCs w:val="18"/>
        </w:rPr>
        <w:t xml:space="preserve">, per un </w:t>
      </w:r>
      <w:r w:rsidR="00C56DB3">
        <w:rPr>
          <w:rFonts w:ascii="Titillium" w:hAnsi="Titillium"/>
          <w:bCs/>
          <w:sz w:val="18"/>
          <w:szCs w:val="18"/>
        </w:rPr>
        <w:t>costo complessivo, per n. 8 partecipanti, di euro 2.720,00 (</w:t>
      </w:r>
      <w:proofErr w:type="spellStart"/>
      <w:r w:rsidR="00C56DB3">
        <w:rPr>
          <w:rFonts w:ascii="Titillium" w:hAnsi="Titillium"/>
          <w:bCs/>
          <w:sz w:val="18"/>
          <w:szCs w:val="18"/>
        </w:rPr>
        <w:t>duemilasettecentoventi</w:t>
      </w:r>
      <w:proofErr w:type="spellEnd"/>
      <w:r w:rsidR="00C56DB3">
        <w:rPr>
          <w:rFonts w:ascii="Titillium" w:hAnsi="Titillium"/>
          <w:bCs/>
          <w:sz w:val="18"/>
          <w:szCs w:val="18"/>
        </w:rPr>
        <w:t xml:space="preserve">/00) </w:t>
      </w:r>
      <w:r w:rsidR="009060DE" w:rsidRPr="009060DE">
        <w:rPr>
          <w:rFonts w:ascii="Titillium" w:hAnsi="Titillium"/>
          <w:bCs/>
          <w:sz w:val="18"/>
          <w:szCs w:val="18"/>
        </w:rPr>
        <w:t>Iva esente ai sensi dell’Art. 10 D.P.R. 633/72</w:t>
      </w:r>
      <w:r w:rsidR="00242E26" w:rsidRPr="00AA591F">
        <w:rPr>
          <w:rFonts w:ascii="Titillium" w:hAnsi="Titillium"/>
          <w:bCs/>
          <w:sz w:val="18"/>
          <w:szCs w:val="18"/>
        </w:rPr>
        <w:t>;</w:t>
      </w:r>
      <w:r w:rsidR="007330C5" w:rsidRPr="00AA591F">
        <w:rPr>
          <w:rFonts w:ascii="Titillium" w:hAnsi="Titillium"/>
          <w:bCs/>
          <w:sz w:val="18"/>
          <w:szCs w:val="18"/>
        </w:rPr>
        <w:t xml:space="preserve"> </w:t>
      </w:r>
    </w:p>
    <w:p w:rsidR="0011731E" w:rsidRPr="00242E26" w:rsidRDefault="0011731E" w:rsidP="0011731E">
      <w:pPr>
        <w:pStyle w:val="Corpodeltesto2"/>
        <w:spacing w:after="0" w:line="240" w:lineRule="auto"/>
        <w:jc w:val="both"/>
        <w:rPr>
          <w:rFonts w:ascii="Titillium" w:hAnsi="Titillium"/>
          <w:b/>
          <w:sz w:val="18"/>
          <w:szCs w:val="18"/>
          <w:highlight w:val="yellow"/>
        </w:rPr>
      </w:pPr>
    </w:p>
    <w:p w:rsidR="00A325BF" w:rsidRPr="00BD021A" w:rsidRDefault="005817E0" w:rsidP="0011731E">
      <w:pPr>
        <w:pStyle w:val="Corpodeltesto2"/>
        <w:spacing w:after="0" w:line="240" w:lineRule="auto"/>
        <w:jc w:val="both"/>
        <w:rPr>
          <w:rFonts w:ascii="Titillium" w:hAnsi="Titillium"/>
          <w:sz w:val="20"/>
          <w:szCs w:val="20"/>
        </w:rPr>
      </w:pPr>
      <w:r w:rsidRPr="00BD021A">
        <w:rPr>
          <w:rFonts w:ascii="Titillium" w:hAnsi="Titillium"/>
          <w:b/>
          <w:sz w:val="18"/>
          <w:szCs w:val="18"/>
        </w:rPr>
        <w:t xml:space="preserve">ACCERTATO </w:t>
      </w:r>
      <w:r w:rsidRPr="00BD021A">
        <w:rPr>
          <w:rFonts w:ascii="Titillium" w:hAnsi="Titillium"/>
          <w:sz w:val="18"/>
          <w:szCs w:val="18"/>
        </w:rPr>
        <w:t xml:space="preserve">che la disponibilità finanziaria sul pertinente capitolo n. </w:t>
      </w:r>
      <w:r w:rsidRPr="00CE447D">
        <w:rPr>
          <w:rFonts w:ascii="Titillium" w:hAnsi="Titillium"/>
          <w:sz w:val="18"/>
          <w:szCs w:val="18"/>
        </w:rPr>
        <w:t>1</w:t>
      </w:r>
      <w:r w:rsidR="00CE447D" w:rsidRPr="00CE447D">
        <w:rPr>
          <w:rFonts w:ascii="Titillium" w:hAnsi="Titillium"/>
          <w:sz w:val="18"/>
          <w:szCs w:val="18"/>
        </w:rPr>
        <w:t>216</w:t>
      </w:r>
      <w:r w:rsidRPr="00CE447D">
        <w:rPr>
          <w:rFonts w:ascii="Titillium" w:hAnsi="Titillium"/>
          <w:sz w:val="18"/>
          <w:szCs w:val="18"/>
        </w:rPr>
        <w:t>.</w:t>
      </w:r>
      <w:r w:rsidR="00CE447D" w:rsidRPr="00CE447D">
        <w:rPr>
          <w:rFonts w:ascii="Titillium" w:hAnsi="Titillium"/>
          <w:sz w:val="18"/>
          <w:szCs w:val="18"/>
        </w:rPr>
        <w:t>1</w:t>
      </w:r>
      <w:r w:rsidRPr="00CE447D">
        <w:rPr>
          <w:rFonts w:ascii="Titillium" w:hAnsi="Titillium"/>
          <w:sz w:val="18"/>
          <w:szCs w:val="18"/>
        </w:rPr>
        <w:t xml:space="preserve"> del</w:t>
      </w:r>
      <w:r w:rsidRPr="00BD021A">
        <w:rPr>
          <w:rFonts w:ascii="Titillium" w:hAnsi="Titillium"/>
          <w:sz w:val="18"/>
          <w:szCs w:val="18"/>
        </w:rPr>
        <w:t xml:space="preserve"> bilancio 2023 di previsione dell’A.N.AC. è congrua per accogliere la spesa stimata per l’affidamento del servizio in esame;</w:t>
      </w:r>
    </w:p>
    <w:p w:rsidR="00570207" w:rsidRPr="00BD021A" w:rsidRDefault="00570207" w:rsidP="00570207">
      <w:pPr>
        <w:pStyle w:val="ANAC-TitoloParagrafo"/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0"/>
        <w:ind w:left="0"/>
        <w:jc w:val="center"/>
        <w:rPr>
          <w:sz w:val="16"/>
          <w:szCs w:val="16"/>
        </w:rPr>
      </w:pPr>
    </w:p>
    <w:p w:rsidR="00317AEE" w:rsidRPr="00BD021A" w:rsidRDefault="00135F2E" w:rsidP="00570207">
      <w:pPr>
        <w:pStyle w:val="ANAC-TitoloParagrafo"/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0"/>
        <w:ind w:left="0"/>
        <w:jc w:val="center"/>
      </w:pPr>
      <w:r w:rsidRPr="00BD021A">
        <w:t>D I S P O N E</w:t>
      </w:r>
    </w:p>
    <w:p w:rsidR="00570207" w:rsidRPr="00242E26" w:rsidRDefault="00570207" w:rsidP="00570207">
      <w:pPr>
        <w:pStyle w:val="ANAC-TitoloParagrafo"/>
        <w:tabs>
          <w:tab w:val="clear" w:pos="284"/>
          <w:tab w:val="clear" w:pos="567"/>
          <w:tab w:val="clear" w:pos="708"/>
          <w:tab w:val="clear" w:pos="851"/>
          <w:tab w:val="clear" w:pos="1134"/>
          <w:tab w:val="clear" w:pos="1418"/>
          <w:tab w:val="clear" w:pos="2124"/>
          <w:tab w:val="clear" w:pos="2268"/>
          <w:tab w:val="clear" w:pos="2835"/>
          <w:tab w:val="clear" w:pos="3540"/>
          <w:tab w:val="clear" w:pos="4248"/>
          <w:tab w:val="clear" w:pos="4956"/>
          <w:tab w:val="clear" w:pos="5664"/>
          <w:tab w:val="clear" w:pos="6265"/>
          <w:tab w:val="clear" w:pos="10348"/>
        </w:tabs>
        <w:spacing w:before="0"/>
        <w:ind w:left="0"/>
        <w:jc w:val="center"/>
        <w:rPr>
          <w:sz w:val="16"/>
          <w:szCs w:val="16"/>
          <w:highlight w:val="yellow"/>
        </w:rPr>
      </w:pPr>
    </w:p>
    <w:p w:rsidR="00417722" w:rsidRPr="001D1EE5" w:rsidRDefault="004219F2" w:rsidP="007D15C4">
      <w:pPr>
        <w:pStyle w:val="Paragrafoelenco"/>
        <w:numPr>
          <w:ilvl w:val="0"/>
          <w:numId w:val="8"/>
        </w:numPr>
        <w:ind w:left="284" w:hanging="284"/>
        <w:contextualSpacing w:val="0"/>
        <w:jc w:val="both"/>
        <w:rPr>
          <w:rFonts w:ascii="Titillium" w:hAnsi="Titillium"/>
          <w:sz w:val="18"/>
          <w:szCs w:val="18"/>
        </w:rPr>
      </w:pPr>
      <w:r w:rsidRPr="001D1EE5">
        <w:rPr>
          <w:rFonts w:ascii="Titillium" w:hAnsi="Titillium"/>
          <w:sz w:val="18"/>
          <w:szCs w:val="18"/>
        </w:rPr>
        <w:t xml:space="preserve">di </w:t>
      </w:r>
      <w:r w:rsidR="00BD021A" w:rsidRPr="001D1EE5">
        <w:rPr>
          <w:rFonts w:ascii="Titillium" w:hAnsi="Titillium"/>
          <w:sz w:val="18"/>
          <w:szCs w:val="18"/>
        </w:rPr>
        <w:t>a</w:t>
      </w:r>
      <w:r w:rsidR="00EA2D35">
        <w:rPr>
          <w:rFonts w:ascii="Titillium" w:hAnsi="Titillium"/>
          <w:sz w:val="18"/>
          <w:szCs w:val="18"/>
        </w:rPr>
        <w:t xml:space="preserve">ffidare </w:t>
      </w:r>
      <w:r w:rsidR="00BD021A" w:rsidRPr="001D1EE5">
        <w:rPr>
          <w:rFonts w:ascii="Titillium" w:hAnsi="Titillium"/>
          <w:sz w:val="18"/>
          <w:szCs w:val="18"/>
        </w:rPr>
        <w:t xml:space="preserve">alla </w:t>
      </w:r>
      <w:r w:rsidR="00E17EC3" w:rsidRPr="001D1EE5">
        <w:rPr>
          <w:rFonts w:ascii="Titillium" w:hAnsi="Titillium"/>
          <w:sz w:val="18"/>
          <w:szCs w:val="18"/>
        </w:rPr>
        <w:t xml:space="preserve">società </w:t>
      </w:r>
      <w:proofErr w:type="spellStart"/>
      <w:r w:rsidR="00BD021A" w:rsidRPr="001D1EE5">
        <w:rPr>
          <w:rFonts w:ascii="Titillium" w:hAnsi="Titillium"/>
          <w:iCs/>
          <w:sz w:val="18"/>
          <w:szCs w:val="18"/>
        </w:rPr>
        <w:t>Formel</w:t>
      </w:r>
      <w:proofErr w:type="spellEnd"/>
      <w:r w:rsidR="00BD021A" w:rsidRPr="001D1EE5">
        <w:rPr>
          <w:rFonts w:ascii="Titillium" w:hAnsi="Titillium"/>
          <w:iCs/>
          <w:sz w:val="18"/>
          <w:szCs w:val="18"/>
        </w:rPr>
        <w:t xml:space="preserve"> S.r.l.</w:t>
      </w:r>
      <w:r w:rsidR="0010664A" w:rsidRPr="001D1EE5">
        <w:rPr>
          <w:rFonts w:ascii="Titillium" w:hAnsi="Titillium"/>
          <w:sz w:val="18"/>
          <w:szCs w:val="18"/>
        </w:rPr>
        <w:t xml:space="preserve"> </w:t>
      </w:r>
      <w:r w:rsidR="007D15C4" w:rsidRPr="001D1EE5">
        <w:rPr>
          <w:rFonts w:ascii="Titillium" w:hAnsi="Titillium"/>
          <w:sz w:val="18"/>
          <w:szCs w:val="18"/>
        </w:rPr>
        <w:t>(C.F.</w:t>
      </w:r>
      <w:r w:rsidR="0083089C" w:rsidRPr="001D1EE5">
        <w:rPr>
          <w:rFonts w:ascii="Titillium" w:hAnsi="Titillium"/>
          <w:sz w:val="18"/>
          <w:szCs w:val="18"/>
        </w:rPr>
        <w:t xml:space="preserve"> </w:t>
      </w:r>
      <w:r w:rsidR="00BD021A" w:rsidRPr="001D1EE5">
        <w:rPr>
          <w:rFonts w:ascii="Titillium" w:hAnsi="Titillium"/>
          <w:sz w:val="18"/>
          <w:szCs w:val="18"/>
        </w:rPr>
        <w:t>01784630814</w:t>
      </w:r>
      <w:r w:rsidR="0083089C" w:rsidRPr="001D1EE5">
        <w:rPr>
          <w:rFonts w:ascii="Titillium" w:hAnsi="Titillium"/>
          <w:sz w:val="18"/>
          <w:szCs w:val="18"/>
        </w:rPr>
        <w:t>)</w:t>
      </w:r>
      <w:r w:rsidR="00BD021A" w:rsidRPr="001D1EE5">
        <w:rPr>
          <w:rFonts w:ascii="Titillium" w:hAnsi="Titillium"/>
          <w:sz w:val="18"/>
          <w:szCs w:val="18"/>
        </w:rPr>
        <w:t xml:space="preserve">, mediante Trattativa Diretta sul MEPA, </w:t>
      </w:r>
      <w:r w:rsidR="00EA2D35">
        <w:rPr>
          <w:rFonts w:ascii="Titillium" w:hAnsi="Titillium"/>
          <w:sz w:val="18"/>
          <w:szCs w:val="18"/>
        </w:rPr>
        <w:t>i</w:t>
      </w:r>
      <w:r w:rsidR="00BD021A" w:rsidRPr="001D1EE5">
        <w:rPr>
          <w:rFonts w:ascii="Titillium" w:hAnsi="Titillium"/>
          <w:sz w:val="18"/>
          <w:szCs w:val="18"/>
        </w:rPr>
        <w:t>l servizio di formazione</w:t>
      </w:r>
      <w:r w:rsidR="00E63EE0" w:rsidRPr="001D1EE5">
        <w:rPr>
          <w:rFonts w:ascii="Titillium" w:hAnsi="Titillium"/>
          <w:iCs/>
          <w:sz w:val="18"/>
          <w:szCs w:val="18"/>
        </w:rPr>
        <w:t xml:space="preserve">, </w:t>
      </w:r>
      <w:proofErr w:type="gramStart"/>
      <w:r w:rsidR="00BD021A" w:rsidRPr="001D1EE5">
        <w:rPr>
          <w:rFonts w:ascii="Titillium" w:hAnsi="Titillium"/>
          <w:bCs/>
          <w:iCs/>
          <w:sz w:val="18"/>
          <w:szCs w:val="18"/>
        </w:rPr>
        <w:t xml:space="preserve">per </w:t>
      </w:r>
      <w:r w:rsidR="00EA2D35">
        <w:rPr>
          <w:rFonts w:ascii="Titillium" w:hAnsi="Titillium"/>
          <w:bCs/>
          <w:iCs/>
          <w:sz w:val="18"/>
          <w:szCs w:val="18"/>
        </w:rPr>
        <w:t xml:space="preserve"> </w:t>
      </w:r>
      <w:r w:rsidR="00BD021A" w:rsidRPr="001D1EE5">
        <w:rPr>
          <w:rFonts w:ascii="Titillium" w:hAnsi="Titillium"/>
          <w:bCs/>
          <w:iCs/>
          <w:sz w:val="18"/>
          <w:szCs w:val="18"/>
        </w:rPr>
        <w:t>n.</w:t>
      </w:r>
      <w:proofErr w:type="gramEnd"/>
      <w:r w:rsidR="00BD021A" w:rsidRPr="001D1EE5">
        <w:rPr>
          <w:rFonts w:ascii="Titillium" w:hAnsi="Titillium"/>
          <w:bCs/>
          <w:iCs/>
          <w:sz w:val="18"/>
          <w:szCs w:val="18"/>
        </w:rPr>
        <w:t xml:space="preserve"> 8 partecipanti</w:t>
      </w:r>
      <w:r w:rsidR="00E17EC3" w:rsidRPr="001D1EE5">
        <w:rPr>
          <w:rFonts w:ascii="Titillium" w:hAnsi="Titillium"/>
          <w:sz w:val="18"/>
          <w:szCs w:val="18"/>
        </w:rPr>
        <w:t xml:space="preserve">, </w:t>
      </w:r>
      <w:r w:rsidR="00BD021A" w:rsidRPr="001D1EE5">
        <w:rPr>
          <w:rFonts w:ascii="Titillium" w:hAnsi="Titillium"/>
          <w:bCs/>
          <w:sz w:val="18"/>
          <w:szCs w:val="18"/>
        </w:rPr>
        <w:t>all’</w:t>
      </w:r>
      <w:r w:rsidR="001D1EE5" w:rsidRPr="001D1EE5">
        <w:rPr>
          <w:rFonts w:ascii="Titillium" w:hAnsi="Titillium"/>
          <w:bCs/>
          <w:sz w:val="18"/>
          <w:szCs w:val="18"/>
        </w:rPr>
        <w:t>utilizzo dell’</w:t>
      </w:r>
      <w:r w:rsidR="00BD021A" w:rsidRPr="001D1EE5">
        <w:rPr>
          <w:rFonts w:ascii="Titillium" w:hAnsi="Titillium"/>
          <w:bCs/>
          <w:sz w:val="18"/>
          <w:szCs w:val="18"/>
        </w:rPr>
        <w:t xml:space="preserve">applicativo informatico </w:t>
      </w:r>
      <w:r w:rsidR="001D1EE5" w:rsidRPr="001D1EE5">
        <w:rPr>
          <w:rFonts w:ascii="Titillium" w:hAnsi="Titillium"/>
          <w:bCs/>
          <w:sz w:val="18"/>
          <w:szCs w:val="18"/>
        </w:rPr>
        <w:t xml:space="preserve">denominato PASSWEB, </w:t>
      </w:r>
      <w:r w:rsidR="001833D2" w:rsidRPr="001D1EE5">
        <w:rPr>
          <w:rFonts w:ascii="Titillium" w:hAnsi="Titillium"/>
          <w:sz w:val="18"/>
          <w:szCs w:val="18"/>
        </w:rPr>
        <w:t xml:space="preserve">per </w:t>
      </w:r>
      <w:r w:rsidR="00135F2E" w:rsidRPr="001D1EE5">
        <w:rPr>
          <w:rFonts w:ascii="Titillium" w:hAnsi="Titillium"/>
          <w:sz w:val="18"/>
          <w:szCs w:val="18"/>
        </w:rPr>
        <w:t xml:space="preserve">una spesa complessiva </w:t>
      </w:r>
      <w:r w:rsidR="00570207" w:rsidRPr="001D1EE5">
        <w:rPr>
          <w:rFonts w:ascii="Titillium" w:hAnsi="Titillium"/>
          <w:sz w:val="18"/>
          <w:szCs w:val="18"/>
        </w:rPr>
        <w:t>così distinta:</w:t>
      </w:r>
    </w:p>
    <w:tbl>
      <w:tblPr>
        <w:tblStyle w:val="Grigliatabella"/>
        <w:tblW w:w="95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5"/>
        <w:gridCol w:w="1666"/>
      </w:tblGrid>
      <w:tr w:rsidR="00F22986" w:rsidRPr="00242E26" w:rsidTr="00A86EDC">
        <w:tc>
          <w:tcPr>
            <w:tcW w:w="791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22986" w:rsidRPr="001D1EE5" w:rsidRDefault="00E63EE0" w:rsidP="001D1EE5">
            <w:pPr>
              <w:pStyle w:val="Paragrafoelenco"/>
              <w:numPr>
                <w:ilvl w:val="0"/>
                <w:numId w:val="6"/>
              </w:numPr>
              <w:ind w:left="511"/>
              <w:jc w:val="both"/>
              <w:rPr>
                <w:rFonts w:ascii="Titillium" w:hAnsi="Titillium"/>
                <w:sz w:val="18"/>
                <w:szCs w:val="18"/>
              </w:rPr>
            </w:pPr>
            <w:r w:rsidRPr="001D1EE5">
              <w:rPr>
                <w:rFonts w:ascii="Titillium" w:hAnsi="Titillium"/>
                <w:sz w:val="18"/>
                <w:szCs w:val="18"/>
              </w:rPr>
              <w:t xml:space="preserve">Servizio </w:t>
            </w:r>
            <w:r w:rsidR="001D1EE5" w:rsidRPr="001D1EE5">
              <w:rPr>
                <w:rFonts w:ascii="Titillium" w:hAnsi="Titillium"/>
                <w:sz w:val="18"/>
                <w:szCs w:val="18"/>
              </w:rPr>
              <w:t>di formazione per l’utilizzo dell’applicativo informatico PASSWEB (8 partecipanti)</w:t>
            </w:r>
          </w:p>
        </w:tc>
        <w:tc>
          <w:tcPr>
            <w:tcW w:w="166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22986" w:rsidRPr="001D1EE5" w:rsidRDefault="00E63EE0" w:rsidP="001D1EE5">
            <w:pPr>
              <w:rPr>
                <w:rFonts w:ascii="Titillium" w:hAnsi="Titillium"/>
                <w:sz w:val="18"/>
                <w:szCs w:val="18"/>
              </w:rPr>
            </w:pPr>
            <w:r w:rsidRPr="001D1EE5">
              <w:rPr>
                <w:rFonts w:ascii="Titillium" w:hAnsi="Titillium"/>
                <w:sz w:val="18"/>
                <w:szCs w:val="18"/>
              </w:rPr>
              <w:t xml:space="preserve">            </w:t>
            </w:r>
            <w:r w:rsidR="00946B87" w:rsidRPr="001D1EE5">
              <w:rPr>
                <w:rFonts w:ascii="Titillium" w:hAnsi="Titillium"/>
                <w:sz w:val="18"/>
                <w:szCs w:val="18"/>
              </w:rPr>
              <w:t xml:space="preserve">  </w:t>
            </w:r>
            <w:r w:rsidRPr="001D1EE5">
              <w:rPr>
                <w:rFonts w:ascii="Titillium" w:hAnsi="Titillium"/>
                <w:sz w:val="18"/>
                <w:szCs w:val="18"/>
              </w:rPr>
              <w:t xml:space="preserve">€  </w:t>
            </w:r>
            <w:r w:rsidR="001D1EE5" w:rsidRPr="001D1EE5">
              <w:rPr>
                <w:rFonts w:ascii="Titillium" w:hAnsi="Titillium"/>
                <w:sz w:val="18"/>
                <w:szCs w:val="18"/>
              </w:rPr>
              <w:t>2.72</w:t>
            </w:r>
            <w:r w:rsidRPr="001D1EE5">
              <w:rPr>
                <w:rFonts w:ascii="Titillium" w:hAnsi="Titillium"/>
                <w:sz w:val="18"/>
                <w:szCs w:val="18"/>
              </w:rPr>
              <w:t>0</w:t>
            </w:r>
            <w:r w:rsidR="00FF7A4A" w:rsidRPr="001D1EE5">
              <w:rPr>
                <w:rFonts w:ascii="Titillium" w:hAnsi="Titillium"/>
                <w:sz w:val="18"/>
                <w:szCs w:val="18"/>
              </w:rPr>
              <w:t>,00</w:t>
            </w:r>
          </w:p>
        </w:tc>
      </w:tr>
      <w:tr w:rsidR="001F09E8" w:rsidRPr="00242E26" w:rsidTr="00A86EDC">
        <w:tc>
          <w:tcPr>
            <w:tcW w:w="791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F09E8" w:rsidRPr="001D1EE5" w:rsidRDefault="00A86EDC" w:rsidP="00E63EE0">
            <w:pPr>
              <w:pStyle w:val="Paragrafoelenco"/>
              <w:numPr>
                <w:ilvl w:val="0"/>
                <w:numId w:val="6"/>
              </w:numPr>
              <w:ind w:left="511"/>
              <w:jc w:val="both"/>
              <w:rPr>
                <w:rFonts w:ascii="Titillium" w:hAnsi="Titillium"/>
                <w:sz w:val="18"/>
                <w:szCs w:val="18"/>
              </w:rPr>
            </w:pPr>
            <w:r w:rsidRPr="001D1EE5">
              <w:rPr>
                <w:rFonts w:ascii="Titillium" w:hAnsi="Titillium"/>
                <w:sz w:val="18"/>
                <w:szCs w:val="18"/>
              </w:rPr>
              <w:t>IVA</w:t>
            </w:r>
            <w:r w:rsidR="00DC56C0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E63EE0" w:rsidRPr="001D1EE5">
              <w:rPr>
                <w:rFonts w:ascii="Titillium" w:hAnsi="Titillium"/>
                <w:sz w:val="18"/>
                <w:szCs w:val="18"/>
              </w:rPr>
              <w:t>esente</w:t>
            </w:r>
            <w:r w:rsidR="001D1EE5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1D1EE5" w:rsidRPr="001D1EE5">
              <w:rPr>
                <w:rFonts w:ascii="Titillium" w:hAnsi="Titillium"/>
                <w:bCs/>
                <w:sz w:val="18"/>
                <w:szCs w:val="18"/>
              </w:rPr>
              <w:t>ai sensi dell’Art. 10 D.P.R. 633/72</w:t>
            </w:r>
          </w:p>
        </w:tc>
        <w:tc>
          <w:tcPr>
            <w:tcW w:w="166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F09E8" w:rsidRPr="001D1EE5" w:rsidRDefault="00A86EDC" w:rsidP="00E63EE0">
            <w:pPr>
              <w:pStyle w:val="Paragrafoelenco"/>
              <w:ind w:left="256"/>
              <w:contextualSpacing w:val="0"/>
              <w:jc w:val="center"/>
              <w:rPr>
                <w:rFonts w:ascii="Titillium" w:hAnsi="Titillium"/>
                <w:sz w:val="18"/>
                <w:szCs w:val="18"/>
              </w:rPr>
            </w:pPr>
            <w:r w:rsidRPr="001D1EE5">
              <w:rPr>
                <w:rFonts w:ascii="Titillium" w:hAnsi="Titillium"/>
                <w:sz w:val="18"/>
                <w:szCs w:val="18"/>
              </w:rPr>
              <w:t xml:space="preserve">    </w:t>
            </w:r>
            <w:r w:rsidR="007C722E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E17EC3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1F09E8" w:rsidRPr="001D1EE5">
              <w:rPr>
                <w:rFonts w:ascii="Titillium" w:hAnsi="Titillium"/>
                <w:sz w:val="18"/>
                <w:szCs w:val="18"/>
              </w:rPr>
              <w:t>€</w:t>
            </w:r>
            <w:r w:rsidR="00FF7A4A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E17EC3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E63EE0" w:rsidRPr="001D1EE5">
              <w:rPr>
                <w:rFonts w:ascii="Titillium" w:hAnsi="Titillium"/>
                <w:sz w:val="18"/>
                <w:szCs w:val="18"/>
              </w:rPr>
              <w:t xml:space="preserve">  </w:t>
            </w:r>
            <w:r w:rsidR="00E17EC3" w:rsidRPr="001D1EE5">
              <w:rPr>
                <w:rFonts w:ascii="Titillium" w:hAnsi="Titillium"/>
                <w:sz w:val="18"/>
                <w:szCs w:val="18"/>
              </w:rPr>
              <w:t xml:space="preserve"> </w:t>
            </w:r>
            <w:r w:rsidR="00E63EE0" w:rsidRPr="001D1EE5">
              <w:rPr>
                <w:rFonts w:ascii="Titillium" w:hAnsi="Titillium"/>
                <w:sz w:val="18"/>
                <w:szCs w:val="18"/>
              </w:rPr>
              <w:t xml:space="preserve">     0</w:t>
            </w:r>
            <w:r w:rsidR="001F09E8" w:rsidRPr="001D1EE5">
              <w:rPr>
                <w:rFonts w:ascii="Titillium" w:hAnsi="Titillium"/>
                <w:sz w:val="18"/>
                <w:szCs w:val="18"/>
              </w:rPr>
              <w:t>,</w:t>
            </w:r>
            <w:r w:rsidR="00E63EE0" w:rsidRPr="001D1EE5">
              <w:rPr>
                <w:rFonts w:ascii="Titillium" w:hAnsi="Titillium"/>
                <w:sz w:val="18"/>
                <w:szCs w:val="18"/>
              </w:rPr>
              <w:t>00</w:t>
            </w:r>
          </w:p>
        </w:tc>
      </w:tr>
      <w:tr w:rsidR="00F22986" w:rsidRPr="00242E26" w:rsidTr="00A86EDC">
        <w:trPr>
          <w:trHeight w:val="403"/>
        </w:trPr>
        <w:tc>
          <w:tcPr>
            <w:tcW w:w="7915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22986" w:rsidRPr="001D1EE5" w:rsidRDefault="009937DC" w:rsidP="007C722E">
            <w:pPr>
              <w:tabs>
                <w:tab w:val="left" w:pos="7371"/>
              </w:tabs>
              <w:rPr>
                <w:rFonts w:ascii="Titillium" w:hAnsi="Titillium"/>
                <w:b/>
                <w:sz w:val="18"/>
                <w:szCs w:val="18"/>
              </w:rPr>
            </w:pPr>
            <w:r w:rsidRPr="001D1EE5">
              <w:rPr>
                <w:rFonts w:ascii="Titillium" w:hAnsi="Titillium"/>
                <w:b/>
                <w:sz w:val="18"/>
                <w:szCs w:val="18"/>
              </w:rPr>
              <w:t xml:space="preserve">Importo </w:t>
            </w:r>
            <w:r w:rsidR="007C722E" w:rsidRPr="001D1EE5">
              <w:rPr>
                <w:rFonts w:ascii="Titillium" w:hAnsi="Titillium"/>
                <w:b/>
                <w:sz w:val="18"/>
                <w:szCs w:val="18"/>
              </w:rPr>
              <w:t>complessivo</w:t>
            </w:r>
            <w:r w:rsidRPr="001D1EE5">
              <w:rPr>
                <w:rFonts w:ascii="Titillium" w:hAnsi="Titillium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22986" w:rsidRPr="001D1EE5" w:rsidRDefault="00A86EDC" w:rsidP="001D1EE5">
            <w:pPr>
              <w:pStyle w:val="Paragrafoelenco"/>
              <w:ind w:left="0"/>
              <w:contextualSpacing w:val="0"/>
              <w:jc w:val="center"/>
              <w:rPr>
                <w:rFonts w:ascii="Titillium" w:hAnsi="Titillium"/>
                <w:b/>
                <w:sz w:val="18"/>
                <w:szCs w:val="18"/>
              </w:rPr>
            </w:pPr>
            <w:r w:rsidRPr="001D1EE5">
              <w:rPr>
                <w:rFonts w:ascii="Titillium" w:hAnsi="Titillium"/>
                <w:b/>
                <w:sz w:val="18"/>
                <w:szCs w:val="18"/>
              </w:rPr>
              <w:t xml:space="preserve">         </w:t>
            </w:r>
            <w:r w:rsidR="007C722E" w:rsidRPr="001D1EE5">
              <w:rPr>
                <w:rFonts w:ascii="Titillium" w:hAnsi="Titillium"/>
                <w:b/>
                <w:sz w:val="18"/>
                <w:szCs w:val="18"/>
              </w:rPr>
              <w:t xml:space="preserve">  </w:t>
            </w:r>
            <w:r w:rsidR="00E63EE0" w:rsidRPr="001D1EE5">
              <w:rPr>
                <w:rFonts w:ascii="Titillium" w:hAnsi="Titillium"/>
                <w:b/>
                <w:sz w:val="18"/>
                <w:szCs w:val="18"/>
              </w:rPr>
              <w:t xml:space="preserve"> </w:t>
            </w:r>
            <w:r w:rsidR="006D0051" w:rsidRPr="001D1EE5">
              <w:rPr>
                <w:rFonts w:ascii="Titillium" w:hAnsi="Titillium"/>
                <w:b/>
                <w:sz w:val="18"/>
                <w:szCs w:val="18"/>
              </w:rPr>
              <w:t xml:space="preserve"> </w:t>
            </w:r>
            <w:r w:rsidR="00F22986" w:rsidRPr="001D1EE5">
              <w:rPr>
                <w:rFonts w:ascii="Titillium" w:hAnsi="Titillium"/>
                <w:b/>
                <w:sz w:val="18"/>
                <w:szCs w:val="18"/>
              </w:rPr>
              <w:t>€</w:t>
            </w:r>
            <w:r w:rsidR="009265BF" w:rsidRPr="001D1EE5">
              <w:rPr>
                <w:rFonts w:ascii="Titillium" w:hAnsi="Titillium"/>
                <w:b/>
                <w:sz w:val="18"/>
                <w:szCs w:val="18"/>
              </w:rPr>
              <w:t xml:space="preserve"> </w:t>
            </w:r>
            <w:r w:rsidR="001D1EE5" w:rsidRPr="001D1EE5">
              <w:rPr>
                <w:rFonts w:ascii="Titillium" w:hAnsi="Titillium"/>
                <w:b/>
                <w:sz w:val="18"/>
                <w:szCs w:val="18"/>
              </w:rPr>
              <w:t>2</w:t>
            </w:r>
            <w:r w:rsidR="00E63EE0" w:rsidRPr="001D1EE5">
              <w:rPr>
                <w:rFonts w:ascii="Titillium" w:hAnsi="Titillium"/>
                <w:b/>
                <w:sz w:val="18"/>
                <w:szCs w:val="18"/>
              </w:rPr>
              <w:t>.</w:t>
            </w:r>
            <w:r w:rsidR="001D1EE5" w:rsidRPr="001D1EE5">
              <w:rPr>
                <w:rFonts w:ascii="Titillium" w:hAnsi="Titillium"/>
                <w:b/>
                <w:sz w:val="18"/>
                <w:szCs w:val="18"/>
              </w:rPr>
              <w:t>72</w:t>
            </w:r>
            <w:r w:rsidR="00E63EE0" w:rsidRPr="001D1EE5">
              <w:rPr>
                <w:rFonts w:ascii="Titillium" w:hAnsi="Titillium"/>
                <w:b/>
                <w:sz w:val="18"/>
                <w:szCs w:val="18"/>
              </w:rPr>
              <w:t>0</w:t>
            </w:r>
            <w:r w:rsidR="009937DC" w:rsidRPr="001D1EE5">
              <w:rPr>
                <w:rFonts w:ascii="Titillium" w:hAnsi="Titillium"/>
                <w:b/>
                <w:sz w:val="18"/>
                <w:szCs w:val="18"/>
              </w:rPr>
              <w:t>,</w:t>
            </w:r>
            <w:r w:rsidR="00E63EE0" w:rsidRPr="001D1EE5">
              <w:rPr>
                <w:rFonts w:ascii="Titillium" w:hAnsi="Titillium"/>
                <w:b/>
                <w:sz w:val="18"/>
                <w:szCs w:val="18"/>
              </w:rPr>
              <w:t>00</w:t>
            </w:r>
          </w:p>
        </w:tc>
      </w:tr>
    </w:tbl>
    <w:p w:rsidR="00C81CB5" w:rsidRPr="00CE447D" w:rsidRDefault="00C81CB5" w:rsidP="00570207">
      <w:pPr>
        <w:pStyle w:val="Paragrafoelenco"/>
        <w:numPr>
          <w:ilvl w:val="0"/>
          <w:numId w:val="8"/>
        </w:numPr>
        <w:ind w:left="284" w:hanging="284"/>
        <w:contextualSpacing w:val="0"/>
        <w:jc w:val="both"/>
        <w:rPr>
          <w:rFonts w:ascii="Titillium" w:hAnsi="Titillium"/>
          <w:sz w:val="18"/>
          <w:szCs w:val="18"/>
        </w:rPr>
      </w:pPr>
      <w:r w:rsidRPr="00CE447D">
        <w:rPr>
          <w:rFonts w:ascii="Titillium" w:hAnsi="Titillium"/>
          <w:sz w:val="18"/>
          <w:szCs w:val="18"/>
        </w:rPr>
        <w:t>di autorizzare la spesa complessiva stimata da porsi a carico del bilancio di previsio</w:t>
      </w:r>
      <w:r w:rsidR="00E63EE0" w:rsidRPr="00CE447D">
        <w:rPr>
          <w:rFonts w:ascii="Titillium" w:hAnsi="Titillium"/>
          <w:sz w:val="18"/>
          <w:szCs w:val="18"/>
        </w:rPr>
        <w:t>ne dell’Autorità per l’anno 2023</w:t>
      </w:r>
      <w:r w:rsidRPr="00CE447D">
        <w:rPr>
          <w:rFonts w:ascii="Titillium" w:hAnsi="Titillium"/>
          <w:sz w:val="18"/>
          <w:szCs w:val="18"/>
        </w:rPr>
        <w:t xml:space="preserve">, sul capitolo n. </w:t>
      </w:r>
      <w:r w:rsidR="00CE447D" w:rsidRPr="00CE447D">
        <w:rPr>
          <w:rFonts w:ascii="Titillium" w:hAnsi="Titillium"/>
          <w:sz w:val="18"/>
          <w:szCs w:val="18"/>
        </w:rPr>
        <w:t>1216.1</w:t>
      </w:r>
      <w:r w:rsidRPr="00CE447D">
        <w:rPr>
          <w:rFonts w:ascii="Titillium" w:hAnsi="Titillium"/>
          <w:sz w:val="18"/>
          <w:szCs w:val="18"/>
        </w:rPr>
        <w:t>;</w:t>
      </w:r>
    </w:p>
    <w:p w:rsidR="00C81CB5" w:rsidRPr="00BD021A" w:rsidRDefault="00DE03B6" w:rsidP="00570207">
      <w:pPr>
        <w:pStyle w:val="Paragrafoelenco"/>
        <w:numPr>
          <w:ilvl w:val="0"/>
          <w:numId w:val="8"/>
        </w:numPr>
        <w:ind w:left="284" w:hanging="284"/>
        <w:contextualSpacing w:val="0"/>
        <w:jc w:val="both"/>
        <w:rPr>
          <w:rFonts w:ascii="Titillium" w:hAnsi="Titillium"/>
          <w:sz w:val="18"/>
          <w:szCs w:val="18"/>
        </w:rPr>
      </w:pPr>
      <w:r w:rsidRPr="00BD021A">
        <w:rPr>
          <w:rFonts w:ascii="Titillium" w:hAnsi="Titillium"/>
          <w:sz w:val="18"/>
          <w:szCs w:val="18"/>
        </w:rPr>
        <w:t>i</w:t>
      </w:r>
      <w:r w:rsidR="00C81CB5" w:rsidRPr="00BD021A">
        <w:rPr>
          <w:rFonts w:ascii="Titillium" w:hAnsi="Titillium"/>
          <w:sz w:val="18"/>
          <w:szCs w:val="18"/>
        </w:rPr>
        <w:t>l RUP art. 31 del d.lgs. 50/2016 coincide con il Dirigente dell’Ufficio Gare e log</w:t>
      </w:r>
      <w:r w:rsidR="00570207" w:rsidRPr="00BD021A">
        <w:rPr>
          <w:rFonts w:ascii="Titillium" w:hAnsi="Titillium"/>
          <w:sz w:val="18"/>
          <w:szCs w:val="18"/>
        </w:rPr>
        <w:t>istica, Dott. Ilario Sorrentino;</w:t>
      </w:r>
    </w:p>
    <w:p w:rsidR="00135F2E" w:rsidRPr="00E63EE0" w:rsidRDefault="00C81CB5" w:rsidP="00570207">
      <w:pPr>
        <w:pStyle w:val="Paragrafoelenco"/>
        <w:numPr>
          <w:ilvl w:val="0"/>
          <w:numId w:val="8"/>
        </w:numPr>
        <w:ind w:left="284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BD021A">
        <w:rPr>
          <w:rFonts w:ascii="Titillium" w:hAnsi="Titillium"/>
          <w:sz w:val="18"/>
          <w:szCs w:val="18"/>
        </w:rPr>
        <w:t xml:space="preserve">di nominare </w:t>
      </w:r>
      <w:r w:rsidR="007C722E" w:rsidRPr="00BD021A">
        <w:rPr>
          <w:rFonts w:ascii="Titillium" w:hAnsi="Titillium"/>
          <w:sz w:val="18"/>
          <w:szCs w:val="18"/>
        </w:rPr>
        <w:t>Direttore dell’esecu</w:t>
      </w:r>
      <w:r w:rsidR="007C722E" w:rsidRPr="00F4489A">
        <w:rPr>
          <w:rFonts w:ascii="Titillium" w:hAnsi="Titillium"/>
          <w:sz w:val="18"/>
          <w:szCs w:val="18"/>
        </w:rPr>
        <w:t xml:space="preserve">zione del contratto </w:t>
      </w:r>
      <w:r w:rsidR="00F4489A" w:rsidRPr="00F4489A">
        <w:rPr>
          <w:rFonts w:ascii="Titillium" w:hAnsi="Titillium"/>
          <w:sz w:val="18"/>
          <w:szCs w:val="18"/>
        </w:rPr>
        <w:t>la Dott.ssa Valeria Pepe</w:t>
      </w:r>
      <w:r w:rsidRPr="00F4489A">
        <w:rPr>
          <w:rFonts w:ascii="Titillium" w:hAnsi="Titillium"/>
          <w:sz w:val="18"/>
          <w:szCs w:val="18"/>
        </w:rPr>
        <w:t xml:space="preserve">, </w:t>
      </w:r>
      <w:r w:rsidR="00F4489A" w:rsidRPr="00F4489A">
        <w:rPr>
          <w:rFonts w:ascii="Titillium" w:hAnsi="Titillium"/>
          <w:sz w:val="18"/>
          <w:szCs w:val="18"/>
        </w:rPr>
        <w:t>funzionario dell’Ufficio URU</w:t>
      </w:r>
      <w:r w:rsidR="00E63EE0" w:rsidRPr="00F4489A">
        <w:rPr>
          <w:rFonts w:ascii="Titillium" w:hAnsi="Titillium"/>
          <w:sz w:val="18"/>
          <w:szCs w:val="18"/>
        </w:rPr>
        <w:t xml:space="preserve"> dell’A.N.AC</w:t>
      </w:r>
      <w:r w:rsidR="007C722E" w:rsidRPr="00F4489A">
        <w:rPr>
          <w:rFonts w:ascii="Titillium" w:hAnsi="Titillium"/>
          <w:sz w:val="18"/>
          <w:szCs w:val="18"/>
        </w:rPr>
        <w:t>.</w:t>
      </w:r>
    </w:p>
    <w:p w:rsidR="00570207" w:rsidRPr="00FE361A" w:rsidRDefault="00570207" w:rsidP="00570207">
      <w:pPr>
        <w:pStyle w:val="Paragrafoelenco"/>
        <w:ind w:left="284"/>
        <w:contextualSpacing w:val="0"/>
        <w:jc w:val="both"/>
        <w:rPr>
          <w:rFonts w:ascii="Titillium" w:hAnsi="Titillium"/>
          <w:sz w:val="20"/>
          <w:szCs w:val="20"/>
        </w:rPr>
      </w:pPr>
    </w:p>
    <w:tbl>
      <w:tblPr>
        <w:tblW w:w="4092" w:type="pct"/>
        <w:tblInd w:w="156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6"/>
        <w:gridCol w:w="2532"/>
        <w:gridCol w:w="2680"/>
      </w:tblGrid>
      <w:tr w:rsidR="00DA550A" w:rsidRPr="008031B4" w:rsidTr="00570207">
        <w:trPr>
          <w:trHeight w:val="330"/>
        </w:trPr>
        <w:tc>
          <w:tcPr>
            <w:tcW w:w="1696" w:type="pct"/>
            <w:shd w:val="clear" w:color="auto" w:fill="2770B7"/>
            <w:vAlign w:val="center"/>
          </w:tcPr>
          <w:p w:rsidR="00DA550A" w:rsidRPr="008031B4" w:rsidRDefault="00DA550A" w:rsidP="00570207">
            <w:pPr>
              <w:pStyle w:val="ANCATABELLATITOLOBIANCO"/>
              <w:spacing w:after="0"/>
              <w:ind w:left="720"/>
              <w:rPr>
                <w:lang w:val="it-IT"/>
              </w:rPr>
            </w:pPr>
          </w:p>
        </w:tc>
        <w:tc>
          <w:tcPr>
            <w:tcW w:w="1605" w:type="pct"/>
            <w:shd w:val="clear" w:color="auto" w:fill="2770B7"/>
            <w:vAlign w:val="center"/>
          </w:tcPr>
          <w:p w:rsidR="00DA550A" w:rsidRPr="008031B4" w:rsidRDefault="00DA550A" w:rsidP="00570207">
            <w:pPr>
              <w:pStyle w:val="ANCATABELLATITOLOBIANCO"/>
              <w:spacing w:after="0"/>
              <w:ind w:left="0"/>
              <w:rPr>
                <w:lang w:val="it-IT"/>
              </w:rPr>
            </w:pPr>
          </w:p>
        </w:tc>
        <w:tc>
          <w:tcPr>
            <w:tcW w:w="1699" w:type="pct"/>
            <w:shd w:val="clear" w:color="auto" w:fill="2770B7"/>
            <w:vAlign w:val="center"/>
          </w:tcPr>
          <w:p w:rsidR="00DA550A" w:rsidRPr="008031B4" w:rsidRDefault="00DA550A" w:rsidP="00570207">
            <w:pPr>
              <w:pStyle w:val="ANCATABELLATITOLOBIANCO"/>
              <w:spacing w:after="0"/>
              <w:ind w:left="0"/>
              <w:rPr>
                <w:lang w:val="it-IT"/>
              </w:rPr>
            </w:pPr>
            <w:r w:rsidRPr="008031B4">
              <w:rPr>
                <w:lang w:val="it-IT"/>
              </w:rPr>
              <w:t xml:space="preserve">Il </w:t>
            </w:r>
            <w:r w:rsidR="00C770F6" w:rsidRPr="008031B4">
              <w:rPr>
                <w:lang w:val="it-IT"/>
              </w:rPr>
              <w:t>Dirigente dell’Ufficio Gare e logistica</w:t>
            </w:r>
          </w:p>
        </w:tc>
      </w:tr>
      <w:tr w:rsidR="00DA550A" w:rsidRPr="008031B4" w:rsidTr="00570207">
        <w:trPr>
          <w:trHeight w:val="117"/>
        </w:trPr>
        <w:tc>
          <w:tcPr>
            <w:tcW w:w="1696" w:type="pct"/>
            <w:shd w:val="clear" w:color="auto" w:fill="auto"/>
            <w:vAlign w:val="center"/>
          </w:tcPr>
          <w:p w:rsidR="00DA550A" w:rsidRPr="008031B4" w:rsidRDefault="00DA550A" w:rsidP="00570207">
            <w:pPr>
              <w:rPr>
                <w:i/>
              </w:rPr>
            </w:pPr>
          </w:p>
        </w:tc>
        <w:tc>
          <w:tcPr>
            <w:tcW w:w="1605" w:type="pct"/>
            <w:vAlign w:val="center"/>
          </w:tcPr>
          <w:p w:rsidR="00DA550A" w:rsidRPr="008031B4" w:rsidRDefault="00570207" w:rsidP="00570207">
            <w:pPr>
              <w:rPr>
                <w:rFonts w:ascii="Titillium" w:hAnsi="Titillium"/>
                <w:i/>
                <w:sz w:val="20"/>
                <w:szCs w:val="20"/>
              </w:rPr>
            </w:pPr>
            <w:r w:rsidRPr="008031B4">
              <w:rPr>
                <w:rFonts w:ascii="Titillium" w:hAnsi="Titillium"/>
                <w:i/>
                <w:sz w:val="20"/>
                <w:szCs w:val="20"/>
              </w:rPr>
              <w:t xml:space="preserve">      </w:t>
            </w:r>
          </w:p>
        </w:tc>
        <w:tc>
          <w:tcPr>
            <w:tcW w:w="1699" w:type="pct"/>
            <w:shd w:val="clear" w:color="auto" w:fill="auto"/>
            <w:vAlign w:val="center"/>
          </w:tcPr>
          <w:p w:rsidR="00DA550A" w:rsidRPr="008031B4" w:rsidRDefault="006D0051" w:rsidP="00570207">
            <w:pPr>
              <w:rPr>
                <w:rFonts w:ascii="Titillium" w:hAnsi="Titillium"/>
                <w:i/>
                <w:sz w:val="20"/>
                <w:szCs w:val="20"/>
              </w:rPr>
            </w:pPr>
            <w:r>
              <w:rPr>
                <w:rFonts w:ascii="Titillium" w:hAnsi="Titillium"/>
                <w:i/>
                <w:sz w:val="20"/>
                <w:szCs w:val="20"/>
              </w:rPr>
              <w:t xml:space="preserve">       </w:t>
            </w:r>
            <w:r w:rsidR="00C770F6" w:rsidRPr="008031B4">
              <w:rPr>
                <w:rFonts w:ascii="Titillium" w:hAnsi="Titillium"/>
                <w:i/>
                <w:sz w:val="20"/>
                <w:szCs w:val="20"/>
              </w:rPr>
              <w:t>Ilario Sorrentino</w:t>
            </w:r>
          </w:p>
        </w:tc>
      </w:tr>
    </w:tbl>
    <w:p w:rsidR="00570207" w:rsidRDefault="00570207" w:rsidP="00570207">
      <w:pPr>
        <w:rPr>
          <w:rFonts w:ascii="Titillium" w:hAnsi="Titillium"/>
          <w:sz w:val="20"/>
          <w:szCs w:val="20"/>
        </w:rPr>
      </w:pPr>
    </w:p>
    <w:p w:rsidR="00381B15" w:rsidRDefault="00381B15" w:rsidP="00570207">
      <w:pPr>
        <w:rPr>
          <w:rFonts w:ascii="Titillium" w:hAnsi="Titillium"/>
          <w:sz w:val="20"/>
          <w:szCs w:val="20"/>
        </w:rPr>
      </w:pPr>
    </w:p>
    <w:p w:rsidR="00381B15" w:rsidRDefault="00381B15" w:rsidP="00570207">
      <w:pPr>
        <w:rPr>
          <w:rFonts w:ascii="Titillium" w:hAnsi="Titillium"/>
          <w:sz w:val="20"/>
          <w:szCs w:val="20"/>
        </w:rPr>
      </w:pPr>
    </w:p>
    <w:p w:rsidR="00381B15" w:rsidRDefault="00381B15" w:rsidP="00570207">
      <w:pPr>
        <w:rPr>
          <w:rFonts w:ascii="Titillium" w:hAnsi="Titillium"/>
          <w:sz w:val="20"/>
          <w:szCs w:val="20"/>
        </w:rPr>
      </w:pPr>
    </w:p>
    <w:p w:rsidR="00381B15" w:rsidRDefault="00381B15" w:rsidP="00570207">
      <w:pPr>
        <w:rPr>
          <w:rFonts w:ascii="Titillium" w:hAnsi="Titillium"/>
          <w:sz w:val="20"/>
          <w:szCs w:val="20"/>
        </w:rPr>
      </w:pPr>
    </w:p>
    <w:p w:rsidR="00531B30" w:rsidRPr="008031B4" w:rsidRDefault="00531B30" w:rsidP="00570207">
      <w:pPr>
        <w:rPr>
          <w:rFonts w:ascii="Titillium" w:hAnsi="Titillium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247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3"/>
      </w:tblGrid>
      <w:tr w:rsidR="00DA550A" w:rsidRPr="008031B4" w:rsidTr="003C3AEC">
        <w:trPr>
          <w:trHeight w:val="658"/>
        </w:trPr>
        <w:tc>
          <w:tcPr>
            <w:tcW w:w="5000" w:type="pct"/>
            <w:shd w:val="clear" w:color="auto" w:fill="2770B7"/>
            <w:vAlign w:val="center"/>
          </w:tcPr>
          <w:p w:rsidR="00DA550A" w:rsidRPr="008031B4" w:rsidRDefault="00DA550A" w:rsidP="00570207">
            <w:pPr>
              <w:pStyle w:val="ANCATABELLATITOLOBIANCO"/>
              <w:tabs>
                <w:tab w:val="clear" w:pos="284"/>
                <w:tab w:val="left" w:pos="82"/>
              </w:tabs>
              <w:spacing w:after="0"/>
              <w:ind w:left="0"/>
              <w:jc w:val="center"/>
              <w:rPr>
                <w:lang w:val="it-IT"/>
              </w:rPr>
            </w:pPr>
            <w:r w:rsidRPr="008031B4">
              <w:rPr>
                <w:lang w:val="it-IT"/>
              </w:rPr>
              <w:t>Visto per la copertura finanziaria</w:t>
            </w:r>
          </w:p>
          <w:p w:rsidR="00DA550A" w:rsidRPr="008031B4" w:rsidRDefault="00DA550A" w:rsidP="00570207">
            <w:pPr>
              <w:pStyle w:val="ANCATABELLATITOLOBIANCO"/>
              <w:tabs>
                <w:tab w:val="clear" w:pos="284"/>
                <w:tab w:val="left" w:pos="82"/>
              </w:tabs>
              <w:spacing w:after="0"/>
              <w:ind w:left="0"/>
              <w:jc w:val="center"/>
              <w:rPr>
                <w:lang w:val="it-IT"/>
              </w:rPr>
            </w:pPr>
            <w:r w:rsidRPr="008031B4">
              <w:rPr>
                <w:lang w:val="it-IT"/>
              </w:rPr>
              <w:t xml:space="preserve">Il Dirigente dell’Ufficio Programmazione </w:t>
            </w:r>
          </w:p>
          <w:p w:rsidR="00DA550A" w:rsidRPr="008031B4" w:rsidRDefault="00DA550A" w:rsidP="00570207">
            <w:pPr>
              <w:pStyle w:val="ANCATABELLATITOLOBIANCO"/>
              <w:tabs>
                <w:tab w:val="clear" w:pos="284"/>
                <w:tab w:val="left" w:pos="82"/>
              </w:tabs>
              <w:spacing w:after="0"/>
              <w:ind w:left="0"/>
              <w:jc w:val="center"/>
              <w:rPr>
                <w:lang w:val="it-IT"/>
              </w:rPr>
            </w:pPr>
            <w:r w:rsidRPr="008031B4">
              <w:rPr>
                <w:lang w:val="it-IT"/>
              </w:rPr>
              <w:t>delle risorse finanziarie, bilancio e contabilità</w:t>
            </w:r>
          </w:p>
        </w:tc>
      </w:tr>
      <w:tr w:rsidR="00DA550A" w:rsidRPr="004E4908" w:rsidTr="003C3AEC">
        <w:trPr>
          <w:trHeight w:val="233"/>
        </w:trPr>
        <w:tc>
          <w:tcPr>
            <w:tcW w:w="5000" w:type="pct"/>
            <w:shd w:val="clear" w:color="auto" w:fill="auto"/>
            <w:vAlign w:val="center"/>
          </w:tcPr>
          <w:p w:rsidR="00DA550A" w:rsidRPr="004E4908" w:rsidRDefault="007C722E" w:rsidP="007C722E">
            <w:pPr>
              <w:rPr>
                <w:rFonts w:ascii="Titillium" w:hAnsi="Titillium"/>
                <w:i/>
                <w:sz w:val="18"/>
                <w:szCs w:val="18"/>
              </w:rPr>
            </w:pPr>
            <w:r w:rsidRPr="008031B4">
              <w:rPr>
                <w:rFonts w:ascii="Titillium" w:hAnsi="Titillium"/>
                <w:i/>
                <w:sz w:val="20"/>
                <w:szCs w:val="20"/>
              </w:rPr>
              <w:t xml:space="preserve">                                    </w:t>
            </w:r>
            <w:r w:rsidR="00DA550A" w:rsidRPr="008031B4">
              <w:rPr>
                <w:rFonts w:ascii="Titillium" w:hAnsi="Titillium"/>
                <w:i/>
                <w:sz w:val="20"/>
                <w:szCs w:val="20"/>
              </w:rPr>
              <w:t>Stefano Ceccarelli</w:t>
            </w:r>
          </w:p>
        </w:tc>
      </w:tr>
    </w:tbl>
    <w:p w:rsidR="00DA550A" w:rsidRDefault="00DA550A" w:rsidP="00570207">
      <w:pPr>
        <w:spacing w:line="276" w:lineRule="auto"/>
        <w:ind w:left="5664" w:firstLine="708"/>
        <w:rPr>
          <w:rFonts w:ascii="Garamond" w:hAnsi="Garamond"/>
          <w:i/>
        </w:rPr>
      </w:pPr>
    </w:p>
    <w:p w:rsidR="00DA550A" w:rsidRDefault="00DA550A" w:rsidP="00570207">
      <w:pPr>
        <w:spacing w:line="276" w:lineRule="auto"/>
        <w:ind w:left="5664" w:firstLine="708"/>
        <w:rPr>
          <w:rFonts w:ascii="Garamond" w:hAnsi="Garamond"/>
          <w:i/>
        </w:rPr>
      </w:pPr>
    </w:p>
    <w:sectPr w:rsidR="00DA550A" w:rsidSect="00D651EA">
      <w:headerReference w:type="default" r:id="rId8"/>
      <w:footerReference w:type="default" r:id="rId9"/>
      <w:pgSz w:w="11906" w:h="16838"/>
      <w:pgMar w:top="1418" w:right="1134" w:bottom="993" w:left="1134" w:header="284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83" w:rsidRDefault="006E0783">
      <w:r>
        <w:separator/>
      </w:r>
    </w:p>
  </w:endnote>
  <w:endnote w:type="continuationSeparator" w:id="0">
    <w:p w:rsidR="006E0783" w:rsidRDefault="006E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 Web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BF" w:rsidRPr="00485D4D" w:rsidRDefault="00AB62BF">
    <w:pPr>
      <w:pStyle w:val="Pidipagina"/>
      <w:jc w:val="right"/>
      <w:rPr>
        <w:rFonts w:ascii="Titillium" w:hAnsi="Titillium"/>
        <w:sz w:val="16"/>
        <w:szCs w:val="16"/>
      </w:rPr>
    </w:pPr>
    <w:r w:rsidRPr="00485D4D">
      <w:rPr>
        <w:rFonts w:ascii="Titillium" w:hAnsi="Titillium"/>
        <w:sz w:val="16"/>
        <w:szCs w:val="16"/>
      </w:rPr>
      <w:t xml:space="preserve">Pag. </w:t>
    </w:r>
    <w:sdt>
      <w:sdtPr>
        <w:rPr>
          <w:rFonts w:ascii="Titillium" w:hAnsi="Titillium"/>
          <w:sz w:val="16"/>
          <w:szCs w:val="16"/>
        </w:rPr>
        <w:id w:val="-5750778"/>
        <w:docPartObj>
          <w:docPartGallery w:val="Page Numbers (Bottom of Page)"/>
          <w:docPartUnique/>
        </w:docPartObj>
      </w:sdtPr>
      <w:sdtEndPr/>
      <w:sdtContent>
        <w:r w:rsidRPr="00485D4D">
          <w:rPr>
            <w:rFonts w:ascii="Titillium" w:hAnsi="Titillium"/>
            <w:sz w:val="16"/>
            <w:szCs w:val="16"/>
          </w:rPr>
          <w:fldChar w:fldCharType="begin"/>
        </w:r>
        <w:r w:rsidRPr="00485D4D">
          <w:rPr>
            <w:rFonts w:ascii="Titillium" w:hAnsi="Titillium"/>
            <w:sz w:val="16"/>
            <w:szCs w:val="16"/>
          </w:rPr>
          <w:instrText>PAGE   \* MERGEFORMAT</w:instrText>
        </w:r>
        <w:r w:rsidRPr="00485D4D">
          <w:rPr>
            <w:rFonts w:ascii="Titillium" w:hAnsi="Titillium"/>
            <w:sz w:val="16"/>
            <w:szCs w:val="16"/>
          </w:rPr>
          <w:fldChar w:fldCharType="separate"/>
        </w:r>
        <w:r w:rsidR="00B7025F">
          <w:rPr>
            <w:rFonts w:ascii="Titillium" w:hAnsi="Titillium"/>
            <w:noProof/>
            <w:sz w:val="16"/>
            <w:szCs w:val="16"/>
          </w:rPr>
          <w:t>2</w:t>
        </w:r>
        <w:r w:rsidRPr="00485D4D">
          <w:rPr>
            <w:rFonts w:ascii="Titillium" w:hAnsi="Titillium"/>
            <w:sz w:val="16"/>
            <w:szCs w:val="16"/>
          </w:rPr>
          <w:fldChar w:fldCharType="end"/>
        </w:r>
      </w:sdtContent>
    </w:sdt>
  </w:p>
  <w:p w:rsidR="003A446F" w:rsidRDefault="003A44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83" w:rsidRDefault="006E0783">
      <w:r>
        <w:separator/>
      </w:r>
    </w:p>
  </w:footnote>
  <w:footnote w:type="continuationSeparator" w:id="0">
    <w:p w:rsidR="006E0783" w:rsidRDefault="006E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EE6" w:rsidRPr="0012576B" w:rsidRDefault="00D651EA" w:rsidP="009A6162">
    <w:pPr>
      <w:tabs>
        <w:tab w:val="center" w:pos="4678"/>
      </w:tabs>
      <w:spacing w:before="120"/>
      <w:ind w:right="284"/>
      <w:jc w:val="center"/>
      <w:rPr>
        <w:i/>
        <w:color w:val="1F497D"/>
        <w:sz w:val="20"/>
        <w:szCs w:val="20"/>
      </w:rPr>
    </w:pPr>
    <w:r w:rsidRPr="00812E18">
      <w:rPr>
        <w:noProof/>
      </w:rPr>
      <w:drawing>
        <wp:anchor distT="0" distB="0" distL="114300" distR="114300" simplePos="0" relativeHeight="251659264" behindDoc="0" locked="0" layoutInCell="1" allowOverlap="1" wp14:anchorId="0FF36ACC" wp14:editId="0854DB98">
          <wp:simplePos x="0" y="0"/>
          <wp:positionH relativeFrom="margin">
            <wp:posOffset>-111760</wp:posOffset>
          </wp:positionH>
          <wp:positionV relativeFrom="margin">
            <wp:posOffset>-520065</wp:posOffset>
          </wp:positionV>
          <wp:extent cx="2879725" cy="341630"/>
          <wp:effectExtent l="0" t="0" r="0" b="127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76D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8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255E08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1A3467"/>
    <w:multiLevelType w:val="hybridMultilevel"/>
    <w:tmpl w:val="D6CCF7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73E4"/>
    <w:multiLevelType w:val="hybridMultilevel"/>
    <w:tmpl w:val="0428C0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7300A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AA64E3"/>
    <w:multiLevelType w:val="hybridMultilevel"/>
    <w:tmpl w:val="3020C0E0"/>
    <w:lvl w:ilvl="0" w:tplc="6DACF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B6B65"/>
    <w:multiLevelType w:val="hybridMultilevel"/>
    <w:tmpl w:val="AE207DE2"/>
    <w:lvl w:ilvl="0" w:tplc="D662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B2E43"/>
    <w:multiLevelType w:val="hybridMultilevel"/>
    <w:tmpl w:val="64A6D25E"/>
    <w:lvl w:ilvl="0" w:tplc="E0F4AA7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E532467A">
      <w:numFmt w:val="bullet"/>
      <w:lvlText w:val=""/>
      <w:lvlJc w:val="left"/>
      <w:pPr>
        <w:ind w:left="2007" w:hanging="360"/>
      </w:pPr>
      <w:rPr>
        <w:rFonts w:ascii="Symbol" w:eastAsiaTheme="minorHAnsi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7F"/>
    <w:rsid w:val="00005679"/>
    <w:rsid w:val="0001478E"/>
    <w:rsid w:val="00027E87"/>
    <w:rsid w:val="00075C20"/>
    <w:rsid w:val="000A1CCC"/>
    <w:rsid w:val="000C4B00"/>
    <w:rsid w:val="0010664A"/>
    <w:rsid w:val="00114C4C"/>
    <w:rsid w:val="0011731E"/>
    <w:rsid w:val="00127A81"/>
    <w:rsid w:val="00135F2E"/>
    <w:rsid w:val="00160522"/>
    <w:rsid w:val="00175D4E"/>
    <w:rsid w:val="001833D2"/>
    <w:rsid w:val="00190808"/>
    <w:rsid w:val="001A2E3E"/>
    <w:rsid w:val="001B574D"/>
    <w:rsid w:val="001C3FA7"/>
    <w:rsid w:val="001C466C"/>
    <w:rsid w:val="001D1EE5"/>
    <w:rsid w:val="001E4706"/>
    <w:rsid w:val="001F09E8"/>
    <w:rsid w:val="001F513E"/>
    <w:rsid w:val="00227F61"/>
    <w:rsid w:val="00230E11"/>
    <w:rsid w:val="00242E26"/>
    <w:rsid w:val="00244674"/>
    <w:rsid w:val="0024510C"/>
    <w:rsid w:val="00247AB2"/>
    <w:rsid w:val="002571ED"/>
    <w:rsid w:val="00267832"/>
    <w:rsid w:val="002751E9"/>
    <w:rsid w:val="00292591"/>
    <w:rsid w:val="002A2864"/>
    <w:rsid w:val="002C4276"/>
    <w:rsid w:val="002D62A6"/>
    <w:rsid w:val="00301E86"/>
    <w:rsid w:val="00302DE1"/>
    <w:rsid w:val="00310F9B"/>
    <w:rsid w:val="00317AEE"/>
    <w:rsid w:val="00351851"/>
    <w:rsid w:val="00356F6E"/>
    <w:rsid w:val="00360A38"/>
    <w:rsid w:val="0037403A"/>
    <w:rsid w:val="00381B15"/>
    <w:rsid w:val="00383DFD"/>
    <w:rsid w:val="003A446F"/>
    <w:rsid w:val="003A7725"/>
    <w:rsid w:val="003B09C0"/>
    <w:rsid w:val="003B6D56"/>
    <w:rsid w:val="003B7756"/>
    <w:rsid w:val="003C423E"/>
    <w:rsid w:val="003C53D9"/>
    <w:rsid w:val="003D1A74"/>
    <w:rsid w:val="003E52ED"/>
    <w:rsid w:val="00417722"/>
    <w:rsid w:val="004219F2"/>
    <w:rsid w:val="00450CFC"/>
    <w:rsid w:val="00485D4D"/>
    <w:rsid w:val="00504D4B"/>
    <w:rsid w:val="0052646B"/>
    <w:rsid w:val="0053090E"/>
    <w:rsid w:val="00531B30"/>
    <w:rsid w:val="005368B4"/>
    <w:rsid w:val="00546E80"/>
    <w:rsid w:val="00564B66"/>
    <w:rsid w:val="0056782A"/>
    <w:rsid w:val="00570207"/>
    <w:rsid w:val="00575246"/>
    <w:rsid w:val="005817E0"/>
    <w:rsid w:val="005C7822"/>
    <w:rsid w:val="005D6FFD"/>
    <w:rsid w:val="005F5963"/>
    <w:rsid w:val="00600C6C"/>
    <w:rsid w:val="00617DAB"/>
    <w:rsid w:val="00637842"/>
    <w:rsid w:val="00676EF3"/>
    <w:rsid w:val="006A3F11"/>
    <w:rsid w:val="006B55BF"/>
    <w:rsid w:val="006D0051"/>
    <w:rsid w:val="006D64E8"/>
    <w:rsid w:val="006E0783"/>
    <w:rsid w:val="00713014"/>
    <w:rsid w:val="00721312"/>
    <w:rsid w:val="00721AFB"/>
    <w:rsid w:val="0072520B"/>
    <w:rsid w:val="007330C5"/>
    <w:rsid w:val="00753616"/>
    <w:rsid w:val="007546E7"/>
    <w:rsid w:val="0075767F"/>
    <w:rsid w:val="00762FF3"/>
    <w:rsid w:val="007648CF"/>
    <w:rsid w:val="007A2D21"/>
    <w:rsid w:val="007C4F60"/>
    <w:rsid w:val="007C722E"/>
    <w:rsid w:val="007D15C4"/>
    <w:rsid w:val="007D726E"/>
    <w:rsid w:val="007E5A4E"/>
    <w:rsid w:val="007F7E05"/>
    <w:rsid w:val="008031B4"/>
    <w:rsid w:val="0083089C"/>
    <w:rsid w:val="00837E58"/>
    <w:rsid w:val="00852815"/>
    <w:rsid w:val="008736B2"/>
    <w:rsid w:val="0087432A"/>
    <w:rsid w:val="00877254"/>
    <w:rsid w:val="00877846"/>
    <w:rsid w:val="00887F83"/>
    <w:rsid w:val="008B4DB6"/>
    <w:rsid w:val="008C5C31"/>
    <w:rsid w:val="008D32E1"/>
    <w:rsid w:val="008D7A38"/>
    <w:rsid w:val="008E5E21"/>
    <w:rsid w:val="008F4263"/>
    <w:rsid w:val="009060DE"/>
    <w:rsid w:val="00917076"/>
    <w:rsid w:val="009265BF"/>
    <w:rsid w:val="009415F7"/>
    <w:rsid w:val="00946B87"/>
    <w:rsid w:val="00950EE1"/>
    <w:rsid w:val="00961103"/>
    <w:rsid w:val="009745E7"/>
    <w:rsid w:val="009937DC"/>
    <w:rsid w:val="00993D37"/>
    <w:rsid w:val="009A11D9"/>
    <w:rsid w:val="009B06A1"/>
    <w:rsid w:val="009B0926"/>
    <w:rsid w:val="009B7DE6"/>
    <w:rsid w:val="009E6F77"/>
    <w:rsid w:val="009E746A"/>
    <w:rsid w:val="00A02BA0"/>
    <w:rsid w:val="00A03928"/>
    <w:rsid w:val="00A10371"/>
    <w:rsid w:val="00A1785A"/>
    <w:rsid w:val="00A2590F"/>
    <w:rsid w:val="00A318D6"/>
    <w:rsid w:val="00A325BF"/>
    <w:rsid w:val="00A563BB"/>
    <w:rsid w:val="00A65734"/>
    <w:rsid w:val="00A74FE2"/>
    <w:rsid w:val="00A754EB"/>
    <w:rsid w:val="00A75992"/>
    <w:rsid w:val="00A77226"/>
    <w:rsid w:val="00A86EDC"/>
    <w:rsid w:val="00A93C7A"/>
    <w:rsid w:val="00AA591F"/>
    <w:rsid w:val="00AA6E3E"/>
    <w:rsid w:val="00AB62BF"/>
    <w:rsid w:val="00AC6AB4"/>
    <w:rsid w:val="00AC6E03"/>
    <w:rsid w:val="00AD7223"/>
    <w:rsid w:val="00AD7D3F"/>
    <w:rsid w:val="00B04A07"/>
    <w:rsid w:val="00B31A25"/>
    <w:rsid w:val="00B34779"/>
    <w:rsid w:val="00B35D68"/>
    <w:rsid w:val="00B579A2"/>
    <w:rsid w:val="00B66B33"/>
    <w:rsid w:val="00B7025F"/>
    <w:rsid w:val="00B74FF9"/>
    <w:rsid w:val="00B77FE3"/>
    <w:rsid w:val="00B9299E"/>
    <w:rsid w:val="00B944C1"/>
    <w:rsid w:val="00BD021A"/>
    <w:rsid w:val="00BE70AF"/>
    <w:rsid w:val="00C11028"/>
    <w:rsid w:val="00C20DA0"/>
    <w:rsid w:val="00C2425F"/>
    <w:rsid w:val="00C2597F"/>
    <w:rsid w:val="00C50676"/>
    <w:rsid w:val="00C56DB3"/>
    <w:rsid w:val="00C770F6"/>
    <w:rsid w:val="00C81CB5"/>
    <w:rsid w:val="00CB662A"/>
    <w:rsid w:val="00CD7A70"/>
    <w:rsid w:val="00CE447D"/>
    <w:rsid w:val="00CF4B1E"/>
    <w:rsid w:val="00D0550D"/>
    <w:rsid w:val="00D15A98"/>
    <w:rsid w:val="00D23673"/>
    <w:rsid w:val="00D64BD2"/>
    <w:rsid w:val="00D64E56"/>
    <w:rsid w:val="00D651EA"/>
    <w:rsid w:val="00DA550A"/>
    <w:rsid w:val="00DB1768"/>
    <w:rsid w:val="00DC56C0"/>
    <w:rsid w:val="00DE03B6"/>
    <w:rsid w:val="00DE1AF3"/>
    <w:rsid w:val="00DF0701"/>
    <w:rsid w:val="00DF2AEB"/>
    <w:rsid w:val="00DF7C09"/>
    <w:rsid w:val="00E17EC3"/>
    <w:rsid w:val="00E57115"/>
    <w:rsid w:val="00E63EE0"/>
    <w:rsid w:val="00E80F80"/>
    <w:rsid w:val="00E94323"/>
    <w:rsid w:val="00EA2D35"/>
    <w:rsid w:val="00EA3565"/>
    <w:rsid w:val="00EB33DB"/>
    <w:rsid w:val="00ED1901"/>
    <w:rsid w:val="00ED7169"/>
    <w:rsid w:val="00EE0027"/>
    <w:rsid w:val="00EE0543"/>
    <w:rsid w:val="00F107DE"/>
    <w:rsid w:val="00F20CB0"/>
    <w:rsid w:val="00F22986"/>
    <w:rsid w:val="00F27FAF"/>
    <w:rsid w:val="00F3506B"/>
    <w:rsid w:val="00F4489A"/>
    <w:rsid w:val="00F46C8F"/>
    <w:rsid w:val="00F5346F"/>
    <w:rsid w:val="00F63A6E"/>
    <w:rsid w:val="00F85ACA"/>
    <w:rsid w:val="00F87066"/>
    <w:rsid w:val="00FB3281"/>
    <w:rsid w:val="00FB7ADA"/>
    <w:rsid w:val="00FC6854"/>
    <w:rsid w:val="00FE048D"/>
    <w:rsid w:val="00FE361A"/>
    <w:rsid w:val="00FF2426"/>
    <w:rsid w:val="00FF69F7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BF9683"/>
  <w15:docId w15:val="{7BEFB838-27FD-4872-9A73-3C3E089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736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5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F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5F2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5F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135F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F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F2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7A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A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736B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36B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4D4B"/>
    <w:rPr>
      <w:color w:val="800080" w:themeColor="followedHyperlink"/>
      <w:u w:val="single"/>
    </w:rPr>
  </w:style>
  <w:style w:type="paragraph" w:customStyle="1" w:styleId="Default">
    <w:name w:val="Default"/>
    <w:rsid w:val="001F0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NAC-TitoloParagrafo">
    <w:name w:val="ANAC - Titolo Paragrafo"/>
    <w:basedOn w:val="Normale"/>
    <w:link w:val="ANAC-TitoloParagrafoCarattere"/>
    <w:qFormat/>
    <w:rsid w:val="00D651EA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/>
      <w:ind w:left="1560" w:right="142"/>
      <w:outlineLvl w:val="4"/>
    </w:pPr>
    <w:rPr>
      <w:rFonts w:ascii="Gotham Light" w:eastAsiaTheme="majorEastAsia" w:hAnsi="Gotham Light" w:cstheme="majorBidi"/>
      <w:color w:val="2770B7"/>
      <w:sz w:val="28"/>
      <w:lang w:eastAsia="en-US"/>
    </w:rPr>
  </w:style>
  <w:style w:type="character" w:customStyle="1" w:styleId="ANAC-TitoloParagrafoCarattere">
    <w:name w:val="ANAC - Titolo Paragrafo Carattere"/>
    <w:basedOn w:val="Carpredefinitoparagrafo"/>
    <w:link w:val="ANAC-TitoloParagrafo"/>
    <w:rsid w:val="00D651EA"/>
    <w:rPr>
      <w:rFonts w:ascii="Gotham Light" w:eastAsiaTheme="majorEastAsia" w:hAnsi="Gotham Light" w:cstheme="majorBidi"/>
      <w:color w:val="2770B7"/>
      <w:sz w:val="28"/>
      <w:szCs w:val="24"/>
    </w:rPr>
  </w:style>
  <w:style w:type="paragraph" w:customStyle="1" w:styleId="ANCATABELLATITOLOBIANCO">
    <w:name w:val="ANCA_TABELLA_TITOLO BIANCO"/>
    <w:basedOn w:val="Normale"/>
    <w:qFormat/>
    <w:rsid w:val="00DA550A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Gotham Book" w:eastAsiaTheme="minorHAnsi" w:hAnsi="Gotham Book" w:cs="Titillium Web"/>
      <w:color w:val="FFFFFF" w:themeColor="background1"/>
      <w:sz w:val="20"/>
      <w:szCs w:val="20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96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073">
              <w:marLeft w:val="0"/>
              <w:marRight w:val="0"/>
              <w:marTop w:val="270"/>
              <w:marBottom w:val="180"/>
              <w:divBdr>
                <w:top w:val="double" w:sz="2" w:space="0" w:color="B3A3A3"/>
                <w:left w:val="double" w:sz="2" w:space="6" w:color="B3A3A3"/>
                <w:bottom w:val="double" w:sz="2" w:space="6" w:color="B3A3A3"/>
                <w:right w:val="double" w:sz="2" w:space="6" w:color="B3A3A3"/>
              </w:divBdr>
            </w:div>
          </w:divsChild>
        </w:div>
      </w:divsChild>
    </w:div>
    <w:div w:id="836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3815">
              <w:marLeft w:val="0"/>
              <w:marRight w:val="0"/>
              <w:marTop w:val="270"/>
              <w:marBottom w:val="180"/>
              <w:divBdr>
                <w:top w:val="double" w:sz="2" w:space="0" w:color="B3A3A3"/>
                <w:left w:val="double" w:sz="2" w:space="6" w:color="B3A3A3"/>
                <w:bottom w:val="double" w:sz="2" w:space="6" w:color="B3A3A3"/>
                <w:right w:val="double" w:sz="2" w:space="6" w:color="B3A3A3"/>
              </w:divBdr>
            </w:div>
          </w:divsChild>
        </w:div>
      </w:divsChild>
    </w:div>
    <w:div w:id="1762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897DC-391B-4662-8F7A-E9803C63C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6E76A-C32D-4A84-94FA-69618F4BD9A5}"/>
</file>

<file path=customXml/itemProps3.xml><?xml version="1.0" encoding="utf-8"?>
<ds:datastoreItem xmlns:ds="http://schemas.openxmlformats.org/officeDocument/2006/customXml" ds:itemID="{813440E0-39EA-48C9-8D3C-BC5F648A801B}"/>
</file>

<file path=customXml/itemProps4.xml><?xml version="1.0" encoding="utf-8"?>
<ds:datastoreItem xmlns:ds="http://schemas.openxmlformats.org/officeDocument/2006/customXml" ds:itemID="{C0038990-CA13-46F9-9D0E-B2FD2C5F9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Lorenzetti Maria Luisa</dc:creator>
  <cp:lastModifiedBy>Pallotta Luca</cp:lastModifiedBy>
  <cp:revision>3</cp:revision>
  <cp:lastPrinted>2023-01-24T08:53:00Z</cp:lastPrinted>
  <dcterms:created xsi:type="dcterms:W3CDTF">2023-01-24T08:52:00Z</dcterms:created>
  <dcterms:modified xsi:type="dcterms:W3CDTF">2023-01-24T08:54:00Z</dcterms:modified>
</cp:coreProperties>
</file>