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B15" w:rsidRDefault="00381B15" w:rsidP="00570207">
      <w:pPr>
        <w:pStyle w:val="ANAC-TitoloParagrafo"/>
        <w:tabs>
          <w:tab w:val="clear" w:pos="284"/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clear" w:pos="6265"/>
          <w:tab w:val="clear" w:pos="10348"/>
        </w:tabs>
        <w:spacing w:before="0"/>
        <w:ind w:left="0"/>
        <w:jc w:val="center"/>
      </w:pPr>
    </w:p>
    <w:p w:rsidR="00D64E56" w:rsidRPr="00242E26" w:rsidRDefault="00D651EA" w:rsidP="00570207">
      <w:pPr>
        <w:pStyle w:val="ANAC-TitoloParagrafo"/>
        <w:tabs>
          <w:tab w:val="clear" w:pos="284"/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clear" w:pos="6265"/>
          <w:tab w:val="clear" w:pos="10348"/>
        </w:tabs>
        <w:spacing w:before="0"/>
        <w:ind w:left="0"/>
        <w:jc w:val="center"/>
      </w:pPr>
      <w:r w:rsidRPr="00242E26">
        <w:t>DETERMINA A CONTRARRE</w:t>
      </w:r>
    </w:p>
    <w:p w:rsidR="00570207" w:rsidRPr="00242E26" w:rsidRDefault="00570207" w:rsidP="00570207">
      <w:pPr>
        <w:pStyle w:val="ANAC-TitoloParagrafo"/>
        <w:tabs>
          <w:tab w:val="clear" w:pos="284"/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clear" w:pos="6265"/>
          <w:tab w:val="clear" w:pos="10348"/>
        </w:tabs>
        <w:spacing w:before="0"/>
        <w:ind w:left="0"/>
        <w:jc w:val="center"/>
        <w:rPr>
          <w:sz w:val="16"/>
          <w:szCs w:val="16"/>
        </w:rPr>
      </w:pPr>
    </w:p>
    <w:p w:rsidR="00381B15" w:rsidRDefault="00381B15" w:rsidP="0011731E">
      <w:pPr>
        <w:jc w:val="both"/>
        <w:rPr>
          <w:rFonts w:ascii="Titillium" w:hAnsi="Titillium"/>
          <w:b/>
          <w:sz w:val="18"/>
          <w:szCs w:val="18"/>
        </w:rPr>
      </w:pPr>
    </w:p>
    <w:p w:rsidR="00852815" w:rsidRPr="00042766" w:rsidRDefault="00852815" w:rsidP="0011731E">
      <w:pPr>
        <w:jc w:val="both"/>
        <w:rPr>
          <w:rFonts w:ascii="Titillium" w:hAnsi="Titillium"/>
          <w:b/>
          <w:sz w:val="18"/>
          <w:szCs w:val="18"/>
        </w:rPr>
      </w:pPr>
      <w:r w:rsidRPr="00042766">
        <w:rPr>
          <w:rFonts w:ascii="Titillium" w:hAnsi="Titillium"/>
          <w:b/>
          <w:sz w:val="18"/>
          <w:szCs w:val="18"/>
        </w:rPr>
        <w:t xml:space="preserve">VISTO </w:t>
      </w:r>
      <w:r w:rsidRPr="00042766">
        <w:rPr>
          <w:rFonts w:ascii="Titillium" w:hAnsi="Titillium"/>
          <w:sz w:val="18"/>
          <w:szCs w:val="18"/>
        </w:rPr>
        <w:t>il decreto legislativo 18.04.2016, n. 50, ed in particolare il comma 2 dell’art. 32, il quale prevede che, prima dell’avvio delle procedure di affidamento dei contratti pubblici, le stazioni appaltanti, in conformità ai propri ordinamenti, decretino o determinino di contrarre, individuando gli elementi essenziali del contratto e i criteri di selezione degli operatori economici e delle offerte;</w:t>
      </w:r>
    </w:p>
    <w:p w:rsidR="0011731E" w:rsidRPr="00042766" w:rsidRDefault="0011731E" w:rsidP="0011731E">
      <w:pPr>
        <w:jc w:val="both"/>
        <w:rPr>
          <w:rFonts w:ascii="Titillium" w:hAnsi="Titillium"/>
          <w:b/>
          <w:bCs/>
          <w:sz w:val="18"/>
          <w:szCs w:val="18"/>
          <w:highlight w:val="yellow"/>
        </w:rPr>
      </w:pPr>
    </w:p>
    <w:p w:rsidR="0011731E" w:rsidRPr="00042766" w:rsidRDefault="00042766" w:rsidP="0011731E">
      <w:pPr>
        <w:jc w:val="both"/>
        <w:rPr>
          <w:rFonts w:ascii="Titillium" w:hAnsi="Titillium"/>
          <w:bCs/>
          <w:sz w:val="18"/>
          <w:szCs w:val="18"/>
        </w:rPr>
      </w:pPr>
      <w:r w:rsidRPr="00042766">
        <w:rPr>
          <w:rFonts w:ascii="Titillium" w:hAnsi="Titillium"/>
          <w:b/>
          <w:bCs/>
          <w:sz w:val="18"/>
          <w:szCs w:val="18"/>
        </w:rPr>
        <w:t>VISTO</w:t>
      </w:r>
      <w:r w:rsidRPr="00042766">
        <w:rPr>
          <w:rFonts w:ascii="Titillium" w:hAnsi="Titillium"/>
          <w:bCs/>
          <w:sz w:val="18"/>
          <w:szCs w:val="18"/>
        </w:rPr>
        <w:t xml:space="preserve"> il Regolamento per la disciplina dei contratti pubblici di servizi e forniture stipulati dall’Autorità approvato con Delibera n. 538 del 7.7.2021 del Consiglio dell’Autorità e pubblicato in data 21.7.2021;</w:t>
      </w:r>
    </w:p>
    <w:p w:rsidR="00042766" w:rsidRPr="00042766" w:rsidRDefault="00042766" w:rsidP="0011731E">
      <w:pPr>
        <w:jc w:val="both"/>
        <w:rPr>
          <w:rFonts w:ascii="Titillium" w:hAnsi="Titillium"/>
          <w:bCs/>
          <w:sz w:val="18"/>
          <w:szCs w:val="18"/>
        </w:rPr>
      </w:pPr>
    </w:p>
    <w:p w:rsidR="0011731E" w:rsidRDefault="00A325BF" w:rsidP="0011731E">
      <w:pPr>
        <w:jc w:val="both"/>
        <w:rPr>
          <w:rFonts w:ascii="Titillium" w:hAnsi="Titillium"/>
          <w:bCs/>
          <w:sz w:val="18"/>
          <w:szCs w:val="18"/>
        </w:rPr>
      </w:pPr>
      <w:r w:rsidRPr="00042766">
        <w:rPr>
          <w:rFonts w:ascii="Titillium" w:hAnsi="Titillium"/>
          <w:b/>
          <w:bCs/>
          <w:sz w:val="18"/>
          <w:szCs w:val="18"/>
        </w:rPr>
        <w:t xml:space="preserve">VISTO </w:t>
      </w:r>
      <w:r w:rsidRPr="00042766">
        <w:rPr>
          <w:rFonts w:ascii="Titillium" w:hAnsi="Titillium"/>
          <w:bCs/>
          <w:sz w:val="18"/>
          <w:szCs w:val="18"/>
        </w:rPr>
        <w:t>il Regolamento concernente la disciplina contabile dell’Autorità Nazionale Anticorruzione approvato dal Consiglio dell’Autorità nella seduta del 7 luglio 2021 ed entrato in vigore il 1° gennaio 2022;</w:t>
      </w:r>
    </w:p>
    <w:p w:rsidR="00042766" w:rsidRDefault="00042766" w:rsidP="0011731E">
      <w:pPr>
        <w:jc w:val="both"/>
        <w:rPr>
          <w:rFonts w:ascii="Titillium" w:hAnsi="Titillium"/>
          <w:bCs/>
          <w:sz w:val="18"/>
          <w:szCs w:val="18"/>
        </w:rPr>
      </w:pPr>
    </w:p>
    <w:p w:rsidR="00042766" w:rsidRDefault="00042766" w:rsidP="0011731E">
      <w:pPr>
        <w:jc w:val="both"/>
        <w:rPr>
          <w:rFonts w:ascii="Titillium" w:hAnsi="Titillium"/>
          <w:bCs/>
          <w:sz w:val="18"/>
          <w:szCs w:val="18"/>
        </w:rPr>
      </w:pPr>
      <w:r w:rsidRPr="00042766">
        <w:rPr>
          <w:rFonts w:ascii="Titillium" w:hAnsi="Titillium"/>
          <w:b/>
          <w:bCs/>
          <w:sz w:val="18"/>
          <w:szCs w:val="18"/>
        </w:rPr>
        <w:t xml:space="preserve">VISTA </w:t>
      </w:r>
      <w:r w:rsidRPr="00042766">
        <w:rPr>
          <w:rFonts w:ascii="Titillium" w:hAnsi="Titillium"/>
          <w:bCs/>
          <w:sz w:val="18"/>
          <w:szCs w:val="18"/>
        </w:rPr>
        <w:t>la legge 28.12.2015, n. 208 (legge di stabilità 2016) e, in particolare, l’art. 1, comma 512;</w:t>
      </w:r>
    </w:p>
    <w:p w:rsidR="00042766" w:rsidRDefault="00042766" w:rsidP="0011731E">
      <w:pPr>
        <w:jc w:val="both"/>
        <w:rPr>
          <w:rFonts w:ascii="Titillium" w:hAnsi="Titillium"/>
          <w:bCs/>
          <w:sz w:val="18"/>
          <w:szCs w:val="18"/>
        </w:rPr>
      </w:pPr>
    </w:p>
    <w:p w:rsidR="00A52189" w:rsidRDefault="00042766" w:rsidP="0011731E">
      <w:pPr>
        <w:jc w:val="both"/>
        <w:rPr>
          <w:rFonts w:ascii="Titillium" w:hAnsi="Titillium"/>
          <w:bCs/>
          <w:sz w:val="18"/>
          <w:szCs w:val="18"/>
        </w:rPr>
      </w:pPr>
      <w:r w:rsidRPr="00042766">
        <w:rPr>
          <w:rFonts w:ascii="Titillium" w:hAnsi="Titillium"/>
          <w:b/>
          <w:bCs/>
          <w:sz w:val="18"/>
          <w:szCs w:val="18"/>
        </w:rPr>
        <w:t>CONSIDERATO</w:t>
      </w:r>
      <w:r w:rsidRPr="00042766">
        <w:rPr>
          <w:rFonts w:ascii="Titillium" w:hAnsi="Titillium"/>
          <w:bCs/>
          <w:sz w:val="18"/>
          <w:szCs w:val="18"/>
        </w:rPr>
        <w:t xml:space="preserve"> che in data </w:t>
      </w:r>
      <w:r>
        <w:rPr>
          <w:rFonts w:ascii="Titillium" w:hAnsi="Titillium"/>
          <w:bCs/>
          <w:sz w:val="18"/>
          <w:szCs w:val="18"/>
        </w:rPr>
        <w:t>17</w:t>
      </w:r>
      <w:r w:rsidRPr="00042766">
        <w:rPr>
          <w:rFonts w:ascii="Titillium" w:hAnsi="Titillium"/>
          <w:bCs/>
          <w:sz w:val="18"/>
          <w:szCs w:val="18"/>
        </w:rPr>
        <w:t>.</w:t>
      </w:r>
      <w:r>
        <w:rPr>
          <w:rFonts w:ascii="Titillium" w:hAnsi="Titillium"/>
          <w:bCs/>
          <w:sz w:val="18"/>
          <w:szCs w:val="18"/>
        </w:rPr>
        <w:t>7</w:t>
      </w:r>
      <w:r w:rsidRPr="00042766">
        <w:rPr>
          <w:rFonts w:ascii="Titillium" w:hAnsi="Titillium"/>
          <w:bCs/>
          <w:sz w:val="18"/>
          <w:szCs w:val="18"/>
        </w:rPr>
        <w:t>.20</w:t>
      </w:r>
      <w:r>
        <w:rPr>
          <w:rFonts w:ascii="Titillium" w:hAnsi="Titillium"/>
          <w:bCs/>
          <w:sz w:val="18"/>
          <w:szCs w:val="18"/>
        </w:rPr>
        <w:t>23</w:t>
      </w:r>
      <w:r w:rsidRPr="00042766">
        <w:rPr>
          <w:rFonts w:ascii="Titillium" w:hAnsi="Titillium"/>
          <w:bCs/>
          <w:sz w:val="18"/>
          <w:szCs w:val="18"/>
        </w:rPr>
        <w:t xml:space="preserve"> scadrà il contratto </w:t>
      </w:r>
      <w:r>
        <w:rPr>
          <w:rFonts w:ascii="Titillium" w:hAnsi="Titillium"/>
          <w:bCs/>
          <w:sz w:val="18"/>
          <w:szCs w:val="18"/>
        </w:rPr>
        <w:t>quinquennale</w:t>
      </w:r>
      <w:r w:rsidRPr="00042766">
        <w:rPr>
          <w:rFonts w:ascii="Titillium" w:hAnsi="Titillium"/>
          <w:bCs/>
          <w:sz w:val="18"/>
          <w:szCs w:val="18"/>
        </w:rPr>
        <w:t xml:space="preserve"> di noleggio di n. </w:t>
      </w:r>
      <w:r>
        <w:rPr>
          <w:rFonts w:ascii="Titillium" w:hAnsi="Titillium"/>
          <w:bCs/>
          <w:sz w:val="18"/>
          <w:szCs w:val="18"/>
        </w:rPr>
        <w:t>12</w:t>
      </w:r>
      <w:r w:rsidRPr="00042766">
        <w:rPr>
          <w:rFonts w:ascii="Titillium" w:hAnsi="Titillium"/>
          <w:bCs/>
          <w:sz w:val="18"/>
          <w:szCs w:val="18"/>
        </w:rPr>
        <w:t xml:space="preserve"> </w:t>
      </w:r>
      <w:r w:rsidRPr="00C5693A">
        <w:rPr>
          <w:rFonts w:ascii="Titillium" w:hAnsi="Titillium"/>
          <w:bCs/>
          <w:sz w:val="18"/>
          <w:szCs w:val="18"/>
        </w:rPr>
        <w:t xml:space="preserve">fotocopiatrici multifunzione </w:t>
      </w:r>
      <w:r w:rsidR="00A52189">
        <w:rPr>
          <w:rFonts w:ascii="Titillium" w:hAnsi="Titillium"/>
          <w:bCs/>
          <w:sz w:val="18"/>
          <w:szCs w:val="18"/>
        </w:rPr>
        <w:t xml:space="preserve">A3 monocromatiche Olivetti </w:t>
      </w:r>
      <w:r w:rsidR="00A52189" w:rsidRPr="00B575B2">
        <w:rPr>
          <w:rFonts w:ascii="Titillium" w:hAnsi="Titillium"/>
          <w:bCs/>
          <w:sz w:val="18"/>
          <w:szCs w:val="18"/>
        </w:rPr>
        <w:t>d-Copia 5000 MF</w:t>
      </w:r>
      <w:r w:rsidR="00A52189">
        <w:rPr>
          <w:rFonts w:ascii="Titillium" w:hAnsi="Titillium"/>
          <w:bCs/>
          <w:sz w:val="18"/>
          <w:szCs w:val="18"/>
        </w:rPr>
        <w:t xml:space="preserve">, </w:t>
      </w:r>
      <w:r w:rsidRPr="00C5693A">
        <w:rPr>
          <w:rFonts w:ascii="Titillium" w:hAnsi="Titillium"/>
          <w:bCs/>
          <w:sz w:val="18"/>
          <w:szCs w:val="18"/>
        </w:rPr>
        <w:t xml:space="preserve">in adesione alla convenzione </w:t>
      </w:r>
      <w:r w:rsidR="00A52189">
        <w:rPr>
          <w:rFonts w:ascii="Titillium" w:hAnsi="Titillium"/>
          <w:bCs/>
          <w:sz w:val="18"/>
          <w:szCs w:val="18"/>
        </w:rPr>
        <w:t xml:space="preserve">“Apparecchiature multifunzione 28”; </w:t>
      </w:r>
    </w:p>
    <w:p w:rsidR="00B575B2" w:rsidRDefault="00B575B2" w:rsidP="0011731E">
      <w:pPr>
        <w:jc w:val="both"/>
        <w:rPr>
          <w:rFonts w:ascii="Titillium" w:hAnsi="Titillium"/>
          <w:bCs/>
          <w:sz w:val="18"/>
          <w:szCs w:val="18"/>
        </w:rPr>
      </w:pPr>
    </w:p>
    <w:p w:rsidR="00B575B2" w:rsidRPr="0041524E" w:rsidRDefault="00B575B2" w:rsidP="0011731E">
      <w:pPr>
        <w:jc w:val="both"/>
        <w:rPr>
          <w:rFonts w:ascii="Titillium" w:hAnsi="Titillium"/>
          <w:bCs/>
          <w:sz w:val="18"/>
          <w:szCs w:val="18"/>
        </w:rPr>
      </w:pPr>
      <w:r w:rsidRPr="0041524E">
        <w:rPr>
          <w:rFonts w:ascii="Titillium" w:hAnsi="Titillium"/>
          <w:b/>
          <w:bCs/>
          <w:sz w:val="18"/>
          <w:szCs w:val="18"/>
        </w:rPr>
        <w:t xml:space="preserve">TENUTO CONTO </w:t>
      </w:r>
      <w:r w:rsidRPr="0041524E">
        <w:rPr>
          <w:rFonts w:ascii="Titillium" w:hAnsi="Titillium"/>
          <w:bCs/>
          <w:sz w:val="18"/>
          <w:szCs w:val="18"/>
        </w:rPr>
        <w:t xml:space="preserve">che è attualmente attiva la convenzione </w:t>
      </w:r>
      <w:proofErr w:type="spellStart"/>
      <w:r w:rsidRPr="0041524E">
        <w:rPr>
          <w:rFonts w:ascii="Titillium" w:hAnsi="Titillium"/>
          <w:bCs/>
          <w:sz w:val="18"/>
          <w:szCs w:val="18"/>
        </w:rPr>
        <w:t>Consip</w:t>
      </w:r>
      <w:proofErr w:type="spellEnd"/>
      <w:r w:rsidRPr="0041524E">
        <w:rPr>
          <w:rFonts w:ascii="Titillium" w:hAnsi="Titillium"/>
          <w:bCs/>
          <w:sz w:val="18"/>
          <w:szCs w:val="18"/>
        </w:rPr>
        <w:t xml:space="preserve"> “Apparecchiature multifunzione in noleggio 2”, la quale al lotto 3</w:t>
      </w:r>
      <w:r w:rsidR="00D112CC">
        <w:rPr>
          <w:rFonts w:ascii="Titillium" w:hAnsi="Titillium"/>
          <w:bCs/>
          <w:sz w:val="18"/>
          <w:szCs w:val="18"/>
        </w:rPr>
        <w:t xml:space="preserve">, stipulato con la società Olivetti S.p.A., </w:t>
      </w:r>
      <w:r w:rsidRPr="0041524E">
        <w:rPr>
          <w:rFonts w:ascii="Titillium" w:hAnsi="Titillium"/>
          <w:bCs/>
          <w:sz w:val="18"/>
          <w:szCs w:val="18"/>
        </w:rPr>
        <w:t xml:space="preserve">comprende </w:t>
      </w:r>
      <w:r w:rsidR="0041524E">
        <w:rPr>
          <w:rFonts w:ascii="Titillium" w:hAnsi="Titillium"/>
          <w:bCs/>
          <w:sz w:val="18"/>
          <w:szCs w:val="18"/>
        </w:rPr>
        <w:t xml:space="preserve">le </w:t>
      </w:r>
      <w:r w:rsidRPr="0041524E">
        <w:rPr>
          <w:rFonts w:ascii="Titillium" w:hAnsi="Titillium"/>
          <w:bCs/>
          <w:sz w:val="18"/>
          <w:szCs w:val="18"/>
        </w:rPr>
        <w:t xml:space="preserve">fotocopiatrici multifunzione A3 monocromatiche Olivetti </w:t>
      </w:r>
      <w:proofErr w:type="spellStart"/>
      <w:r w:rsidRPr="0041524E">
        <w:rPr>
          <w:rFonts w:ascii="Titillium" w:hAnsi="Titillium"/>
          <w:bCs/>
          <w:sz w:val="18"/>
          <w:szCs w:val="18"/>
        </w:rPr>
        <w:t>mod</w:t>
      </w:r>
      <w:proofErr w:type="spellEnd"/>
      <w:r w:rsidRPr="0041524E">
        <w:rPr>
          <w:rFonts w:ascii="Titillium" w:hAnsi="Titillium"/>
          <w:bCs/>
          <w:sz w:val="18"/>
          <w:szCs w:val="18"/>
        </w:rPr>
        <w:t xml:space="preserve">. d-Copia 5002 MF, che </w:t>
      </w:r>
      <w:proofErr w:type="spellStart"/>
      <w:r w:rsidRPr="0041524E">
        <w:rPr>
          <w:rFonts w:ascii="Titillium" w:hAnsi="Titillium"/>
          <w:bCs/>
          <w:sz w:val="18"/>
          <w:szCs w:val="18"/>
        </w:rPr>
        <w:t>presentanto</w:t>
      </w:r>
      <w:proofErr w:type="spellEnd"/>
      <w:r w:rsidRPr="0041524E">
        <w:rPr>
          <w:rFonts w:ascii="Titillium" w:hAnsi="Titillium"/>
          <w:bCs/>
          <w:sz w:val="18"/>
          <w:szCs w:val="18"/>
        </w:rPr>
        <w:t xml:space="preserve"> caratteristiche equivalenti alle apparecchiature già in dotazione e pertanto </w:t>
      </w:r>
      <w:r w:rsidR="0041524E" w:rsidRPr="0041524E">
        <w:rPr>
          <w:rFonts w:ascii="Titillium" w:hAnsi="Titillium"/>
          <w:bCs/>
          <w:sz w:val="18"/>
          <w:szCs w:val="18"/>
        </w:rPr>
        <w:t xml:space="preserve">pienamente </w:t>
      </w:r>
      <w:r w:rsidRPr="0041524E">
        <w:rPr>
          <w:rFonts w:ascii="Titillium" w:hAnsi="Titillium"/>
          <w:bCs/>
          <w:sz w:val="18"/>
          <w:szCs w:val="18"/>
        </w:rPr>
        <w:t xml:space="preserve">rispondenti alle esigenze dell’Autorità; </w:t>
      </w:r>
    </w:p>
    <w:p w:rsidR="00A52189" w:rsidRDefault="00A52189" w:rsidP="0011731E">
      <w:pPr>
        <w:jc w:val="both"/>
        <w:rPr>
          <w:rFonts w:ascii="Titillium" w:hAnsi="Titillium"/>
          <w:bCs/>
          <w:sz w:val="18"/>
          <w:szCs w:val="18"/>
          <w:highlight w:val="yellow"/>
        </w:rPr>
      </w:pPr>
    </w:p>
    <w:p w:rsidR="009415F7" w:rsidRPr="00826075" w:rsidRDefault="00242E26" w:rsidP="0011731E">
      <w:pPr>
        <w:jc w:val="both"/>
        <w:rPr>
          <w:rFonts w:ascii="Titillium" w:hAnsi="Titillium"/>
          <w:bCs/>
          <w:sz w:val="18"/>
          <w:szCs w:val="18"/>
        </w:rPr>
      </w:pPr>
      <w:r w:rsidRPr="00AD5387">
        <w:rPr>
          <w:rFonts w:ascii="Titillium" w:hAnsi="Titillium"/>
          <w:b/>
          <w:bCs/>
          <w:sz w:val="18"/>
          <w:szCs w:val="18"/>
        </w:rPr>
        <w:t xml:space="preserve">VISTA </w:t>
      </w:r>
      <w:r w:rsidR="00DD7553" w:rsidRPr="00AD5387">
        <w:rPr>
          <w:rFonts w:ascii="Titillium" w:hAnsi="Titillium"/>
          <w:bCs/>
          <w:sz w:val="18"/>
          <w:szCs w:val="18"/>
        </w:rPr>
        <w:t xml:space="preserve">la nota </w:t>
      </w:r>
      <w:proofErr w:type="spellStart"/>
      <w:r w:rsidR="00DD7553" w:rsidRPr="00AD5387">
        <w:rPr>
          <w:rFonts w:ascii="Titillium" w:hAnsi="Titillium"/>
          <w:bCs/>
          <w:sz w:val="18"/>
          <w:szCs w:val="18"/>
        </w:rPr>
        <w:t>prot</w:t>
      </w:r>
      <w:proofErr w:type="spellEnd"/>
      <w:r w:rsidR="00DD7553" w:rsidRPr="00AD5387">
        <w:rPr>
          <w:rFonts w:ascii="Titillium" w:hAnsi="Titillium"/>
          <w:bCs/>
          <w:sz w:val="18"/>
          <w:szCs w:val="18"/>
        </w:rPr>
        <w:t>. n. 00</w:t>
      </w:r>
      <w:r w:rsidR="00301C33" w:rsidRPr="00AD5387">
        <w:rPr>
          <w:rFonts w:ascii="Titillium" w:hAnsi="Titillium"/>
          <w:bCs/>
          <w:sz w:val="18"/>
          <w:szCs w:val="18"/>
        </w:rPr>
        <w:t>4</w:t>
      </w:r>
      <w:r w:rsidR="00AD5387" w:rsidRPr="00AD5387">
        <w:rPr>
          <w:rFonts w:ascii="Titillium" w:hAnsi="Titillium"/>
          <w:bCs/>
          <w:sz w:val="18"/>
          <w:szCs w:val="18"/>
        </w:rPr>
        <w:t>8765</w:t>
      </w:r>
      <w:r w:rsidRPr="00AD5387">
        <w:rPr>
          <w:rFonts w:ascii="Titillium" w:hAnsi="Titillium"/>
          <w:bCs/>
          <w:sz w:val="18"/>
          <w:szCs w:val="18"/>
        </w:rPr>
        <w:t xml:space="preserve"> del </w:t>
      </w:r>
      <w:r w:rsidR="00AD5387" w:rsidRPr="00AD5387">
        <w:rPr>
          <w:rFonts w:ascii="Titillium" w:hAnsi="Titillium"/>
          <w:bCs/>
          <w:sz w:val="18"/>
          <w:szCs w:val="18"/>
        </w:rPr>
        <w:t>22</w:t>
      </w:r>
      <w:r w:rsidR="0041524E" w:rsidRPr="00AD5387">
        <w:rPr>
          <w:rFonts w:ascii="Titillium" w:hAnsi="Titillium"/>
          <w:bCs/>
          <w:sz w:val="18"/>
          <w:szCs w:val="18"/>
        </w:rPr>
        <w:t>.6</w:t>
      </w:r>
      <w:r w:rsidRPr="00AD5387">
        <w:rPr>
          <w:rFonts w:ascii="Titillium" w:hAnsi="Titillium"/>
          <w:bCs/>
          <w:sz w:val="18"/>
          <w:szCs w:val="18"/>
        </w:rPr>
        <w:t xml:space="preserve">.2023 con cui il Dirigente dell’Ufficio </w:t>
      </w:r>
      <w:r w:rsidR="00DD7553" w:rsidRPr="00AD5387">
        <w:rPr>
          <w:rFonts w:ascii="Titillium" w:hAnsi="Titillium"/>
          <w:bCs/>
          <w:sz w:val="18"/>
          <w:szCs w:val="18"/>
        </w:rPr>
        <w:t>USIS</w:t>
      </w:r>
      <w:r w:rsidR="008B2EBA" w:rsidRPr="00AD5387">
        <w:rPr>
          <w:rFonts w:ascii="Titillium" w:hAnsi="Titillium"/>
          <w:bCs/>
          <w:sz w:val="18"/>
          <w:szCs w:val="18"/>
        </w:rPr>
        <w:t xml:space="preserve">, </w:t>
      </w:r>
      <w:r w:rsidR="0041524E" w:rsidRPr="00AD5387">
        <w:rPr>
          <w:rFonts w:ascii="Titillium" w:hAnsi="Titillium"/>
          <w:bCs/>
          <w:sz w:val="18"/>
          <w:szCs w:val="18"/>
        </w:rPr>
        <w:t>confermando l’esigenza di rinnovo dello stesso numero di apparecchiature attualmente a noleggio</w:t>
      </w:r>
      <w:r w:rsidR="00301C33" w:rsidRPr="00AD5387">
        <w:rPr>
          <w:rFonts w:ascii="Titillium" w:hAnsi="Titillium"/>
          <w:bCs/>
          <w:sz w:val="18"/>
          <w:szCs w:val="18"/>
        </w:rPr>
        <w:t xml:space="preserve"> (12)</w:t>
      </w:r>
      <w:r w:rsidR="0041524E" w:rsidRPr="00AD5387">
        <w:rPr>
          <w:rFonts w:ascii="Titillium" w:hAnsi="Titillium"/>
          <w:bCs/>
          <w:sz w:val="18"/>
          <w:szCs w:val="18"/>
        </w:rPr>
        <w:t xml:space="preserve">, ha indicato come preferenza la fornitura delle predette fotocopiatrici Olivetti </w:t>
      </w:r>
      <w:proofErr w:type="spellStart"/>
      <w:r w:rsidR="0041524E" w:rsidRPr="00AD5387">
        <w:rPr>
          <w:rFonts w:ascii="Titillium" w:hAnsi="Titillium"/>
          <w:bCs/>
          <w:sz w:val="18"/>
          <w:szCs w:val="18"/>
        </w:rPr>
        <w:t>mod</w:t>
      </w:r>
      <w:proofErr w:type="spellEnd"/>
      <w:r w:rsidR="0041524E" w:rsidRPr="00AD5387">
        <w:rPr>
          <w:rFonts w:ascii="Titillium" w:hAnsi="Titillium"/>
          <w:bCs/>
          <w:sz w:val="18"/>
          <w:szCs w:val="18"/>
        </w:rPr>
        <w:t xml:space="preserve">. d-Copia 5002 MF con fascia di </w:t>
      </w:r>
      <w:r w:rsidR="00301C33" w:rsidRPr="00AD5387">
        <w:rPr>
          <w:rFonts w:ascii="Titillium" w:hAnsi="Titillium"/>
          <w:bCs/>
          <w:sz w:val="18"/>
          <w:szCs w:val="18"/>
        </w:rPr>
        <w:t>produttività (B) e dispositivo opzionale denominato “Finitore”,</w:t>
      </w:r>
      <w:r w:rsidR="0041524E" w:rsidRPr="00AD5387">
        <w:rPr>
          <w:rFonts w:ascii="Titillium" w:hAnsi="Titillium"/>
          <w:bCs/>
          <w:sz w:val="18"/>
          <w:szCs w:val="18"/>
        </w:rPr>
        <w:t xml:space="preserve"> </w:t>
      </w:r>
      <w:r w:rsidR="00A617DC" w:rsidRPr="00A617DC">
        <w:rPr>
          <w:rFonts w:ascii="Titillium" w:hAnsi="Titillium"/>
          <w:bCs/>
          <w:sz w:val="18"/>
          <w:szCs w:val="18"/>
        </w:rPr>
        <w:t xml:space="preserve">per un periodo di 48 mesi, </w:t>
      </w:r>
      <w:r w:rsidR="0041524E" w:rsidRPr="00AD5387">
        <w:rPr>
          <w:rFonts w:ascii="Titillium" w:hAnsi="Titillium"/>
          <w:bCs/>
          <w:sz w:val="18"/>
          <w:szCs w:val="18"/>
        </w:rPr>
        <w:t xml:space="preserve">per un importo </w:t>
      </w:r>
      <w:r w:rsidR="00301C33" w:rsidRPr="00AD5387">
        <w:rPr>
          <w:rFonts w:ascii="Titillium" w:hAnsi="Titillium"/>
          <w:bCs/>
          <w:sz w:val="18"/>
          <w:szCs w:val="18"/>
        </w:rPr>
        <w:t xml:space="preserve">complessivo pari a </w:t>
      </w:r>
      <w:r w:rsidR="007B5CCE" w:rsidRPr="00AD5387">
        <w:rPr>
          <w:rFonts w:ascii="Titillium" w:hAnsi="Titillium"/>
          <w:bCs/>
          <w:sz w:val="18"/>
          <w:szCs w:val="18"/>
        </w:rPr>
        <w:t xml:space="preserve">€ </w:t>
      </w:r>
      <w:r w:rsidR="00AD5387" w:rsidRPr="00AD5387">
        <w:rPr>
          <w:rFonts w:ascii="Titillium" w:hAnsi="Titillium"/>
          <w:bCs/>
          <w:sz w:val="18"/>
          <w:szCs w:val="18"/>
        </w:rPr>
        <w:t>39</w:t>
      </w:r>
      <w:r w:rsidR="007B5CCE" w:rsidRPr="00AD5387">
        <w:rPr>
          <w:rFonts w:ascii="Titillium" w:hAnsi="Titillium"/>
          <w:bCs/>
          <w:sz w:val="18"/>
          <w:szCs w:val="18"/>
        </w:rPr>
        <w:t>.</w:t>
      </w:r>
      <w:r w:rsidR="00AD5387" w:rsidRPr="00AD5387">
        <w:rPr>
          <w:rFonts w:ascii="Titillium" w:hAnsi="Titillium"/>
          <w:bCs/>
          <w:sz w:val="18"/>
          <w:szCs w:val="18"/>
        </w:rPr>
        <w:t>513,6</w:t>
      </w:r>
      <w:r w:rsidR="007B5CCE" w:rsidRPr="00AD5387">
        <w:rPr>
          <w:rFonts w:ascii="Titillium" w:hAnsi="Titillium"/>
          <w:bCs/>
          <w:sz w:val="18"/>
          <w:szCs w:val="18"/>
        </w:rPr>
        <w:t>0 oltre Iva</w:t>
      </w:r>
      <w:r w:rsidR="009415F7" w:rsidRPr="00AD5387">
        <w:rPr>
          <w:rFonts w:ascii="Titillium" w:hAnsi="Titillium"/>
          <w:bCs/>
          <w:sz w:val="18"/>
          <w:szCs w:val="18"/>
        </w:rPr>
        <w:t>;</w:t>
      </w:r>
    </w:p>
    <w:p w:rsidR="005D701D" w:rsidRDefault="005D701D" w:rsidP="0011731E">
      <w:pPr>
        <w:jc w:val="both"/>
        <w:rPr>
          <w:rFonts w:ascii="Titillium" w:hAnsi="Titillium"/>
          <w:bCs/>
          <w:sz w:val="18"/>
          <w:szCs w:val="18"/>
          <w:highlight w:val="yellow"/>
        </w:rPr>
      </w:pPr>
    </w:p>
    <w:p w:rsidR="0011731E" w:rsidRDefault="00D112CC" w:rsidP="0011731E">
      <w:pPr>
        <w:pStyle w:val="Corpodeltesto2"/>
        <w:spacing w:after="0" w:line="240" w:lineRule="auto"/>
        <w:jc w:val="both"/>
        <w:rPr>
          <w:rFonts w:ascii="Titillium" w:hAnsi="Titillium"/>
          <w:sz w:val="20"/>
          <w:szCs w:val="20"/>
        </w:rPr>
      </w:pPr>
      <w:r w:rsidRPr="00D112CC">
        <w:rPr>
          <w:rFonts w:ascii="Titillium" w:hAnsi="Titillium"/>
          <w:b/>
          <w:bCs/>
          <w:sz w:val="18"/>
          <w:szCs w:val="18"/>
        </w:rPr>
        <w:t>CONSIDERATO</w:t>
      </w:r>
      <w:r w:rsidRPr="004E49D1">
        <w:rPr>
          <w:rFonts w:ascii="Titillium" w:hAnsi="Titillium"/>
          <w:b/>
          <w:sz w:val="20"/>
          <w:szCs w:val="20"/>
        </w:rPr>
        <w:t xml:space="preserve"> </w:t>
      </w:r>
      <w:r w:rsidRPr="00D112CC">
        <w:rPr>
          <w:rFonts w:ascii="Titillium" w:hAnsi="Titillium"/>
          <w:bCs/>
          <w:sz w:val="18"/>
          <w:szCs w:val="18"/>
        </w:rPr>
        <w:t>che i costi degli oneri di sicurezza per i rischi di natura interferenziale sono pari a zero;</w:t>
      </w:r>
    </w:p>
    <w:p w:rsidR="00D112CC" w:rsidRPr="00042766" w:rsidRDefault="00D112CC" w:rsidP="0011731E">
      <w:pPr>
        <w:pStyle w:val="Corpodeltesto2"/>
        <w:spacing w:after="0" w:line="240" w:lineRule="auto"/>
        <w:jc w:val="both"/>
        <w:rPr>
          <w:rFonts w:ascii="Titillium" w:hAnsi="Titillium"/>
          <w:b/>
          <w:sz w:val="18"/>
          <w:szCs w:val="18"/>
          <w:highlight w:val="yellow"/>
        </w:rPr>
      </w:pPr>
    </w:p>
    <w:p w:rsidR="00A325BF" w:rsidRPr="00D40507" w:rsidRDefault="005817E0" w:rsidP="0011731E">
      <w:pPr>
        <w:pStyle w:val="Corpodeltesto2"/>
        <w:spacing w:after="0" w:line="240" w:lineRule="auto"/>
        <w:jc w:val="both"/>
        <w:rPr>
          <w:rFonts w:ascii="Titillium" w:hAnsi="Titillium"/>
          <w:sz w:val="20"/>
          <w:szCs w:val="20"/>
        </w:rPr>
      </w:pPr>
      <w:r w:rsidRPr="00D40507">
        <w:rPr>
          <w:rFonts w:ascii="Titillium" w:hAnsi="Titillium"/>
          <w:b/>
          <w:sz w:val="18"/>
          <w:szCs w:val="18"/>
        </w:rPr>
        <w:t xml:space="preserve">ACCERTATO </w:t>
      </w:r>
      <w:r w:rsidRPr="00D40507">
        <w:rPr>
          <w:rFonts w:ascii="Titillium" w:hAnsi="Titillium"/>
          <w:sz w:val="18"/>
          <w:szCs w:val="18"/>
        </w:rPr>
        <w:t xml:space="preserve">che la disponibilità finanziaria sul pertinente </w:t>
      </w:r>
      <w:r w:rsidRPr="00D112CC">
        <w:rPr>
          <w:rFonts w:ascii="Titillium" w:hAnsi="Titillium"/>
          <w:sz w:val="18"/>
          <w:szCs w:val="18"/>
        </w:rPr>
        <w:t xml:space="preserve">capitolo n. </w:t>
      </w:r>
      <w:r w:rsidR="00D112CC" w:rsidRPr="00D112CC">
        <w:rPr>
          <w:rFonts w:ascii="Titillium" w:hAnsi="Titillium"/>
          <w:sz w:val="18"/>
          <w:szCs w:val="18"/>
        </w:rPr>
        <w:t>1314</w:t>
      </w:r>
      <w:r w:rsidRPr="00D112CC">
        <w:rPr>
          <w:rFonts w:ascii="Titillium" w:hAnsi="Titillium"/>
          <w:sz w:val="18"/>
          <w:szCs w:val="18"/>
        </w:rPr>
        <w:t>.</w:t>
      </w:r>
      <w:r w:rsidR="00D112CC" w:rsidRPr="00D112CC">
        <w:rPr>
          <w:rFonts w:ascii="Titillium" w:hAnsi="Titillium"/>
          <w:sz w:val="18"/>
          <w:szCs w:val="18"/>
        </w:rPr>
        <w:t>4</w:t>
      </w:r>
      <w:r w:rsidRPr="00D112CC">
        <w:rPr>
          <w:rFonts w:ascii="Titillium" w:hAnsi="Titillium"/>
          <w:sz w:val="18"/>
          <w:szCs w:val="18"/>
        </w:rPr>
        <w:t xml:space="preserve"> del bilancio</w:t>
      </w:r>
      <w:r w:rsidR="00D112CC">
        <w:rPr>
          <w:rFonts w:ascii="Titillium" w:hAnsi="Titillium"/>
          <w:sz w:val="18"/>
          <w:szCs w:val="18"/>
        </w:rPr>
        <w:t xml:space="preserve"> 2023 di previsione </w:t>
      </w:r>
      <w:r w:rsidRPr="00D40507">
        <w:rPr>
          <w:rFonts w:ascii="Titillium" w:hAnsi="Titillium"/>
          <w:sz w:val="18"/>
          <w:szCs w:val="18"/>
        </w:rPr>
        <w:t xml:space="preserve">dell’A.N.AC. </w:t>
      </w:r>
      <w:r w:rsidR="00D112CC" w:rsidRPr="00D112CC">
        <w:rPr>
          <w:rFonts w:ascii="Titillium" w:hAnsi="Titillium"/>
          <w:sz w:val="18"/>
          <w:szCs w:val="18"/>
        </w:rPr>
        <w:t xml:space="preserve">e del bilancio pluriennale </w:t>
      </w:r>
      <w:r w:rsidRPr="00D40507">
        <w:rPr>
          <w:rFonts w:ascii="Titillium" w:hAnsi="Titillium"/>
          <w:sz w:val="18"/>
          <w:szCs w:val="18"/>
        </w:rPr>
        <w:t>è congrua per accogliere la spesa stimat</w:t>
      </w:r>
      <w:r w:rsidR="006A0051" w:rsidRPr="00D40507">
        <w:rPr>
          <w:rFonts w:ascii="Titillium" w:hAnsi="Titillium"/>
          <w:sz w:val="18"/>
          <w:szCs w:val="18"/>
        </w:rPr>
        <w:t>a per l’affidamento della fornitura</w:t>
      </w:r>
      <w:r w:rsidRPr="00D40507">
        <w:rPr>
          <w:rFonts w:ascii="Titillium" w:hAnsi="Titillium"/>
          <w:sz w:val="18"/>
          <w:szCs w:val="18"/>
        </w:rPr>
        <w:t xml:space="preserve"> in esame;</w:t>
      </w:r>
    </w:p>
    <w:p w:rsidR="00570207" w:rsidRPr="00042766" w:rsidRDefault="00570207" w:rsidP="00570207">
      <w:pPr>
        <w:pStyle w:val="ANAC-TitoloParagrafo"/>
        <w:tabs>
          <w:tab w:val="clear" w:pos="284"/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clear" w:pos="6265"/>
          <w:tab w:val="clear" w:pos="10348"/>
        </w:tabs>
        <w:spacing w:before="0"/>
        <w:ind w:left="0"/>
        <w:jc w:val="center"/>
        <w:rPr>
          <w:sz w:val="16"/>
          <w:szCs w:val="16"/>
          <w:highlight w:val="yellow"/>
        </w:rPr>
      </w:pPr>
    </w:p>
    <w:p w:rsidR="00317AEE" w:rsidRPr="00D40507" w:rsidRDefault="00135F2E" w:rsidP="00570207">
      <w:pPr>
        <w:pStyle w:val="ANAC-TitoloParagrafo"/>
        <w:tabs>
          <w:tab w:val="clear" w:pos="284"/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clear" w:pos="6265"/>
          <w:tab w:val="clear" w:pos="10348"/>
        </w:tabs>
        <w:spacing w:before="0"/>
        <w:ind w:left="0"/>
        <w:jc w:val="center"/>
      </w:pPr>
      <w:r w:rsidRPr="00D40507">
        <w:t>D I S P O N E</w:t>
      </w:r>
    </w:p>
    <w:p w:rsidR="00570207" w:rsidRPr="00042766" w:rsidRDefault="00570207" w:rsidP="00570207">
      <w:pPr>
        <w:pStyle w:val="ANAC-TitoloParagrafo"/>
        <w:tabs>
          <w:tab w:val="clear" w:pos="284"/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clear" w:pos="6265"/>
          <w:tab w:val="clear" w:pos="10348"/>
        </w:tabs>
        <w:spacing w:before="0"/>
        <w:ind w:left="0"/>
        <w:jc w:val="center"/>
        <w:rPr>
          <w:sz w:val="16"/>
          <w:szCs w:val="16"/>
          <w:highlight w:val="yellow"/>
        </w:rPr>
      </w:pPr>
    </w:p>
    <w:p w:rsidR="00417722" w:rsidRPr="0008603F" w:rsidRDefault="004219F2" w:rsidP="007D15C4">
      <w:pPr>
        <w:pStyle w:val="Paragrafoelenco"/>
        <w:numPr>
          <w:ilvl w:val="0"/>
          <w:numId w:val="8"/>
        </w:numPr>
        <w:ind w:left="284" w:hanging="284"/>
        <w:contextualSpacing w:val="0"/>
        <w:jc w:val="both"/>
        <w:rPr>
          <w:rFonts w:ascii="Titillium" w:hAnsi="Titillium"/>
          <w:sz w:val="18"/>
          <w:szCs w:val="18"/>
        </w:rPr>
      </w:pPr>
      <w:r w:rsidRPr="00DE22FA">
        <w:rPr>
          <w:rFonts w:ascii="Titillium" w:hAnsi="Titillium"/>
          <w:sz w:val="18"/>
          <w:szCs w:val="18"/>
        </w:rPr>
        <w:t xml:space="preserve">di </w:t>
      </w:r>
      <w:r w:rsidR="00BD021A" w:rsidRPr="00DE22FA">
        <w:rPr>
          <w:rFonts w:ascii="Titillium" w:hAnsi="Titillium"/>
          <w:sz w:val="18"/>
          <w:szCs w:val="18"/>
        </w:rPr>
        <w:t>a</w:t>
      </w:r>
      <w:r w:rsidR="00EA2D35" w:rsidRPr="00DE22FA">
        <w:rPr>
          <w:rFonts w:ascii="Titillium" w:hAnsi="Titillium"/>
          <w:sz w:val="18"/>
          <w:szCs w:val="18"/>
        </w:rPr>
        <w:t xml:space="preserve">ffidare </w:t>
      </w:r>
      <w:r w:rsidR="00BD021A" w:rsidRPr="00DE22FA">
        <w:rPr>
          <w:rFonts w:ascii="Titillium" w:hAnsi="Titillium"/>
          <w:sz w:val="18"/>
          <w:szCs w:val="18"/>
        </w:rPr>
        <w:t xml:space="preserve">alla </w:t>
      </w:r>
      <w:r w:rsidR="00E17EC3" w:rsidRPr="00DE22FA">
        <w:rPr>
          <w:rFonts w:ascii="Titillium" w:hAnsi="Titillium"/>
          <w:sz w:val="18"/>
          <w:szCs w:val="18"/>
        </w:rPr>
        <w:t xml:space="preserve">società </w:t>
      </w:r>
      <w:r w:rsidR="00DE22FA" w:rsidRPr="00DE22FA">
        <w:rPr>
          <w:rFonts w:ascii="Titillium" w:hAnsi="Titillium"/>
          <w:iCs/>
          <w:sz w:val="18"/>
          <w:szCs w:val="18"/>
        </w:rPr>
        <w:t>OLIVETTI S.p.A</w:t>
      </w:r>
      <w:r w:rsidR="008B2EBA" w:rsidRPr="00DE22FA">
        <w:rPr>
          <w:rFonts w:ascii="Titillium" w:hAnsi="Titillium"/>
          <w:iCs/>
          <w:sz w:val="18"/>
          <w:szCs w:val="18"/>
        </w:rPr>
        <w:t>.</w:t>
      </w:r>
      <w:r w:rsidR="0010664A" w:rsidRPr="00DE22FA">
        <w:rPr>
          <w:rFonts w:ascii="Titillium" w:hAnsi="Titillium"/>
          <w:sz w:val="18"/>
          <w:szCs w:val="18"/>
        </w:rPr>
        <w:t xml:space="preserve"> </w:t>
      </w:r>
      <w:r w:rsidR="007D15C4" w:rsidRPr="00DE22FA">
        <w:rPr>
          <w:rFonts w:ascii="Titillium" w:hAnsi="Titillium"/>
          <w:sz w:val="18"/>
          <w:szCs w:val="18"/>
        </w:rPr>
        <w:t>(C.F.</w:t>
      </w:r>
      <w:r w:rsidR="0083089C" w:rsidRPr="00DE22FA">
        <w:rPr>
          <w:rFonts w:ascii="Titillium" w:hAnsi="Titillium"/>
          <w:sz w:val="18"/>
          <w:szCs w:val="18"/>
        </w:rPr>
        <w:t xml:space="preserve"> </w:t>
      </w:r>
      <w:r w:rsidR="00BC08FB" w:rsidRPr="00DE22FA">
        <w:rPr>
          <w:rFonts w:ascii="Titillium" w:hAnsi="Titillium"/>
          <w:sz w:val="18"/>
          <w:szCs w:val="18"/>
        </w:rPr>
        <w:t>0</w:t>
      </w:r>
      <w:r w:rsidR="00DE22FA" w:rsidRPr="00DE22FA">
        <w:rPr>
          <w:rFonts w:ascii="Titillium" w:hAnsi="Titillium"/>
          <w:sz w:val="18"/>
          <w:szCs w:val="18"/>
        </w:rPr>
        <w:t>2298700010</w:t>
      </w:r>
      <w:r w:rsidR="0083089C" w:rsidRPr="00DE22FA">
        <w:rPr>
          <w:rFonts w:ascii="Titillium" w:hAnsi="Titillium"/>
          <w:sz w:val="18"/>
          <w:szCs w:val="18"/>
        </w:rPr>
        <w:t>)</w:t>
      </w:r>
      <w:r w:rsidR="00BD021A" w:rsidRPr="00DE22FA">
        <w:rPr>
          <w:rFonts w:ascii="Titillium" w:hAnsi="Titillium"/>
          <w:sz w:val="18"/>
          <w:szCs w:val="18"/>
        </w:rPr>
        <w:t xml:space="preserve">, mediante </w:t>
      </w:r>
      <w:r w:rsidR="00A617DC">
        <w:rPr>
          <w:rFonts w:ascii="Titillium" w:hAnsi="Titillium"/>
          <w:sz w:val="18"/>
          <w:szCs w:val="18"/>
        </w:rPr>
        <w:t xml:space="preserve">ordine diretto in </w:t>
      </w:r>
      <w:r w:rsidR="008B2EBA" w:rsidRPr="00DE22FA">
        <w:rPr>
          <w:rFonts w:ascii="Titillium" w:hAnsi="Titillium"/>
          <w:sz w:val="18"/>
          <w:szCs w:val="18"/>
        </w:rPr>
        <w:t>adesione</w:t>
      </w:r>
      <w:r w:rsidR="008B2EBA" w:rsidRPr="0008603F">
        <w:rPr>
          <w:rFonts w:ascii="Titillium" w:hAnsi="Titillium"/>
          <w:sz w:val="18"/>
          <w:szCs w:val="18"/>
        </w:rPr>
        <w:t xml:space="preserve"> al </w:t>
      </w:r>
      <w:r w:rsidR="00D112CC">
        <w:rPr>
          <w:rFonts w:ascii="Titillium" w:hAnsi="Titillium"/>
          <w:sz w:val="18"/>
          <w:szCs w:val="18"/>
        </w:rPr>
        <w:t>lotto</w:t>
      </w:r>
      <w:r w:rsidR="008B2EBA" w:rsidRPr="0008603F">
        <w:rPr>
          <w:rFonts w:ascii="Titillium" w:hAnsi="Titillium"/>
          <w:sz w:val="18"/>
          <w:szCs w:val="18"/>
        </w:rPr>
        <w:t xml:space="preserve"> </w:t>
      </w:r>
      <w:r w:rsidR="0008603F" w:rsidRPr="0008603F">
        <w:rPr>
          <w:rFonts w:ascii="Titillium" w:hAnsi="Titillium"/>
          <w:sz w:val="18"/>
          <w:szCs w:val="18"/>
        </w:rPr>
        <w:t>3</w:t>
      </w:r>
      <w:r w:rsidR="008B2EBA" w:rsidRPr="0008603F">
        <w:rPr>
          <w:rFonts w:ascii="Titillium" w:hAnsi="Titillium"/>
          <w:sz w:val="18"/>
          <w:szCs w:val="18"/>
        </w:rPr>
        <w:t xml:space="preserve"> della convenzione </w:t>
      </w:r>
      <w:proofErr w:type="spellStart"/>
      <w:r w:rsidR="008B2EBA" w:rsidRPr="0008603F">
        <w:rPr>
          <w:rFonts w:ascii="Titillium" w:hAnsi="Titillium"/>
          <w:sz w:val="18"/>
          <w:szCs w:val="18"/>
        </w:rPr>
        <w:t>Consip</w:t>
      </w:r>
      <w:proofErr w:type="spellEnd"/>
      <w:r w:rsidR="008B2EBA" w:rsidRPr="0008603F">
        <w:rPr>
          <w:rFonts w:ascii="Titillium" w:hAnsi="Titillium"/>
          <w:sz w:val="18"/>
          <w:szCs w:val="18"/>
        </w:rPr>
        <w:t xml:space="preserve"> </w:t>
      </w:r>
      <w:r w:rsidR="008B2EBA" w:rsidRPr="0008603F">
        <w:rPr>
          <w:rFonts w:ascii="Titillium" w:hAnsi="Titillium"/>
          <w:bCs/>
          <w:sz w:val="18"/>
          <w:szCs w:val="18"/>
        </w:rPr>
        <w:t xml:space="preserve">denominata </w:t>
      </w:r>
      <w:r w:rsidR="0008603F" w:rsidRPr="0008603F">
        <w:rPr>
          <w:rFonts w:ascii="Titillium" w:hAnsi="Titillium"/>
          <w:bCs/>
          <w:sz w:val="18"/>
          <w:szCs w:val="18"/>
        </w:rPr>
        <w:t>“Apparecchiature multifunzione in noleggio 2”</w:t>
      </w:r>
      <w:r w:rsidR="00BD021A" w:rsidRPr="0008603F">
        <w:rPr>
          <w:rFonts w:ascii="Titillium" w:hAnsi="Titillium"/>
          <w:sz w:val="18"/>
          <w:szCs w:val="18"/>
        </w:rPr>
        <w:t xml:space="preserve">, </w:t>
      </w:r>
      <w:r w:rsidR="008B2EBA" w:rsidRPr="0008603F">
        <w:rPr>
          <w:rFonts w:ascii="Titillium" w:hAnsi="Titillium"/>
          <w:sz w:val="18"/>
          <w:szCs w:val="18"/>
        </w:rPr>
        <w:t xml:space="preserve">la fornitura </w:t>
      </w:r>
      <w:r w:rsidR="0008603F" w:rsidRPr="0008603F">
        <w:rPr>
          <w:rFonts w:ascii="Titillium" w:hAnsi="Titillium"/>
          <w:sz w:val="18"/>
          <w:szCs w:val="18"/>
        </w:rPr>
        <w:t xml:space="preserve">in noleggio, per un periodo di 48 mesi, </w:t>
      </w:r>
      <w:r w:rsidR="008B2EBA" w:rsidRPr="0008603F">
        <w:rPr>
          <w:rFonts w:ascii="Titillium" w:hAnsi="Titillium"/>
          <w:sz w:val="18"/>
          <w:szCs w:val="18"/>
        </w:rPr>
        <w:t>di n.</w:t>
      </w:r>
      <w:r w:rsidR="00631285" w:rsidRPr="0008603F">
        <w:rPr>
          <w:rFonts w:ascii="Titillium" w:hAnsi="Titillium"/>
          <w:sz w:val="18"/>
          <w:szCs w:val="18"/>
        </w:rPr>
        <w:t xml:space="preserve"> </w:t>
      </w:r>
      <w:r w:rsidR="0008603F" w:rsidRPr="0008603F">
        <w:rPr>
          <w:rFonts w:ascii="Titillium" w:hAnsi="Titillium"/>
          <w:bCs/>
          <w:sz w:val="18"/>
          <w:szCs w:val="18"/>
        </w:rPr>
        <w:t>12 fotocopiatrici</w:t>
      </w:r>
      <w:r w:rsidR="00631285" w:rsidRPr="0008603F">
        <w:rPr>
          <w:rFonts w:ascii="Titillium" w:hAnsi="Titillium"/>
          <w:bCs/>
          <w:sz w:val="18"/>
          <w:szCs w:val="18"/>
        </w:rPr>
        <w:t xml:space="preserve"> </w:t>
      </w:r>
      <w:r w:rsidR="0008603F" w:rsidRPr="0008603F">
        <w:rPr>
          <w:rFonts w:ascii="Titillium" w:hAnsi="Titillium"/>
          <w:bCs/>
          <w:sz w:val="18"/>
          <w:szCs w:val="18"/>
        </w:rPr>
        <w:t xml:space="preserve">Olivetti </w:t>
      </w:r>
      <w:proofErr w:type="spellStart"/>
      <w:r w:rsidR="0008603F" w:rsidRPr="0008603F">
        <w:rPr>
          <w:rFonts w:ascii="Titillium" w:hAnsi="Titillium"/>
          <w:bCs/>
          <w:sz w:val="18"/>
          <w:szCs w:val="18"/>
        </w:rPr>
        <w:t>mod</w:t>
      </w:r>
      <w:proofErr w:type="spellEnd"/>
      <w:r w:rsidR="0008603F" w:rsidRPr="0008603F">
        <w:rPr>
          <w:rFonts w:ascii="Titillium" w:hAnsi="Titillium"/>
          <w:bCs/>
          <w:sz w:val="18"/>
          <w:szCs w:val="18"/>
        </w:rPr>
        <w:t>. d-Copia 5002 MF con fascia di produttività (B) e dispositivo opzionale denominato “Finitore”</w:t>
      </w:r>
      <w:r w:rsidR="001D1EE5" w:rsidRPr="0008603F">
        <w:rPr>
          <w:rFonts w:ascii="Titillium" w:hAnsi="Titillium"/>
          <w:bCs/>
          <w:sz w:val="18"/>
          <w:szCs w:val="18"/>
        </w:rPr>
        <w:t xml:space="preserve">, </w:t>
      </w:r>
      <w:r w:rsidR="001833D2" w:rsidRPr="0008603F">
        <w:rPr>
          <w:rFonts w:ascii="Titillium" w:hAnsi="Titillium"/>
          <w:sz w:val="18"/>
          <w:szCs w:val="18"/>
        </w:rPr>
        <w:t xml:space="preserve">per </w:t>
      </w:r>
      <w:r w:rsidR="00135F2E" w:rsidRPr="0008603F">
        <w:rPr>
          <w:rFonts w:ascii="Titillium" w:hAnsi="Titillium"/>
          <w:sz w:val="18"/>
          <w:szCs w:val="18"/>
        </w:rPr>
        <w:t xml:space="preserve">una spesa complessiva </w:t>
      </w:r>
      <w:r w:rsidR="00570207" w:rsidRPr="0008603F">
        <w:rPr>
          <w:rFonts w:ascii="Titillium" w:hAnsi="Titillium"/>
          <w:sz w:val="18"/>
          <w:szCs w:val="18"/>
        </w:rPr>
        <w:t>così distinta:</w:t>
      </w:r>
    </w:p>
    <w:tbl>
      <w:tblPr>
        <w:tblStyle w:val="Grigliatabella"/>
        <w:tblW w:w="958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5"/>
        <w:gridCol w:w="1666"/>
      </w:tblGrid>
      <w:tr w:rsidR="00F22986" w:rsidRPr="00D40507" w:rsidTr="00A86EDC">
        <w:tc>
          <w:tcPr>
            <w:tcW w:w="7915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22986" w:rsidRPr="00D40507" w:rsidRDefault="00631285" w:rsidP="00631285">
            <w:pPr>
              <w:pStyle w:val="Paragrafoelenco"/>
              <w:numPr>
                <w:ilvl w:val="0"/>
                <w:numId w:val="6"/>
              </w:numPr>
              <w:ind w:left="511"/>
              <w:jc w:val="both"/>
              <w:rPr>
                <w:rFonts w:ascii="Titillium" w:hAnsi="Titillium"/>
                <w:sz w:val="18"/>
                <w:szCs w:val="18"/>
              </w:rPr>
            </w:pPr>
            <w:r w:rsidRPr="00D40507">
              <w:rPr>
                <w:rFonts w:ascii="Titillium" w:hAnsi="Titillium"/>
                <w:sz w:val="18"/>
                <w:szCs w:val="18"/>
              </w:rPr>
              <w:t>n</w:t>
            </w:r>
            <w:r w:rsidR="00D40507" w:rsidRPr="00D40507">
              <w:rPr>
                <w:rFonts w:ascii="Titillium" w:hAnsi="Titillium"/>
                <w:sz w:val="18"/>
                <w:szCs w:val="18"/>
              </w:rPr>
              <w:t>oleggio n. 12 fotocopiatrici monocromatiche A3 per un periodo di 48 mesi</w:t>
            </w:r>
            <w:r w:rsidR="00675059">
              <w:rPr>
                <w:rFonts w:ascii="Titillium" w:hAnsi="Titillium"/>
                <w:sz w:val="18"/>
                <w:szCs w:val="18"/>
              </w:rPr>
              <w:t xml:space="preserve"> (con Finitore)</w:t>
            </w:r>
          </w:p>
          <w:p w:rsidR="00631285" w:rsidRPr="00D40507" w:rsidRDefault="00675059" w:rsidP="00631285">
            <w:pPr>
              <w:pStyle w:val="Paragrafoelenco"/>
              <w:numPr>
                <w:ilvl w:val="0"/>
                <w:numId w:val="6"/>
              </w:numPr>
              <w:ind w:left="511"/>
              <w:jc w:val="both"/>
              <w:rPr>
                <w:rFonts w:ascii="Titillium" w:hAnsi="Titillium"/>
                <w:sz w:val="18"/>
                <w:szCs w:val="18"/>
              </w:rPr>
            </w:pPr>
            <w:r w:rsidRPr="00675059">
              <w:rPr>
                <w:rFonts w:ascii="Titillium" w:hAnsi="Titillium"/>
                <w:sz w:val="18"/>
                <w:szCs w:val="18"/>
              </w:rPr>
              <w:t>IVA al 22%</w:t>
            </w:r>
          </w:p>
        </w:tc>
        <w:tc>
          <w:tcPr>
            <w:tcW w:w="166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22986" w:rsidRPr="00D40507" w:rsidRDefault="00E63EE0" w:rsidP="00631285">
            <w:pPr>
              <w:rPr>
                <w:rFonts w:ascii="Titillium" w:hAnsi="Titillium"/>
                <w:sz w:val="18"/>
                <w:szCs w:val="18"/>
              </w:rPr>
            </w:pPr>
            <w:r w:rsidRPr="00D40507">
              <w:rPr>
                <w:rFonts w:ascii="Titillium" w:hAnsi="Titillium"/>
                <w:sz w:val="18"/>
                <w:szCs w:val="18"/>
              </w:rPr>
              <w:t xml:space="preserve">            </w:t>
            </w:r>
            <w:r w:rsidR="00631285" w:rsidRPr="00D40507">
              <w:rPr>
                <w:rFonts w:ascii="Titillium" w:hAnsi="Titillium"/>
                <w:sz w:val="18"/>
                <w:szCs w:val="18"/>
              </w:rPr>
              <w:t xml:space="preserve"> € </w:t>
            </w:r>
            <w:r w:rsidR="00D40507" w:rsidRPr="00D40507">
              <w:rPr>
                <w:rFonts w:ascii="Titillium" w:hAnsi="Titillium"/>
                <w:sz w:val="18"/>
                <w:szCs w:val="18"/>
              </w:rPr>
              <w:t>39</w:t>
            </w:r>
            <w:r w:rsidR="001D1EE5" w:rsidRPr="00D40507">
              <w:rPr>
                <w:rFonts w:ascii="Titillium" w:hAnsi="Titillium"/>
                <w:sz w:val="18"/>
                <w:szCs w:val="18"/>
              </w:rPr>
              <w:t>.</w:t>
            </w:r>
            <w:r w:rsidR="00D40507" w:rsidRPr="00D40507">
              <w:rPr>
                <w:rFonts w:ascii="Titillium" w:hAnsi="Titillium"/>
                <w:sz w:val="18"/>
                <w:szCs w:val="18"/>
              </w:rPr>
              <w:t>513</w:t>
            </w:r>
            <w:r w:rsidR="00FF7A4A" w:rsidRPr="00D40507">
              <w:rPr>
                <w:rFonts w:ascii="Titillium" w:hAnsi="Titillium"/>
                <w:sz w:val="18"/>
                <w:szCs w:val="18"/>
              </w:rPr>
              <w:t>,</w:t>
            </w:r>
            <w:r w:rsidR="00D40507" w:rsidRPr="00D40507">
              <w:rPr>
                <w:rFonts w:ascii="Titillium" w:hAnsi="Titillium"/>
                <w:sz w:val="18"/>
                <w:szCs w:val="18"/>
              </w:rPr>
              <w:t>6</w:t>
            </w:r>
            <w:r w:rsidR="00FF7A4A" w:rsidRPr="00D40507">
              <w:rPr>
                <w:rFonts w:ascii="Titillium" w:hAnsi="Titillium"/>
                <w:sz w:val="18"/>
                <w:szCs w:val="18"/>
              </w:rPr>
              <w:t>0</w:t>
            </w:r>
          </w:p>
          <w:p w:rsidR="00631285" w:rsidRPr="00D40507" w:rsidRDefault="00631285" w:rsidP="00D40507">
            <w:pPr>
              <w:rPr>
                <w:rFonts w:ascii="Titillium" w:hAnsi="Titillium"/>
                <w:sz w:val="18"/>
                <w:szCs w:val="18"/>
              </w:rPr>
            </w:pPr>
            <w:r w:rsidRPr="00D40507">
              <w:rPr>
                <w:rFonts w:ascii="Titillium" w:hAnsi="Titillium"/>
                <w:sz w:val="18"/>
                <w:szCs w:val="18"/>
              </w:rPr>
              <w:t xml:space="preserve">             €    </w:t>
            </w:r>
            <w:r w:rsidR="00D40507" w:rsidRPr="00D40507">
              <w:rPr>
                <w:rFonts w:ascii="Titillium" w:hAnsi="Titillium"/>
                <w:sz w:val="18"/>
                <w:szCs w:val="18"/>
              </w:rPr>
              <w:t>8</w:t>
            </w:r>
            <w:r w:rsidRPr="00D40507">
              <w:rPr>
                <w:rFonts w:ascii="Titillium" w:hAnsi="Titillium"/>
                <w:sz w:val="18"/>
                <w:szCs w:val="18"/>
              </w:rPr>
              <w:t>.</w:t>
            </w:r>
            <w:r w:rsidR="00D40507" w:rsidRPr="00D40507">
              <w:rPr>
                <w:rFonts w:ascii="Titillium" w:hAnsi="Titillium"/>
                <w:sz w:val="18"/>
                <w:szCs w:val="18"/>
              </w:rPr>
              <w:t>692</w:t>
            </w:r>
            <w:r w:rsidRPr="00D40507">
              <w:rPr>
                <w:rFonts w:ascii="Titillium" w:hAnsi="Titillium"/>
                <w:sz w:val="18"/>
                <w:szCs w:val="18"/>
              </w:rPr>
              <w:t>,</w:t>
            </w:r>
            <w:r w:rsidR="00D40507" w:rsidRPr="00D40507">
              <w:rPr>
                <w:rFonts w:ascii="Titillium" w:hAnsi="Titillium"/>
                <w:sz w:val="18"/>
                <w:szCs w:val="18"/>
              </w:rPr>
              <w:t>99</w:t>
            </w:r>
          </w:p>
        </w:tc>
      </w:tr>
      <w:tr w:rsidR="00F22986" w:rsidRPr="00D40507" w:rsidTr="00A86EDC">
        <w:trPr>
          <w:trHeight w:val="403"/>
        </w:trPr>
        <w:tc>
          <w:tcPr>
            <w:tcW w:w="7915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22986" w:rsidRPr="00D40507" w:rsidRDefault="009937DC" w:rsidP="007C722E">
            <w:pPr>
              <w:tabs>
                <w:tab w:val="left" w:pos="7371"/>
              </w:tabs>
              <w:rPr>
                <w:rFonts w:ascii="Titillium" w:hAnsi="Titillium"/>
                <w:b/>
                <w:sz w:val="18"/>
                <w:szCs w:val="18"/>
              </w:rPr>
            </w:pPr>
            <w:r w:rsidRPr="00D40507">
              <w:rPr>
                <w:rFonts w:ascii="Titillium" w:hAnsi="Titillium"/>
                <w:b/>
                <w:sz w:val="18"/>
                <w:szCs w:val="18"/>
              </w:rPr>
              <w:t xml:space="preserve">Importo </w:t>
            </w:r>
            <w:r w:rsidR="007C722E" w:rsidRPr="00D40507">
              <w:rPr>
                <w:rFonts w:ascii="Titillium" w:hAnsi="Titillium"/>
                <w:b/>
                <w:sz w:val="18"/>
                <w:szCs w:val="18"/>
              </w:rPr>
              <w:t>complessivo</w:t>
            </w:r>
            <w:r w:rsidRPr="00D40507">
              <w:rPr>
                <w:rFonts w:ascii="Titillium" w:hAnsi="Titillium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22986" w:rsidRPr="00D40507" w:rsidRDefault="00A86EDC" w:rsidP="00D40507">
            <w:pPr>
              <w:pStyle w:val="Paragrafoelenco"/>
              <w:ind w:left="0"/>
              <w:contextualSpacing w:val="0"/>
              <w:jc w:val="center"/>
              <w:rPr>
                <w:rFonts w:ascii="Titillium" w:hAnsi="Titillium"/>
                <w:b/>
                <w:sz w:val="18"/>
                <w:szCs w:val="18"/>
              </w:rPr>
            </w:pPr>
            <w:r w:rsidRPr="00D40507">
              <w:rPr>
                <w:rFonts w:ascii="Titillium" w:hAnsi="Titillium"/>
                <w:b/>
                <w:sz w:val="18"/>
                <w:szCs w:val="18"/>
              </w:rPr>
              <w:t xml:space="preserve">         </w:t>
            </w:r>
            <w:r w:rsidR="007C722E" w:rsidRPr="00D40507">
              <w:rPr>
                <w:rFonts w:ascii="Titillium" w:hAnsi="Titillium"/>
                <w:b/>
                <w:sz w:val="18"/>
                <w:szCs w:val="18"/>
              </w:rPr>
              <w:t xml:space="preserve">  </w:t>
            </w:r>
            <w:r w:rsidR="00F22986" w:rsidRPr="00D40507">
              <w:rPr>
                <w:rFonts w:ascii="Titillium" w:hAnsi="Titillium"/>
                <w:b/>
                <w:sz w:val="18"/>
                <w:szCs w:val="18"/>
              </w:rPr>
              <w:t>€</w:t>
            </w:r>
            <w:r w:rsidR="009265BF" w:rsidRPr="00D40507">
              <w:rPr>
                <w:rFonts w:ascii="Titillium" w:hAnsi="Titillium"/>
                <w:b/>
                <w:sz w:val="18"/>
                <w:szCs w:val="18"/>
              </w:rPr>
              <w:t xml:space="preserve"> </w:t>
            </w:r>
            <w:r w:rsidR="00631285" w:rsidRPr="00D40507">
              <w:rPr>
                <w:rFonts w:ascii="Titillium" w:hAnsi="Titillium"/>
                <w:b/>
                <w:sz w:val="18"/>
                <w:szCs w:val="18"/>
              </w:rPr>
              <w:t xml:space="preserve"> </w:t>
            </w:r>
            <w:r w:rsidR="00D40507" w:rsidRPr="00D40507">
              <w:rPr>
                <w:rFonts w:ascii="Titillium" w:hAnsi="Titillium"/>
                <w:b/>
                <w:sz w:val="18"/>
                <w:szCs w:val="18"/>
              </w:rPr>
              <w:t>4</w:t>
            </w:r>
            <w:r w:rsidR="00631285" w:rsidRPr="00D40507">
              <w:rPr>
                <w:rFonts w:ascii="Titillium" w:hAnsi="Titillium"/>
                <w:b/>
                <w:sz w:val="18"/>
                <w:szCs w:val="18"/>
              </w:rPr>
              <w:t>8</w:t>
            </w:r>
            <w:r w:rsidR="00E63EE0" w:rsidRPr="00D40507">
              <w:rPr>
                <w:rFonts w:ascii="Titillium" w:hAnsi="Titillium"/>
                <w:b/>
                <w:sz w:val="18"/>
                <w:szCs w:val="18"/>
              </w:rPr>
              <w:t>.</w:t>
            </w:r>
            <w:r w:rsidR="00631285" w:rsidRPr="00D40507">
              <w:rPr>
                <w:rFonts w:ascii="Titillium" w:hAnsi="Titillium"/>
                <w:b/>
                <w:sz w:val="18"/>
                <w:szCs w:val="18"/>
              </w:rPr>
              <w:t>2</w:t>
            </w:r>
            <w:r w:rsidR="00D40507" w:rsidRPr="00D40507">
              <w:rPr>
                <w:rFonts w:ascii="Titillium" w:hAnsi="Titillium"/>
                <w:b/>
                <w:sz w:val="18"/>
                <w:szCs w:val="18"/>
              </w:rPr>
              <w:t>06</w:t>
            </w:r>
            <w:r w:rsidR="009937DC" w:rsidRPr="00D40507">
              <w:rPr>
                <w:rFonts w:ascii="Titillium" w:hAnsi="Titillium"/>
                <w:b/>
                <w:sz w:val="18"/>
                <w:szCs w:val="18"/>
              </w:rPr>
              <w:t>,</w:t>
            </w:r>
            <w:r w:rsidR="00D40507" w:rsidRPr="00D40507">
              <w:rPr>
                <w:rFonts w:ascii="Titillium" w:hAnsi="Titillium"/>
                <w:b/>
                <w:sz w:val="18"/>
                <w:szCs w:val="18"/>
              </w:rPr>
              <w:t>59</w:t>
            </w:r>
          </w:p>
        </w:tc>
      </w:tr>
    </w:tbl>
    <w:p w:rsidR="00C81CB5" w:rsidRPr="004E1084" w:rsidRDefault="00C81CB5" w:rsidP="00570207">
      <w:pPr>
        <w:pStyle w:val="Paragrafoelenco"/>
        <w:numPr>
          <w:ilvl w:val="0"/>
          <w:numId w:val="8"/>
        </w:numPr>
        <w:ind w:left="284" w:hanging="284"/>
        <w:contextualSpacing w:val="0"/>
        <w:jc w:val="both"/>
        <w:rPr>
          <w:rFonts w:ascii="Titillium" w:hAnsi="Titillium"/>
          <w:sz w:val="18"/>
          <w:szCs w:val="18"/>
        </w:rPr>
      </w:pPr>
      <w:r w:rsidRPr="004E1084">
        <w:rPr>
          <w:rFonts w:ascii="Titillium" w:hAnsi="Titillium"/>
          <w:sz w:val="18"/>
          <w:szCs w:val="18"/>
        </w:rPr>
        <w:t xml:space="preserve">di autorizzare la spesa complessiva stimata da porsi a carico del bilancio di </w:t>
      </w:r>
      <w:r w:rsidR="00D112CC" w:rsidRPr="004E1084">
        <w:rPr>
          <w:rFonts w:ascii="Titillium" w:hAnsi="Titillium"/>
          <w:sz w:val="18"/>
          <w:szCs w:val="18"/>
        </w:rPr>
        <w:t>pluriennale</w:t>
      </w:r>
      <w:r w:rsidR="00E63EE0" w:rsidRPr="004E1084">
        <w:rPr>
          <w:rFonts w:ascii="Titillium" w:hAnsi="Titillium"/>
          <w:sz w:val="18"/>
          <w:szCs w:val="18"/>
        </w:rPr>
        <w:t xml:space="preserve"> dell’Autorità per </w:t>
      </w:r>
      <w:r w:rsidR="00675059" w:rsidRPr="004E1084">
        <w:rPr>
          <w:rFonts w:ascii="Titillium" w:hAnsi="Titillium"/>
          <w:sz w:val="18"/>
          <w:szCs w:val="18"/>
        </w:rPr>
        <w:t xml:space="preserve">gli anni dal </w:t>
      </w:r>
      <w:r w:rsidR="00E63EE0" w:rsidRPr="004E1084">
        <w:rPr>
          <w:rFonts w:ascii="Titillium" w:hAnsi="Titillium"/>
          <w:sz w:val="18"/>
          <w:szCs w:val="18"/>
        </w:rPr>
        <w:t>2023</w:t>
      </w:r>
      <w:r w:rsidRPr="004E1084">
        <w:rPr>
          <w:rFonts w:ascii="Titillium" w:hAnsi="Titillium"/>
          <w:sz w:val="18"/>
          <w:szCs w:val="18"/>
        </w:rPr>
        <w:t>,</w:t>
      </w:r>
      <w:r w:rsidR="00675059" w:rsidRPr="004E1084">
        <w:rPr>
          <w:rFonts w:ascii="Titillium" w:hAnsi="Titillium"/>
          <w:sz w:val="18"/>
          <w:szCs w:val="18"/>
        </w:rPr>
        <w:t xml:space="preserve"> al 2027,</w:t>
      </w:r>
      <w:r w:rsidRPr="004E1084">
        <w:rPr>
          <w:rFonts w:ascii="Titillium" w:hAnsi="Titillium"/>
          <w:sz w:val="18"/>
          <w:szCs w:val="18"/>
        </w:rPr>
        <w:t xml:space="preserve"> sul capitolo n. </w:t>
      </w:r>
      <w:r w:rsidR="00AD5387" w:rsidRPr="004E1084">
        <w:rPr>
          <w:rFonts w:ascii="Titillium" w:hAnsi="Titillium"/>
          <w:sz w:val="18"/>
          <w:szCs w:val="18"/>
        </w:rPr>
        <w:t>1314.4</w:t>
      </w:r>
      <w:r w:rsidR="00D112CC" w:rsidRPr="004E1084">
        <w:rPr>
          <w:rFonts w:ascii="Titillium" w:hAnsi="Titillium"/>
          <w:sz w:val="18"/>
          <w:szCs w:val="18"/>
        </w:rPr>
        <w:t>,</w:t>
      </w:r>
      <w:r w:rsidR="00D40507" w:rsidRPr="004E1084">
        <w:rPr>
          <w:rFonts w:ascii="Titillium" w:hAnsi="Titillium"/>
          <w:sz w:val="18"/>
          <w:szCs w:val="18"/>
        </w:rPr>
        <w:t xml:space="preserve"> secondo la seguente ripartizione</w:t>
      </w:r>
      <w:r w:rsidR="00EF0467" w:rsidRPr="004E1084">
        <w:rPr>
          <w:rFonts w:ascii="Titillium" w:hAnsi="Titillium"/>
          <w:sz w:val="18"/>
          <w:szCs w:val="18"/>
        </w:rPr>
        <w:t xml:space="preserve">: </w:t>
      </w:r>
      <w:r w:rsidR="00160D6E">
        <w:rPr>
          <w:rFonts w:ascii="Titillium" w:hAnsi="Titillium"/>
          <w:sz w:val="18"/>
          <w:szCs w:val="18"/>
        </w:rPr>
        <w:t>(I</w:t>
      </w:r>
      <w:r w:rsidR="00EF0467" w:rsidRPr="004E1084">
        <w:rPr>
          <w:rFonts w:ascii="Titillium" w:hAnsi="Titillium"/>
          <w:sz w:val="18"/>
          <w:szCs w:val="18"/>
        </w:rPr>
        <w:t xml:space="preserve">) € 3.012,91 </w:t>
      </w:r>
      <w:r w:rsidR="00160D6E">
        <w:rPr>
          <w:rFonts w:ascii="Titillium" w:hAnsi="Titillium"/>
          <w:sz w:val="18"/>
          <w:szCs w:val="18"/>
        </w:rPr>
        <w:t>per l’anno 2023; (II</w:t>
      </w:r>
      <w:r w:rsidR="00EF0467" w:rsidRPr="004E1084">
        <w:rPr>
          <w:rFonts w:ascii="Titillium" w:hAnsi="Titillium"/>
          <w:sz w:val="18"/>
          <w:szCs w:val="18"/>
        </w:rPr>
        <w:t>) € 12.051,6</w:t>
      </w:r>
      <w:r w:rsidR="00C65BF7" w:rsidRPr="004E1084">
        <w:rPr>
          <w:rFonts w:ascii="Titillium" w:hAnsi="Titillium"/>
          <w:sz w:val="18"/>
          <w:szCs w:val="18"/>
        </w:rPr>
        <w:t>4</w:t>
      </w:r>
      <w:r w:rsidR="00EF0467" w:rsidRPr="004E1084">
        <w:rPr>
          <w:rFonts w:ascii="Titillium" w:hAnsi="Titillium"/>
          <w:sz w:val="18"/>
          <w:szCs w:val="18"/>
        </w:rPr>
        <w:t xml:space="preserve"> per l’anno 2024; </w:t>
      </w:r>
      <w:r w:rsidR="00160D6E">
        <w:rPr>
          <w:rFonts w:ascii="Titillium" w:hAnsi="Titillium"/>
          <w:sz w:val="18"/>
          <w:szCs w:val="18"/>
        </w:rPr>
        <w:t>(III</w:t>
      </w:r>
      <w:r w:rsidR="00EF0467" w:rsidRPr="004E1084">
        <w:rPr>
          <w:rFonts w:ascii="Titillium" w:hAnsi="Titillium"/>
          <w:sz w:val="18"/>
          <w:szCs w:val="18"/>
        </w:rPr>
        <w:t>) € 12.051,65 per l’anno 2025;</w:t>
      </w:r>
      <w:r w:rsidR="00C65BF7" w:rsidRPr="004E1084">
        <w:rPr>
          <w:rFonts w:ascii="Titillium" w:hAnsi="Titillium"/>
          <w:sz w:val="18"/>
          <w:szCs w:val="18"/>
        </w:rPr>
        <w:t xml:space="preserve"> </w:t>
      </w:r>
      <w:r w:rsidR="00160D6E">
        <w:rPr>
          <w:rFonts w:ascii="Titillium" w:hAnsi="Titillium"/>
          <w:sz w:val="18"/>
          <w:szCs w:val="18"/>
        </w:rPr>
        <w:t>(IV</w:t>
      </w:r>
      <w:r w:rsidR="00C65BF7" w:rsidRPr="004E1084">
        <w:rPr>
          <w:rFonts w:ascii="Titillium" w:hAnsi="Titillium"/>
          <w:sz w:val="18"/>
          <w:szCs w:val="18"/>
        </w:rPr>
        <w:t>) € 12.051,65 per l’anno 2026; (</w:t>
      </w:r>
      <w:r w:rsidR="00160D6E">
        <w:rPr>
          <w:rFonts w:ascii="Titillium" w:hAnsi="Titillium"/>
          <w:sz w:val="18"/>
          <w:szCs w:val="18"/>
        </w:rPr>
        <w:t>V</w:t>
      </w:r>
      <w:r w:rsidR="00C65BF7" w:rsidRPr="004E1084">
        <w:rPr>
          <w:rFonts w:ascii="Titillium" w:hAnsi="Titillium"/>
          <w:sz w:val="18"/>
          <w:szCs w:val="18"/>
        </w:rPr>
        <w:t>) € 9.038,74 per l’anno 2027;</w:t>
      </w:r>
      <w:bookmarkStart w:id="0" w:name="_GoBack"/>
      <w:bookmarkEnd w:id="0"/>
    </w:p>
    <w:p w:rsidR="00C81CB5" w:rsidRPr="004E1084" w:rsidRDefault="00DE03B6" w:rsidP="00570207">
      <w:pPr>
        <w:pStyle w:val="Paragrafoelenco"/>
        <w:numPr>
          <w:ilvl w:val="0"/>
          <w:numId w:val="8"/>
        </w:numPr>
        <w:ind w:left="284" w:hanging="284"/>
        <w:contextualSpacing w:val="0"/>
        <w:jc w:val="both"/>
        <w:rPr>
          <w:rFonts w:ascii="Titillium" w:hAnsi="Titillium"/>
          <w:sz w:val="18"/>
          <w:szCs w:val="18"/>
        </w:rPr>
      </w:pPr>
      <w:r w:rsidRPr="004E1084">
        <w:rPr>
          <w:rFonts w:ascii="Titillium" w:hAnsi="Titillium"/>
          <w:sz w:val="18"/>
          <w:szCs w:val="18"/>
        </w:rPr>
        <w:t>i</w:t>
      </w:r>
      <w:r w:rsidR="00C81CB5" w:rsidRPr="004E1084">
        <w:rPr>
          <w:rFonts w:ascii="Titillium" w:hAnsi="Titillium"/>
          <w:sz w:val="18"/>
          <w:szCs w:val="18"/>
        </w:rPr>
        <w:t xml:space="preserve">l RUP art. 31 del d.lgs. 50/2016 </w:t>
      </w:r>
      <w:r w:rsidR="00D40507" w:rsidRPr="004E1084">
        <w:rPr>
          <w:rFonts w:ascii="Titillium" w:hAnsi="Titillium"/>
          <w:sz w:val="18"/>
          <w:szCs w:val="18"/>
        </w:rPr>
        <w:t xml:space="preserve">è il dirigente dell’Ufficio </w:t>
      </w:r>
      <w:proofErr w:type="spellStart"/>
      <w:r w:rsidR="00D40507" w:rsidRPr="004E1084">
        <w:rPr>
          <w:rFonts w:ascii="Titillium" w:hAnsi="Titillium"/>
          <w:sz w:val="18"/>
          <w:szCs w:val="18"/>
        </w:rPr>
        <w:t>Usis</w:t>
      </w:r>
      <w:proofErr w:type="spellEnd"/>
      <w:r w:rsidR="00570207" w:rsidRPr="004E1084">
        <w:rPr>
          <w:rFonts w:ascii="Titillium" w:hAnsi="Titillium"/>
          <w:sz w:val="18"/>
          <w:szCs w:val="18"/>
        </w:rPr>
        <w:t xml:space="preserve">, </w:t>
      </w:r>
      <w:r w:rsidR="00D40507" w:rsidRPr="004E1084">
        <w:rPr>
          <w:rFonts w:ascii="Titillium" w:hAnsi="Titillium"/>
          <w:sz w:val="18"/>
          <w:szCs w:val="18"/>
        </w:rPr>
        <w:t>Ing</w:t>
      </w:r>
      <w:r w:rsidR="00570207" w:rsidRPr="004E1084">
        <w:rPr>
          <w:rFonts w:ascii="Titillium" w:hAnsi="Titillium"/>
          <w:sz w:val="18"/>
          <w:szCs w:val="18"/>
        </w:rPr>
        <w:t xml:space="preserve">. </w:t>
      </w:r>
      <w:r w:rsidR="00D40507" w:rsidRPr="004E1084">
        <w:rPr>
          <w:rFonts w:ascii="Titillium" w:hAnsi="Titillium"/>
          <w:sz w:val="18"/>
          <w:szCs w:val="18"/>
        </w:rPr>
        <w:t>Francesco Vargiu</w:t>
      </w:r>
      <w:r w:rsidR="00570207" w:rsidRPr="004E1084">
        <w:rPr>
          <w:rFonts w:ascii="Titillium" w:hAnsi="Titillium"/>
          <w:sz w:val="18"/>
          <w:szCs w:val="18"/>
        </w:rPr>
        <w:t>;</w:t>
      </w:r>
    </w:p>
    <w:p w:rsidR="00135F2E" w:rsidRPr="004E1084" w:rsidRDefault="00C81CB5" w:rsidP="00570207">
      <w:pPr>
        <w:pStyle w:val="Paragrafoelenco"/>
        <w:numPr>
          <w:ilvl w:val="0"/>
          <w:numId w:val="8"/>
        </w:numPr>
        <w:ind w:left="284" w:hanging="284"/>
        <w:contextualSpacing w:val="0"/>
        <w:jc w:val="both"/>
        <w:rPr>
          <w:rFonts w:ascii="Titillium" w:hAnsi="Titillium"/>
          <w:sz w:val="20"/>
          <w:szCs w:val="20"/>
        </w:rPr>
      </w:pPr>
      <w:r w:rsidRPr="004E1084">
        <w:rPr>
          <w:rFonts w:ascii="Titillium" w:hAnsi="Titillium"/>
          <w:sz w:val="18"/>
          <w:szCs w:val="18"/>
        </w:rPr>
        <w:t xml:space="preserve">di nominare </w:t>
      </w:r>
      <w:r w:rsidR="007C722E" w:rsidRPr="004E1084">
        <w:rPr>
          <w:rFonts w:ascii="Titillium" w:hAnsi="Titillium"/>
          <w:sz w:val="18"/>
          <w:szCs w:val="18"/>
        </w:rPr>
        <w:t xml:space="preserve">Direttore dell’esecuzione del contratto </w:t>
      </w:r>
      <w:r w:rsidR="00BC08FB" w:rsidRPr="004E1084">
        <w:rPr>
          <w:rFonts w:ascii="Titillium" w:hAnsi="Titillium"/>
          <w:sz w:val="18"/>
          <w:szCs w:val="18"/>
        </w:rPr>
        <w:t>il Dott.</w:t>
      </w:r>
      <w:r w:rsidR="006A3FE8" w:rsidRPr="004E1084">
        <w:rPr>
          <w:rFonts w:ascii="Titillium" w:hAnsi="Titillium"/>
          <w:sz w:val="18"/>
          <w:szCs w:val="18"/>
        </w:rPr>
        <w:t xml:space="preserve"> Gaetano </w:t>
      </w:r>
      <w:proofErr w:type="spellStart"/>
      <w:r w:rsidR="006A3FE8" w:rsidRPr="004E1084">
        <w:rPr>
          <w:rFonts w:ascii="Titillium" w:hAnsi="Titillium"/>
          <w:sz w:val="18"/>
          <w:szCs w:val="18"/>
        </w:rPr>
        <w:t>Giarrusso</w:t>
      </w:r>
      <w:proofErr w:type="spellEnd"/>
      <w:r w:rsidR="006A3FE8" w:rsidRPr="004E1084">
        <w:rPr>
          <w:rFonts w:ascii="Titillium" w:hAnsi="Titillium"/>
          <w:sz w:val="18"/>
          <w:szCs w:val="18"/>
        </w:rPr>
        <w:t xml:space="preserve">, funzionario dell’Ufficio </w:t>
      </w:r>
      <w:r w:rsidR="00BC08FB" w:rsidRPr="004E1084">
        <w:rPr>
          <w:rFonts w:ascii="Titillium" w:hAnsi="Titillium"/>
          <w:sz w:val="18"/>
          <w:szCs w:val="18"/>
        </w:rPr>
        <w:t xml:space="preserve">USIS </w:t>
      </w:r>
      <w:proofErr w:type="gramStart"/>
      <w:r w:rsidR="00E63EE0" w:rsidRPr="004E1084">
        <w:rPr>
          <w:rFonts w:ascii="Titillium" w:hAnsi="Titillium"/>
          <w:sz w:val="18"/>
          <w:szCs w:val="18"/>
        </w:rPr>
        <w:t>dell’A.N.AC</w:t>
      </w:r>
      <w:r w:rsidR="007C722E" w:rsidRPr="004E1084">
        <w:rPr>
          <w:rFonts w:ascii="Titillium" w:hAnsi="Titillium"/>
          <w:sz w:val="18"/>
          <w:szCs w:val="18"/>
        </w:rPr>
        <w:t>.</w:t>
      </w:r>
      <w:r w:rsidR="00BC08FB" w:rsidRPr="004E1084">
        <w:rPr>
          <w:rFonts w:ascii="Titillium" w:hAnsi="Titillium"/>
          <w:sz w:val="18"/>
          <w:szCs w:val="18"/>
        </w:rPr>
        <w:t>.</w:t>
      </w:r>
      <w:proofErr w:type="gramEnd"/>
    </w:p>
    <w:p w:rsidR="00570207" w:rsidRPr="00042766" w:rsidRDefault="00570207" w:rsidP="00570207">
      <w:pPr>
        <w:pStyle w:val="Paragrafoelenco"/>
        <w:ind w:left="284"/>
        <w:contextualSpacing w:val="0"/>
        <w:jc w:val="both"/>
        <w:rPr>
          <w:rFonts w:ascii="Titillium" w:hAnsi="Titillium"/>
          <w:sz w:val="20"/>
          <w:szCs w:val="20"/>
          <w:highlight w:val="yellow"/>
        </w:rPr>
      </w:pPr>
    </w:p>
    <w:tbl>
      <w:tblPr>
        <w:tblW w:w="4092" w:type="pct"/>
        <w:tblInd w:w="156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76"/>
        <w:gridCol w:w="2532"/>
        <w:gridCol w:w="2680"/>
      </w:tblGrid>
      <w:tr w:rsidR="00DA550A" w:rsidRPr="00042766" w:rsidTr="00570207">
        <w:trPr>
          <w:trHeight w:val="330"/>
        </w:trPr>
        <w:tc>
          <w:tcPr>
            <w:tcW w:w="1696" w:type="pct"/>
            <w:shd w:val="clear" w:color="auto" w:fill="2770B7"/>
            <w:vAlign w:val="center"/>
          </w:tcPr>
          <w:p w:rsidR="00DA550A" w:rsidRPr="00042766" w:rsidRDefault="00DA550A" w:rsidP="00570207">
            <w:pPr>
              <w:pStyle w:val="ANCATABELLATITOLOBIANCO"/>
              <w:spacing w:after="0"/>
              <w:ind w:left="720"/>
              <w:rPr>
                <w:highlight w:val="yellow"/>
                <w:lang w:val="it-IT"/>
              </w:rPr>
            </w:pPr>
          </w:p>
        </w:tc>
        <w:tc>
          <w:tcPr>
            <w:tcW w:w="1605" w:type="pct"/>
            <w:shd w:val="clear" w:color="auto" w:fill="2770B7"/>
            <w:vAlign w:val="center"/>
          </w:tcPr>
          <w:p w:rsidR="00DA550A" w:rsidRPr="00042766" w:rsidRDefault="00DA550A" w:rsidP="00570207">
            <w:pPr>
              <w:pStyle w:val="ANCATABELLATITOLOBIANCO"/>
              <w:spacing w:after="0"/>
              <w:ind w:left="0"/>
              <w:rPr>
                <w:highlight w:val="yellow"/>
                <w:lang w:val="it-IT"/>
              </w:rPr>
            </w:pPr>
          </w:p>
        </w:tc>
        <w:tc>
          <w:tcPr>
            <w:tcW w:w="1699" w:type="pct"/>
            <w:shd w:val="clear" w:color="auto" w:fill="2770B7"/>
            <w:vAlign w:val="center"/>
          </w:tcPr>
          <w:p w:rsidR="00DA550A" w:rsidRPr="004E1084" w:rsidRDefault="00DA550A" w:rsidP="00570207">
            <w:pPr>
              <w:pStyle w:val="ANCATABELLATITOLOBIANCO"/>
              <w:spacing w:after="0"/>
              <w:ind w:left="0"/>
              <w:rPr>
                <w:lang w:val="it-IT"/>
              </w:rPr>
            </w:pPr>
            <w:r w:rsidRPr="004E1084">
              <w:rPr>
                <w:lang w:val="it-IT"/>
              </w:rPr>
              <w:t xml:space="preserve">Il </w:t>
            </w:r>
            <w:r w:rsidR="00C770F6" w:rsidRPr="004E1084">
              <w:rPr>
                <w:lang w:val="it-IT"/>
              </w:rPr>
              <w:t>Dirigente dell’Ufficio Gare e logistica</w:t>
            </w:r>
          </w:p>
        </w:tc>
      </w:tr>
      <w:tr w:rsidR="00DA550A" w:rsidRPr="00042766" w:rsidTr="00570207">
        <w:trPr>
          <w:trHeight w:val="117"/>
        </w:trPr>
        <w:tc>
          <w:tcPr>
            <w:tcW w:w="1696" w:type="pct"/>
            <w:shd w:val="clear" w:color="auto" w:fill="auto"/>
            <w:vAlign w:val="center"/>
          </w:tcPr>
          <w:p w:rsidR="00DA550A" w:rsidRPr="00042766" w:rsidRDefault="00DA550A" w:rsidP="00570207">
            <w:pPr>
              <w:rPr>
                <w:i/>
                <w:highlight w:val="yellow"/>
              </w:rPr>
            </w:pPr>
          </w:p>
        </w:tc>
        <w:tc>
          <w:tcPr>
            <w:tcW w:w="1605" w:type="pct"/>
            <w:vAlign w:val="center"/>
          </w:tcPr>
          <w:p w:rsidR="00DA550A" w:rsidRPr="00042766" w:rsidRDefault="00570207" w:rsidP="00570207">
            <w:pPr>
              <w:rPr>
                <w:rFonts w:ascii="Titillium" w:hAnsi="Titillium"/>
                <w:i/>
                <w:sz w:val="20"/>
                <w:szCs w:val="20"/>
                <w:highlight w:val="yellow"/>
              </w:rPr>
            </w:pPr>
            <w:r w:rsidRPr="00042766">
              <w:rPr>
                <w:rFonts w:ascii="Titillium" w:hAnsi="Titillium"/>
                <w:i/>
                <w:sz w:val="20"/>
                <w:szCs w:val="20"/>
                <w:highlight w:val="yellow"/>
              </w:rPr>
              <w:t xml:space="preserve">      </w:t>
            </w:r>
          </w:p>
        </w:tc>
        <w:tc>
          <w:tcPr>
            <w:tcW w:w="1699" w:type="pct"/>
            <w:shd w:val="clear" w:color="auto" w:fill="auto"/>
            <w:vAlign w:val="center"/>
          </w:tcPr>
          <w:p w:rsidR="00DA550A" w:rsidRPr="004E1084" w:rsidRDefault="006D0051" w:rsidP="005D701D">
            <w:pPr>
              <w:rPr>
                <w:rFonts w:ascii="Titillium" w:hAnsi="Titillium"/>
                <w:i/>
                <w:sz w:val="20"/>
                <w:szCs w:val="20"/>
              </w:rPr>
            </w:pPr>
            <w:r w:rsidRPr="004E1084">
              <w:rPr>
                <w:rFonts w:ascii="Titillium" w:hAnsi="Titillium"/>
                <w:i/>
                <w:sz w:val="20"/>
                <w:szCs w:val="20"/>
              </w:rPr>
              <w:t xml:space="preserve">       </w:t>
            </w:r>
            <w:r w:rsidR="005D701D" w:rsidRPr="004E1084">
              <w:rPr>
                <w:rFonts w:ascii="Titillium" w:hAnsi="Titillium"/>
                <w:i/>
                <w:sz w:val="20"/>
                <w:szCs w:val="20"/>
              </w:rPr>
              <w:t>Ing. Settimio Picca</w:t>
            </w:r>
          </w:p>
        </w:tc>
      </w:tr>
    </w:tbl>
    <w:p w:rsidR="00570207" w:rsidRPr="00042766" w:rsidRDefault="00570207" w:rsidP="00570207">
      <w:pPr>
        <w:rPr>
          <w:rFonts w:ascii="Titillium" w:hAnsi="Titillium"/>
          <w:sz w:val="20"/>
          <w:szCs w:val="20"/>
          <w:highlight w:val="yellow"/>
        </w:rPr>
      </w:pPr>
    </w:p>
    <w:p w:rsidR="00381B15" w:rsidRPr="00042766" w:rsidRDefault="00381B15" w:rsidP="00570207">
      <w:pPr>
        <w:rPr>
          <w:rFonts w:ascii="Titillium" w:hAnsi="Titillium"/>
          <w:sz w:val="20"/>
          <w:szCs w:val="20"/>
          <w:highlight w:val="yellow"/>
        </w:rPr>
      </w:pPr>
    </w:p>
    <w:p w:rsidR="00531B30" w:rsidRPr="00042766" w:rsidRDefault="00531B30" w:rsidP="00570207">
      <w:pPr>
        <w:rPr>
          <w:rFonts w:ascii="Titillium" w:hAnsi="Titillium"/>
          <w:sz w:val="20"/>
          <w:szCs w:val="20"/>
          <w:highlight w:val="yellow"/>
        </w:rPr>
      </w:pPr>
    </w:p>
    <w:tbl>
      <w:tblPr>
        <w:tblpPr w:leftFromText="141" w:rightFromText="141" w:vertAnchor="text" w:tblpY="1"/>
        <w:tblOverlap w:val="never"/>
        <w:tblW w:w="2471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63"/>
      </w:tblGrid>
      <w:tr w:rsidR="00DA550A" w:rsidRPr="00042766" w:rsidTr="003C3AEC">
        <w:trPr>
          <w:trHeight w:val="658"/>
        </w:trPr>
        <w:tc>
          <w:tcPr>
            <w:tcW w:w="5000" w:type="pct"/>
            <w:shd w:val="clear" w:color="auto" w:fill="2770B7"/>
            <w:vAlign w:val="center"/>
          </w:tcPr>
          <w:p w:rsidR="00DA550A" w:rsidRPr="004E1084" w:rsidRDefault="00DA550A" w:rsidP="00570207">
            <w:pPr>
              <w:pStyle w:val="ANCATABELLATITOLOBIANCO"/>
              <w:tabs>
                <w:tab w:val="clear" w:pos="284"/>
                <w:tab w:val="left" w:pos="82"/>
              </w:tabs>
              <w:spacing w:after="0"/>
              <w:ind w:left="0"/>
              <w:jc w:val="center"/>
              <w:rPr>
                <w:lang w:val="it-IT"/>
              </w:rPr>
            </w:pPr>
            <w:r w:rsidRPr="004E1084">
              <w:rPr>
                <w:lang w:val="it-IT"/>
              </w:rPr>
              <w:lastRenderedPageBreak/>
              <w:t>Visto per la copertura finanziaria</w:t>
            </w:r>
          </w:p>
          <w:p w:rsidR="00DA550A" w:rsidRPr="004E1084" w:rsidRDefault="00DA550A" w:rsidP="00570207">
            <w:pPr>
              <w:pStyle w:val="ANCATABELLATITOLOBIANCO"/>
              <w:tabs>
                <w:tab w:val="clear" w:pos="284"/>
                <w:tab w:val="left" w:pos="82"/>
              </w:tabs>
              <w:spacing w:after="0"/>
              <w:ind w:left="0"/>
              <w:jc w:val="center"/>
              <w:rPr>
                <w:lang w:val="it-IT"/>
              </w:rPr>
            </w:pPr>
            <w:r w:rsidRPr="004E1084">
              <w:rPr>
                <w:lang w:val="it-IT"/>
              </w:rPr>
              <w:t xml:space="preserve">Il Dirigente dell’Ufficio Programmazione </w:t>
            </w:r>
          </w:p>
          <w:p w:rsidR="00DA550A" w:rsidRPr="004E1084" w:rsidRDefault="00DA550A" w:rsidP="00570207">
            <w:pPr>
              <w:pStyle w:val="ANCATABELLATITOLOBIANCO"/>
              <w:tabs>
                <w:tab w:val="clear" w:pos="284"/>
                <w:tab w:val="left" w:pos="82"/>
              </w:tabs>
              <w:spacing w:after="0"/>
              <w:ind w:left="0"/>
              <w:jc w:val="center"/>
              <w:rPr>
                <w:lang w:val="it-IT"/>
              </w:rPr>
            </w:pPr>
            <w:r w:rsidRPr="004E1084">
              <w:rPr>
                <w:lang w:val="it-IT"/>
              </w:rPr>
              <w:t>delle risorse finanziarie, bilancio e contabilità</w:t>
            </w:r>
          </w:p>
        </w:tc>
      </w:tr>
      <w:tr w:rsidR="00DA550A" w:rsidRPr="004E4908" w:rsidTr="003C3AEC">
        <w:trPr>
          <w:trHeight w:val="233"/>
        </w:trPr>
        <w:tc>
          <w:tcPr>
            <w:tcW w:w="5000" w:type="pct"/>
            <w:shd w:val="clear" w:color="auto" w:fill="auto"/>
            <w:vAlign w:val="center"/>
          </w:tcPr>
          <w:p w:rsidR="00DA550A" w:rsidRPr="004E1084" w:rsidRDefault="007C722E" w:rsidP="007C722E">
            <w:pPr>
              <w:rPr>
                <w:rFonts w:ascii="Titillium" w:hAnsi="Titillium"/>
                <w:i/>
                <w:sz w:val="18"/>
                <w:szCs w:val="18"/>
              </w:rPr>
            </w:pPr>
            <w:r w:rsidRPr="004E1084">
              <w:rPr>
                <w:rFonts w:ascii="Titillium" w:hAnsi="Titillium"/>
                <w:i/>
                <w:sz w:val="20"/>
                <w:szCs w:val="20"/>
              </w:rPr>
              <w:t xml:space="preserve">                                    </w:t>
            </w:r>
            <w:r w:rsidR="00DA550A" w:rsidRPr="004E1084">
              <w:rPr>
                <w:rFonts w:ascii="Titillium" w:hAnsi="Titillium"/>
                <w:i/>
                <w:sz w:val="20"/>
                <w:szCs w:val="20"/>
              </w:rPr>
              <w:t>Stefano Ceccarelli</w:t>
            </w:r>
          </w:p>
        </w:tc>
      </w:tr>
    </w:tbl>
    <w:p w:rsidR="00DA550A" w:rsidRDefault="00DA550A" w:rsidP="00570207">
      <w:pPr>
        <w:spacing w:line="276" w:lineRule="auto"/>
        <w:ind w:left="5664" w:firstLine="708"/>
        <w:rPr>
          <w:rFonts w:ascii="Garamond" w:hAnsi="Garamond"/>
          <w:i/>
        </w:rPr>
      </w:pPr>
    </w:p>
    <w:sectPr w:rsidR="00DA550A" w:rsidSect="00D651EA">
      <w:headerReference w:type="default" r:id="rId8"/>
      <w:footerReference w:type="default" r:id="rId9"/>
      <w:pgSz w:w="11906" w:h="16838"/>
      <w:pgMar w:top="1418" w:right="1134" w:bottom="993" w:left="1134" w:header="284" w:footer="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783" w:rsidRDefault="006E0783">
      <w:r>
        <w:separator/>
      </w:r>
    </w:p>
  </w:endnote>
  <w:endnote w:type="continuationSeparator" w:id="0">
    <w:p w:rsidR="006E0783" w:rsidRDefault="006E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Light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otham Book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Titillium Web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2BF" w:rsidRPr="00485D4D" w:rsidRDefault="00AB62BF">
    <w:pPr>
      <w:pStyle w:val="Pidipagina"/>
      <w:jc w:val="right"/>
      <w:rPr>
        <w:rFonts w:ascii="Titillium" w:hAnsi="Titillium"/>
        <w:sz w:val="16"/>
        <w:szCs w:val="16"/>
      </w:rPr>
    </w:pPr>
    <w:r w:rsidRPr="00485D4D">
      <w:rPr>
        <w:rFonts w:ascii="Titillium" w:hAnsi="Titillium"/>
        <w:sz w:val="16"/>
        <w:szCs w:val="16"/>
      </w:rPr>
      <w:t xml:space="preserve">Pag. </w:t>
    </w:r>
    <w:sdt>
      <w:sdtPr>
        <w:rPr>
          <w:rFonts w:ascii="Titillium" w:hAnsi="Titillium"/>
          <w:sz w:val="16"/>
          <w:szCs w:val="16"/>
        </w:rPr>
        <w:id w:val="-5750778"/>
        <w:docPartObj>
          <w:docPartGallery w:val="Page Numbers (Bottom of Page)"/>
          <w:docPartUnique/>
        </w:docPartObj>
      </w:sdtPr>
      <w:sdtEndPr/>
      <w:sdtContent>
        <w:r w:rsidRPr="00485D4D">
          <w:rPr>
            <w:rFonts w:ascii="Titillium" w:hAnsi="Titillium"/>
            <w:sz w:val="16"/>
            <w:szCs w:val="16"/>
          </w:rPr>
          <w:fldChar w:fldCharType="begin"/>
        </w:r>
        <w:r w:rsidRPr="00485D4D">
          <w:rPr>
            <w:rFonts w:ascii="Titillium" w:hAnsi="Titillium"/>
            <w:sz w:val="16"/>
            <w:szCs w:val="16"/>
          </w:rPr>
          <w:instrText>PAGE   \* MERGEFORMAT</w:instrText>
        </w:r>
        <w:r w:rsidRPr="00485D4D">
          <w:rPr>
            <w:rFonts w:ascii="Titillium" w:hAnsi="Titillium"/>
            <w:sz w:val="16"/>
            <w:szCs w:val="16"/>
          </w:rPr>
          <w:fldChar w:fldCharType="separate"/>
        </w:r>
        <w:r w:rsidR="00160D6E">
          <w:rPr>
            <w:rFonts w:ascii="Titillium" w:hAnsi="Titillium"/>
            <w:noProof/>
            <w:sz w:val="16"/>
            <w:szCs w:val="16"/>
          </w:rPr>
          <w:t>1</w:t>
        </w:r>
        <w:r w:rsidRPr="00485D4D">
          <w:rPr>
            <w:rFonts w:ascii="Titillium" w:hAnsi="Titillium"/>
            <w:sz w:val="16"/>
            <w:szCs w:val="16"/>
          </w:rPr>
          <w:fldChar w:fldCharType="end"/>
        </w:r>
      </w:sdtContent>
    </w:sdt>
  </w:p>
  <w:p w:rsidR="003A446F" w:rsidRDefault="003A44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783" w:rsidRDefault="006E0783">
      <w:r>
        <w:separator/>
      </w:r>
    </w:p>
  </w:footnote>
  <w:footnote w:type="continuationSeparator" w:id="0">
    <w:p w:rsidR="006E0783" w:rsidRDefault="006E0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EE6" w:rsidRPr="0012576B" w:rsidRDefault="00D651EA" w:rsidP="009A6162">
    <w:pPr>
      <w:tabs>
        <w:tab w:val="center" w:pos="4678"/>
      </w:tabs>
      <w:spacing w:before="120"/>
      <w:ind w:right="284"/>
      <w:jc w:val="center"/>
      <w:rPr>
        <w:i/>
        <w:color w:val="1F497D"/>
        <w:sz w:val="20"/>
        <w:szCs w:val="20"/>
      </w:rPr>
    </w:pPr>
    <w:r w:rsidRPr="00812E18">
      <w:rPr>
        <w:noProof/>
      </w:rPr>
      <w:drawing>
        <wp:anchor distT="0" distB="0" distL="114300" distR="114300" simplePos="0" relativeHeight="251659264" behindDoc="0" locked="0" layoutInCell="1" allowOverlap="1" wp14:anchorId="0FF36ACC" wp14:editId="0854DB98">
          <wp:simplePos x="0" y="0"/>
          <wp:positionH relativeFrom="margin">
            <wp:posOffset>-111760</wp:posOffset>
          </wp:positionH>
          <wp:positionV relativeFrom="margin">
            <wp:posOffset>-520065</wp:posOffset>
          </wp:positionV>
          <wp:extent cx="2879725" cy="341630"/>
          <wp:effectExtent l="0" t="0" r="0" b="1270"/>
          <wp:wrapSquare wrapText="bothSides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9725" cy="341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F376D"/>
    <w:multiLevelType w:val="hybridMultilevel"/>
    <w:tmpl w:val="49B2AEE0"/>
    <w:lvl w:ilvl="0" w:tplc="04100017">
      <w:start w:val="1"/>
      <w:numFmt w:val="lowerLetter"/>
      <w:lvlText w:val="%1)"/>
      <w:lvlJc w:val="left"/>
      <w:pPr>
        <w:ind w:left="815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255E08"/>
    <w:multiLevelType w:val="hybridMultilevel"/>
    <w:tmpl w:val="49B2AEE0"/>
    <w:lvl w:ilvl="0" w:tplc="04100017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1875704E"/>
    <w:multiLevelType w:val="hybridMultilevel"/>
    <w:tmpl w:val="7E7CF69E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>
      <w:start w:val="1"/>
      <w:numFmt w:val="lowerLetter"/>
      <w:lvlText w:val="%2."/>
      <w:lvlJc w:val="left"/>
      <w:pPr>
        <w:ind w:left="1500" w:hanging="360"/>
      </w:pPr>
    </w:lvl>
    <w:lvl w:ilvl="2" w:tplc="0410001B">
      <w:start w:val="1"/>
      <w:numFmt w:val="lowerRoman"/>
      <w:lvlText w:val="%3."/>
      <w:lvlJc w:val="right"/>
      <w:pPr>
        <w:ind w:left="2220" w:hanging="180"/>
      </w:pPr>
    </w:lvl>
    <w:lvl w:ilvl="3" w:tplc="0410000F">
      <w:start w:val="1"/>
      <w:numFmt w:val="decimal"/>
      <w:lvlText w:val="%4."/>
      <w:lvlJc w:val="left"/>
      <w:pPr>
        <w:ind w:left="2940" w:hanging="360"/>
      </w:pPr>
    </w:lvl>
    <w:lvl w:ilvl="4" w:tplc="04100019">
      <w:start w:val="1"/>
      <w:numFmt w:val="lowerLetter"/>
      <w:lvlText w:val="%5."/>
      <w:lvlJc w:val="left"/>
      <w:pPr>
        <w:ind w:left="3660" w:hanging="360"/>
      </w:pPr>
    </w:lvl>
    <w:lvl w:ilvl="5" w:tplc="0410001B">
      <w:start w:val="1"/>
      <w:numFmt w:val="lowerRoman"/>
      <w:lvlText w:val="%6."/>
      <w:lvlJc w:val="right"/>
      <w:pPr>
        <w:ind w:left="4380" w:hanging="180"/>
      </w:pPr>
    </w:lvl>
    <w:lvl w:ilvl="6" w:tplc="0410000F">
      <w:start w:val="1"/>
      <w:numFmt w:val="decimal"/>
      <w:lvlText w:val="%7."/>
      <w:lvlJc w:val="left"/>
      <w:pPr>
        <w:ind w:left="5100" w:hanging="360"/>
      </w:pPr>
    </w:lvl>
    <w:lvl w:ilvl="7" w:tplc="04100019">
      <w:start w:val="1"/>
      <w:numFmt w:val="lowerLetter"/>
      <w:lvlText w:val="%8."/>
      <w:lvlJc w:val="left"/>
      <w:pPr>
        <w:ind w:left="5820" w:hanging="360"/>
      </w:pPr>
    </w:lvl>
    <w:lvl w:ilvl="8" w:tplc="0410001B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09E69A7"/>
    <w:multiLevelType w:val="hybridMultilevel"/>
    <w:tmpl w:val="71486406"/>
    <w:lvl w:ilvl="0" w:tplc="773A90A4">
      <w:start w:val="2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E1A3467"/>
    <w:multiLevelType w:val="hybridMultilevel"/>
    <w:tmpl w:val="D6CCF7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F73E4"/>
    <w:multiLevelType w:val="hybridMultilevel"/>
    <w:tmpl w:val="0428C0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7300A"/>
    <w:multiLevelType w:val="hybridMultilevel"/>
    <w:tmpl w:val="49B2AEE0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6AA64E3"/>
    <w:multiLevelType w:val="hybridMultilevel"/>
    <w:tmpl w:val="3020C0E0"/>
    <w:lvl w:ilvl="0" w:tplc="6DACF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5B6B65"/>
    <w:multiLevelType w:val="hybridMultilevel"/>
    <w:tmpl w:val="AE207DE2"/>
    <w:lvl w:ilvl="0" w:tplc="D662FD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2B2E43"/>
    <w:multiLevelType w:val="hybridMultilevel"/>
    <w:tmpl w:val="64A6D25E"/>
    <w:lvl w:ilvl="0" w:tplc="E0F4AA76">
      <w:start w:val="1"/>
      <w:numFmt w:val="bullet"/>
      <w:lvlText w:val="-"/>
      <w:lvlJc w:val="left"/>
      <w:pPr>
        <w:ind w:left="1287" w:hanging="360"/>
      </w:pPr>
      <w:rPr>
        <w:rFonts w:ascii="Verdana" w:hAnsi="Verdana" w:hint="default"/>
      </w:rPr>
    </w:lvl>
    <w:lvl w:ilvl="1" w:tplc="E532467A">
      <w:numFmt w:val="bullet"/>
      <w:lvlText w:val=""/>
      <w:lvlJc w:val="left"/>
      <w:pPr>
        <w:ind w:left="2007" w:hanging="360"/>
      </w:pPr>
      <w:rPr>
        <w:rFonts w:ascii="Symbol" w:eastAsiaTheme="minorHAnsi" w:hAnsi="Symbol" w:cs="Arial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9"/>
  </w:num>
  <w:num w:numId="10">
    <w:abstractNumId w:val="7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67F"/>
    <w:rsid w:val="00005679"/>
    <w:rsid w:val="0001478E"/>
    <w:rsid w:val="00027E87"/>
    <w:rsid w:val="00042766"/>
    <w:rsid w:val="00075C20"/>
    <w:rsid w:val="0008603F"/>
    <w:rsid w:val="000A1CCC"/>
    <w:rsid w:val="000C4B00"/>
    <w:rsid w:val="0010664A"/>
    <w:rsid w:val="00114C4C"/>
    <w:rsid w:val="0011731E"/>
    <w:rsid w:val="00120243"/>
    <w:rsid w:val="00127A81"/>
    <w:rsid w:val="00135F2E"/>
    <w:rsid w:val="00160522"/>
    <w:rsid w:val="00160D6E"/>
    <w:rsid w:val="00175D4E"/>
    <w:rsid w:val="001833D2"/>
    <w:rsid w:val="00190808"/>
    <w:rsid w:val="001A2E3E"/>
    <w:rsid w:val="001B574D"/>
    <w:rsid w:val="001C3FA7"/>
    <w:rsid w:val="001C466C"/>
    <w:rsid w:val="001D1EE5"/>
    <w:rsid w:val="001E4706"/>
    <w:rsid w:val="001F09E8"/>
    <w:rsid w:val="001F513E"/>
    <w:rsid w:val="00227F61"/>
    <w:rsid w:val="00230E11"/>
    <w:rsid w:val="00242E26"/>
    <w:rsid w:val="00244674"/>
    <w:rsid w:val="0024510C"/>
    <w:rsid w:val="00247AB2"/>
    <w:rsid w:val="002571ED"/>
    <w:rsid w:val="00267832"/>
    <w:rsid w:val="002751E9"/>
    <w:rsid w:val="00292591"/>
    <w:rsid w:val="002A2864"/>
    <w:rsid w:val="002B6F9A"/>
    <w:rsid w:val="002C4276"/>
    <w:rsid w:val="002D62A6"/>
    <w:rsid w:val="00301C33"/>
    <w:rsid w:val="00301E86"/>
    <w:rsid w:val="00302DE1"/>
    <w:rsid w:val="00310F9B"/>
    <w:rsid w:val="00317AEE"/>
    <w:rsid w:val="00351851"/>
    <w:rsid w:val="00356F6E"/>
    <w:rsid w:val="00360A38"/>
    <w:rsid w:val="0037403A"/>
    <w:rsid w:val="00381B15"/>
    <w:rsid w:val="00383DFD"/>
    <w:rsid w:val="003A446F"/>
    <w:rsid w:val="003A7725"/>
    <w:rsid w:val="003B09C0"/>
    <w:rsid w:val="003B6D56"/>
    <w:rsid w:val="003B7756"/>
    <w:rsid w:val="003C423E"/>
    <w:rsid w:val="003C53D9"/>
    <w:rsid w:val="003D1A74"/>
    <w:rsid w:val="003E52ED"/>
    <w:rsid w:val="0041524E"/>
    <w:rsid w:val="00417722"/>
    <w:rsid w:val="004219F2"/>
    <w:rsid w:val="00450CFC"/>
    <w:rsid w:val="00485D4D"/>
    <w:rsid w:val="004E1084"/>
    <w:rsid w:val="00504D4B"/>
    <w:rsid w:val="0052646B"/>
    <w:rsid w:val="0053090E"/>
    <w:rsid w:val="00531B30"/>
    <w:rsid w:val="005368B4"/>
    <w:rsid w:val="00546E80"/>
    <w:rsid w:val="00564B66"/>
    <w:rsid w:val="0056782A"/>
    <w:rsid w:val="00570207"/>
    <w:rsid w:val="00575246"/>
    <w:rsid w:val="005817E0"/>
    <w:rsid w:val="005871C2"/>
    <w:rsid w:val="005C7822"/>
    <w:rsid w:val="005D6FFD"/>
    <w:rsid w:val="005D701D"/>
    <w:rsid w:val="005F5963"/>
    <w:rsid w:val="00600C6C"/>
    <w:rsid w:val="00617DAB"/>
    <w:rsid w:val="00631285"/>
    <w:rsid w:val="00637842"/>
    <w:rsid w:val="00675059"/>
    <w:rsid w:val="00676EF3"/>
    <w:rsid w:val="006A0051"/>
    <w:rsid w:val="006A3F11"/>
    <w:rsid w:val="006A3FE8"/>
    <w:rsid w:val="006B55BF"/>
    <w:rsid w:val="006D0051"/>
    <w:rsid w:val="006D64E8"/>
    <w:rsid w:val="006E0783"/>
    <w:rsid w:val="00713014"/>
    <w:rsid w:val="00721312"/>
    <w:rsid w:val="00721AFB"/>
    <w:rsid w:val="0072520B"/>
    <w:rsid w:val="007330C5"/>
    <w:rsid w:val="00753616"/>
    <w:rsid w:val="007546E7"/>
    <w:rsid w:val="0075767F"/>
    <w:rsid w:val="00762FF3"/>
    <w:rsid w:val="007648CF"/>
    <w:rsid w:val="007A2D21"/>
    <w:rsid w:val="007B5CCE"/>
    <w:rsid w:val="007C4F60"/>
    <w:rsid w:val="007C722E"/>
    <w:rsid w:val="007D15C4"/>
    <w:rsid w:val="007D726E"/>
    <w:rsid w:val="007E5A4E"/>
    <w:rsid w:val="007F7E05"/>
    <w:rsid w:val="008031B4"/>
    <w:rsid w:val="00826075"/>
    <w:rsid w:val="0083089C"/>
    <w:rsid w:val="00837E58"/>
    <w:rsid w:val="00852815"/>
    <w:rsid w:val="008736B2"/>
    <w:rsid w:val="0087432A"/>
    <w:rsid w:val="00877254"/>
    <w:rsid w:val="00877846"/>
    <w:rsid w:val="00887F83"/>
    <w:rsid w:val="008B2EBA"/>
    <w:rsid w:val="008B4DB6"/>
    <w:rsid w:val="008C5C31"/>
    <w:rsid w:val="008D32E1"/>
    <w:rsid w:val="008D7A38"/>
    <w:rsid w:val="008E5E21"/>
    <w:rsid w:val="008F4263"/>
    <w:rsid w:val="009060DE"/>
    <w:rsid w:val="00917076"/>
    <w:rsid w:val="009265BF"/>
    <w:rsid w:val="009415F7"/>
    <w:rsid w:val="00946B87"/>
    <w:rsid w:val="00950EE1"/>
    <w:rsid w:val="00961103"/>
    <w:rsid w:val="009745E7"/>
    <w:rsid w:val="009937DC"/>
    <w:rsid w:val="00993D37"/>
    <w:rsid w:val="009A11D9"/>
    <w:rsid w:val="009A31EF"/>
    <w:rsid w:val="009B06A1"/>
    <w:rsid w:val="009B0926"/>
    <w:rsid w:val="009B7DE6"/>
    <w:rsid w:val="009E6F77"/>
    <w:rsid w:val="009E746A"/>
    <w:rsid w:val="00A02BA0"/>
    <w:rsid w:val="00A03928"/>
    <w:rsid w:val="00A10371"/>
    <w:rsid w:val="00A1785A"/>
    <w:rsid w:val="00A2590F"/>
    <w:rsid w:val="00A318D6"/>
    <w:rsid w:val="00A325BF"/>
    <w:rsid w:val="00A47D6A"/>
    <w:rsid w:val="00A52189"/>
    <w:rsid w:val="00A563BB"/>
    <w:rsid w:val="00A617DC"/>
    <w:rsid w:val="00A65734"/>
    <w:rsid w:val="00A74FE2"/>
    <w:rsid w:val="00A754EB"/>
    <w:rsid w:val="00A75992"/>
    <w:rsid w:val="00A77226"/>
    <w:rsid w:val="00A86EDC"/>
    <w:rsid w:val="00A93C7A"/>
    <w:rsid w:val="00AA591F"/>
    <w:rsid w:val="00AA6E3E"/>
    <w:rsid w:val="00AB62BF"/>
    <w:rsid w:val="00AC6AB4"/>
    <w:rsid w:val="00AC6E03"/>
    <w:rsid w:val="00AD5387"/>
    <w:rsid w:val="00AD7223"/>
    <w:rsid w:val="00AD7D3F"/>
    <w:rsid w:val="00B04A07"/>
    <w:rsid w:val="00B154B6"/>
    <w:rsid w:val="00B31A25"/>
    <w:rsid w:val="00B34779"/>
    <w:rsid w:val="00B35D68"/>
    <w:rsid w:val="00B575B2"/>
    <w:rsid w:val="00B579A2"/>
    <w:rsid w:val="00B66B33"/>
    <w:rsid w:val="00B7025F"/>
    <w:rsid w:val="00B74FF9"/>
    <w:rsid w:val="00B77FE3"/>
    <w:rsid w:val="00B9299E"/>
    <w:rsid w:val="00B944C1"/>
    <w:rsid w:val="00BC08FB"/>
    <w:rsid w:val="00BD021A"/>
    <w:rsid w:val="00BE70AF"/>
    <w:rsid w:val="00C11028"/>
    <w:rsid w:val="00C20DA0"/>
    <w:rsid w:val="00C2425F"/>
    <w:rsid w:val="00C2597F"/>
    <w:rsid w:val="00C50676"/>
    <w:rsid w:val="00C5693A"/>
    <w:rsid w:val="00C56DB3"/>
    <w:rsid w:val="00C65BF7"/>
    <w:rsid w:val="00C770F6"/>
    <w:rsid w:val="00C81CB5"/>
    <w:rsid w:val="00CB662A"/>
    <w:rsid w:val="00CD7A70"/>
    <w:rsid w:val="00CE447D"/>
    <w:rsid w:val="00CF4B1E"/>
    <w:rsid w:val="00D0550D"/>
    <w:rsid w:val="00D112CC"/>
    <w:rsid w:val="00D15A98"/>
    <w:rsid w:val="00D23673"/>
    <w:rsid w:val="00D40507"/>
    <w:rsid w:val="00D64BD2"/>
    <w:rsid w:val="00D64E56"/>
    <w:rsid w:val="00D651EA"/>
    <w:rsid w:val="00DA550A"/>
    <w:rsid w:val="00DB1768"/>
    <w:rsid w:val="00DC56C0"/>
    <w:rsid w:val="00DD7553"/>
    <w:rsid w:val="00DE03B6"/>
    <w:rsid w:val="00DE1AF3"/>
    <w:rsid w:val="00DE22FA"/>
    <w:rsid w:val="00DF0701"/>
    <w:rsid w:val="00DF2AEB"/>
    <w:rsid w:val="00DF7C09"/>
    <w:rsid w:val="00E17EC3"/>
    <w:rsid w:val="00E57115"/>
    <w:rsid w:val="00E63EE0"/>
    <w:rsid w:val="00E80F80"/>
    <w:rsid w:val="00E94323"/>
    <w:rsid w:val="00E97631"/>
    <w:rsid w:val="00EA2D35"/>
    <w:rsid w:val="00EA3565"/>
    <w:rsid w:val="00EB33DB"/>
    <w:rsid w:val="00ED1901"/>
    <w:rsid w:val="00ED7169"/>
    <w:rsid w:val="00EE0027"/>
    <w:rsid w:val="00EE0543"/>
    <w:rsid w:val="00EF0467"/>
    <w:rsid w:val="00F107DE"/>
    <w:rsid w:val="00F20CB0"/>
    <w:rsid w:val="00F22986"/>
    <w:rsid w:val="00F27FAF"/>
    <w:rsid w:val="00F3506B"/>
    <w:rsid w:val="00F4489A"/>
    <w:rsid w:val="00F46C8F"/>
    <w:rsid w:val="00F5346F"/>
    <w:rsid w:val="00F63A6E"/>
    <w:rsid w:val="00F85ACA"/>
    <w:rsid w:val="00F87066"/>
    <w:rsid w:val="00FB3281"/>
    <w:rsid w:val="00FB7ADA"/>
    <w:rsid w:val="00FC6854"/>
    <w:rsid w:val="00FE048D"/>
    <w:rsid w:val="00FE361A"/>
    <w:rsid w:val="00FF2426"/>
    <w:rsid w:val="00FF69F7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8170DFE"/>
  <w15:docId w15:val="{7BEFB838-27FD-4872-9A73-3C3E0890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5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8736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135F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5F2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135F2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35F2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135F2E"/>
    <w:pPr>
      <w:ind w:left="720"/>
      <w:contextualSpacing/>
    </w:pPr>
  </w:style>
  <w:style w:type="table" w:styleId="Grigliatabella">
    <w:name w:val="Table Grid"/>
    <w:basedOn w:val="Tabellanormale"/>
    <w:uiPriority w:val="59"/>
    <w:rsid w:val="00135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5F2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5F2E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27A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7A8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736B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736B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04D4B"/>
    <w:rPr>
      <w:color w:val="800080" w:themeColor="followedHyperlink"/>
      <w:u w:val="single"/>
    </w:rPr>
  </w:style>
  <w:style w:type="paragraph" w:customStyle="1" w:styleId="Default">
    <w:name w:val="Default"/>
    <w:rsid w:val="001F09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NAC-TitoloParagrafo">
    <w:name w:val="ANAC - Titolo Paragrafo"/>
    <w:basedOn w:val="Normale"/>
    <w:link w:val="ANAC-TitoloParagrafoCarattere"/>
    <w:qFormat/>
    <w:rsid w:val="00D651EA"/>
    <w:pPr>
      <w:keepNext/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/>
      <w:ind w:left="1560" w:right="142"/>
      <w:outlineLvl w:val="4"/>
    </w:pPr>
    <w:rPr>
      <w:rFonts w:ascii="Gotham Light" w:eastAsiaTheme="majorEastAsia" w:hAnsi="Gotham Light" w:cstheme="majorBidi"/>
      <w:color w:val="2770B7"/>
      <w:sz w:val="28"/>
      <w:lang w:eastAsia="en-US"/>
    </w:rPr>
  </w:style>
  <w:style w:type="character" w:customStyle="1" w:styleId="ANAC-TitoloParagrafoCarattere">
    <w:name w:val="ANAC - Titolo Paragrafo Carattere"/>
    <w:basedOn w:val="Carpredefinitoparagrafo"/>
    <w:link w:val="ANAC-TitoloParagrafo"/>
    <w:rsid w:val="00D651EA"/>
    <w:rPr>
      <w:rFonts w:ascii="Gotham Light" w:eastAsiaTheme="majorEastAsia" w:hAnsi="Gotham Light" w:cstheme="majorBidi"/>
      <w:color w:val="2770B7"/>
      <w:sz w:val="28"/>
      <w:szCs w:val="24"/>
    </w:rPr>
  </w:style>
  <w:style w:type="paragraph" w:customStyle="1" w:styleId="ANCATABELLATITOLOBIANCO">
    <w:name w:val="ANCA_TABELLA_TITOLO BIANCO"/>
    <w:basedOn w:val="Normale"/>
    <w:qFormat/>
    <w:rsid w:val="00DA550A"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after="160" w:line="276" w:lineRule="auto"/>
      <w:ind w:left="1560" w:right="142"/>
    </w:pPr>
    <w:rPr>
      <w:rFonts w:ascii="Gotham Book" w:eastAsiaTheme="minorHAnsi" w:hAnsi="Gotham Book" w:cs="Titillium Web"/>
      <w:color w:val="FFFFFF" w:themeColor="background1"/>
      <w:sz w:val="20"/>
      <w:szCs w:val="20"/>
      <w:lang w:val="en-US" w:eastAsia="en-US"/>
    </w:rPr>
  </w:style>
  <w:style w:type="paragraph" w:styleId="NormaleWeb">
    <w:name w:val="Normal (Web)"/>
    <w:basedOn w:val="Normale"/>
    <w:uiPriority w:val="99"/>
    <w:semiHidden/>
    <w:unhideWhenUsed/>
    <w:rsid w:val="00961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7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29073">
              <w:marLeft w:val="0"/>
              <w:marRight w:val="0"/>
              <w:marTop w:val="270"/>
              <w:marBottom w:val="180"/>
              <w:divBdr>
                <w:top w:val="double" w:sz="2" w:space="0" w:color="B3A3A3"/>
                <w:left w:val="double" w:sz="2" w:space="6" w:color="B3A3A3"/>
                <w:bottom w:val="double" w:sz="2" w:space="6" w:color="B3A3A3"/>
                <w:right w:val="double" w:sz="2" w:space="6" w:color="B3A3A3"/>
              </w:divBdr>
            </w:div>
          </w:divsChild>
        </w:div>
      </w:divsChild>
    </w:div>
    <w:div w:id="8365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3815">
              <w:marLeft w:val="0"/>
              <w:marRight w:val="0"/>
              <w:marTop w:val="270"/>
              <w:marBottom w:val="180"/>
              <w:divBdr>
                <w:top w:val="double" w:sz="2" w:space="0" w:color="B3A3A3"/>
                <w:left w:val="double" w:sz="2" w:space="6" w:color="B3A3A3"/>
                <w:bottom w:val="double" w:sz="2" w:space="6" w:color="B3A3A3"/>
                <w:right w:val="double" w:sz="2" w:space="6" w:color="B3A3A3"/>
              </w:divBdr>
            </w:div>
          </w:divsChild>
        </w:div>
      </w:divsChild>
    </w:div>
    <w:div w:id="17627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FDA066-C035-4770-B825-F68B01948E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04DE7-4F55-4115-8A3E-BD859DEB036A}"/>
</file>

<file path=customXml/itemProps3.xml><?xml version="1.0" encoding="utf-8"?>
<ds:datastoreItem xmlns:ds="http://schemas.openxmlformats.org/officeDocument/2006/customXml" ds:itemID="{5EC7E56B-6287-434A-96F2-09F3FBD103BC}"/>
</file>

<file path=customXml/itemProps4.xml><?xml version="1.0" encoding="utf-8"?>
<ds:datastoreItem xmlns:ds="http://schemas.openxmlformats.org/officeDocument/2006/customXml" ds:itemID="{7C2699F9-536A-405A-BA7F-9797C2B86C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Lorenzetti Maria Luisa</dc:creator>
  <cp:lastModifiedBy>Pallotta Luca</cp:lastModifiedBy>
  <cp:revision>18</cp:revision>
  <cp:lastPrinted>2023-06-22T07:48:00Z</cp:lastPrinted>
  <dcterms:created xsi:type="dcterms:W3CDTF">2023-01-24T08:52:00Z</dcterms:created>
  <dcterms:modified xsi:type="dcterms:W3CDTF">2023-06-22T08:09:00Z</dcterms:modified>
</cp:coreProperties>
</file>