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0B" w:rsidRDefault="00B6390B" w:rsidP="00E0422F">
      <w:pPr>
        <w:tabs>
          <w:tab w:val="left" w:pos="2774"/>
        </w:tabs>
        <w:spacing w:before="120" w:after="120" w:line="276" w:lineRule="auto"/>
        <w:rPr>
          <w:rFonts w:ascii="Gotham Book" w:hAnsi="Gotham Book" w:cs="Arial"/>
          <w:b/>
          <w:color w:val="2E74B5"/>
        </w:rPr>
      </w:pPr>
    </w:p>
    <w:p w:rsidR="00B80660" w:rsidRPr="00E0422F" w:rsidRDefault="004B6C64" w:rsidP="00E0422F">
      <w:pPr>
        <w:tabs>
          <w:tab w:val="left" w:pos="2774"/>
        </w:tabs>
        <w:spacing w:before="120" w:after="120" w:line="276" w:lineRule="auto"/>
        <w:jc w:val="center"/>
        <w:rPr>
          <w:rFonts w:ascii="Gotham Light" w:hAnsi="Gotham Light"/>
          <w:b/>
          <w:sz w:val="36"/>
          <w:szCs w:val="36"/>
        </w:rPr>
      </w:pPr>
      <w:r>
        <w:rPr>
          <w:rFonts w:ascii="Gotham Light" w:hAnsi="Gotham Light" w:cs="Arial"/>
          <w:b/>
          <w:color w:val="2E74B5"/>
          <w:sz w:val="36"/>
          <w:szCs w:val="36"/>
        </w:rPr>
        <w:t>DECISIONE DI</w:t>
      </w:r>
      <w:r w:rsidR="00C95049" w:rsidRPr="008B6ABE">
        <w:rPr>
          <w:rFonts w:ascii="Gotham Light" w:hAnsi="Gotham Light" w:cs="Arial"/>
          <w:b/>
          <w:color w:val="2E74B5"/>
          <w:sz w:val="36"/>
          <w:szCs w:val="36"/>
        </w:rPr>
        <w:t xml:space="preserve"> CONTRARRE</w:t>
      </w:r>
    </w:p>
    <w:p w:rsidR="004B6C64" w:rsidRDefault="00332723" w:rsidP="00212EA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b/>
          <w:sz w:val="20"/>
          <w:szCs w:val="20"/>
        </w:rPr>
        <w:t>VISTO</w:t>
      </w:r>
      <w:r w:rsidRPr="00B80660">
        <w:rPr>
          <w:rFonts w:ascii="Titillium" w:hAnsi="Titillium"/>
          <w:sz w:val="20"/>
          <w:szCs w:val="20"/>
        </w:rPr>
        <w:t xml:space="preserve"> il decreto legislativo </w:t>
      </w:r>
      <w:r w:rsidR="004B6C64">
        <w:rPr>
          <w:rFonts w:ascii="Titillium" w:hAnsi="Titillium"/>
          <w:sz w:val="20"/>
          <w:szCs w:val="20"/>
        </w:rPr>
        <w:t>31 marzo 2023, n. 36, ed in particolare il comma 1 dell’art. 17, il quale prevede che,</w:t>
      </w:r>
      <w:r w:rsidRPr="00B80660">
        <w:rPr>
          <w:rFonts w:ascii="Titillium" w:hAnsi="Titillium"/>
          <w:sz w:val="20"/>
          <w:szCs w:val="20"/>
        </w:rPr>
        <w:t xml:space="preserve"> prima dell’avvio delle procedure di aff</w:t>
      </w:r>
      <w:r w:rsidR="004B6C64">
        <w:rPr>
          <w:rFonts w:ascii="Titillium" w:hAnsi="Titillium"/>
          <w:sz w:val="20"/>
          <w:szCs w:val="20"/>
        </w:rPr>
        <w:t>idamento dei contratti pubblici, le stazioni appaltanti -</w:t>
      </w:r>
      <w:r w:rsidRPr="00B80660">
        <w:rPr>
          <w:rFonts w:ascii="Titillium" w:hAnsi="Titillium"/>
          <w:sz w:val="20"/>
          <w:szCs w:val="20"/>
        </w:rPr>
        <w:t xml:space="preserve"> </w:t>
      </w:r>
      <w:r w:rsidR="004B6C64">
        <w:rPr>
          <w:rFonts w:ascii="Titillium" w:hAnsi="Titillium"/>
          <w:sz w:val="20"/>
          <w:szCs w:val="20"/>
        </w:rPr>
        <w:t>con apposito atto -</w:t>
      </w:r>
      <w:r w:rsidR="004B6C64" w:rsidRPr="004B6C64">
        <w:rPr>
          <w:rFonts w:ascii="Titillium" w:hAnsi="Titillium"/>
          <w:sz w:val="20"/>
          <w:szCs w:val="20"/>
        </w:rPr>
        <w:t xml:space="preserve"> adottano la decisione di contrarre individuando gli elementi essenziali del contratto e i criteri di selezione degli operatori economici e delle offerte</w:t>
      </w:r>
      <w:r w:rsidR="004B6C64">
        <w:rPr>
          <w:rFonts w:ascii="Titillium" w:hAnsi="Titillium"/>
          <w:sz w:val="20"/>
          <w:szCs w:val="20"/>
        </w:rPr>
        <w:t>;</w:t>
      </w:r>
    </w:p>
    <w:p w:rsidR="00332723" w:rsidRDefault="00332723" w:rsidP="00212EA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b/>
          <w:sz w:val="20"/>
          <w:szCs w:val="20"/>
        </w:rPr>
        <w:t>VISTO</w:t>
      </w:r>
      <w:r w:rsidRPr="00B80660">
        <w:rPr>
          <w:rFonts w:ascii="Titillium" w:hAnsi="Titillium"/>
          <w:sz w:val="20"/>
          <w:szCs w:val="20"/>
        </w:rPr>
        <w:t xml:space="preserve"> il </w:t>
      </w:r>
      <w:r w:rsidR="00BD1180" w:rsidRPr="00BD1180">
        <w:rPr>
          <w:rFonts w:ascii="Titillium" w:hAnsi="Titillium"/>
          <w:sz w:val="20"/>
          <w:szCs w:val="20"/>
        </w:rPr>
        <w:t>Regolamento per la disciplina dei contratti pubblici di servizi e forniture stipulati dall’Autorità approvato con Delibera n. 538 del 7.7.2021</w:t>
      </w:r>
      <w:r w:rsidR="00BD1180">
        <w:rPr>
          <w:rFonts w:ascii="Titillium" w:hAnsi="Titillium"/>
          <w:sz w:val="20"/>
          <w:szCs w:val="20"/>
        </w:rPr>
        <w:t xml:space="preserve"> e pubblicato in data 21.7.2021</w:t>
      </w:r>
      <w:r w:rsidRPr="00B80660">
        <w:rPr>
          <w:rFonts w:ascii="Titillium" w:hAnsi="Titillium"/>
          <w:sz w:val="20"/>
          <w:szCs w:val="20"/>
        </w:rPr>
        <w:t>;</w:t>
      </w:r>
    </w:p>
    <w:p w:rsidR="00CA2405" w:rsidRDefault="00CA2405" w:rsidP="00CA2405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b/>
          <w:sz w:val="20"/>
          <w:szCs w:val="20"/>
        </w:rPr>
        <w:t xml:space="preserve">VISTO </w:t>
      </w:r>
      <w:r>
        <w:rPr>
          <w:rFonts w:ascii="Titillium" w:hAnsi="Titillium"/>
          <w:sz w:val="20"/>
          <w:szCs w:val="20"/>
        </w:rPr>
        <w:t xml:space="preserve">il contratto </w:t>
      </w:r>
      <w:proofErr w:type="spellStart"/>
      <w:r>
        <w:rPr>
          <w:rFonts w:ascii="Titillium" w:hAnsi="Titillium"/>
          <w:sz w:val="20"/>
          <w:szCs w:val="20"/>
        </w:rPr>
        <w:t>prot</w:t>
      </w:r>
      <w:proofErr w:type="spellEnd"/>
      <w:r>
        <w:rPr>
          <w:rFonts w:ascii="Titillium" w:hAnsi="Titillium"/>
          <w:sz w:val="20"/>
          <w:szCs w:val="20"/>
        </w:rPr>
        <w:t xml:space="preserve">. n. 88303 del 9.12.2021, stipulato dall’Autorità con Marrocco </w:t>
      </w:r>
      <w:proofErr w:type="spellStart"/>
      <w:r>
        <w:rPr>
          <w:rFonts w:ascii="Titillium" w:hAnsi="Titillium"/>
          <w:sz w:val="20"/>
          <w:szCs w:val="20"/>
        </w:rPr>
        <w:t>Elevators</w:t>
      </w:r>
      <w:proofErr w:type="spellEnd"/>
      <w:r>
        <w:rPr>
          <w:rFonts w:ascii="Titillium" w:hAnsi="Titillium"/>
          <w:sz w:val="20"/>
          <w:szCs w:val="20"/>
        </w:rPr>
        <w:t xml:space="preserve"> S.r.l. e avente ad oggetto il servizio di conduzione e manutenzione ordinaria degli impianti elevatori installati nella sede ANAC;</w:t>
      </w:r>
    </w:p>
    <w:p w:rsidR="00CA2405" w:rsidRDefault="00CA2405" w:rsidP="00CA2405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b/>
          <w:sz w:val="20"/>
          <w:szCs w:val="20"/>
        </w:rPr>
        <w:t>CONSIDERATO</w:t>
      </w:r>
      <w:r w:rsidRPr="00B80660">
        <w:rPr>
          <w:rFonts w:ascii="Titillium" w:hAnsi="Titillium"/>
          <w:sz w:val="20"/>
          <w:szCs w:val="20"/>
        </w:rPr>
        <w:t xml:space="preserve"> che</w:t>
      </w:r>
      <w:r>
        <w:rPr>
          <w:rFonts w:ascii="Titillium" w:hAnsi="Titillium"/>
          <w:sz w:val="20"/>
          <w:szCs w:val="20"/>
        </w:rPr>
        <w:t xml:space="preserve"> il predetto contratto scadrà in data 7.8.2023;</w:t>
      </w:r>
    </w:p>
    <w:p w:rsidR="006C6C74" w:rsidRDefault="006C6C74" w:rsidP="00CA2405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 xml:space="preserve">TENUTO CONTO </w:t>
      </w:r>
      <w:r>
        <w:rPr>
          <w:rFonts w:ascii="Titillium" w:hAnsi="Titillium"/>
          <w:sz w:val="20"/>
          <w:szCs w:val="20"/>
        </w:rPr>
        <w:t>della necessità di garantire la continuità del servizio in parola;</w:t>
      </w:r>
    </w:p>
    <w:p w:rsidR="00CA2405" w:rsidRDefault="00CA2405" w:rsidP="00CA2405">
      <w:pPr>
        <w:pStyle w:val="NormaleWeb"/>
        <w:spacing w:before="0" w:beforeAutospacing="0" w:after="100" w:line="276" w:lineRule="auto"/>
        <w:jc w:val="both"/>
        <w:rPr>
          <w:rFonts w:ascii="Titillium" w:eastAsia="Times New Roman" w:hAnsi="Titillium"/>
          <w:sz w:val="20"/>
          <w:szCs w:val="20"/>
        </w:rPr>
      </w:pPr>
      <w:r w:rsidRPr="00B80660">
        <w:rPr>
          <w:rFonts w:ascii="Titillium" w:eastAsia="Times New Roman" w:hAnsi="Titillium"/>
          <w:b/>
          <w:sz w:val="20"/>
          <w:szCs w:val="20"/>
        </w:rPr>
        <w:t>CONSIDERATO</w:t>
      </w:r>
      <w:r w:rsidRPr="00B80660">
        <w:rPr>
          <w:rFonts w:ascii="Titillium" w:eastAsia="Times New Roman" w:hAnsi="Titillium"/>
          <w:sz w:val="20"/>
          <w:szCs w:val="20"/>
        </w:rPr>
        <w:t xml:space="preserve"> che nell’Atto di programmazione</w:t>
      </w:r>
      <w:r>
        <w:rPr>
          <w:rFonts w:ascii="Titillium" w:eastAsia="Times New Roman" w:hAnsi="Titillium"/>
          <w:sz w:val="20"/>
          <w:szCs w:val="20"/>
        </w:rPr>
        <w:t xml:space="preserve"> biennale 2023-24</w:t>
      </w:r>
      <w:r w:rsidRPr="00B80660">
        <w:rPr>
          <w:rFonts w:ascii="Titillium" w:eastAsia="Times New Roman" w:hAnsi="Titillium"/>
          <w:sz w:val="20"/>
          <w:szCs w:val="20"/>
        </w:rPr>
        <w:t xml:space="preserve"> degli acquisti dell’Autorit</w:t>
      </w:r>
      <w:r>
        <w:rPr>
          <w:rFonts w:ascii="Titillium" w:eastAsia="Times New Roman" w:hAnsi="Titillium"/>
          <w:sz w:val="20"/>
          <w:szCs w:val="20"/>
        </w:rPr>
        <w:t xml:space="preserve">à </w:t>
      </w:r>
      <w:r w:rsidRPr="00AC165C">
        <w:rPr>
          <w:rFonts w:ascii="Titillium" w:eastAsia="Times New Roman" w:hAnsi="Titillium"/>
          <w:sz w:val="20"/>
          <w:szCs w:val="20"/>
        </w:rPr>
        <w:t xml:space="preserve">è prevista una spesa per i servizi di </w:t>
      </w:r>
      <w:r>
        <w:rPr>
          <w:rFonts w:ascii="Titillium" w:eastAsia="Times New Roman" w:hAnsi="Titillium"/>
          <w:sz w:val="20"/>
          <w:szCs w:val="20"/>
        </w:rPr>
        <w:t xml:space="preserve">manutenzione impiantistica </w:t>
      </w:r>
      <w:r w:rsidRPr="00AC165C">
        <w:rPr>
          <w:rFonts w:ascii="Titillium" w:eastAsia="Times New Roman" w:hAnsi="Titillium"/>
          <w:sz w:val="20"/>
          <w:szCs w:val="20"/>
        </w:rPr>
        <w:t xml:space="preserve">– tra cui rientra il servizio di </w:t>
      </w:r>
      <w:r w:rsidR="006C6C74">
        <w:rPr>
          <w:rFonts w:ascii="Titillium" w:eastAsia="Times New Roman" w:hAnsi="Titillium"/>
          <w:sz w:val="20"/>
          <w:szCs w:val="20"/>
        </w:rPr>
        <w:t>manutenzione degli impianti elevatori</w:t>
      </w:r>
      <w:r w:rsidRPr="00AC165C">
        <w:rPr>
          <w:rFonts w:ascii="Titillium" w:eastAsia="Times New Roman" w:hAnsi="Titillium"/>
          <w:sz w:val="20"/>
          <w:szCs w:val="20"/>
        </w:rPr>
        <w:t xml:space="preserve"> – per un importo triennale pari a € </w:t>
      </w:r>
      <w:r>
        <w:rPr>
          <w:rFonts w:ascii="Titillium" w:eastAsia="Times New Roman" w:hAnsi="Titillium"/>
          <w:sz w:val="20"/>
          <w:szCs w:val="20"/>
        </w:rPr>
        <w:t>915</w:t>
      </w:r>
      <w:r w:rsidRPr="00AC165C">
        <w:rPr>
          <w:rFonts w:ascii="Titillium" w:eastAsia="Times New Roman" w:hAnsi="Titillium"/>
          <w:sz w:val="20"/>
          <w:szCs w:val="20"/>
        </w:rPr>
        <w:t>.000,00 complessivi;</w:t>
      </w:r>
    </w:p>
    <w:p w:rsidR="006C6C74" w:rsidRDefault="006C6C74" w:rsidP="00CA2405">
      <w:pPr>
        <w:pStyle w:val="NormaleWeb"/>
        <w:spacing w:before="0" w:beforeAutospacing="0" w:after="100" w:line="276" w:lineRule="auto"/>
        <w:jc w:val="both"/>
        <w:rPr>
          <w:rFonts w:ascii="Titillium" w:eastAsia="Times New Roman" w:hAnsi="Titillium"/>
          <w:sz w:val="20"/>
          <w:szCs w:val="20"/>
        </w:rPr>
      </w:pPr>
      <w:r>
        <w:rPr>
          <w:rFonts w:ascii="Titillium" w:eastAsia="Times New Roman" w:hAnsi="Titillium"/>
          <w:b/>
          <w:sz w:val="20"/>
          <w:szCs w:val="20"/>
        </w:rPr>
        <w:t>CONSIDERATA</w:t>
      </w:r>
      <w:r w:rsidRPr="00B80660">
        <w:rPr>
          <w:rFonts w:ascii="Titillium" w:eastAsia="Times New Roman" w:hAnsi="Titillium"/>
          <w:sz w:val="20"/>
          <w:szCs w:val="20"/>
        </w:rPr>
        <w:t xml:space="preserve"> </w:t>
      </w:r>
      <w:r>
        <w:rPr>
          <w:rFonts w:ascii="Titillium" w:eastAsia="Times New Roman" w:hAnsi="Titillium"/>
          <w:sz w:val="20"/>
          <w:szCs w:val="20"/>
        </w:rPr>
        <w:t>l’intenzione dell’Autorità di avviare, nel corso dei prossimi mesi, una procedura aperta per l’affidamento congiunto di tutti i servizi di manutenzione impiantistica;</w:t>
      </w:r>
    </w:p>
    <w:p w:rsidR="006C6C74" w:rsidRDefault="006C6C74" w:rsidP="006C6C74">
      <w:pPr>
        <w:pStyle w:val="NormaleWeb"/>
        <w:spacing w:before="0" w:beforeAutospacing="0" w:after="100" w:line="276" w:lineRule="auto"/>
        <w:jc w:val="both"/>
        <w:rPr>
          <w:rFonts w:ascii="Titillium" w:eastAsia="Times New Roman" w:hAnsi="Titillium"/>
          <w:sz w:val="20"/>
          <w:szCs w:val="20"/>
        </w:rPr>
      </w:pPr>
      <w:r>
        <w:rPr>
          <w:rFonts w:ascii="Titillium" w:eastAsia="Times New Roman" w:hAnsi="Titillium"/>
          <w:b/>
          <w:sz w:val="20"/>
          <w:szCs w:val="20"/>
        </w:rPr>
        <w:t>TENUTO CONTO</w:t>
      </w:r>
      <w:r>
        <w:rPr>
          <w:rFonts w:ascii="Titillium" w:eastAsia="Times New Roman" w:hAnsi="Titillium"/>
          <w:sz w:val="20"/>
          <w:szCs w:val="20"/>
        </w:rPr>
        <w:t xml:space="preserve"> della necessità, in vista della conclusione della procedura di cui al precedente punto, di allineare la durata dell’affidamento in esame con quella degli altri servizi di manutenzione impiantistica affidati dall’Autorità;</w:t>
      </w:r>
    </w:p>
    <w:p w:rsidR="004774AE" w:rsidRDefault="00CA2405" w:rsidP="004774AE">
      <w:pPr>
        <w:widowControl w:val="0"/>
        <w:spacing w:after="12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>VISTI</w:t>
      </w:r>
      <w:r w:rsidR="004774AE" w:rsidRPr="00B80660">
        <w:rPr>
          <w:rFonts w:ascii="Titillium" w:hAnsi="Titillium"/>
          <w:b/>
          <w:sz w:val="20"/>
          <w:szCs w:val="20"/>
        </w:rPr>
        <w:t xml:space="preserve"> </w:t>
      </w:r>
      <w:r>
        <w:rPr>
          <w:rFonts w:ascii="Titillium" w:hAnsi="Titillium"/>
          <w:sz w:val="20"/>
          <w:szCs w:val="20"/>
        </w:rPr>
        <w:t xml:space="preserve">gli </w:t>
      </w:r>
      <w:r w:rsidR="004774AE" w:rsidRPr="00B80660">
        <w:rPr>
          <w:rFonts w:ascii="Titillium" w:hAnsi="Titillium"/>
          <w:sz w:val="20"/>
          <w:szCs w:val="20"/>
        </w:rPr>
        <w:t>art</w:t>
      </w:r>
      <w:r>
        <w:rPr>
          <w:rFonts w:ascii="Titillium" w:hAnsi="Titillium"/>
          <w:sz w:val="20"/>
          <w:szCs w:val="20"/>
        </w:rPr>
        <w:t>t</w:t>
      </w:r>
      <w:r w:rsidR="004774AE" w:rsidRPr="00B80660">
        <w:rPr>
          <w:rFonts w:ascii="Titillium" w:hAnsi="Titillium"/>
          <w:sz w:val="20"/>
          <w:szCs w:val="20"/>
        </w:rPr>
        <w:t xml:space="preserve">. </w:t>
      </w:r>
      <w:r>
        <w:rPr>
          <w:rFonts w:ascii="Titillium" w:hAnsi="Titillium"/>
          <w:sz w:val="20"/>
          <w:szCs w:val="20"/>
        </w:rPr>
        <w:t xml:space="preserve">23 e 25 del d.lgs. n. 36/2023, rispettivamente in tema di ecosistema di approvvigionamento digitale e di piattaforme di approvvigionamento digitale; </w:t>
      </w:r>
    </w:p>
    <w:p w:rsidR="006C6C74" w:rsidRDefault="006C6C74" w:rsidP="004774AE">
      <w:pPr>
        <w:widowControl w:val="0"/>
        <w:spacing w:after="12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>VISTI</w:t>
      </w:r>
      <w:r w:rsidRPr="00B80660">
        <w:rPr>
          <w:rFonts w:ascii="Titillium" w:hAnsi="Titillium"/>
          <w:b/>
          <w:sz w:val="20"/>
          <w:szCs w:val="20"/>
        </w:rPr>
        <w:t xml:space="preserve"> </w:t>
      </w:r>
      <w:r>
        <w:rPr>
          <w:rFonts w:ascii="Titillium" w:hAnsi="Titillium"/>
          <w:sz w:val="20"/>
          <w:szCs w:val="20"/>
        </w:rPr>
        <w:t xml:space="preserve">gli </w:t>
      </w:r>
      <w:r w:rsidRPr="00B80660">
        <w:rPr>
          <w:rFonts w:ascii="Titillium" w:hAnsi="Titillium"/>
          <w:sz w:val="20"/>
          <w:szCs w:val="20"/>
        </w:rPr>
        <w:t>art</w:t>
      </w:r>
      <w:r>
        <w:rPr>
          <w:rFonts w:ascii="Titillium" w:hAnsi="Titillium"/>
          <w:sz w:val="20"/>
          <w:szCs w:val="20"/>
        </w:rPr>
        <w:t>t. 48-55 del d.lgs. n. 36/2023, recanti una specifica disciplina per le procedure di affidamento dei contratti di importo inferiore alle soglie di rilevanza europea;</w:t>
      </w:r>
    </w:p>
    <w:p w:rsidR="00B36A03" w:rsidRDefault="00B36A03" w:rsidP="004774AE">
      <w:pPr>
        <w:widowControl w:val="0"/>
        <w:spacing w:after="12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>CONSIDERAT</w:t>
      </w:r>
      <w:r w:rsidRPr="00B80660">
        <w:rPr>
          <w:rFonts w:ascii="Titillium" w:hAnsi="Titillium"/>
          <w:b/>
          <w:sz w:val="20"/>
          <w:szCs w:val="20"/>
        </w:rPr>
        <w:t xml:space="preserve">O </w:t>
      </w:r>
      <w:r>
        <w:rPr>
          <w:rFonts w:ascii="Titillium" w:hAnsi="Titillium"/>
          <w:sz w:val="20"/>
          <w:szCs w:val="20"/>
        </w:rPr>
        <w:t>che l’art. 50 del d.lgs. n. 36/2023 consente l’affidamento diretto di contratti di servizi e forniture di importo inferiore a € 140.000,00, anche senza consultazione di più operatori economici, assicurando che siano scelti soggetti in possesso di documentate esperienze pregresse;</w:t>
      </w:r>
    </w:p>
    <w:p w:rsidR="00B36A03" w:rsidRDefault="00B36A03" w:rsidP="00B36A03">
      <w:pPr>
        <w:widowControl w:val="0"/>
        <w:spacing w:after="12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 xml:space="preserve">RITENUTO </w:t>
      </w:r>
      <w:r>
        <w:rPr>
          <w:rFonts w:ascii="Titillium" w:hAnsi="Titillium"/>
          <w:sz w:val="20"/>
          <w:szCs w:val="20"/>
        </w:rPr>
        <w:t>comunque di effettuare un sondaggio di mercato con i principali operatori economici del settore, al fine di poter ottenere per l’Autorità le migliori condizioni contrattuali possibili;</w:t>
      </w:r>
    </w:p>
    <w:p w:rsidR="000A6F83" w:rsidRDefault="00B36A03" w:rsidP="00B36A03">
      <w:pPr>
        <w:widowControl w:val="0"/>
        <w:spacing w:after="12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 xml:space="preserve">RITENUTO </w:t>
      </w:r>
      <w:r>
        <w:rPr>
          <w:rFonts w:ascii="Titillium" w:hAnsi="Titillium"/>
          <w:sz w:val="20"/>
          <w:szCs w:val="20"/>
        </w:rPr>
        <w:t xml:space="preserve">di coinvolgere, in tale sondaggio di mercato, anche il fornitore uscente Marrocco </w:t>
      </w:r>
      <w:proofErr w:type="spellStart"/>
      <w:r>
        <w:rPr>
          <w:rFonts w:ascii="Titillium" w:hAnsi="Titillium"/>
          <w:sz w:val="20"/>
          <w:szCs w:val="20"/>
        </w:rPr>
        <w:t>Elevators</w:t>
      </w:r>
      <w:proofErr w:type="spellEnd"/>
      <w:r>
        <w:rPr>
          <w:rFonts w:ascii="Titillium" w:hAnsi="Titillium"/>
          <w:sz w:val="20"/>
          <w:szCs w:val="20"/>
        </w:rPr>
        <w:t xml:space="preserve"> S.r.l., in ragione dell’affidabilità dimostrata nell’esecuzione del contratto attualmente in essere</w:t>
      </w:r>
      <w:r w:rsidR="00D731D4">
        <w:rPr>
          <w:rFonts w:ascii="Titillium" w:hAnsi="Titillium"/>
          <w:sz w:val="20"/>
          <w:szCs w:val="20"/>
        </w:rPr>
        <w:t>, in forza di quanto previsto dall’art. 49, comma 4, d.lgs. n. 36/2023</w:t>
      </w:r>
      <w:r>
        <w:rPr>
          <w:rFonts w:ascii="Titillium" w:hAnsi="Titillium"/>
          <w:sz w:val="20"/>
          <w:szCs w:val="20"/>
        </w:rPr>
        <w:t>;</w:t>
      </w:r>
    </w:p>
    <w:p w:rsidR="000A6F83" w:rsidRDefault="000A6F83" w:rsidP="00B36A03">
      <w:pPr>
        <w:widowControl w:val="0"/>
        <w:spacing w:after="12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>CONSIDERAT</w:t>
      </w:r>
      <w:r w:rsidRPr="00B80660">
        <w:rPr>
          <w:rFonts w:ascii="Titillium" w:hAnsi="Titillium"/>
          <w:b/>
          <w:sz w:val="20"/>
          <w:szCs w:val="20"/>
        </w:rPr>
        <w:t xml:space="preserve">O </w:t>
      </w:r>
      <w:r>
        <w:rPr>
          <w:rFonts w:ascii="Titillium" w:hAnsi="Titillium"/>
          <w:sz w:val="20"/>
          <w:szCs w:val="20"/>
        </w:rPr>
        <w:t>che, in ogni caso, l’art. 49</w:t>
      </w:r>
      <w:r w:rsidR="00D87614">
        <w:rPr>
          <w:rFonts w:ascii="Titillium" w:hAnsi="Titillium"/>
          <w:sz w:val="20"/>
          <w:szCs w:val="20"/>
        </w:rPr>
        <w:t>, comma 6,</w:t>
      </w:r>
      <w:r>
        <w:rPr>
          <w:rFonts w:ascii="Titillium" w:hAnsi="Titillium"/>
          <w:sz w:val="20"/>
          <w:szCs w:val="20"/>
        </w:rPr>
        <w:t xml:space="preserve"> del d.lgs. n. 36/2023 consente di derogare al principio di rotazione degli affidamenti con riferimento ai contratti di importo inferiore a € 5.000,00;</w:t>
      </w:r>
    </w:p>
    <w:p w:rsidR="00B36A03" w:rsidRDefault="00B36A03" w:rsidP="004774AE">
      <w:pPr>
        <w:widowControl w:val="0"/>
        <w:spacing w:after="12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>VISTI</w:t>
      </w:r>
      <w:r w:rsidRPr="00B80660">
        <w:rPr>
          <w:rFonts w:ascii="Titillium" w:hAnsi="Titillium"/>
          <w:b/>
          <w:sz w:val="20"/>
          <w:szCs w:val="20"/>
        </w:rPr>
        <w:t xml:space="preserve"> </w:t>
      </w:r>
      <w:r>
        <w:rPr>
          <w:rFonts w:ascii="Titillium" w:hAnsi="Titillium"/>
          <w:sz w:val="20"/>
          <w:szCs w:val="20"/>
        </w:rPr>
        <w:t xml:space="preserve">i preventivi di spesa trasmessi dagli operatori economici Marrocco </w:t>
      </w:r>
      <w:proofErr w:type="spellStart"/>
      <w:r>
        <w:rPr>
          <w:rFonts w:ascii="Titillium" w:hAnsi="Titillium"/>
          <w:sz w:val="20"/>
          <w:szCs w:val="20"/>
        </w:rPr>
        <w:t>Elevators</w:t>
      </w:r>
      <w:proofErr w:type="spellEnd"/>
      <w:r>
        <w:rPr>
          <w:rFonts w:ascii="Titillium" w:hAnsi="Titillium"/>
          <w:sz w:val="20"/>
          <w:szCs w:val="20"/>
        </w:rPr>
        <w:t xml:space="preserve"> S.r.l., Consorzio Del</w:t>
      </w:r>
      <w:r w:rsidR="00D731D4">
        <w:rPr>
          <w:rFonts w:ascii="Titillium" w:hAnsi="Titillium"/>
          <w:sz w:val="20"/>
          <w:szCs w:val="20"/>
        </w:rPr>
        <w:t xml:space="preserve"> Bo e </w:t>
      </w:r>
      <w:proofErr w:type="spellStart"/>
      <w:r w:rsidR="00D731D4">
        <w:rPr>
          <w:rFonts w:ascii="Titillium" w:hAnsi="Titillium"/>
          <w:sz w:val="20"/>
          <w:szCs w:val="20"/>
        </w:rPr>
        <w:t>Kone</w:t>
      </w:r>
      <w:proofErr w:type="spellEnd"/>
      <w:r w:rsidR="00D731D4">
        <w:rPr>
          <w:rFonts w:ascii="Titillium" w:hAnsi="Titillium"/>
          <w:sz w:val="20"/>
          <w:szCs w:val="20"/>
        </w:rPr>
        <w:t xml:space="preserve"> S.p.A.; </w:t>
      </w:r>
    </w:p>
    <w:p w:rsidR="000A6F83" w:rsidRDefault="000A6F83" w:rsidP="004774AE">
      <w:pPr>
        <w:widowControl w:val="0"/>
        <w:spacing w:after="12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>CONSIDERAT</w:t>
      </w:r>
      <w:r w:rsidRPr="00B80660">
        <w:rPr>
          <w:rFonts w:ascii="Titillium" w:hAnsi="Titillium"/>
          <w:b/>
          <w:sz w:val="20"/>
          <w:szCs w:val="20"/>
        </w:rPr>
        <w:t xml:space="preserve">O </w:t>
      </w:r>
      <w:r>
        <w:rPr>
          <w:rFonts w:ascii="Titillium" w:hAnsi="Titillium"/>
          <w:sz w:val="20"/>
          <w:szCs w:val="20"/>
        </w:rPr>
        <w:t xml:space="preserve">che, tra tali preventivi di spesa, quello maggiormente conveniente per l’Autorità risulta essere quello </w:t>
      </w:r>
      <w:r>
        <w:rPr>
          <w:rFonts w:ascii="Titillium" w:hAnsi="Titillium"/>
          <w:sz w:val="20"/>
          <w:szCs w:val="20"/>
        </w:rPr>
        <w:lastRenderedPageBreak/>
        <w:t xml:space="preserve">proposto da Marrocco </w:t>
      </w:r>
      <w:proofErr w:type="spellStart"/>
      <w:r>
        <w:rPr>
          <w:rFonts w:ascii="Titillium" w:hAnsi="Titillium"/>
          <w:sz w:val="20"/>
          <w:szCs w:val="20"/>
        </w:rPr>
        <w:t>Elevators</w:t>
      </w:r>
      <w:proofErr w:type="spellEnd"/>
      <w:r>
        <w:rPr>
          <w:rFonts w:ascii="Titillium" w:hAnsi="Titillium"/>
          <w:sz w:val="20"/>
          <w:szCs w:val="20"/>
        </w:rPr>
        <w:t xml:space="preserve"> S.r.l., registrato al protocollo in ingresso dell’Autorità al n. 57773 del 17.7.2023;</w:t>
      </w:r>
    </w:p>
    <w:p w:rsidR="006C6C74" w:rsidRPr="00150097" w:rsidRDefault="000A6F83" w:rsidP="000A6F83">
      <w:pPr>
        <w:widowControl w:val="0"/>
        <w:spacing w:after="12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 xml:space="preserve">RITENUTO </w:t>
      </w:r>
      <w:r>
        <w:rPr>
          <w:rFonts w:ascii="Titillium" w:hAnsi="Titillium"/>
          <w:sz w:val="20"/>
          <w:szCs w:val="20"/>
        </w:rPr>
        <w:t xml:space="preserve">quindi di accettare la citata offerta </w:t>
      </w:r>
      <w:proofErr w:type="spellStart"/>
      <w:r>
        <w:rPr>
          <w:rFonts w:ascii="Titillium" w:hAnsi="Titillium"/>
          <w:sz w:val="20"/>
          <w:szCs w:val="20"/>
        </w:rPr>
        <w:t>prot</w:t>
      </w:r>
      <w:proofErr w:type="spellEnd"/>
      <w:r>
        <w:rPr>
          <w:rFonts w:ascii="Titillium" w:hAnsi="Titillium"/>
          <w:sz w:val="20"/>
          <w:szCs w:val="20"/>
        </w:rPr>
        <w:t xml:space="preserve">. n. 57773/2023 di Marrocco </w:t>
      </w:r>
      <w:proofErr w:type="spellStart"/>
      <w:r>
        <w:rPr>
          <w:rFonts w:ascii="Titillium" w:hAnsi="Titillium"/>
          <w:sz w:val="20"/>
          <w:szCs w:val="20"/>
        </w:rPr>
        <w:t>Elevators</w:t>
      </w:r>
      <w:proofErr w:type="spellEnd"/>
      <w:r>
        <w:rPr>
          <w:rFonts w:ascii="Titillium" w:hAnsi="Titillium"/>
          <w:sz w:val="20"/>
          <w:szCs w:val="20"/>
        </w:rPr>
        <w:t xml:space="preserve"> S.r.l.</w:t>
      </w:r>
      <w:r w:rsidR="00603567">
        <w:rPr>
          <w:rFonts w:ascii="Titillium" w:hAnsi="Titillium"/>
          <w:sz w:val="20"/>
          <w:szCs w:val="20"/>
        </w:rPr>
        <w:t xml:space="preserve">, che prevede un canone </w:t>
      </w:r>
      <w:r w:rsidR="006E0721">
        <w:rPr>
          <w:rFonts w:ascii="Titillium" w:hAnsi="Titillium"/>
          <w:sz w:val="20"/>
          <w:szCs w:val="20"/>
        </w:rPr>
        <w:t xml:space="preserve">mensile di € 40,00 oltre IVA per </w:t>
      </w:r>
      <w:r w:rsidR="006E0721" w:rsidRPr="00150097">
        <w:rPr>
          <w:rFonts w:ascii="Titillium" w:hAnsi="Titillium"/>
          <w:sz w:val="20"/>
          <w:szCs w:val="20"/>
        </w:rPr>
        <w:t>cad. ascensore e un canone mensile di € 20,00 oltre IVA per cad. montascale, per un importo complessivo di € 2.640,00 oltre IVA</w:t>
      </w:r>
      <w:r w:rsidRPr="00150097">
        <w:rPr>
          <w:rFonts w:ascii="Titillium" w:hAnsi="Titillium"/>
          <w:sz w:val="20"/>
          <w:szCs w:val="20"/>
        </w:rPr>
        <w:t>;</w:t>
      </w:r>
    </w:p>
    <w:p w:rsidR="00603567" w:rsidRPr="00150097" w:rsidRDefault="00603567" w:rsidP="000A6F83">
      <w:pPr>
        <w:widowControl w:val="0"/>
        <w:spacing w:after="120" w:line="276" w:lineRule="auto"/>
        <w:jc w:val="both"/>
        <w:rPr>
          <w:rFonts w:ascii="Titillium" w:hAnsi="Titillium"/>
          <w:sz w:val="20"/>
          <w:szCs w:val="20"/>
        </w:rPr>
      </w:pPr>
      <w:r w:rsidRPr="00150097">
        <w:rPr>
          <w:rFonts w:ascii="Titillium" w:hAnsi="Titillium"/>
          <w:b/>
          <w:sz w:val="20"/>
          <w:szCs w:val="20"/>
        </w:rPr>
        <w:t xml:space="preserve">CONSIDERATO </w:t>
      </w:r>
      <w:r w:rsidRPr="00150097">
        <w:rPr>
          <w:rFonts w:ascii="Titillium" w:hAnsi="Titillium"/>
          <w:sz w:val="20"/>
          <w:szCs w:val="20"/>
        </w:rPr>
        <w:t xml:space="preserve">che gli oneri della sicurezza per rischi di natura interferenziale sono pari ad € </w:t>
      </w:r>
      <w:r w:rsidR="00150097" w:rsidRPr="00150097">
        <w:rPr>
          <w:rFonts w:ascii="Titillium" w:hAnsi="Titillium"/>
          <w:sz w:val="20"/>
          <w:szCs w:val="20"/>
        </w:rPr>
        <w:t>290,64</w:t>
      </w:r>
      <w:r w:rsidRPr="00150097">
        <w:rPr>
          <w:rFonts w:ascii="Titillium" w:hAnsi="Titillium"/>
          <w:sz w:val="20"/>
          <w:szCs w:val="20"/>
        </w:rPr>
        <w:t>, come da apposito DUVRI</w:t>
      </w:r>
      <w:r w:rsidR="0040726A">
        <w:rPr>
          <w:rFonts w:ascii="Titillium" w:hAnsi="Titillium"/>
          <w:sz w:val="20"/>
          <w:szCs w:val="20"/>
        </w:rPr>
        <w:t xml:space="preserve"> redatto</w:t>
      </w:r>
      <w:r w:rsidRPr="00150097">
        <w:rPr>
          <w:rFonts w:ascii="Titillium" w:hAnsi="Titillium"/>
          <w:sz w:val="20"/>
          <w:szCs w:val="20"/>
        </w:rPr>
        <w:t>;</w:t>
      </w:r>
    </w:p>
    <w:p w:rsidR="002750CE" w:rsidRDefault="002750CE" w:rsidP="00F77C35">
      <w:pPr>
        <w:spacing w:after="120" w:line="276" w:lineRule="auto"/>
        <w:jc w:val="both"/>
        <w:rPr>
          <w:rFonts w:ascii="Titillium" w:hAnsi="Titillium"/>
          <w:b/>
          <w:sz w:val="20"/>
          <w:szCs w:val="20"/>
        </w:rPr>
      </w:pPr>
      <w:r w:rsidRPr="00150097">
        <w:rPr>
          <w:rFonts w:ascii="Titillium" w:hAnsi="Titillium"/>
          <w:b/>
          <w:sz w:val="20"/>
          <w:szCs w:val="20"/>
        </w:rPr>
        <w:t xml:space="preserve">CONSIDERATO </w:t>
      </w:r>
      <w:r w:rsidRPr="00150097">
        <w:rPr>
          <w:rFonts w:ascii="Titillium" w:hAnsi="Titillium"/>
          <w:sz w:val="20"/>
          <w:szCs w:val="20"/>
        </w:rPr>
        <w:t>che, ai sensi dell’art. 8, comma 3, dell’Allegato al Codice I.2., il RUP svolge, nei limiti delle proprie competenze professionali, anche le funzioni di direttore</w:t>
      </w:r>
      <w:r>
        <w:rPr>
          <w:rFonts w:ascii="Titillium" w:hAnsi="Titillium"/>
          <w:sz w:val="20"/>
          <w:szCs w:val="20"/>
        </w:rPr>
        <w:t xml:space="preserve"> dell’esecuzione del contratto, fatte salve le fattispecie derogatorie previste al successivo comma 4 dell’art. 8 del medesimo Allegato;</w:t>
      </w:r>
    </w:p>
    <w:p w:rsidR="00332723" w:rsidRPr="00F703BF" w:rsidRDefault="00332723" w:rsidP="00F77C35">
      <w:pPr>
        <w:spacing w:after="120" w:line="276" w:lineRule="auto"/>
        <w:jc w:val="both"/>
        <w:rPr>
          <w:rFonts w:ascii="Titillium" w:hAnsi="Titillium"/>
          <w:sz w:val="20"/>
          <w:szCs w:val="20"/>
        </w:rPr>
      </w:pPr>
      <w:r w:rsidRPr="001F603F">
        <w:rPr>
          <w:rFonts w:ascii="Titillium" w:hAnsi="Titillium"/>
          <w:b/>
          <w:sz w:val="20"/>
          <w:szCs w:val="20"/>
        </w:rPr>
        <w:t>ACCERTATO</w:t>
      </w:r>
      <w:r w:rsidRPr="001F603F">
        <w:rPr>
          <w:rFonts w:ascii="Titillium" w:hAnsi="Titillium"/>
          <w:sz w:val="20"/>
          <w:szCs w:val="20"/>
        </w:rPr>
        <w:t xml:space="preserve"> che </w:t>
      </w:r>
      <w:r w:rsidRPr="00F703BF">
        <w:rPr>
          <w:rFonts w:ascii="Titillium" w:hAnsi="Titillium"/>
          <w:sz w:val="20"/>
          <w:szCs w:val="20"/>
        </w:rPr>
        <w:t>la disponibilità finanziaria su</w:t>
      </w:r>
      <w:r w:rsidR="00212000" w:rsidRPr="00F703BF">
        <w:rPr>
          <w:rFonts w:ascii="Titillium" w:hAnsi="Titillium"/>
          <w:sz w:val="20"/>
          <w:szCs w:val="20"/>
        </w:rPr>
        <w:t>l</w:t>
      </w:r>
      <w:r w:rsidRPr="00F703BF">
        <w:rPr>
          <w:rFonts w:ascii="Titillium" w:hAnsi="Titillium"/>
          <w:sz w:val="20"/>
          <w:szCs w:val="20"/>
        </w:rPr>
        <w:t xml:space="preserve"> pertinent</w:t>
      </w:r>
      <w:r w:rsidR="00212000" w:rsidRPr="00F703BF">
        <w:rPr>
          <w:rFonts w:ascii="Titillium" w:hAnsi="Titillium"/>
          <w:sz w:val="20"/>
          <w:szCs w:val="20"/>
        </w:rPr>
        <w:t>e capitolo n</w:t>
      </w:r>
      <w:r w:rsidRPr="00F703BF">
        <w:rPr>
          <w:rFonts w:ascii="Titillium" w:hAnsi="Titillium"/>
          <w:sz w:val="20"/>
          <w:szCs w:val="20"/>
        </w:rPr>
        <w:t xml:space="preserve">. </w:t>
      </w:r>
      <w:r w:rsidR="000A6F83">
        <w:rPr>
          <w:rFonts w:ascii="Titillium" w:hAnsi="Titillium"/>
          <w:sz w:val="20"/>
          <w:szCs w:val="20"/>
        </w:rPr>
        <w:t>1307.2</w:t>
      </w:r>
      <w:r w:rsidR="00D17E5C" w:rsidRPr="00F703BF">
        <w:rPr>
          <w:rFonts w:ascii="Titillium" w:hAnsi="Titillium"/>
          <w:sz w:val="20"/>
          <w:szCs w:val="20"/>
        </w:rPr>
        <w:t xml:space="preserve"> </w:t>
      </w:r>
      <w:r w:rsidR="00F50B94" w:rsidRPr="00F703BF">
        <w:rPr>
          <w:rFonts w:ascii="Titillium" w:hAnsi="Titillium"/>
          <w:sz w:val="20"/>
          <w:szCs w:val="20"/>
        </w:rPr>
        <w:t>del</w:t>
      </w:r>
      <w:r w:rsidR="007228DC" w:rsidRPr="00F703BF">
        <w:rPr>
          <w:rFonts w:ascii="Titillium" w:hAnsi="Titillium"/>
          <w:sz w:val="20"/>
          <w:szCs w:val="20"/>
        </w:rPr>
        <w:t xml:space="preserve"> bilanci</w:t>
      </w:r>
      <w:r w:rsidR="00F50B94" w:rsidRPr="00F703BF">
        <w:rPr>
          <w:rFonts w:ascii="Titillium" w:hAnsi="Titillium"/>
          <w:sz w:val="20"/>
          <w:szCs w:val="20"/>
        </w:rPr>
        <w:t>o</w:t>
      </w:r>
      <w:r w:rsidRPr="00F703BF">
        <w:rPr>
          <w:rFonts w:ascii="Titillium" w:hAnsi="Titillium"/>
          <w:sz w:val="20"/>
          <w:szCs w:val="20"/>
        </w:rPr>
        <w:t xml:space="preserve"> </w:t>
      </w:r>
      <w:r w:rsidR="000A6F83">
        <w:rPr>
          <w:rFonts w:ascii="Titillium" w:hAnsi="Titillium"/>
          <w:sz w:val="20"/>
          <w:szCs w:val="20"/>
        </w:rPr>
        <w:t xml:space="preserve">pluriennale </w:t>
      </w:r>
      <w:r w:rsidR="0000598A">
        <w:rPr>
          <w:rFonts w:ascii="Titillium" w:hAnsi="Titillium"/>
          <w:sz w:val="20"/>
          <w:szCs w:val="20"/>
        </w:rPr>
        <w:t xml:space="preserve">dell’Autorità </w:t>
      </w:r>
      <w:r w:rsidRPr="00F703BF">
        <w:rPr>
          <w:rFonts w:ascii="Titillium" w:hAnsi="Titillium"/>
          <w:sz w:val="20"/>
          <w:szCs w:val="20"/>
        </w:rPr>
        <w:t>è congrua per accogliere la spesa stimata per l’affidamento del servizio in esame;</w:t>
      </w:r>
    </w:p>
    <w:p w:rsidR="00B80660" w:rsidRPr="00150097" w:rsidRDefault="00332723" w:rsidP="00E0422F">
      <w:pPr>
        <w:spacing w:before="120" w:after="120" w:line="276" w:lineRule="auto"/>
        <w:jc w:val="center"/>
        <w:rPr>
          <w:rFonts w:ascii="Gotham Light" w:hAnsi="Gotham Light" w:cs="Arial"/>
          <w:b/>
          <w:color w:val="2E74B5"/>
        </w:rPr>
      </w:pPr>
      <w:r w:rsidRPr="00150097">
        <w:rPr>
          <w:rFonts w:ascii="Gotham Light" w:hAnsi="Gotham Light" w:cs="Arial"/>
          <w:b/>
          <w:color w:val="2E74B5"/>
        </w:rPr>
        <w:t>D I S P O N E</w:t>
      </w:r>
    </w:p>
    <w:p w:rsidR="00332723" w:rsidRPr="00150097" w:rsidRDefault="000A6F83" w:rsidP="004609AF">
      <w:pPr>
        <w:pStyle w:val="Paragrafoelenco"/>
        <w:numPr>
          <w:ilvl w:val="0"/>
          <w:numId w:val="8"/>
        </w:numPr>
        <w:spacing w:after="120" w:line="276" w:lineRule="auto"/>
        <w:ind w:left="0" w:right="-1" w:firstLine="0"/>
        <w:jc w:val="both"/>
        <w:rPr>
          <w:rFonts w:ascii="Titillium" w:hAnsi="Titillium"/>
          <w:sz w:val="20"/>
          <w:szCs w:val="20"/>
        </w:rPr>
      </w:pPr>
      <w:r w:rsidRPr="00150097">
        <w:rPr>
          <w:rFonts w:ascii="Titillium" w:hAnsi="Titillium"/>
          <w:sz w:val="20"/>
          <w:szCs w:val="20"/>
        </w:rPr>
        <w:t xml:space="preserve">l’affidamento diretto </w:t>
      </w:r>
      <w:r w:rsidR="004609AF" w:rsidRPr="00150097">
        <w:rPr>
          <w:rFonts w:ascii="Titillium" w:hAnsi="Titillium"/>
          <w:sz w:val="20"/>
          <w:szCs w:val="20"/>
        </w:rPr>
        <w:t xml:space="preserve">alla Società </w:t>
      </w:r>
      <w:r w:rsidRPr="00150097">
        <w:rPr>
          <w:rFonts w:ascii="Titillium" w:hAnsi="Titillium"/>
          <w:sz w:val="20"/>
          <w:szCs w:val="20"/>
        </w:rPr>
        <w:t xml:space="preserve">Marrocco </w:t>
      </w:r>
      <w:proofErr w:type="spellStart"/>
      <w:r w:rsidRPr="00150097">
        <w:rPr>
          <w:rFonts w:ascii="Titillium" w:hAnsi="Titillium"/>
          <w:sz w:val="20"/>
          <w:szCs w:val="20"/>
        </w:rPr>
        <w:t>Elevators</w:t>
      </w:r>
      <w:proofErr w:type="spellEnd"/>
      <w:r w:rsidRPr="00150097">
        <w:rPr>
          <w:rFonts w:ascii="Titillium" w:hAnsi="Titillium"/>
          <w:sz w:val="20"/>
          <w:szCs w:val="20"/>
        </w:rPr>
        <w:t xml:space="preserve"> S.r.l. (sede legale in Via Tiburtina n. 632/A, 00159 ROMA, </w:t>
      </w:r>
      <w:proofErr w:type="spellStart"/>
      <w:r w:rsidRPr="00150097">
        <w:rPr>
          <w:rFonts w:ascii="Titillium" w:hAnsi="Titillium"/>
          <w:sz w:val="20"/>
          <w:szCs w:val="20"/>
        </w:rPr>
        <w:t>c.f.</w:t>
      </w:r>
      <w:proofErr w:type="spellEnd"/>
      <w:r w:rsidRPr="00150097">
        <w:rPr>
          <w:rFonts w:ascii="Titillium" w:hAnsi="Titillium"/>
          <w:sz w:val="20"/>
          <w:szCs w:val="20"/>
        </w:rPr>
        <w:t xml:space="preserve"> e p. iva 03986821001</w:t>
      </w:r>
      <w:r w:rsidR="004609AF" w:rsidRPr="00150097">
        <w:rPr>
          <w:rFonts w:ascii="Titillium" w:hAnsi="Titillium"/>
          <w:sz w:val="20"/>
          <w:szCs w:val="20"/>
        </w:rPr>
        <w:t xml:space="preserve">), </w:t>
      </w:r>
      <w:r w:rsidRPr="00150097">
        <w:rPr>
          <w:rFonts w:ascii="Titillium" w:hAnsi="Titillium"/>
          <w:sz w:val="20"/>
          <w:szCs w:val="20"/>
        </w:rPr>
        <w:t>del servizio di conduzione e manutenzione ordinaria degli impianti elevatori ubicati nella sede istituzionale dell’Autorità, per una durata di n. 12</w:t>
      </w:r>
      <w:r w:rsidR="004609AF" w:rsidRPr="00150097">
        <w:rPr>
          <w:rFonts w:ascii="Titillium" w:hAnsi="Titillium"/>
          <w:sz w:val="20"/>
          <w:szCs w:val="20"/>
        </w:rPr>
        <w:t xml:space="preserve"> </w:t>
      </w:r>
      <w:r w:rsidRPr="00150097">
        <w:rPr>
          <w:rFonts w:ascii="Titillium" w:hAnsi="Titillium"/>
          <w:sz w:val="20"/>
          <w:szCs w:val="20"/>
        </w:rPr>
        <w:t>mes</w:t>
      </w:r>
      <w:r w:rsidR="004609AF" w:rsidRPr="00150097">
        <w:rPr>
          <w:rFonts w:ascii="Titillium" w:hAnsi="Titillium"/>
          <w:sz w:val="20"/>
          <w:szCs w:val="20"/>
        </w:rPr>
        <w:t>i decorrenti dal</w:t>
      </w:r>
      <w:r w:rsidRPr="00150097">
        <w:rPr>
          <w:rFonts w:ascii="Titillium" w:hAnsi="Titillium"/>
          <w:sz w:val="20"/>
          <w:szCs w:val="20"/>
        </w:rPr>
        <w:t>l’8.8</w:t>
      </w:r>
      <w:r w:rsidR="004609AF" w:rsidRPr="00150097">
        <w:rPr>
          <w:rFonts w:ascii="Titillium" w:hAnsi="Titillium"/>
          <w:sz w:val="20"/>
          <w:szCs w:val="20"/>
        </w:rPr>
        <w:t>.2023</w:t>
      </w:r>
      <w:r w:rsidRPr="00150097">
        <w:rPr>
          <w:rFonts w:ascii="Titillium" w:hAnsi="Titillium"/>
          <w:sz w:val="20"/>
          <w:szCs w:val="20"/>
        </w:rPr>
        <w:t xml:space="preserve"> fino al 7.8.2024</w:t>
      </w:r>
      <w:r w:rsidR="004609AF" w:rsidRPr="00150097">
        <w:rPr>
          <w:rFonts w:ascii="Titillium" w:hAnsi="Titillium"/>
          <w:sz w:val="20"/>
          <w:szCs w:val="20"/>
        </w:rPr>
        <w:t>, per una spesa complessiva massima così specificata:</w:t>
      </w:r>
    </w:p>
    <w:p w:rsidR="004609AF" w:rsidRPr="00150097" w:rsidRDefault="004609AF" w:rsidP="004609AF">
      <w:pPr>
        <w:pStyle w:val="Paragrafoelenco"/>
        <w:spacing w:after="120" w:line="276" w:lineRule="auto"/>
        <w:ind w:left="0" w:right="-1"/>
        <w:jc w:val="both"/>
        <w:rPr>
          <w:rFonts w:ascii="Titillium" w:hAnsi="Titillium"/>
          <w:sz w:val="20"/>
          <w:szCs w:val="20"/>
        </w:rPr>
      </w:pPr>
    </w:p>
    <w:tbl>
      <w:tblPr>
        <w:tblStyle w:val="Grigliatabella"/>
        <w:tblW w:w="929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5"/>
        <w:gridCol w:w="1615"/>
      </w:tblGrid>
      <w:tr w:rsidR="002175C6" w:rsidRPr="00150097" w:rsidTr="00211561">
        <w:trPr>
          <w:trHeight w:val="425"/>
          <w:jc w:val="right"/>
        </w:trPr>
        <w:tc>
          <w:tcPr>
            <w:tcW w:w="76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F0F88" w:rsidRPr="00150097" w:rsidRDefault="00385D7E" w:rsidP="001F0F88">
            <w:pPr>
              <w:pStyle w:val="Paragrafoelenco"/>
              <w:numPr>
                <w:ilvl w:val="0"/>
                <w:numId w:val="3"/>
              </w:numPr>
              <w:spacing w:after="100" w:line="276" w:lineRule="auto"/>
              <w:ind w:left="459" w:hanging="425"/>
              <w:contextualSpacing w:val="0"/>
              <w:jc w:val="both"/>
              <w:rPr>
                <w:rFonts w:ascii="Titillium" w:hAnsi="Titillium"/>
                <w:sz w:val="20"/>
                <w:szCs w:val="20"/>
              </w:rPr>
            </w:pPr>
            <w:r w:rsidRPr="00150097">
              <w:rPr>
                <w:rFonts w:ascii="Titillium" w:hAnsi="Titillium"/>
                <w:sz w:val="20"/>
                <w:szCs w:val="20"/>
              </w:rPr>
              <w:t>servizi oggetto del contratto</w:t>
            </w:r>
          </w:p>
          <w:p w:rsidR="006E0721" w:rsidRPr="00150097" w:rsidRDefault="006E0721" w:rsidP="001F0F88">
            <w:pPr>
              <w:pStyle w:val="Paragrafoelenco"/>
              <w:numPr>
                <w:ilvl w:val="0"/>
                <w:numId w:val="3"/>
              </w:numPr>
              <w:spacing w:after="100" w:line="276" w:lineRule="auto"/>
              <w:ind w:left="459" w:hanging="425"/>
              <w:contextualSpacing w:val="0"/>
              <w:jc w:val="both"/>
              <w:rPr>
                <w:rFonts w:ascii="Titillium" w:hAnsi="Titillium"/>
                <w:sz w:val="20"/>
                <w:szCs w:val="20"/>
              </w:rPr>
            </w:pPr>
            <w:r w:rsidRPr="00150097">
              <w:rPr>
                <w:rFonts w:ascii="Titillium" w:hAnsi="Titillium"/>
                <w:sz w:val="20"/>
                <w:szCs w:val="20"/>
              </w:rPr>
              <w:t>oneri di sicurezza per rischi di natura interferenziale</w:t>
            </w:r>
          </w:p>
        </w:tc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F0F88" w:rsidRPr="00150097" w:rsidRDefault="002175C6" w:rsidP="001F0F88">
            <w:pPr>
              <w:pStyle w:val="Paragrafoelenco"/>
              <w:spacing w:after="100" w:line="276" w:lineRule="auto"/>
              <w:ind w:left="0"/>
              <w:contextualSpacing w:val="0"/>
              <w:jc w:val="right"/>
              <w:rPr>
                <w:rFonts w:ascii="Titillium" w:hAnsi="Titillium"/>
                <w:sz w:val="20"/>
                <w:szCs w:val="20"/>
              </w:rPr>
            </w:pPr>
            <w:r w:rsidRPr="00150097">
              <w:rPr>
                <w:rFonts w:ascii="Titillium" w:hAnsi="Titillium"/>
                <w:sz w:val="20"/>
                <w:szCs w:val="20"/>
              </w:rPr>
              <w:t xml:space="preserve">€ </w:t>
            </w:r>
            <w:r w:rsidR="006E0721" w:rsidRPr="00150097">
              <w:rPr>
                <w:rFonts w:ascii="Titillium" w:hAnsi="Titillium"/>
                <w:sz w:val="20"/>
                <w:szCs w:val="20"/>
              </w:rPr>
              <w:t>2.640,00</w:t>
            </w:r>
          </w:p>
          <w:p w:rsidR="006E0721" w:rsidRPr="00150097" w:rsidRDefault="006E0721" w:rsidP="001F0F88">
            <w:pPr>
              <w:pStyle w:val="Paragrafoelenco"/>
              <w:spacing w:after="100" w:line="276" w:lineRule="auto"/>
              <w:ind w:left="0"/>
              <w:contextualSpacing w:val="0"/>
              <w:jc w:val="right"/>
              <w:rPr>
                <w:rFonts w:ascii="Titillium" w:hAnsi="Titillium"/>
                <w:sz w:val="20"/>
                <w:szCs w:val="20"/>
              </w:rPr>
            </w:pPr>
            <w:r w:rsidRPr="00150097">
              <w:rPr>
                <w:rFonts w:ascii="Titillium" w:hAnsi="Titillium"/>
                <w:sz w:val="20"/>
                <w:szCs w:val="20"/>
              </w:rPr>
              <w:t xml:space="preserve">€ </w:t>
            </w:r>
            <w:r w:rsidR="00150097" w:rsidRPr="00150097">
              <w:rPr>
                <w:rFonts w:ascii="Titillium" w:hAnsi="Titillium"/>
                <w:sz w:val="20"/>
                <w:szCs w:val="20"/>
              </w:rPr>
              <w:t>290,64</w:t>
            </w:r>
          </w:p>
        </w:tc>
      </w:tr>
      <w:tr w:rsidR="002175C6" w:rsidRPr="00150097" w:rsidTr="00211561">
        <w:trPr>
          <w:trHeight w:val="425"/>
          <w:jc w:val="right"/>
        </w:trPr>
        <w:tc>
          <w:tcPr>
            <w:tcW w:w="76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150097" w:rsidRDefault="004609AF" w:rsidP="00212EAF">
            <w:pPr>
              <w:pStyle w:val="Paragrafoelenco"/>
              <w:numPr>
                <w:ilvl w:val="0"/>
                <w:numId w:val="3"/>
              </w:numPr>
              <w:spacing w:after="100" w:line="276" w:lineRule="auto"/>
              <w:ind w:left="459" w:hanging="425"/>
              <w:contextualSpacing w:val="0"/>
              <w:jc w:val="both"/>
              <w:rPr>
                <w:rFonts w:ascii="Titillium" w:hAnsi="Titillium"/>
                <w:sz w:val="20"/>
                <w:szCs w:val="20"/>
              </w:rPr>
            </w:pPr>
            <w:r w:rsidRPr="00150097">
              <w:rPr>
                <w:rFonts w:ascii="Titillium" w:hAnsi="Titillium"/>
                <w:sz w:val="20"/>
                <w:szCs w:val="20"/>
              </w:rPr>
              <w:t xml:space="preserve">IVA al 22% </w:t>
            </w:r>
            <w:r w:rsidR="006E0721" w:rsidRPr="00150097">
              <w:rPr>
                <w:rFonts w:ascii="Titillium" w:hAnsi="Titillium"/>
                <w:sz w:val="20"/>
                <w:szCs w:val="20"/>
              </w:rPr>
              <w:t xml:space="preserve">sulle voci a) e b) </w:t>
            </w:r>
          </w:p>
        </w:tc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150097" w:rsidRDefault="00C108D7" w:rsidP="00405F29">
            <w:pPr>
              <w:pStyle w:val="Paragrafoelenco"/>
              <w:spacing w:after="100" w:line="276" w:lineRule="auto"/>
              <w:ind w:left="0"/>
              <w:contextualSpacing w:val="0"/>
              <w:jc w:val="right"/>
              <w:rPr>
                <w:rFonts w:ascii="Titillium" w:hAnsi="Titillium"/>
                <w:sz w:val="20"/>
                <w:szCs w:val="20"/>
              </w:rPr>
            </w:pPr>
            <w:r w:rsidRPr="00150097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B80660" w:rsidRPr="00150097">
              <w:rPr>
                <w:rFonts w:ascii="Titillium" w:hAnsi="Titillium"/>
                <w:sz w:val="20"/>
                <w:szCs w:val="20"/>
              </w:rPr>
              <w:t xml:space="preserve">    </w:t>
            </w:r>
            <w:r w:rsidRPr="00150097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7679A2" w:rsidRPr="00150097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405F29" w:rsidRPr="00150097">
              <w:rPr>
                <w:rFonts w:ascii="Titillium" w:hAnsi="Titillium"/>
                <w:sz w:val="20"/>
                <w:szCs w:val="20"/>
              </w:rPr>
              <w:t xml:space="preserve">€ </w:t>
            </w:r>
            <w:r w:rsidR="00150097" w:rsidRPr="00150097">
              <w:rPr>
                <w:rFonts w:ascii="Titillium" w:hAnsi="Titillium"/>
                <w:sz w:val="20"/>
                <w:szCs w:val="20"/>
              </w:rPr>
              <w:t>644,74</w:t>
            </w:r>
          </w:p>
        </w:tc>
      </w:tr>
      <w:tr w:rsidR="002175C6" w:rsidRPr="00150097" w:rsidTr="00211561">
        <w:trPr>
          <w:trHeight w:val="787"/>
          <w:jc w:val="right"/>
        </w:trPr>
        <w:tc>
          <w:tcPr>
            <w:tcW w:w="76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150097" w:rsidRDefault="002175C6" w:rsidP="00212EAF">
            <w:pPr>
              <w:tabs>
                <w:tab w:val="left" w:pos="7371"/>
              </w:tabs>
              <w:spacing w:after="100" w:line="276" w:lineRule="auto"/>
              <w:rPr>
                <w:rFonts w:ascii="Titillium" w:hAnsi="Titillium"/>
                <w:b/>
                <w:sz w:val="20"/>
                <w:szCs w:val="20"/>
              </w:rPr>
            </w:pPr>
            <w:r w:rsidRPr="00150097">
              <w:rPr>
                <w:rFonts w:ascii="Titillium" w:hAnsi="Titillium"/>
                <w:b/>
                <w:sz w:val="20"/>
                <w:szCs w:val="20"/>
              </w:rPr>
              <w:t>Spesa complessiva stimata</w:t>
            </w:r>
          </w:p>
        </w:tc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150097" w:rsidRDefault="002175C6" w:rsidP="00404289">
            <w:pPr>
              <w:pStyle w:val="Paragrafoelenco"/>
              <w:spacing w:after="100" w:line="276" w:lineRule="auto"/>
              <w:ind w:left="0"/>
              <w:contextualSpacing w:val="0"/>
              <w:jc w:val="right"/>
              <w:rPr>
                <w:rFonts w:ascii="Titillium" w:hAnsi="Titillium"/>
                <w:b/>
                <w:sz w:val="20"/>
                <w:szCs w:val="20"/>
              </w:rPr>
            </w:pPr>
            <w:r w:rsidRPr="00150097">
              <w:rPr>
                <w:rFonts w:ascii="Titillium" w:hAnsi="Titillium"/>
                <w:b/>
                <w:sz w:val="20"/>
                <w:szCs w:val="20"/>
              </w:rPr>
              <w:t xml:space="preserve">€ </w:t>
            </w:r>
            <w:r w:rsidR="00150097" w:rsidRPr="00150097">
              <w:rPr>
                <w:rFonts w:ascii="Titillium" w:hAnsi="Titillium"/>
                <w:b/>
                <w:sz w:val="20"/>
                <w:szCs w:val="20"/>
              </w:rPr>
              <w:t>3.575,38</w:t>
            </w:r>
          </w:p>
        </w:tc>
      </w:tr>
    </w:tbl>
    <w:p w:rsidR="006E0721" w:rsidRPr="00AB2C6E" w:rsidRDefault="001F0F88" w:rsidP="00E0422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AB2C6E">
        <w:rPr>
          <w:rFonts w:ascii="Titillium" w:hAnsi="Titillium"/>
          <w:sz w:val="20"/>
          <w:szCs w:val="20"/>
        </w:rPr>
        <w:t xml:space="preserve">2. </w:t>
      </w:r>
      <w:r w:rsidR="007228DC" w:rsidRPr="00AB2C6E">
        <w:rPr>
          <w:rFonts w:ascii="Titillium" w:hAnsi="Titillium"/>
          <w:sz w:val="20"/>
          <w:szCs w:val="20"/>
        </w:rPr>
        <w:t xml:space="preserve"> </w:t>
      </w:r>
      <w:bookmarkStart w:id="0" w:name="_GoBack"/>
      <w:r w:rsidR="00332723" w:rsidRPr="00AB2C6E">
        <w:rPr>
          <w:rFonts w:ascii="Titillium" w:hAnsi="Titillium"/>
          <w:sz w:val="20"/>
          <w:szCs w:val="20"/>
        </w:rPr>
        <w:t>di autorizzare la spesa complessiva stimata</w:t>
      </w:r>
      <w:r w:rsidR="006318AA" w:rsidRPr="00AB2C6E">
        <w:rPr>
          <w:rFonts w:ascii="Titillium" w:hAnsi="Titillium"/>
          <w:sz w:val="20"/>
          <w:szCs w:val="20"/>
        </w:rPr>
        <w:t xml:space="preserve"> da porsi a carico del bilancio pluriennale dell’Autorità </w:t>
      </w:r>
      <w:r w:rsidR="00D17E5C" w:rsidRPr="00AB2C6E">
        <w:rPr>
          <w:rFonts w:ascii="Titillium" w:hAnsi="Titillium"/>
          <w:sz w:val="20"/>
          <w:szCs w:val="20"/>
        </w:rPr>
        <w:t>su</w:t>
      </w:r>
      <w:r w:rsidR="00E07DDB" w:rsidRPr="00AB2C6E">
        <w:rPr>
          <w:rFonts w:ascii="Titillium" w:hAnsi="Titillium"/>
          <w:sz w:val="20"/>
          <w:szCs w:val="20"/>
        </w:rPr>
        <w:t>l</w:t>
      </w:r>
      <w:r w:rsidR="00332723" w:rsidRPr="00AB2C6E">
        <w:rPr>
          <w:rFonts w:ascii="Titillium" w:hAnsi="Titillium"/>
          <w:sz w:val="20"/>
          <w:szCs w:val="20"/>
        </w:rPr>
        <w:t xml:space="preserve"> </w:t>
      </w:r>
      <w:r w:rsidR="00D17E5C" w:rsidRPr="00AB2C6E">
        <w:rPr>
          <w:rFonts w:ascii="Titillium" w:hAnsi="Titillium"/>
          <w:sz w:val="20"/>
          <w:szCs w:val="20"/>
        </w:rPr>
        <w:t>capitol</w:t>
      </w:r>
      <w:r w:rsidR="00E07DDB" w:rsidRPr="00AB2C6E">
        <w:rPr>
          <w:rFonts w:ascii="Titillium" w:hAnsi="Titillium"/>
          <w:sz w:val="20"/>
          <w:szCs w:val="20"/>
        </w:rPr>
        <w:t>o</w:t>
      </w:r>
      <w:r w:rsidR="006E0721" w:rsidRPr="00AB2C6E">
        <w:rPr>
          <w:rFonts w:ascii="Titillium" w:hAnsi="Titillium"/>
          <w:sz w:val="20"/>
          <w:szCs w:val="20"/>
        </w:rPr>
        <w:t xml:space="preserve"> n. 13</w:t>
      </w:r>
      <w:r w:rsidR="004609AF" w:rsidRPr="00AB2C6E">
        <w:rPr>
          <w:rFonts w:ascii="Titillium" w:hAnsi="Titillium"/>
          <w:sz w:val="20"/>
          <w:szCs w:val="20"/>
        </w:rPr>
        <w:t>0</w:t>
      </w:r>
      <w:r w:rsidR="006E0721" w:rsidRPr="00AB2C6E">
        <w:rPr>
          <w:rFonts w:ascii="Titillium" w:hAnsi="Titillium"/>
          <w:sz w:val="20"/>
          <w:szCs w:val="20"/>
        </w:rPr>
        <w:t>7.2</w:t>
      </w:r>
      <w:r w:rsidR="00406276" w:rsidRPr="00AB2C6E">
        <w:rPr>
          <w:rFonts w:ascii="Titillium" w:hAnsi="Titillium"/>
          <w:sz w:val="20"/>
          <w:szCs w:val="20"/>
        </w:rPr>
        <w:t xml:space="preserve">, </w:t>
      </w:r>
      <w:r w:rsidR="00632F5C" w:rsidRPr="00AB2C6E">
        <w:rPr>
          <w:rFonts w:ascii="Titillium" w:hAnsi="Titillium"/>
          <w:sz w:val="20"/>
          <w:szCs w:val="20"/>
        </w:rPr>
        <w:t xml:space="preserve">per l’importo di </w:t>
      </w:r>
      <w:r w:rsidR="00632F5C" w:rsidRPr="00AB2C6E">
        <w:rPr>
          <w:rFonts w:ascii="Titillium" w:hAnsi="Titillium" w:hint="eastAsia"/>
          <w:sz w:val="20"/>
          <w:szCs w:val="20"/>
        </w:rPr>
        <w:t>€</w:t>
      </w:r>
      <w:r w:rsidR="006318AA" w:rsidRPr="00AB2C6E">
        <w:rPr>
          <w:rFonts w:ascii="Titillium" w:hAnsi="Titillium"/>
          <w:sz w:val="20"/>
          <w:szCs w:val="20"/>
        </w:rPr>
        <w:t xml:space="preserve"> </w:t>
      </w:r>
      <w:r w:rsidR="00150097" w:rsidRPr="00AB2C6E">
        <w:rPr>
          <w:rFonts w:ascii="Titillium" w:hAnsi="Titillium"/>
          <w:sz w:val="20"/>
          <w:szCs w:val="20"/>
        </w:rPr>
        <w:t>3.575,38</w:t>
      </w:r>
      <w:r w:rsidR="006318AA" w:rsidRPr="00AB2C6E">
        <w:rPr>
          <w:rFonts w:ascii="Titillium" w:hAnsi="Titillium"/>
          <w:sz w:val="20"/>
          <w:szCs w:val="20"/>
        </w:rPr>
        <w:t xml:space="preserve">, </w:t>
      </w:r>
      <w:r w:rsidR="006E0721" w:rsidRPr="00AB2C6E">
        <w:rPr>
          <w:rFonts w:ascii="Titillium" w:hAnsi="Titillium"/>
          <w:sz w:val="20"/>
          <w:szCs w:val="20"/>
        </w:rPr>
        <w:t>così ripartiti:</w:t>
      </w:r>
      <w:bookmarkEnd w:id="0"/>
    </w:p>
    <w:p w:rsidR="006E0721" w:rsidRPr="00AB2C6E" w:rsidRDefault="006E0721" w:rsidP="00E0422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AB2C6E">
        <w:rPr>
          <w:rFonts w:ascii="Titillium" w:hAnsi="Titillium"/>
          <w:sz w:val="20"/>
          <w:szCs w:val="20"/>
        </w:rPr>
        <w:t xml:space="preserve">- per l’anno 2023, € </w:t>
      </w:r>
      <w:r w:rsidR="00C41C91" w:rsidRPr="00AB2C6E">
        <w:rPr>
          <w:rFonts w:ascii="Titillium" w:hAnsi="Titillium"/>
          <w:sz w:val="20"/>
          <w:szCs w:val="20"/>
        </w:rPr>
        <w:t>1.489,74</w:t>
      </w:r>
      <w:r w:rsidRPr="00AB2C6E">
        <w:rPr>
          <w:rFonts w:ascii="Titillium" w:hAnsi="Titillium"/>
          <w:sz w:val="20"/>
          <w:szCs w:val="20"/>
        </w:rPr>
        <w:t xml:space="preserve"> </w:t>
      </w:r>
      <w:r w:rsidR="006318AA" w:rsidRPr="00AB2C6E">
        <w:rPr>
          <w:rFonts w:ascii="Titillium" w:hAnsi="Titillium"/>
          <w:sz w:val="20"/>
          <w:szCs w:val="20"/>
        </w:rPr>
        <w:t>dei quali (</w:t>
      </w:r>
      <w:r w:rsidR="006318AA" w:rsidRPr="00AB2C6E">
        <w:rPr>
          <w:rFonts w:ascii="Titillium" w:hAnsi="Titillium"/>
          <w:i/>
          <w:sz w:val="20"/>
          <w:szCs w:val="20"/>
        </w:rPr>
        <w:t>i</w:t>
      </w:r>
      <w:r w:rsidR="006318AA" w:rsidRPr="00AB2C6E">
        <w:rPr>
          <w:rFonts w:ascii="Titillium" w:hAnsi="Titillium"/>
          <w:sz w:val="20"/>
          <w:szCs w:val="20"/>
        </w:rPr>
        <w:t xml:space="preserve">) € </w:t>
      </w:r>
      <w:r w:rsidR="00C41C91" w:rsidRPr="00AB2C6E">
        <w:rPr>
          <w:rFonts w:ascii="Titillium" w:hAnsi="Titillium"/>
          <w:sz w:val="20"/>
          <w:szCs w:val="20"/>
        </w:rPr>
        <w:t>1.221,10</w:t>
      </w:r>
      <w:r w:rsidRPr="00AB2C6E">
        <w:rPr>
          <w:rFonts w:ascii="Titillium" w:hAnsi="Titillium"/>
          <w:sz w:val="20"/>
          <w:szCs w:val="20"/>
        </w:rPr>
        <w:t xml:space="preserve"> a titolo di corrispettivo per il servizio ed (</w:t>
      </w:r>
      <w:r w:rsidRPr="00AB2C6E">
        <w:rPr>
          <w:rFonts w:ascii="Titillium" w:hAnsi="Titillium"/>
          <w:i/>
          <w:sz w:val="20"/>
          <w:szCs w:val="20"/>
        </w:rPr>
        <w:t>ii</w:t>
      </w:r>
      <w:r w:rsidRPr="00AB2C6E">
        <w:rPr>
          <w:rFonts w:ascii="Titillium" w:hAnsi="Titillium"/>
          <w:sz w:val="20"/>
          <w:szCs w:val="20"/>
        </w:rPr>
        <w:t xml:space="preserve">) € </w:t>
      </w:r>
      <w:r w:rsidR="00C41C91" w:rsidRPr="00AB2C6E">
        <w:rPr>
          <w:rFonts w:ascii="Titillium" w:hAnsi="Titillium"/>
          <w:sz w:val="20"/>
          <w:szCs w:val="20"/>
        </w:rPr>
        <w:t xml:space="preserve">268,64 </w:t>
      </w:r>
      <w:r w:rsidRPr="00AB2C6E">
        <w:rPr>
          <w:rFonts w:ascii="Titillium" w:hAnsi="Titillium"/>
          <w:sz w:val="20"/>
          <w:szCs w:val="20"/>
        </w:rPr>
        <w:t>a titolo di IVA;</w:t>
      </w:r>
    </w:p>
    <w:p w:rsidR="006E0721" w:rsidRPr="00AB2C6E" w:rsidRDefault="006E0721" w:rsidP="00E0422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AB2C6E">
        <w:rPr>
          <w:rFonts w:ascii="Titillium" w:hAnsi="Titillium"/>
          <w:sz w:val="20"/>
          <w:szCs w:val="20"/>
        </w:rPr>
        <w:t xml:space="preserve">- per l’anno 2024, € </w:t>
      </w:r>
      <w:r w:rsidR="00AB2C6E" w:rsidRPr="00AB2C6E">
        <w:rPr>
          <w:rFonts w:ascii="Titillium" w:hAnsi="Titillium"/>
          <w:sz w:val="20"/>
          <w:szCs w:val="20"/>
        </w:rPr>
        <w:t>2.085</w:t>
      </w:r>
      <w:r w:rsidRPr="00AB2C6E">
        <w:rPr>
          <w:rFonts w:ascii="Titillium" w:hAnsi="Titillium"/>
          <w:sz w:val="20"/>
          <w:szCs w:val="20"/>
        </w:rPr>
        <w:t>,</w:t>
      </w:r>
      <w:r w:rsidR="00AB2C6E" w:rsidRPr="00AB2C6E">
        <w:rPr>
          <w:rFonts w:ascii="Titillium" w:hAnsi="Titillium"/>
          <w:sz w:val="20"/>
          <w:szCs w:val="20"/>
        </w:rPr>
        <w:t>64</w:t>
      </w:r>
      <w:r w:rsidRPr="00AB2C6E">
        <w:rPr>
          <w:rFonts w:ascii="Titillium" w:hAnsi="Titillium"/>
          <w:sz w:val="20"/>
          <w:szCs w:val="20"/>
        </w:rPr>
        <w:t xml:space="preserve"> dei quali (</w:t>
      </w:r>
      <w:r w:rsidRPr="00AB2C6E">
        <w:rPr>
          <w:rFonts w:ascii="Titillium" w:hAnsi="Titillium"/>
          <w:i/>
          <w:sz w:val="20"/>
          <w:szCs w:val="20"/>
        </w:rPr>
        <w:t>i</w:t>
      </w:r>
      <w:r w:rsidRPr="00AB2C6E">
        <w:rPr>
          <w:rFonts w:ascii="Titillium" w:hAnsi="Titillium"/>
          <w:sz w:val="20"/>
          <w:szCs w:val="20"/>
        </w:rPr>
        <w:t xml:space="preserve">) € </w:t>
      </w:r>
      <w:r w:rsidR="00AB2C6E" w:rsidRPr="00AB2C6E">
        <w:rPr>
          <w:rFonts w:ascii="Titillium" w:hAnsi="Titillium"/>
          <w:sz w:val="20"/>
          <w:szCs w:val="20"/>
        </w:rPr>
        <w:t>1.709,54</w:t>
      </w:r>
      <w:r w:rsidRPr="00AB2C6E">
        <w:rPr>
          <w:rFonts w:ascii="Titillium" w:hAnsi="Titillium"/>
          <w:sz w:val="20"/>
          <w:szCs w:val="20"/>
        </w:rPr>
        <w:t xml:space="preserve"> a titolo di corrispettivo per il servizio ed (</w:t>
      </w:r>
      <w:r w:rsidRPr="00AB2C6E">
        <w:rPr>
          <w:rFonts w:ascii="Titillium" w:hAnsi="Titillium"/>
          <w:i/>
          <w:sz w:val="20"/>
          <w:szCs w:val="20"/>
        </w:rPr>
        <w:t>ii</w:t>
      </w:r>
      <w:r w:rsidRPr="00AB2C6E">
        <w:rPr>
          <w:rFonts w:ascii="Titillium" w:hAnsi="Titillium"/>
          <w:sz w:val="20"/>
          <w:szCs w:val="20"/>
        </w:rPr>
        <w:t xml:space="preserve">) € </w:t>
      </w:r>
      <w:r w:rsidR="00AB2C6E" w:rsidRPr="00AB2C6E">
        <w:rPr>
          <w:rFonts w:ascii="Titillium" w:hAnsi="Titillium"/>
          <w:sz w:val="20"/>
          <w:szCs w:val="20"/>
        </w:rPr>
        <w:t xml:space="preserve">376,10 </w:t>
      </w:r>
      <w:r w:rsidRPr="00AB2C6E">
        <w:rPr>
          <w:rFonts w:ascii="Titillium" w:hAnsi="Titillium"/>
          <w:sz w:val="20"/>
          <w:szCs w:val="20"/>
        </w:rPr>
        <w:t>a titolo di IVA;</w:t>
      </w:r>
    </w:p>
    <w:p w:rsidR="00E0422F" w:rsidRDefault="001F0F88" w:rsidP="00E0422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AB2C6E">
        <w:rPr>
          <w:rFonts w:ascii="Titillium" w:hAnsi="Titillium"/>
          <w:sz w:val="20"/>
          <w:szCs w:val="20"/>
        </w:rPr>
        <w:t>3</w:t>
      </w:r>
      <w:r w:rsidR="00E0422F" w:rsidRPr="00AB2C6E">
        <w:rPr>
          <w:rFonts w:ascii="Titillium" w:hAnsi="Titillium"/>
          <w:sz w:val="20"/>
          <w:szCs w:val="20"/>
        </w:rPr>
        <w:t xml:space="preserve">. </w:t>
      </w:r>
      <w:r w:rsidR="00332723" w:rsidRPr="00AB2C6E">
        <w:rPr>
          <w:rFonts w:ascii="Titillium" w:hAnsi="Titillium"/>
          <w:sz w:val="20"/>
          <w:szCs w:val="20"/>
        </w:rPr>
        <w:t>Il Responsabile unico</w:t>
      </w:r>
      <w:r w:rsidR="00332723" w:rsidRPr="00E0422F">
        <w:rPr>
          <w:rFonts w:ascii="Titillium" w:hAnsi="Titillium"/>
          <w:sz w:val="20"/>
          <w:szCs w:val="20"/>
        </w:rPr>
        <w:t xml:space="preserve"> </w:t>
      </w:r>
      <w:r w:rsidR="00581C85">
        <w:rPr>
          <w:rFonts w:ascii="Titillium" w:hAnsi="Titillium"/>
          <w:sz w:val="20"/>
          <w:szCs w:val="20"/>
        </w:rPr>
        <w:t>di progetto</w:t>
      </w:r>
      <w:r w:rsidR="00332723" w:rsidRPr="00E0422F">
        <w:rPr>
          <w:rFonts w:ascii="Titillium" w:hAnsi="Titillium"/>
          <w:sz w:val="20"/>
          <w:szCs w:val="20"/>
        </w:rPr>
        <w:t xml:space="preserve"> di cui all’art. </w:t>
      </w:r>
      <w:r w:rsidR="00581C85">
        <w:rPr>
          <w:rFonts w:ascii="Titillium" w:hAnsi="Titillium"/>
          <w:sz w:val="20"/>
          <w:szCs w:val="20"/>
        </w:rPr>
        <w:t xml:space="preserve">15 del d.lgs. n. 36/2023 </w:t>
      </w:r>
      <w:r w:rsidR="00356FF4" w:rsidRPr="00E0422F">
        <w:rPr>
          <w:rFonts w:ascii="Titillium" w:hAnsi="Titillium"/>
          <w:sz w:val="20"/>
          <w:szCs w:val="20"/>
        </w:rPr>
        <w:t xml:space="preserve">è </w:t>
      </w:r>
      <w:r w:rsidR="006E0721">
        <w:rPr>
          <w:rFonts w:ascii="Titillium" w:hAnsi="Titillium"/>
          <w:sz w:val="20"/>
          <w:szCs w:val="20"/>
        </w:rPr>
        <w:t xml:space="preserve">l’Arch. Rosaria Rizzacasa, funzionaria dell’Ufficio UGARE, che svolgerà anche le funzioni di direttore dell’esecuzione del contratto. </w:t>
      </w:r>
    </w:p>
    <w:p w:rsidR="00E70CFA" w:rsidRPr="00E0422F" w:rsidRDefault="00E70CFA" w:rsidP="00982D00">
      <w:pPr>
        <w:spacing w:after="240" w:line="276" w:lineRule="auto"/>
        <w:jc w:val="both"/>
        <w:rPr>
          <w:rFonts w:ascii="Titillium" w:hAnsi="Titillium"/>
          <w:sz w:val="20"/>
          <w:szCs w:val="20"/>
        </w:rPr>
      </w:pPr>
    </w:p>
    <w:tbl>
      <w:tblPr>
        <w:tblW w:w="4854" w:type="pct"/>
        <w:tblInd w:w="1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2"/>
        <w:gridCol w:w="1843"/>
        <w:gridCol w:w="3402"/>
      </w:tblGrid>
      <w:tr w:rsidR="00E70CFA" w:rsidRPr="00B23DE4" w:rsidTr="00982D00">
        <w:trPr>
          <w:trHeight w:val="658"/>
        </w:trPr>
        <w:tc>
          <w:tcPr>
            <w:tcW w:w="2197" w:type="pct"/>
            <w:shd w:val="clear" w:color="auto" w:fill="2770B7"/>
            <w:vAlign w:val="center"/>
          </w:tcPr>
          <w:p w:rsidR="00E70CFA" w:rsidRPr="00405F29" w:rsidRDefault="00E70CFA" w:rsidP="009536A8">
            <w:pPr>
              <w:pStyle w:val="ANCATABELLATITOLOBIANCO"/>
              <w:ind w:left="0"/>
              <w:rPr>
                <w:lang w:val="it-IT"/>
              </w:rPr>
            </w:pPr>
          </w:p>
        </w:tc>
        <w:tc>
          <w:tcPr>
            <w:tcW w:w="985" w:type="pct"/>
            <w:shd w:val="clear" w:color="auto" w:fill="2770B7"/>
          </w:tcPr>
          <w:p w:rsidR="00E70CFA" w:rsidRPr="00405F29" w:rsidRDefault="00E70CFA" w:rsidP="009536A8">
            <w:pPr>
              <w:pStyle w:val="ANCATABELLATITOLOBIANCO"/>
              <w:ind w:left="0"/>
              <w:rPr>
                <w:lang w:val="it-IT"/>
              </w:rPr>
            </w:pPr>
          </w:p>
        </w:tc>
        <w:tc>
          <w:tcPr>
            <w:tcW w:w="1818" w:type="pct"/>
            <w:shd w:val="clear" w:color="auto" w:fill="2770B7"/>
            <w:vAlign w:val="center"/>
          </w:tcPr>
          <w:p w:rsidR="00E70CFA" w:rsidRPr="00B23DE4" w:rsidRDefault="00E70CFA" w:rsidP="00982D00">
            <w:pPr>
              <w:pStyle w:val="ANCATABELLATITOLOBIANCO"/>
              <w:ind w:left="0"/>
              <w:jc w:val="center"/>
              <w:rPr>
                <w:lang w:val="it-IT"/>
              </w:rPr>
            </w:pPr>
            <w:r w:rsidRPr="00B23DE4">
              <w:rPr>
                <w:lang w:val="it-IT"/>
              </w:rPr>
              <w:t xml:space="preserve">Il </w:t>
            </w:r>
            <w:r w:rsidR="006318AA">
              <w:rPr>
                <w:lang w:val="it-IT"/>
              </w:rPr>
              <w:t>Dirigente dell’Ufficio Gare e Logistica</w:t>
            </w:r>
          </w:p>
        </w:tc>
      </w:tr>
    </w:tbl>
    <w:p w:rsidR="008B6ABE" w:rsidRDefault="004A53E6" w:rsidP="00332723">
      <w:pPr>
        <w:spacing w:before="120" w:after="120" w:line="276" w:lineRule="auto"/>
        <w:rPr>
          <w:rFonts w:ascii="Titillium" w:hAnsi="Titillium"/>
          <w:sz w:val="20"/>
          <w:szCs w:val="20"/>
        </w:rPr>
      </w:pPr>
      <w:r w:rsidRPr="00C95049">
        <w:rPr>
          <w:rFonts w:ascii="Titilium Regular" w:hAnsi="Titilium Regular"/>
          <w:i/>
        </w:rPr>
        <w:tab/>
      </w:r>
      <w:r w:rsidRPr="00C95049">
        <w:rPr>
          <w:rFonts w:ascii="Titilium Regular" w:hAnsi="Titilium Regular"/>
          <w:i/>
        </w:rPr>
        <w:tab/>
      </w:r>
      <w:r w:rsidRPr="00C95049">
        <w:rPr>
          <w:rFonts w:ascii="Titilium Regular" w:hAnsi="Titilium Regular"/>
          <w:i/>
        </w:rPr>
        <w:tab/>
      </w:r>
      <w:r w:rsidRPr="00C95049">
        <w:rPr>
          <w:rFonts w:ascii="Titilium Regular" w:hAnsi="Titilium Regular"/>
          <w:i/>
        </w:rPr>
        <w:tab/>
      </w:r>
      <w:r w:rsidR="00E70CFA">
        <w:rPr>
          <w:rFonts w:ascii="Titilium Regular" w:hAnsi="Titilium Regular"/>
          <w:i/>
        </w:rPr>
        <w:t xml:space="preserve">                                </w:t>
      </w:r>
      <w:r w:rsidR="004072EB">
        <w:rPr>
          <w:rFonts w:ascii="Titilium Regular" w:hAnsi="Titilium Regular"/>
          <w:i/>
        </w:rPr>
        <w:t xml:space="preserve">                        </w:t>
      </w:r>
      <w:r w:rsidR="00E70CFA">
        <w:rPr>
          <w:rFonts w:ascii="Titilium Regular" w:hAnsi="Titilium Regular"/>
          <w:i/>
        </w:rPr>
        <w:t xml:space="preserve"> </w:t>
      </w:r>
      <w:r w:rsidR="00385D7E">
        <w:rPr>
          <w:rFonts w:ascii="Titilium Regular" w:hAnsi="Titilium Regular"/>
        </w:rPr>
        <w:t xml:space="preserve">           </w:t>
      </w:r>
      <w:r w:rsidR="006318AA">
        <w:rPr>
          <w:rFonts w:ascii="Titillium" w:hAnsi="Titillium"/>
          <w:sz w:val="20"/>
          <w:szCs w:val="20"/>
        </w:rPr>
        <w:t>Ing. Settimio Picca</w:t>
      </w:r>
    </w:p>
    <w:p w:rsidR="00DB4DF6" w:rsidRPr="001F0F88" w:rsidRDefault="00DB4DF6" w:rsidP="00332723">
      <w:pPr>
        <w:spacing w:line="276" w:lineRule="auto"/>
        <w:rPr>
          <w:rFonts w:ascii="Titilium Regular" w:hAnsi="Titilium Regular"/>
        </w:rPr>
      </w:pPr>
    </w:p>
    <w:p w:rsidR="001F0F88" w:rsidRDefault="001F0F88" w:rsidP="00332723">
      <w:pPr>
        <w:spacing w:line="276" w:lineRule="auto"/>
        <w:rPr>
          <w:rFonts w:ascii="Titilium Regular" w:hAnsi="Titilium Regular"/>
        </w:rPr>
      </w:pPr>
    </w:p>
    <w:tbl>
      <w:tblPr>
        <w:tblW w:w="4854" w:type="pct"/>
        <w:tblInd w:w="1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2"/>
        <w:gridCol w:w="1843"/>
        <w:gridCol w:w="3402"/>
      </w:tblGrid>
      <w:tr w:rsidR="00E70CFA" w:rsidRPr="00B23DE4" w:rsidTr="00982D00">
        <w:trPr>
          <w:trHeight w:val="658"/>
        </w:trPr>
        <w:tc>
          <w:tcPr>
            <w:tcW w:w="2197" w:type="pct"/>
            <w:shd w:val="clear" w:color="auto" w:fill="2770B7"/>
            <w:vAlign w:val="center"/>
          </w:tcPr>
          <w:p w:rsidR="00E70CFA" w:rsidRPr="000E1983" w:rsidRDefault="00E70CFA" w:rsidP="009536A8">
            <w:pPr>
              <w:pStyle w:val="ANCATABELLATITOLOBIANCO"/>
              <w:ind w:left="0"/>
            </w:pPr>
          </w:p>
        </w:tc>
        <w:tc>
          <w:tcPr>
            <w:tcW w:w="985" w:type="pct"/>
            <w:shd w:val="clear" w:color="auto" w:fill="2770B7"/>
          </w:tcPr>
          <w:p w:rsidR="00E70CFA" w:rsidRPr="000E1983" w:rsidRDefault="00E70CFA" w:rsidP="009536A8">
            <w:pPr>
              <w:pStyle w:val="ANCATABELLATITOLOBIANCO"/>
              <w:ind w:left="0"/>
            </w:pPr>
          </w:p>
        </w:tc>
        <w:tc>
          <w:tcPr>
            <w:tcW w:w="1818" w:type="pct"/>
            <w:shd w:val="clear" w:color="auto" w:fill="2770B7"/>
            <w:vAlign w:val="center"/>
          </w:tcPr>
          <w:p w:rsidR="00E70CFA" w:rsidRPr="00B23DE4" w:rsidRDefault="00E70CFA" w:rsidP="001F0F88">
            <w:pPr>
              <w:pStyle w:val="ANCATABELLATITOLOBIANCO"/>
              <w:ind w:left="0"/>
              <w:rPr>
                <w:lang w:val="it-IT"/>
              </w:rPr>
            </w:pPr>
            <w:r>
              <w:rPr>
                <w:lang w:val="it-IT"/>
              </w:rPr>
              <w:t>VISTO PER LA COPERTURA FINANZIARIA: Il Dirigente dell’Ufficio programm</w:t>
            </w:r>
            <w:r w:rsidR="00406276">
              <w:rPr>
                <w:lang w:val="it-IT"/>
              </w:rPr>
              <w:t>azione delle risorse finanziarie</w:t>
            </w:r>
            <w:r>
              <w:rPr>
                <w:lang w:val="it-IT"/>
              </w:rPr>
              <w:t>, bilancio e contabilit</w:t>
            </w:r>
            <w:r w:rsidR="001F0F88">
              <w:rPr>
                <w:lang w:val="it-IT"/>
              </w:rPr>
              <w:t>à</w:t>
            </w:r>
          </w:p>
        </w:tc>
      </w:tr>
    </w:tbl>
    <w:p w:rsidR="00E70CFA" w:rsidRPr="00C95049" w:rsidRDefault="00E70CFA" w:rsidP="00332723">
      <w:pPr>
        <w:spacing w:line="276" w:lineRule="auto"/>
        <w:rPr>
          <w:rFonts w:ascii="Titilium Regular" w:hAnsi="Titilium Regular"/>
        </w:rPr>
      </w:pPr>
    </w:p>
    <w:p w:rsidR="00022368" w:rsidRPr="00385D7E" w:rsidRDefault="0063524C" w:rsidP="00332723">
      <w:pPr>
        <w:spacing w:line="276" w:lineRule="auto"/>
        <w:rPr>
          <w:rFonts w:ascii="Titillium" w:hAnsi="Titillium"/>
          <w:sz w:val="20"/>
          <w:szCs w:val="20"/>
        </w:rPr>
      </w:pPr>
      <w:r w:rsidRPr="00C95049">
        <w:rPr>
          <w:rFonts w:ascii="Titilium Regular" w:hAnsi="Titilium Regular"/>
        </w:rPr>
        <w:t xml:space="preserve">                     </w:t>
      </w:r>
      <w:r w:rsidR="00022368">
        <w:rPr>
          <w:rFonts w:ascii="Titilium Regular" w:hAnsi="Titilium Regular"/>
        </w:rPr>
        <w:t xml:space="preserve">                                                        </w:t>
      </w:r>
      <w:r w:rsidR="001F0F88">
        <w:rPr>
          <w:rFonts w:ascii="Titilium Regular" w:hAnsi="Titilium Regular"/>
        </w:rPr>
        <w:t xml:space="preserve">                                </w:t>
      </w:r>
      <w:r w:rsidR="00022368">
        <w:rPr>
          <w:rFonts w:ascii="Titilium Regular" w:hAnsi="Titilium Regular"/>
        </w:rPr>
        <w:t xml:space="preserve">   </w:t>
      </w:r>
      <w:r w:rsidR="004072EB">
        <w:rPr>
          <w:rFonts w:ascii="Titilium Regular" w:hAnsi="Titilium Regular"/>
          <w:i/>
        </w:rPr>
        <w:t xml:space="preserve"> </w:t>
      </w:r>
      <w:r w:rsidR="004072EB" w:rsidRPr="00385D7E">
        <w:rPr>
          <w:rFonts w:ascii="Titillium" w:hAnsi="Titillium"/>
          <w:sz w:val="20"/>
          <w:szCs w:val="20"/>
        </w:rPr>
        <w:t>Dott. S</w:t>
      </w:r>
      <w:r w:rsidR="00022368" w:rsidRPr="00385D7E">
        <w:rPr>
          <w:rFonts w:ascii="Titillium" w:hAnsi="Titillium"/>
          <w:sz w:val="20"/>
          <w:szCs w:val="20"/>
        </w:rPr>
        <w:t>tefano Ceccarelli</w:t>
      </w:r>
    </w:p>
    <w:p w:rsidR="004A53E6" w:rsidRPr="00C95049" w:rsidRDefault="0063524C" w:rsidP="00332723">
      <w:pPr>
        <w:spacing w:line="276" w:lineRule="auto"/>
        <w:rPr>
          <w:rFonts w:ascii="Titilium Regular" w:hAnsi="Titilium Regular"/>
          <w:i/>
        </w:rPr>
      </w:pPr>
      <w:r w:rsidRPr="00C95049">
        <w:rPr>
          <w:rFonts w:ascii="Titilium Regular" w:hAnsi="Titilium Regular"/>
        </w:rPr>
        <w:t xml:space="preserve"> </w:t>
      </w:r>
    </w:p>
    <w:sectPr w:rsidR="004A53E6" w:rsidRPr="00C95049" w:rsidSect="00F77C35">
      <w:headerReference w:type="default" r:id="rId8"/>
      <w:pgSz w:w="11906" w:h="16838"/>
      <w:pgMar w:top="567" w:right="1134" w:bottom="1276" w:left="1134" w:header="284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F9" w:rsidRDefault="00952CF9" w:rsidP="00332723">
      <w:r>
        <w:separator/>
      </w:r>
    </w:p>
  </w:endnote>
  <w:endnote w:type="continuationSeparator" w:id="0">
    <w:p w:rsidR="00952CF9" w:rsidRDefault="00952CF9" w:rsidP="0033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 Web">
    <w:altName w:val="Times New Roman"/>
    <w:charset w:val="4D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ium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F9" w:rsidRDefault="00952CF9" w:rsidP="00332723">
      <w:r>
        <w:separator/>
      </w:r>
    </w:p>
  </w:footnote>
  <w:footnote w:type="continuationSeparator" w:id="0">
    <w:p w:rsidR="00952CF9" w:rsidRDefault="00952CF9" w:rsidP="0033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049" w:rsidRDefault="00C95049" w:rsidP="008B6ABE">
    <w:pPr>
      <w:tabs>
        <w:tab w:val="center" w:pos="4678"/>
      </w:tabs>
      <w:spacing w:before="120"/>
      <w:ind w:right="284"/>
      <w:rPr>
        <w:i/>
        <w:color w:val="1F497D"/>
        <w:sz w:val="20"/>
        <w:szCs w:val="20"/>
      </w:rPr>
    </w:pPr>
    <w:r>
      <w:rPr>
        <w:noProof/>
      </w:rPr>
      <w:drawing>
        <wp:inline distT="0" distB="0" distL="0" distR="0" wp14:anchorId="6CF98EE3" wp14:editId="3CEB9739">
          <wp:extent cx="3169920" cy="4025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32723" w:rsidRDefault="00332723" w:rsidP="008B6ABE">
    <w:pPr>
      <w:tabs>
        <w:tab w:val="center" w:pos="4678"/>
      </w:tabs>
      <w:spacing w:before="120"/>
      <w:ind w:right="284"/>
      <w:rPr>
        <w:rFonts w:ascii="Gotham Light" w:hAnsi="Gotham Light" w:cs="Arial"/>
        <w:color w:val="2E74B5"/>
      </w:rPr>
    </w:pPr>
  </w:p>
  <w:p w:rsidR="000A6F83" w:rsidRPr="008B6ABE" w:rsidRDefault="000A6F83" w:rsidP="008B6ABE">
    <w:pPr>
      <w:tabs>
        <w:tab w:val="center" w:pos="4678"/>
      </w:tabs>
      <w:spacing w:before="120"/>
      <w:ind w:right="284"/>
      <w:rPr>
        <w:rFonts w:ascii="Gotham Light" w:hAnsi="Gotham Light"/>
        <w:i/>
        <w:color w:val="1F497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704E"/>
    <w:multiLevelType w:val="hybridMultilevel"/>
    <w:tmpl w:val="7E7CF69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09E69A7"/>
    <w:multiLevelType w:val="hybridMultilevel"/>
    <w:tmpl w:val="71486406"/>
    <w:lvl w:ilvl="0" w:tplc="773A90A4">
      <w:start w:val="2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56576D"/>
    <w:multiLevelType w:val="hybridMultilevel"/>
    <w:tmpl w:val="440E28C8"/>
    <w:lvl w:ilvl="0" w:tplc="0410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7300A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E6520"/>
    <w:multiLevelType w:val="hybridMultilevel"/>
    <w:tmpl w:val="71E03A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3466D"/>
    <w:multiLevelType w:val="hybridMultilevel"/>
    <w:tmpl w:val="AFEECC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52"/>
    <w:rsid w:val="0000598A"/>
    <w:rsid w:val="000209F6"/>
    <w:rsid w:val="00022368"/>
    <w:rsid w:val="000458D6"/>
    <w:rsid w:val="000650BE"/>
    <w:rsid w:val="000A6F83"/>
    <w:rsid w:val="00110EE1"/>
    <w:rsid w:val="00116D45"/>
    <w:rsid w:val="00116E66"/>
    <w:rsid w:val="0012593E"/>
    <w:rsid w:val="00150097"/>
    <w:rsid w:val="001E136E"/>
    <w:rsid w:val="001F06BC"/>
    <w:rsid w:val="001F0F88"/>
    <w:rsid w:val="001F603F"/>
    <w:rsid w:val="001F74B3"/>
    <w:rsid w:val="00211561"/>
    <w:rsid w:val="00212000"/>
    <w:rsid w:val="00212EAF"/>
    <w:rsid w:val="002175C6"/>
    <w:rsid w:val="00231CCC"/>
    <w:rsid w:val="0023328A"/>
    <w:rsid w:val="002578C0"/>
    <w:rsid w:val="0026529A"/>
    <w:rsid w:val="002750CE"/>
    <w:rsid w:val="00315207"/>
    <w:rsid w:val="00332723"/>
    <w:rsid w:val="00334539"/>
    <w:rsid w:val="00356FF4"/>
    <w:rsid w:val="003574BE"/>
    <w:rsid w:val="00366BF6"/>
    <w:rsid w:val="00385D7E"/>
    <w:rsid w:val="003A7A5A"/>
    <w:rsid w:val="003B4801"/>
    <w:rsid w:val="003D4614"/>
    <w:rsid w:val="003E5D79"/>
    <w:rsid w:val="00404289"/>
    <w:rsid w:val="00405F29"/>
    <w:rsid w:val="00406276"/>
    <w:rsid w:val="0040726A"/>
    <w:rsid w:val="004072EB"/>
    <w:rsid w:val="00414BA9"/>
    <w:rsid w:val="004609AF"/>
    <w:rsid w:val="00463CE9"/>
    <w:rsid w:val="00472286"/>
    <w:rsid w:val="004774AE"/>
    <w:rsid w:val="004843CF"/>
    <w:rsid w:val="004854B5"/>
    <w:rsid w:val="00485612"/>
    <w:rsid w:val="00487647"/>
    <w:rsid w:val="004A53E6"/>
    <w:rsid w:val="004B6C64"/>
    <w:rsid w:val="004D7473"/>
    <w:rsid w:val="004E0347"/>
    <w:rsid w:val="004E12C3"/>
    <w:rsid w:val="004E54CF"/>
    <w:rsid w:val="00514E05"/>
    <w:rsid w:val="0052461B"/>
    <w:rsid w:val="005273C2"/>
    <w:rsid w:val="005565FA"/>
    <w:rsid w:val="00581C85"/>
    <w:rsid w:val="0058739E"/>
    <w:rsid w:val="005A2153"/>
    <w:rsid w:val="005E6E80"/>
    <w:rsid w:val="005F5C0C"/>
    <w:rsid w:val="00603567"/>
    <w:rsid w:val="00607DAC"/>
    <w:rsid w:val="006318AA"/>
    <w:rsid w:val="00632F5C"/>
    <w:rsid w:val="0063524C"/>
    <w:rsid w:val="00695A16"/>
    <w:rsid w:val="006979D2"/>
    <w:rsid w:val="006A4252"/>
    <w:rsid w:val="006A6E3E"/>
    <w:rsid w:val="006C6232"/>
    <w:rsid w:val="006C6C74"/>
    <w:rsid w:val="006E0721"/>
    <w:rsid w:val="007228DC"/>
    <w:rsid w:val="00723555"/>
    <w:rsid w:val="00727CF5"/>
    <w:rsid w:val="00727FF0"/>
    <w:rsid w:val="007679A2"/>
    <w:rsid w:val="007840EA"/>
    <w:rsid w:val="00792C50"/>
    <w:rsid w:val="00793F70"/>
    <w:rsid w:val="007B5FA8"/>
    <w:rsid w:val="007E37F5"/>
    <w:rsid w:val="008460B1"/>
    <w:rsid w:val="008B6ABE"/>
    <w:rsid w:val="008D46D1"/>
    <w:rsid w:val="00952CF9"/>
    <w:rsid w:val="009723AB"/>
    <w:rsid w:val="00982D00"/>
    <w:rsid w:val="009B2060"/>
    <w:rsid w:val="009B7148"/>
    <w:rsid w:val="00A6677D"/>
    <w:rsid w:val="00A67C23"/>
    <w:rsid w:val="00A708D2"/>
    <w:rsid w:val="00A80E47"/>
    <w:rsid w:val="00A90DE9"/>
    <w:rsid w:val="00AB2C6E"/>
    <w:rsid w:val="00AE6E4B"/>
    <w:rsid w:val="00B04539"/>
    <w:rsid w:val="00B36A03"/>
    <w:rsid w:val="00B37CA5"/>
    <w:rsid w:val="00B613FA"/>
    <w:rsid w:val="00B6390B"/>
    <w:rsid w:val="00B67094"/>
    <w:rsid w:val="00B7127D"/>
    <w:rsid w:val="00B80660"/>
    <w:rsid w:val="00B80C02"/>
    <w:rsid w:val="00B9335C"/>
    <w:rsid w:val="00BA5196"/>
    <w:rsid w:val="00BC1267"/>
    <w:rsid w:val="00BD1180"/>
    <w:rsid w:val="00BF15B5"/>
    <w:rsid w:val="00C05EF6"/>
    <w:rsid w:val="00C108D7"/>
    <w:rsid w:val="00C17086"/>
    <w:rsid w:val="00C41C91"/>
    <w:rsid w:val="00C60786"/>
    <w:rsid w:val="00C83149"/>
    <w:rsid w:val="00C95049"/>
    <w:rsid w:val="00CA2405"/>
    <w:rsid w:val="00CA5AA2"/>
    <w:rsid w:val="00D03AB2"/>
    <w:rsid w:val="00D17E5C"/>
    <w:rsid w:val="00D666CA"/>
    <w:rsid w:val="00D731D4"/>
    <w:rsid w:val="00D844E1"/>
    <w:rsid w:val="00D87614"/>
    <w:rsid w:val="00DB1F58"/>
    <w:rsid w:val="00DB4DF6"/>
    <w:rsid w:val="00DD2A6C"/>
    <w:rsid w:val="00E0422F"/>
    <w:rsid w:val="00E07DDB"/>
    <w:rsid w:val="00E27E0A"/>
    <w:rsid w:val="00E54758"/>
    <w:rsid w:val="00E637CD"/>
    <w:rsid w:val="00E70CFA"/>
    <w:rsid w:val="00EA39F0"/>
    <w:rsid w:val="00EE5A02"/>
    <w:rsid w:val="00F50B94"/>
    <w:rsid w:val="00F703BF"/>
    <w:rsid w:val="00F72632"/>
    <w:rsid w:val="00F779A2"/>
    <w:rsid w:val="00F77C35"/>
    <w:rsid w:val="00F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45510D"/>
  <w15:chartTrackingRefBased/>
  <w15:docId w15:val="{0E96DBE6-CEEE-4BB2-BAFC-3A680CF9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327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33272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27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3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27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4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4B5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727FF0"/>
    <w:pPr>
      <w:spacing w:before="100" w:beforeAutospacing="1" w:after="119"/>
    </w:pPr>
    <w:rPr>
      <w:rFonts w:eastAsiaTheme="minorHAnsi"/>
    </w:rPr>
  </w:style>
  <w:style w:type="paragraph" w:customStyle="1" w:styleId="ANCATABELLATITOLOBIANCO">
    <w:name w:val="ANCA_TABELLA_TITOLO BIANCO"/>
    <w:basedOn w:val="Normale"/>
    <w:qFormat/>
    <w:rsid w:val="008B6ABE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160" w:line="276" w:lineRule="auto"/>
      <w:ind w:left="1560" w:right="142"/>
    </w:pPr>
    <w:rPr>
      <w:rFonts w:ascii="Gotham Book" w:eastAsiaTheme="minorHAnsi" w:hAnsi="Gotham Book" w:cs="Titillium Web"/>
      <w:color w:val="FFFFFF" w:themeColor="background1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CEBD2-1483-4D14-B7B3-E8172E2EB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F2572E-088C-44F6-BF9D-F2806221BCB5}"/>
</file>

<file path=customXml/itemProps3.xml><?xml version="1.0" encoding="utf-8"?>
<ds:datastoreItem xmlns:ds="http://schemas.openxmlformats.org/officeDocument/2006/customXml" ds:itemID="{41A3186F-5DBC-4CD9-972C-669F61FAFB2F}"/>
</file>

<file path=customXml/itemProps4.xml><?xml version="1.0" encoding="utf-8"?>
<ds:datastoreItem xmlns:ds="http://schemas.openxmlformats.org/officeDocument/2006/customXml" ds:itemID="{63399D25-170A-4290-AC45-88033B41F2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Autorità Nazionale Anticorruzione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Fontana</dc:creator>
  <cp:keywords/>
  <dc:description/>
  <cp:lastModifiedBy>Rizzacasa Rosaria</cp:lastModifiedBy>
  <cp:revision>120</cp:revision>
  <cp:lastPrinted>2019-06-04T13:34:00Z</cp:lastPrinted>
  <dcterms:created xsi:type="dcterms:W3CDTF">2020-10-02T08:57:00Z</dcterms:created>
  <dcterms:modified xsi:type="dcterms:W3CDTF">2023-07-19T07:06:00Z</dcterms:modified>
</cp:coreProperties>
</file>