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2C7E9" w14:textId="77777777" w:rsidR="00426762" w:rsidRDefault="00F16936" w:rsidP="00934EE7">
      <w:pPr>
        <w:pStyle w:val="Titolo1"/>
        <w:numPr>
          <w:ilvl w:val="0"/>
          <w:numId w:val="0"/>
        </w:numPr>
        <w:rPr>
          <w:rStyle w:val="Riferimentointenso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</w:pPr>
      <w:r w:rsidRPr="00F16936">
        <w:rPr>
          <w:sz w:val="24"/>
          <w:szCs w:val="24"/>
        </w:rPr>
        <w:t xml:space="preserve">Obblighi di pubblicazione dei dati relativi alla valutazione della </w:t>
      </w:r>
      <w:r w:rsidRPr="002253E2">
        <w:rPr>
          <w:i/>
          <w:sz w:val="24"/>
          <w:szCs w:val="24"/>
        </w:rPr>
        <w:t>performance</w:t>
      </w:r>
      <w:r w:rsidRPr="00F16936">
        <w:rPr>
          <w:sz w:val="24"/>
          <w:szCs w:val="24"/>
        </w:rPr>
        <w:t xml:space="preserve"> e alla distribuzione dei premi al personale</w:t>
      </w:r>
      <w:r w:rsidR="00934EE7" w:rsidRPr="00934EE7">
        <w:rPr>
          <w:sz w:val="24"/>
          <w:szCs w:val="24"/>
        </w:rPr>
        <w:t xml:space="preserve"> </w:t>
      </w:r>
      <w:r w:rsidR="00934EE7" w:rsidRPr="00934EE7">
        <w:rPr>
          <w:rStyle w:val="Riferimentointenso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 xml:space="preserve">(art. </w:t>
      </w:r>
      <w:r w:rsidR="00D64BFE">
        <w:rPr>
          <w:rStyle w:val="Riferimentointenso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>20</w:t>
      </w:r>
      <w:r w:rsidR="00934EE7" w:rsidRPr="00934EE7">
        <w:rPr>
          <w:rStyle w:val="Riferimentointenso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>, c. 1</w:t>
      </w:r>
      <w:r w:rsidR="00D64BFE">
        <w:rPr>
          <w:rStyle w:val="Riferimentointenso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 xml:space="preserve"> e c. 2,</w:t>
      </w:r>
      <w:r w:rsidR="00934EE7" w:rsidRPr="00934EE7">
        <w:rPr>
          <w:rStyle w:val="Riferimentointenso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 xml:space="preserve"> d.lgs</w:t>
      </w:r>
      <w:r w:rsidR="00B11198">
        <w:rPr>
          <w:rStyle w:val="Riferimentointenso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>.</w:t>
      </w:r>
      <w:r w:rsidR="00934EE7" w:rsidRPr="00934EE7">
        <w:rPr>
          <w:rStyle w:val="Riferimentointenso"/>
          <w:b w:val="0"/>
          <w:bCs w:val="0"/>
          <w:smallCaps w:val="0"/>
          <w:color w:val="2F5496" w:themeColor="accent1" w:themeShade="BF"/>
          <w:spacing w:val="0"/>
          <w:sz w:val="24"/>
          <w:szCs w:val="24"/>
        </w:rPr>
        <w:t xml:space="preserve"> 33/2013)</w:t>
      </w:r>
    </w:p>
    <w:p w14:paraId="34AC0764" w14:textId="77777777" w:rsidR="00FB0960" w:rsidRPr="00FB0960" w:rsidRDefault="00FB0960" w:rsidP="00FB0960"/>
    <w:p w14:paraId="46A467B0" w14:textId="77777777" w:rsidR="002253E2" w:rsidRPr="00595E92" w:rsidRDefault="008268EF" w:rsidP="002253E2">
      <w:pPr>
        <w:pStyle w:val="Titolo2"/>
        <w:numPr>
          <w:ilvl w:val="0"/>
          <w:numId w:val="0"/>
        </w:numPr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 w:rsidRPr="00595E92">
        <w:rPr>
          <w:rStyle w:val="Riferimentodelicato"/>
          <w:smallCaps w:val="0"/>
          <w:color w:val="2F5496" w:themeColor="accent1" w:themeShade="BF"/>
          <w:sz w:val="24"/>
          <w:szCs w:val="24"/>
        </w:rPr>
        <w:t>La norma</w:t>
      </w:r>
    </w:p>
    <w:p w14:paraId="2C2A950B" w14:textId="77777777" w:rsidR="00B11198" w:rsidRPr="00B11198" w:rsidRDefault="00B11198" w:rsidP="002253E2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2B224B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 xml:space="preserve">1. Le pubbliche amministrazioni pubblicano i dati relativi all'ammontare complessivo dei premi collegati alla performance stanziati e l'ammontare </w:t>
      </w:r>
      <w:r w:rsidRPr="00B11198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dei premi effettivamente distribuiti.</w:t>
      </w:r>
    </w:p>
    <w:p w14:paraId="78A4931F" w14:textId="77777777" w:rsidR="008B1767" w:rsidRDefault="00B11198" w:rsidP="002253E2">
      <w:pPr>
        <w:pStyle w:val="NormaleWeb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B11198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2. Le pubbliche amministrazioni pubblicano i criteri definiti nei sistemi di misurazione e valutazione della performance per l'assegnazione del trattamento accessorio e i dati relativi alla sua distribuzione, in forma aggregata, al fine di dare conto del livello di selettività utilizzato nella distribuzione dei premi e degli incentivi, nonché i dati relativi al grado di differenziazione nell'utilizzo della premialità sia per i dirigenti sia per i dipendenti.</w:t>
      </w:r>
    </w:p>
    <w:p w14:paraId="5CACFB14" w14:textId="77777777" w:rsidR="00642E69" w:rsidRDefault="00642E69" w:rsidP="00911E91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642E69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 xml:space="preserve"> </w:t>
      </w:r>
    </w:p>
    <w:p w14:paraId="732920FA" w14:textId="77777777" w:rsidR="00595E92" w:rsidRDefault="00595E92" w:rsidP="00911E91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0BE31A8C" w14:textId="77777777" w:rsidR="00595E92" w:rsidRDefault="00595E92" w:rsidP="00911E91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227E2CED" w14:textId="77777777" w:rsidR="00595E92" w:rsidRDefault="00595E92" w:rsidP="00911E91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5D8E3F30" w14:textId="77777777" w:rsidR="00595E92" w:rsidRDefault="00595E92" w:rsidP="00911E91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351AEC08" w14:textId="77777777" w:rsidR="00595E92" w:rsidRDefault="00595E92" w:rsidP="00911E91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3C5FB4AA" w14:textId="77777777" w:rsidR="00797B9C" w:rsidRDefault="00797B9C" w:rsidP="00911E91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419A74E0" w14:textId="77777777" w:rsidR="00797B9C" w:rsidRDefault="00797B9C" w:rsidP="00911E91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0A384061" w14:textId="77777777" w:rsidR="00797B9C" w:rsidRDefault="00797B9C" w:rsidP="00911E91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480ADFAC" w14:textId="77777777" w:rsidR="00797B9C" w:rsidRDefault="00797B9C" w:rsidP="00911E91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59948989" w14:textId="77777777" w:rsidR="00797B9C" w:rsidRDefault="00797B9C" w:rsidP="00911E91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48DE32C5" w14:textId="77777777" w:rsidR="00797B9C" w:rsidRDefault="00797B9C" w:rsidP="00911E91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374F1E5B" w14:textId="77777777" w:rsidR="00797B9C" w:rsidRDefault="00797B9C" w:rsidP="00911E91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5DC85972" w14:textId="77777777" w:rsidR="00797B9C" w:rsidRDefault="00797B9C" w:rsidP="00911E91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79FF97BD" w14:textId="77777777" w:rsidR="00797B9C" w:rsidRDefault="00797B9C" w:rsidP="00911E91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64DDAF58" w14:textId="77777777" w:rsidR="00595E92" w:rsidRDefault="00595E92" w:rsidP="00911E91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279CA4E7" w14:textId="77777777" w:rsidR="00595E92" w:rsidRDefault="00595E92" w:rsidP="00911E91">
      <w:pPr>
        <w:pStyle w:val="NormaleWeb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</w:p>
    <w:p w14:paraId="3F6EF4E7" w14:textId="77777777" w:rsidR="005E4A24" w:rsidRPr="00595E92" w:rsidRDefault="005E4A24" w:rsidP="005E4A24">
      <w:pPr>
        <w:pStyle w:val="Titolo2"/>
        <w:numPr>
          <w:ilvl w:val="0"/>
          <w:numId w:val="0"/>
        </w:numPr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 w:rsidRPr="00595E92">
        <w:rPr>
          <w:rStyle w:val="Riferimentodelicato"/>
          <w:smallCaps w:val="0"/>
          <w:color w:val="2F5496" w:themeColor="accent1" w:themeShade="BF"/>
          <w:sz w:val="24"/>
          <w:szCs w:val="24"/>
        </w:rPr>
        <w:lastRenderedPageBreak/>
        <w:t>Schemi di pubblicazione</w:t>
      </w:r>
    </w:p>
    <w:p w14:paraId="1EB62A98" w14:textId="77777777" w:rsidR="005E4A24" w:rsidRPr="002B224B" w:rsidRDefault="005E4A24" w:rsidP="005E4A24">
      <w:pPr>
        <w:pStyle w:val="NormaleWeb"/>
        <w:jc w:val="both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  <w:r w:rsidRPr="00497065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Gli schemi potranno essere usati come modelli per l'organizzazione, la codificazione e la rappresentazione dei documenti, delle informazioni e dei dati oggetto di pubblicazione obbligatoria ai sensi dell’art. art. 20, c.1 e c. 2 sia nella Piattaforma Unica della Trasparenza che nella sezione Amministrazione trasparente (sotto-sezione di secondo </w:t>
      </w:r>
      <w:r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livello “Performance”) dei siti istituzionali delle amministrazioni/enti. </w:t>
      </w:r>
    </w:p>
    <w:p w14:paraId="4D8CD98B" w14:textId="77777777" w:rsidR="00594320" w:rsidRPr="002B224B" w:rsidRDefault="00936846" w:rsidP="00CE3C52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u w:val="single"/>
          <w:lang w:eastAsia="en-US"/>
        </w:rPr>
      </w:pPr>
      <w:r w:rsidRPr="002B224B">
        <w:rPr>
          <w:rFonts w:ascii="Titillium" w:eastAsiaTheme="minorHAnsi" w:hAnsi="Titillium" w:cstheme="minorBidi"/>
          <w:iCs/>
          <w:sz w:val="20"/>
          <w:szCs w:val="20"/>
          <w:u w:val="single"/>
          <w:lang w:eastAsia="en-US"/>
        </w:rPr>
        <w:t>Ambito soggettivo di applicazione</w:t>
      </w:r>
    </w:p>
    <w:p w14:paraId="2F82788C" w14:textId="77777777" w:rsidR="004A00F8" w:rsidRPr="002B224B" w:rsidRDefault="00594320" w:rsidP="00CE3C52">
      <w:pPr>
        <w:pStyle w:val="NormaleWeb"/>
        <w:spacing w:before="0" w:beforeAutospacing="0" w:after="0" w:afterAutospacing="0"/>
        <w:jc w:val="both"/>
      </w:pPr>
      <w:r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L</w:t>
      </w:r>
      <w:r w:rsidR="00936846"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a disposizione </w:t>
      </w:r>
      <w:r w:rsidR="00BF4CDA"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si applica alle pubbliche amministrazioni di cui all’art. 2-bis, co. 1 del d.lgs. 33/2013 e non anche - </w:t>
      </w:r>
      <w:r w:rsidR="00614DED"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in quanto ritenuta “non compatibile” </w:t>
      </w:r>
      <w:r w:rsidR="00BF4CDA"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- </w:t>
      </w:r>
      <w:r w:rsidR="00936846"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agli ordini e collegi </w:t>
      </w:r>
      <w:r w:rsidR="004A00F8"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professionali </w:t>
      </w:r>
      <w:r w:rsidR="00936846"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(</w:t>
      </w:r>
      <w:r w:rsidR="004A00F8"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cfr.</w:t>
      </w:r>
      <w:r w:rsidR="00BF4CDA"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 delibera </w:t>
      </w:r>
      <w:r w:rsidR="004A00F8"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ANAC 777/2021)</w:t>
      </w:r>
      <w:r w:rsidR="00BF4CDA" w:rsidRPr="002B224B">
        <w:t>.</w:t>
      </w:r>
    </w:p>
    <w:p w14:paraId="3B575E8A" w14:textId="77777777" w:rsidR="00BF4CDA" w:rsidRPr="002B224B" w:rsidRDefault="00BF4CDA" w:rsidP="00CE3C52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  <w:r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La norma trova applicazione alle società in controllo pubblico, agli Enti di diritto privato in controllo pubblico e agli Enti pubblici economici </w:t>
      </w:r>
      <w:r w:rsidR="00594320"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(art. 2-bis co. 2, lett. a (in parte), b) e c) e co. 3) ma </w:t>
      </w:r>
      <w:r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limitatamente </w:t>
      </w:r>
      <w:r w:rsidR="00594320"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a</w:t>
      </w:r>
      <w:r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i criteri di distribuzione dei premi al personale e all’ammontare aggregato dei premi effettivamente distribuiti</w:t>
      </w:r>
      <w:r w:rsidR="00B36C3C"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 xml:space="preserve"> (art. 20, co. 1)</w:t>
      </w:r>
      <w:r w:rsidRPr="002B224B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.</w:t>
      </w:r>
    </w:p>
    <w:p w14:paraId="21D29925" w14:textId="77777777" w:rsidR="00936846" w:rsidRPr="002B224B" w:rsidRDefault="00936846" w:rsidP="005E4A24">
      <w:pPr>
        <w:pStyle w:val="NormaleWeb"/>
        <w:jc w:val="both"/>
        <w:rPr>
          <w:rFonts w:ascii="Titillium" w:eastAsiaTheme="minorHAnsi" w:hAnsi="Titillium" w:cstheme="minorBidi"/>
          <w:iCs/>
          <w:sz w:val="20"/>
          <w:szCs w:val="20"/>
          <w:u w:val="single"/>
          <w:lang w:eastAsia="en-US"/>
        </w:rPr>
      </w:pPr>
      <w:r w:rsidRPr="002B224B">
        <w:rPr>
          <w:rFonts w:ascii="Titillium" w:eastAsiaTheme="minorHAnsi" w:hAnsi="Titillium" w:cstheme="minorBidi"/>
          <w:iCs/>
          <w:sz w:val="20"/>
          <w:szCs w:val="20"/>
          <w:u w:val="single"/>
          <w:lang w:eastAsia="en-US"/>
        </w:rPr>
        <w:t>Ambito oggettivo di applicazione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2693"/>
        <w:gridCol w:w="3260"/>
      </w:tblGrid>
      <w:tr w:rsidR="002B224B" w:rsidRPr="002B224B" w14:paraId="6249A567" w14:textId="77777777" w:rsidTr="008E4BD4">
        <w:tc>
          <w:tcPr>
            <w:tcW w:w="3681" w:type="dxa"/>
            <w:shd w:val="clear" w:color="auto" w:fill="1F3864" w:themeFill="accent1" w:themeFillShade="80"/>
          </w:tcPr>
          <w:p w14:paraId="2749DF15" w14:textId="77777777" w:rsidR="008E4BD4" w:rsidRPr="002B224B" w:rsidRDefault="008E4BD4" w:rsidP="00436F35">
            <w:pPr>
              <w:jc w:val="center"/>
              <w:rPr>
                <w:sz w:val="18"/>
                <w:szCs w:val="18"/>
              </w:rPr>
            </w:pPr>
            <w:r w:rsidRPr="002B224B">
              <w:rPr>
                <w:sz w:val="18"/>
                <w:szCs w:val="18"/>
              </w:rPr>
              <w:t>SEZIONE</w:t>
            </w:r>
          </w:p>
        </w:tc>
        <w:tc>
          <w:tcPr>
            <w:tcW w:w="2693" w:type="dxa"/>
            <w:shd w:val="clear" w:color="auto" w:fill="1F3864" w:themeFill="accent1" w:themeFillShade="80"/>
          </w:tcPr>
          <w:p w14:paraId="57FFFCC6" w14:textId="77777777" w:rsidR="008E4BD4" w:rsidRPr="002B224B" w:rsidRDefault="008E4BD4" w:rsidP="00436F35">
            <w:pPr>
              <w:jc w:val="center"/>
              <w:rPr>
                <w:sz w:val="18"/>
                <w:szCs w:val="18"/>
              </w:rPr>
            </w:pPr>
            <w:r w:rsidRPr="002B224B">
              <w:rPr>
                <w:sz w:val="18"/>
                <w:szCs w:val="18"/>
              </w:rPr>
              <w:t>AGGIORNAMENTO</w:t>
            </w:r>
          </w:p>
        </w:tc>
        <w:tc>
          <w:tcPr>
            <w:tcW w:w="3260" w:type="dxa"/>
            <w:shd w:val="clear" w:color="auto" w:fill="1F3864" w:themeFill="accent1" w:themeFillShade="80"/>
          </w:tcPr>
          <w:p w14:paraId="12911119" w14:textId="77777777" w:rsidR="008E4BD4" w:rsidRPr="002B224B" w:rsidRDefault="008E4BD4" w:rsidP="00426762">
            <w:pPr>
              <w:rPr>
                <w:sz w:val="18"/>
                <w:szCs w:val="18"/>
              </w:rPr>
            </w:pPr>
            <w:r w:rsidRPr="002B224B">
              <w:rPr>
                <w:sz w:val="18"/>
                <w:szCs w:val="18"/>
              </w:rPr>
              <w:t>Rif. NORMATIVI</w:t>
            </w:r>
          </w:p>
        </w:tc>
      </w:tr>
      <w:tr w:rsidR="002B224B" w:rsidRPr="002B224B" w14:paraId="2403BA3A" w14:textId="77777777" w:rsidTr="008E4BD4">
        <w:tc>
          <w:tcPr>
            <w:tcW w:w="3681" w:type="dxa"/>
          </w:tcPr>
          <w:p w14:paraId="3E5B3889" w14:textId="77777777" w:rsidR="008E4BD4" w:rsidRPr="002B224B" w:rsidRDefault="008E4BD4" w:rsidP="007B0BF5">
            <w:pPr>
              <w:jc w:val="both"/>
              <w:rPr>
                <w:sz w:val="18"/>
                <w:szCs w:val="18"/>
              </w:rPr>
            </w:pPr>
            <w:r w:rsidRPr="002B224B">
              <w:rPr>
                <w:sz w:val="18"/>
                <w:szCs w:val="18"/>
              </w:rPr>
              <w:t>Ammontare complessivo</w:t>
            </w:r>
            <w:r w:rsidR="00497065" w:rsidRPr="002B224B">
              <w:rPr>
                <w:sz w:val="18"/>
                <w:szCs w:val="18"/>
              </w:rPr>
              <w:t xml:space="preserve"> dei premi</w:t>
            </w:r>
            <w:r w:rsidR="00007D9A" w:rsidRPr="002B224B">
              <w:rPr>
                <w:sz w:val="18"/>
                <w:szCs w:val="18"/>
              </w:rPr>
              <w:t xml:space="preserve"> stanziati e distribuiti</w:t>
            </w:r>
            <w:r w:rsidRPr="002B224B">
              <w:rPr>
                <w:sz w:val="18"/>
                <w:szCs w:val="18"/>
              </w:rPr>
              <w:t xml:space="preserve"> </w:t>
            </w:r>
            <w:r w:rsidR="00007D9A" w:rsidRPr="002B224B">
              <w:rPr>
                <w:sz w:val="18"/>
                <w:szCs w:val="18"/>
              </w:rPr>
              <w:t>collegati alla performance</w:t>
            </w:r>
            <w:r w:rsidR="001342E8">
              <w:rPr>
                <w:sz w:val="18"/>
                <w:szCs w:val="18"/>
              </w:rPr>
              <w:t xml:space="preserve"> (Rif. </w:t>
            </w:r>
            <w:r w:rsidR="001342E8" w:rsidRPr="001342E8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  <w:fldChar w:fldCharType="begin"/>
            </w:r>
            <w:r w:rsidR="001342E8" w:rsidRPr="001342E8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  <w:instrText xml:space="preserve"> REF _Ref135153984 \h </w:instrText>
            </w:r>
            <w:r w:rsidR="001342E8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  <w:instrText xml:space="preserve"> \* MERGEFORMAT </w:instrText>
            </w:r>
            <w:r w:rsidR="001342E8" w:rsidRPr="001342E8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</w:r>
            <w:r w:rsidR="001342E8" w:rsidRPr="001342E8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  <w:fldChar w:fldCharType="separate"/>
            </w:r>
            <w:r w:rsidR="001342E8" w:rsidRPr="001342E8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t>Ammontare complessivo dei premi stanziati e distribuiti collegati alla performance</w:t>
            </w:r>
            <w:r w:rsidR="001342E8" w:rsidRPr="001342E8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  <w:fldChar w:fldCharType="end"/>
            </w:r>
            <w:r w:rsidR="001342E8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4C94AA9F" w14:textId="77777777" w:rsidR="008E4BD4" w:rsidRPr="002B224B" w:rsidRDefault="008E4BD4" w:rsidP="008E4BD4">
            <w:pPr>
              <w:rPr>
                <w:sz w:val="18"/>
                <w:szCs w:val="18"/>
              </w:rPr>
            </w:pPr>
            <w:r w:rsidRPr="002B224B">
              <w:rPr>
                <w:sz w:val="18"/>
                <w:szCs w:val="18"/>
              </w:rPr>
              <w:t>Tempestivo</w:t>
            </w:r>
          </w:p>
        </w:tc>
        <w:tc>
          <w:tcPr>
            <w:tcW w:w="3260" w:type="dxa"/>
          </w:tcPr>
          <w:p w14:paraId="7E628135" w14:textId="77777777" w:rsidR="008E4BD4" w:rsidRPr="002B224B" w:rsidRDefault="008E4BD4" w:rsidP="008E4BD4">
            <w:pPr>
              <w:rPr>
                <w:sz w:val="18"/>
                <w:szCs w:val="18"/>
              </w:rPr>
            </w:pPr>
            <w:r w:rsidRPr="002B224B">
              <w:rPr>
                <w:sz w:val="18"/>
                <w:szCs w:val="18"/>
              </w:rPr>
              <w:t>Art. 20, c. 1, d.lgs. n. 33/2013</w:t>
            </w:r>
          </w:p>
        </w:tc>
      </w:tr>
      <w:tr w:rsidR="002B224B" w:rsidRPr="002B224B" w14:paraId="164A19DE" w14:textId="77777777" w:rsidTr="008E4BD4">
        <w:tc>
          <w:tcPr>
            <w:tcW w:w="3681" w:type="dxa"/>
          </w:tcPr>
          <w:p w14:paraId="3E0C132B" w14:textId="77777777" w:rsidR="008E4BD4" w:rsidRPr="002B224B" w:rsidRDefault="00775036" w:rsidP="009E4F02">
            <w:pPr>
              <w:jc w:val="both"/>
              <w:rPr>
                <w:sz w:val="18"/>
                <w:szCs w:val="18"/>
              </w:rPr>
            </w:pPr>
            <w:r w:rsidRPr="002B224B">
              <w:rPr>
                <w:sz w:val="18"/>
                <w:szCs w:val="18"/>
              </w:rPr>
              <w:t>Criteri per l’assegnazione del t</w:t>
            </w:r>
            <w:r w:rsidR="008E4BD4" w:rsidRPr="002B224B">
              <w:rPr>
                <w:sz w:val="18"/>
                <w:szCs w:val="18"/>
              </w:rPr>
              <w:t>rattamento accessorio personale dirigenziale (Rif</w:t>
            </w:r>
            <w:r w:rsidR="009E4F02" w:rsidRPr="002B224B">
              <w:rPr>
                <w:sz w:val="18"/>
                <w:szCs w:val="18"/>
              </w:rPr>
              <w:t>.</w:t>
            </w:r>
            <w:r w:rsidR="0026408F">
              <w:rPr>
                <w:sz w:val="18"/>
                <w:szCs w:val="18"/>
              </w:rPr>
              <w:t xml:space="preserve"> </w:t>
            </w:r>
            <w:r w:rsidR="0026408F" w:rsidRPr="0026408F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  <w:fldChar w:fldCharType="begin"/>
            </w:r>
            <w:r w:rsidR="0026408F" w:rsidRPr="0026408F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  <w:instrText xml:space="preserve"> REF _Ref135155553 \h </w:instrText>
            </w:r>
            <w:r w:rsidR="0026408F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  <w:instrText xml:space="preserve"> \* MERGEFORMAT </w:instrText>
            </w:r>
            <w:r w:rsidR="0026408F" w:rsidRPr="0026408F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</w:r>
            <w:r w:rsidR="0026408F" w:rsidRPr="0026408F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  <w:fldChar w:fldCharType="separate"/>
            </w:r>
            <w:r w:rsidR="0026408F" w:rsidRPr="0026408F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t>Criteri di assegnazione e dati sulla distribuzione – PERSONALE DIRIGENZIALE</w:t>
            </w:r>
            <w:r w:rsidR="0026408F" w:rsidRPr="0026408F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  <w:fldChar w:fldCharType="end"/>
            </w:r>
            <w:r w:rsidR="0026408F">
              <w:rPr>
                <w:sz w:val="18"/>
                <w:szCs w:val="18"/>
              </w:rPr>
              <w:t>)</w:t>
            </w:r>
            <w:r w:rsidR="0026408F" w:rsidRPr="002B22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70483920" w14:textId="77777777" w:rsidR="008E4BD4" w:rsidRPr="002B224B" w:rsidRDefault="008E4BD4" w:rsidP="008E4BD4">
            <w:pPr>
              <w:rPr>
                <w:sz w:val="18"/>
                <w:szCs w:val="18"/>
              </w:rPr>
            </w:pPr>
            <w:r w:rsidRPr="002B224B">
              <w:rPr>
                <w:sz w:val="18"/>
                <w:szCs w:val="18"/>
              </w:rPr>
              <w:t>Tempestivo</w:t>
            </w:r>
          </w:p>
        </w:tc>
        <w:tc>
          <w:tcPr>
            <w:tcW w:w="3260" w:type="dxa"/>
          </w:tcPr>
          <w:p w14:paraId="1DC47F08" w14:textId="77777777" w:rsidR="008E4BD4" w:rsidRPr="002B224B" w:rsidRDefault="008E4BD4" w:rsidP="008E4BD4">
            <w:pPr>
              <w:rPr>
                <w:sz w:val="18"/>
                <w:szCs w:val="18"/>
              </w:rPr>
            </w:pPr>
            <w:r w:rsidRPr="002B224B">
              <w:rPr>
                <w:sz w:val="18"/>
                <w:szCs w:val="18"/>
              </w:rPr>
              <w:t>Art. 20, c. 2, d.lgs. n. 33/2013</w:t>
            </w:r>
          </w:p>
        </w:tc>
      </w:tr>
      <w:tr w:rsidR="002B224B" w:rsidRPr="002B224B" w14:paraId="5C057AE2" w14:textId="77777777" w:rsidTr="008E4BD4">
        <w:tc>
          <w:tcPr>
            <w:tcW w:w="3681" w:type="dxa"/>
          </w:tcPr>
          <w:p w14:paraId="33CF29D3" w14:textId="77777777" w:rsidR="008E4BD4" w:rsidRPr="002B224B" w:rsidRDefault="009D59B3" w:rsidP="00714CB8">
            <w:pPr>
              <w:rPr>
                <w:sz w:val="18"/>
                <w:szCs w:val="18"/>
              </w:rPr>
            </w:pPr>
            <w:r w:rsidRPr="002B224B">
              <w:rPr>
                <w:sz w:val="18"/>
                <w:szCs w:val="18"/>
              </w:rPr>
              <w:t>Criteri per l’assegnazione del t</w:t>
            </w:r>
            <w:r w:rsidR="008E4BD4" w:rsidRPr="002B224B">
              <w:rPr>
                <w:sz w:val="18"/>
                <w:szCs w:val="18"/>
              </w:rPr>
              <w:t xml:space="preserve">rattamento accessorio personale NON dirigenziale </w:t>
            </w:r>
            <w:r w:rsidR="007B0BF5" w:rsidRPr="002B224B">
              <w:rPr>
                <w:sz w:val="18"/>
                <w:szCs w:val="18"/>
              </w:rPr>
              <w:t>(Rif.</w:t>
            </w:r>
            <w:r w:rsidR="00714CB8" w:rsidRPr="00714CB8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  <w:fldChar w:fldCharType="begin"/>
            </w:r>
            <w:r w:rsidR="00714CB8" w:rsidRPr="00714CB8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  <w:instrText xml:space="preserve"> REF _Ref135155597 \h </w:instrText>
            </w:r>
            <w:r w:rsidR="00714CB8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  <w:instrText xml:space="preserve"> \* MERGEFORMAT </w:instrText>
            </w:r>
            <w:r w:rsidR="00714CB8" w:rsidRPr="00714CB8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</w:r>
            <w:r w:rsidR="00714CB8" w:rsidRPr="00714CB8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  <w:fldChar w:fldCharType="separate"/>
            </w:r>
            <w:r w:rsidR="00714CB8" w:rsidRPr="00714CB8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sz w:val="18"/>
                <w:szCs w:val="18"/>
                <w:u w:val="double"/>
                <w:lang w:val="x-none"/>
              </w:rPr>
              <w:t>Criteri di assegnazione e dati sulla distribuzione – PERSONALE NON DIRIGENZIALE</w:t>
            </w:r>
            <w:r w:rsidR="00714CB8" w:rsidRPr="00714CB8">
              <w:rPr>
                <w:rStyle w:val="Collegamentoipertestuale"/>
                <w:rFonts w:asciiTheme="majorHAnsi" w:eastAsiaTheme="majorEastAsia" w:hAnsiTheme="majorHAnsi" w:cs="Times New Roman"/>
                <w:color w:val="2F5496" w:themeColor="accent1" w:themeShade="BF"/>
                <w:u w:val="double"/>
                <w:lang w:val="x-none"/>
              </w:rPr>
              <w:fldChar w:fldCharType="end"/>
            </w:r>
            <w:r w:rsidR="007B0BF5" w:rsidRPr="002B224B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D8444C4" w14:textId="77777777" w:rsidR="008E4BD4" w:rsidRPr="002B224B" w:rsidRDefault="008E4BD4" w:rsidP="008E4BD4">
            <w:pPr>
              <w:rPr>
                <w:sz w:val="18"/>
                <w:szCs w:val="18"/>
              </w:rPr>
            </w:pPr>
            <w:r w:rsidRPr="002B224B">
              <w:rPr>
                <w:sz w:val="18"/>
                <w:szCs w:val="18"/>
              </w:rPr>
              <w:t>Tempestivo</w:t>
            </w:r>
          </w:p>
        </w:tc>
        <w:tc>
          <w:tcPr>
            <w:tcW w:w="3260" w:type="dxa"/>
          </w:tcPr>
          <w:p w14:paraId="464EE71F" w14:textId="77777777" w:rsidR="008E4BD4" w:rsidRPr="002B224B" w:rsidRDefault="008E4BD4" w:rsidP="008E4BD4">
            <w:pPr>
              <w:rPr>
                <w:sz w:val="18"/>
                <w:szCs w:val="18"/>
              </w:rPr>
            </w:pPr>
            <w:r w:rsidRPr="002B224B">
              <w:rPr>
                <w:sz w:val="18"/>
                <w:szCs w:val="18"/>
              </w:rPr>
              <w:t>Art. 20, c. 2, d.lgs. n. 33/2013</w:t>
            </w:r>
          </w:p>
        </w:tc>
      </w:tr>
    </w:tbl>
    <w:p w14:paraId="59481C26" w14:textId="77777777" w:rsidR="001342E8" w:rsidRDefault="001342E8" w:rsidP="001342E8">
      <w:pPr>
        <w:pBdr>
          <w:bottom w:val="single" w:sz="6" w:space="1" w:color="auto"/>
        </w:pBdr>
      </w:pPr>
      <w:bookmarkStart w:id="0" w:name="_Ammontare_complessivo"/>
      <w:bookmarkStart w:id="1" w:name="_Ref132206886"/>
      <w:bookmarkStart w:id="2" w:name="_Ref133579684"/>
      <w:bookmarkEnd w:id="0"/>
    </w:p>
    <w:p w14:paraId="3E6CB4CC" w14:textId="77777777" w:rsidR="001342E8" w:rsidRDefault="001342E8" w:rsidP="001342E8">
      <w:pPr>
        <w:pBdr>
          <w:bottom w:val="single" w:sz="6" w:space="1" w:color="auto"/>
        </w:pBdr>
      </w:pPr>
    </w:p>
    <w:p w14:paraId="6B60CB86" w14:textId="77777777" w:rsidR="002237D8" w:rsidRPr="001342E8" w:rsidRDefault="000A00EF" w:rsidP="001342E8">
      <w:pPr>
        <w:pStyle w:val="Titolo3"/>
        <w:numPr>
          <w:ilvl w:val="0"/>
          <w:numId w:val="0"/>
        </w:numPr>
      </w:pPr>
      <w:bookmarkStart w:id="3" w:name="_Ref135153984"/>
      <w:r w:rsidRPr="001342E8">
        <w:t>Ammontare complessivo</w:t>
      </w:r>
      <w:bookmarkEnd w:id="1"/>
      <w:r w:rsidR="002237D8" w:rsidRPr="001342E8">
        <w:t xml:space="preserve"> dei premi stanziati e distribuiti collegati alla performance</w:t>
      </w:r>
      <w:bookmarkEnd w:id="2"/>
      <w:bookmarkEnd w:id="3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5387"/>
        <w:gridCol w:w="1269"/>
      </w:tblGrid>
      <w:tr w:rsidR="00915D04" w14:paraId="183C8755" w14:textId="77777777" w:rsidTr="00C953DA">
        <w:tc>
          <w:tcPr>
            <w:tcW w:w="9628" w:type="dxa"/>
            <w:gridSpan w:val="3"/>
            <w:shd w:val="clear" w:color="auto" w:fill="1F3864" w:themeFill="accent1" w:themeFillShade="80"/>
          </w:tcPr>
          <w:p w14:paraId="7B6CD693" w14:textId="77777777" w:rsidR="00915D04" w:rsidRDefault="00915D04" w:rsidP="00991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AMMONTARE COMPLESSIVO</w:t>
            </w:r>
          </w:p>
          <w:p w14:paraId="1970D232" w14:textId="77777777" w:rsidR="00915D04" w:rsidRPr="00991E5F" w:rsidRDefault="00915D04" w:rsidP="00991E5F">
            <w:pPr>
              <w:jc w:val="center"/>
              <w:rPr>
                <w:sz w:val="18"/>
                <w:szCs w:val="18"/>
              </w:rPr>
            </w:pPr>
          </w:p>
        </w:tc>
      </w:tr>
      <w:tr w:rsidR="00991E5F" w:rsidRPr="00991E5F" w14:paraId="6FF77926" w14:textId="77777777" w:rsidTr="005B340A">
        <w:trPr>
          <w:trHeight w:val="400"/>
        </w:trPr>
        <w:tc>
          <w:tcPr>
            <w:tcW w:w="2972" w:type="dxa"/>
            <w:noWrap/>
            <w:hideMark/>
          </w:tcPr>
          <w:p w14:paraId="65208013" w14:textId="77777777" w:rsidR="00991E5F" w:rsidRPr="00991E5F" w:rsidRDefault="002B25C7" w:rsidP="00991E5F">
            <w:pP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5387" w:type="dxa"/>
            <w:noWrap/>
            <w:hideMark/>
          </w:tcPr>
          <w:p w14:paraId="2ADE3B96" w14:textId="77777777" w:rsidR="00991E5F" w:rsidRPr="00991E5F" w:rsidRDefault="00E95744" w:rsidP="00991E5F">
            <w:pP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Anno di riferimento</w:t>
            </w:r>
          </w:p>
        </w:tc>
        <w:tc>
          <w:tcPr>
            <w:tcW w:w="1269" w:type="dxa"/>
            <w:noWrap/>
            <w:hideMark/>
          </w:tcPr>
          <w:p w14:paraId="2AA0A570" w14:textId="77777777" w:rsidR="00991E5F" w:rsidRPr="00991E5F" w:rsidRDefault="002B25C7" w:rsidP="00991E5F">
            <w:pPr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991E5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intero</w:t>
            </w:r>
          </w:p>
        </w:tc>
      </w:tr>
      <w:tr w:rsidR="00991E5F" w:rsidRPr="00991E5F" w14:paraId="4193C2CF" w14:textId="77777777" w:rsidTr="006F4A7E">
        <w:trPr>
          <w:trHeight w:val="400"/>
        </w:trPr>
        <w:tc>
          <w:tcPr>
            <w:tcW w:w="2972" w:type="dxa"/>
            <w:noWrap/>
          </w:tcPr>
          <w:p w14:paraId="03EFA13E" w14:textId="77777777" w:rsidR="00991E5F" w:rsidRPr="00991E5F" w:rsidRDefault="005468AB" w:rsidP="00991E5F">
            <w:pP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</w:t>
            </w:r>
            <w:r w:rsidRPr="005468AB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remi stanziati</w:t>
            </w:r>
          </w:p>
        </w:tc>
        <w:tc>
          <w:tcPr>
            <w:tcW w:w="5387" w:type="dxa"/>
            <w:noWrap/>
          </w:tcPr>
          <w:p w14:paraId="1B097382" w14:textId="77777777" w:rsidR="00991E5F" w:rsidRPr="00991E5F" w:rsidRDefault="00B75B37" w:rsidP="00991E5F">
            <w:pP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Ammontare premi stanziati</w:t>
            </w:r>
          </w:p>
        </w:tc>
        <w:tc>
          <w:tcPr>
            <w:tcW w:w="1269" w:type="dxa"/>
            <w:noWrap/>
          </w:tcPr>
          <w:p w14:paraId="54A10D9A" w14:textId="77777777" w:rsidR="005468AB" w:rsidRPr="00991E5F" w:rsidRDefault="005468AB" w:rsidP="005468AB">
            <w:pPr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  <w:tr w:rsidR="00991E5F" w:rsidRPr="00991E5F" w14:paraId="5694FBCC" w14:textId="77777777" w:rsidTr="006F4A7E">
        <w:trPr>
          <w:trHeight w:val="400"/>
        </w:trPr>
        <w:tc>
          <w:tcPr>
            <w:tcW w:w="2972" w:type="dxa"/>
            <w:noWrap/>
          </w:tcPr>
          <w:p w14:paraId="5CA54E52" w14:textId="77777777" w:rsidR="00991E5F" w:rsidRPr="00991E5F" w:rsidRDefault="005468AB" w:rsidP="00991E5F">
            <w:pP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</w:t>
            </w:r>
            <w:r w:rsidRPr="005468AB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remi distribuiti</w:t>
            </w:r>
          </w:p>
        </w:tc>
        <w:tc>
          <w:tcPr>
            <w:tcW w:w="5387" w:type="dxa"/>
            <w:noWrap/>
          </w:tcPr>
          <w:p w14:paraId="4CBA98CC" w14:textId="77777777" w:rsidR="00991E5F" w:rsidRPr="00991E5F" w:rsidRDefault="00B75B37" w:rsidP="00991E5F">
            <w:pPr>
              <w:rPr>
                <w:rFonts w:ascii="Titillium" w:eastAsia="Times New Roman" w:hAnsi="Titillium" w:cs="Calibri"/>
                <w:color w:val="FF0000"/>
                <w:sz w:val="18"/>
                <w:szCs w:val="18"/>
                <w:lang w:eastAsia="it-IT"/>
              </w:rPr>
            </w:pPr>
            <w:r w:rsidRPr="00B75B37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Ammontare premi distribuiti</w:t>
            </w:r>
          </w:p>
        </w:tc>
        <w:tc>
          <w:tcPr>
            <w:tcW w:w="1269" w:type="dxa"/>
            <w:noWrap/>
          </w:tcPr>
          <w:p w14:paraId="2D84B15D" w14:textId="77777777" w:rsidR="00991E5F" w:rsidRPr="00991E5F" w:rsidRDefault="005468AB" w:rsidP="00991E5F">
            <w:pPr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</w:tbl>
    <w:p w14:paraId="2C8CB819" w14:textId="77777777" w:rsidR="0074307C" w:rsidRDefault="00D80D27" w:rsidP="00991E5F">
      <w:pPr>
        <w:pBdr>
          <w:bottom w:val="single" w:sz="6" w:space="1" w:color="auto"/>
        </w:pBdr>
      </w:pPr>
      <w:r>
        <w:t xml:space="preserve"> </w:t>
      </w:r>
    </w:p>
    <w:p w14:paraId="2D7F5BA5" w14:textId="77777777" w:rsidR="008B1767" w:rsidRDefault="008B1767" w:rsidP="00991E5F">
      <w:pPr>
        <w:pBdr>
          <w:bottom w:val="single" w:sz="6" w:space="1" w:color="auto"/>
        </w:pBdr>
      </w:pPr>
    </w:p>
    <w:p w14:paraId="09EB8423" w14:textId="77777777" w:rsidR="00FF521D" w:rsidRPr="00FF521D" w:rsidRDefault="003F7CD7" w:rsidP="008559D7">
      <w:pPr>
        <w:pStyle w:val="Titolo3"/>
        <w:numPr>
          <w:ilvl w:val="0"/>
          <w:numId w:val="0"/>
        </w:numPr>
        <w:ind w:left="720" w:hanging="720"/>
      </w:pPr>
      <w:bookmarkStart w:id="4" w:name="_Dichiarazioni_patrimoniali"/>
      <w:bookmarkStart w:id="5" w:name="_Criteri_di_assegnazione"/>
      <w:bookmarkStart w:id="6" w:name="_Ref132206904"/>
      <w:bookmarkStart w:id="7" w:name="_Ref134021505"/>
      <w:bookmarkStart w:id="8" w:name="_Ref133579762"/>
      <w:bookmarkStart w:id="9" w:name="_Ref135155553"/>
      <w:bookmarkEnd w:id="4"/>
      <w:bookmarkEnd w:id="5"/>
      <w:r w:rsidRPr="008559D7">
        <w:t xml:space="preserve">Criteri di assegnazione </w:t>
      </w:r>
      <w:bookmarkEnd w:id="6"/>
      <w:r w:rsidR="00BF02C9" w:rsidRPr="008559D7">
        <w:t>e dati</w:t>
      </w:r>
      <w:r w:rsidR="009E4F02" w:rsidRPr="008559D7">
        <w:t xml:space="preserve"> sulla</w:t>
      </w:r>
      <w:r w:rsidR="00BF02C9" w:rsidRPr="008559D7">
        <w:t xml:space="preserve"> distribuzione</w:t>
      </w:r>
      <w:bookmarkEnd w:id="7"/>
      <w:r w:rsidR="00BF02C9" w:rsidRPr="008559D7">
        <w:t xml:space="preserve"> </w:t>
      </w:r>
      <w:bookmarkEnd w:id="8"/>
      <w:r w:rsidR="008559D7">
        <w:t>– PERSONALE DIRIGENZIALE</w:t>
      </w:r>
      <w:bookmarkEnd w:id="9"/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5954"/>
        <w:gridCol w:w="1463"/>
      </w:tblGrid>
      <w:tr w:rsidR="005705FE" w:rsidRPr="005705FE" w14:paraId="6E3A960F" w14:textId="77777777" w:rsidTr="005705FE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2B38F939" w14:textId="77777777" w:rsidR="00D679BD" w:rsidRDefault="00D80D27" w:rsidP="005705FE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CRITERI DI ASSEGNAZIONE DEL TRATTAMENTO ACCESSORIO</w:t>
            </w:r>
            <w:r w:rsidR="001C14FB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 </w:t>
            </w:r>
            <w:r w:rsidR="00A27BCB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e DATI SULLA DISTRIBUZIONE</w:t>
            </w:r>
          </w:p>
          <w:p w14:paraId="43BDD6A0" w14:textId="77777777" w:rsidR="00530CA5" w:rsidRDefault="00332658" w:rsidP="005705FE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</w:pPr>
            <w:r w:rsidRPr="008559D7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>PERSONALE DIRIGENZIALE</w:t>
            </w:r>
          </w:p>
          <w:p w14:paraId="64DF8693" w14:textId="77777777" w:rsidR="005705FE" w:rsidRPr="008559D7" w:rsidRDefault="00F242D6" w:rsidP="005705FE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</w:pPr>
            <w:r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 xml:space="preserve">N.B.: </w:t>
            </w:r>
            <w:r w:rsidR="00530CA5" w:rsidRPr="0067382E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>DATI DA PUBBLICARE IN FORMA AGGREGATA</w:t>
            </w:r>
            <w:r w:rsidR="005705FE" w:rsidRPr="008559D7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br/>
            </w:r>
          </w:p>
        </w:tc>
      </w:tr>
      <w:tr w:rsidR="00D679BD" w:rsidRPr="005705FE" w14:paraId="6177DA22" w14:textId="77777777" w:rsidTr="0026408F">
        <w:trPr>
          <w:trHeight w:val="660"/>
        </w:trPr>
        <w:tc>
          <w:tcPr>
            <w:tcW w:w="82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589BA36D" w14:textId="77777777" w:rsidR="001A6886" w:rsidRPr="005705FE" w:rsidRDefault="00824D59" w:rsidP="004244FB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</w:t>
            </w:r>
            <w:r w:rsidR="00D679BD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er </w:t>
            </w:r>
            <w:r w:rsidR="00FF521D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le amministrazioni/</w:t>
            </w:r>
            <w:r w:rsidR="00D679BD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gli enti tenuti all'adozione della sotto</w:t>
            </w:r>
            <w:r w:rsidR="002B4B22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 w:rsidR="00D679BD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sezione Performance</w:t>
            </w:r>
            <w:r w:rsidR="002B4B22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del PIAO</w:t>
            </w:r>
            <w:r w:rsidR="00D679BD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, </w:t>
            </w:r>
            <w:r w:rsidR="009921A4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l’obbligo di pubblicazione </w:t>
            </w:r>
            <w:r w:rsidR="004A4E83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dei criteri di assegnazione del trattamento accessorio </w:t>
            </w:r>
            <w:r w:rsidR="009921A4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può essere assolto mediante </w:t>
            </w:r>
            <w:r w:rsidR="00D679BD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testo </w:t>
            </w:r>
            <w:r w:rsidR="009921A4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(set minimo di dati e informazioni) </w:t>
            </w:r>
            <w:r w:rsidR="00D679BD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oppure l</w:t>
            </w:r>
            <w:r w:rsidR="009921A4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ink </w:t>
            </w:r>
            <w:r w:rsidR="00AE1424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al documento sui sistemi di misurazione e valutazione della Performance per l'assegnazione del trattamento accessorio</w:t>
            </w:r>
            <w:r w:rsidR="004244F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, solitamente richiamato nella sezione Performance del PIAO</w:t>
            </w:r>
            <w:r w:rsidR="00BF02C9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65D96EAD" w14:textId="77777777" w:rsidR="00D679BD" w:rsidRPr="005705FE" w:rsidRDefault="00530CA5" w:rsidP="009B513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="00D679BD" w:rsidRPr="00991E5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libero</w:t>
            </w:r>
            <w:r w:rsidR="00D679BD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/URL</w:t>
            </w:r>
            <w:r w:rsidR="001342E8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8559D7" w:rsidRPr="005705FE" w14:paraId="7AEACA66" w14:textId="77777777" w:rsidTr="0026408F">
        <w:trPr>
          <w:trHeight w:val="660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82AC9" w14:textId="77777777" w:rsidR="008559D7" w:rsidRPr="002B224B" w:rsidRDefault="008559D7" w:rsidP="008559D7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Personale dirigenziale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3218" w14:textId="77777777" w:rsidR="008559D7" w:rsidRPr="002B224B" w:rsidRDefault="008559D7" w:rsidP="008559D7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Numero </w:t>
            </w:r>
            <w:r w:rsidR="0026408F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complessivo 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del personale dirigenziale </w:t>
            </w:r>
            <w:r w:rsidR="0026408F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distribuito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 w:rsidR="0026408F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nelle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fasc</w:t>
            </w:r>
            <w:r w:rsidR="0026408F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e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di valutazione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48ABA" w14:textId="77777777" w:rsidR="008559D7" w:rsidRDefault="008559D7" w:rsidP="00855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intero</w:t>
            </w:r>
          </w:p>
        </w:tc>
      </w:tr>
      <w:tr w:rsidR="008559D7" w:rsidRPr="005705FE" w14:paraId="341E7236" w14:textId="77777777" w:rsidTr="008559D7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vAlign w:val="center"/>
            <w:hideMark/>
          </w:tcPr>
          <w:p w14:paraId="1C639A2D" w14:textId="77777777" w:rsidR="008559D7" w:rsidRPr="005705FE" w:rsidRDefault="0026408F" w:rsidP="00855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26408F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GRADO DI DIFFERENZIAZIONE PERSONALE DIRIGEN</w:t>
            </w: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ZIALE</w:t>
            </w:r>
            <w:r w:rsidR="008559D7" w:rsidRPr="005705FE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br/>
            </w:r>
            <w:r w:rsidR="008559D7" w:rsidRPr="0026408F">
              <w:rPr>
                <w:rFonts w:ascii="Titillium" w:eastAsia="Times New Roman" w:hAnsi="Titillium" w:cs="Calibri"/>
                <w:color w:val="FFFFFF" w:themeColor="background1"/>
                <w:u w:val="double"/>
                <w:lang w:eastAsia="it-IT"/>
              </w:rPr>
              <w:t>da replicare per ogni fascia</w:t>
            </w:r>
            <w:r>
              <w:rPr>
                <w:rFonts w:ascii="Titillium" w:eastAsia="Times New Roman" w:hAnsi="Titillium" w:cs="Calibri"/>
                <w:color w:val="FFFFFF" w:themeColor="background1"/>
                <w:u w:val="double"/>
                <w:lang w:eastAsia="it-IT"/>
              </w:rPr>
              <w:t xml:space="preserve"> </w:t>
            </w:r>
            <w:r w:rsidR="00337977">
              <w:rPr>
                <w:rFonts w:ascii="Titillium" w:eastAsia="Times New Roman" w:hAnsi="Titillium" w:cs="Calibri"/>
                <w:color w:val="FFFFFF" w:themeColor="background1"/>
                <w:u w:val="double"/>
                <w:lang w:eastAsia="it-IT"/>
              </w:rPr>
              <w:t>prevista dall’amministrazione</w:t>
            </w:r>
          </w:p>
        </w:tc>
      </w:tr>
      <w:tr w:rsidR="008559D7" w:rsidRPr="005705FE" w14:paraId="3464B5FC" w14:textId="77777777" w:rsidTr="0026408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04E7F" w14:textId="77777777" w:rsidR="008559D7" w:rsidRPr="007F06F3" w:rsidRDefault="008559D7" w:rsidP="008559D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highlight w:val="yellow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Fascia di valutazione prevista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01F8C" w14:textId="77777777" w:rsidR="008559D7" w:rsidRDefault="008559D7" w:rsidP="008559D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Descrizione della fascia di valutazione</w:t>
            </w:r>
          </w:p>
          <w:p w14:paraId="3CE72DA7" w14:textId="77777777" w:rsidR="00530CA5" w:rsidRDefault="00530CA5" w:rsidP="00530CA5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L’amministrazione che compila indica quante e quali sono le tipologie di fasce di valutazione. </w:t>
            </w:r>
          </w:p>
          <w:p w14:paraId="0BCF39CF" w14:textId="77777777" w:rsidR="00530CA5" w:rsidRPr="00F87CEF" w:rsidRDefault="00530CA5" w:rsidP="00530CA5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F87CEF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Possibili esempi: </w:t>
            </w:r>
          </w:p>
          <w:p w14:paraId="27E98162" w14:textId="77777777" w:rsidR="00530CA5" w:rsidRPr="00F87CEF" w:rsidRDefault="00530CA5" w:rsidP="00530CA5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F87CEF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- alta media bassa </w:t>
            </w:r>
          </w:p>
          <w:p w14:paraId="44155582" w14:textId="77777777" w:rsidR="00530CA5" w:rsidRPr="00F87CEF" w:rsidRDefault="00530CA5" w:rsidP="00530CA5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F87CEF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- performance eccellente (10-9,5), ottima (9.49-9), adeguata (8,9 – 8), sufficiente (7.9-6), insufficiente (inferiore a 6)</w:t>
            </w:r>
          </w:p>
          <w:p w14:paraId="017E2BF4" w14:textId="77777777" w:rsidR="00530CA5" w:rsidRPr="002B224B" w:rsidRDefault="00530CA5" w:rsidP="00530CA5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F87CEF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-  fascia di merito I, II, III, IV, personale non valutato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ED4E" w14:textId="77777777" w:rsidR="008559D7" w:rsidRPr="002B224B" w:rsidRDefault="00530CA5" w:rsidP="00855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T</w:t>
            </w:r>
            <w:r w:rsidR="0026408F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esto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libero</w:t>
            </w:r>
          </w:p>
        </w:tc>
      </w:tr>
      <w:tr w:rsidR="008559D7" w:rsidRPr="005705FE" w14:paraId="1093BA15" w14:textId="77777777" w:rsidTr="0026408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65207" w14:textId="77777777" w:rsidR="008559D7" w:rsidRPr="002B224B" w:rsidRDefault="008559D7" w:rsidP="008559D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Numero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582FB" w14:textId="77777777" w:rsidR="008559D7" w:rsidRPr="002B224B" w:rsidRDefault="008559D7" w:rsidP="008559D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Numero del p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ersonale collocato 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nella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fascia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E7FA5" w14:textId="77777777" w:rsidR="008559D7" w:rsidRPr="002B224B" w:rsidRDefault="008559D7" w:rsidP="00855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intero</w:t>
            </w:r>
          </w:p>
        </w:tc>
      </w:tr>
      <w:tr w:rsidR="008559D7" w:rsidRPr="005705FE" w14:paraId="381C0437" w14:textId="77777777" w:rsidTr="0026408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662A4" w14:textId="77777777" w:rsidR="008559D7" w:rsidRPr="002B224B" w:rsidRDefault="008559D7" w:rsidP="008559D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% rispetto al ruolo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2EB19" w14:textId="77777777" w:rsidR="008559D7" w:rsidRPr="002B224B" w:rsidRDefault="008559D7" w:rsidP="008559D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Valore percentuale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del personale dirigenziale collocato 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nella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fascia di valutazione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, rispetto al </w:t>
            </w:r>
            <w:r w:rsidR="0026408F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numero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complessivo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1D66E" w14:textId="77777777" w:rsidR="008559D7" w:rsidRPr="002B224B" w:rsidRDefault="008559D7" w:rsidP="00855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decimale</w:t>
            </w:r>
          </w:p>
        </w:tc>
      </w:tr>
      <w:tr w:rsidR="008559D7" w:rsidRPr="005705FE" w14:paraId="70A8F74F" w14:textId="77777777" w:rsidTr="0026408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A8C0C" w14:textId="77777777" w:rsidR="008559D7" w:rsidRPr="002B224B" w:rsidRDefault="008559D7" w:rsidP="008559D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Premio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B6893" w14:textId="77777777" w:rsidR="008559D7" w:rsidRPr="002B224B" w:rsidRDefault="008559D7" w:rsidP="008559D7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Ammontare </w:t>
            </w:r>
            <w:r w:rsidR="0026408F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del 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premio corrispondente 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alla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fascia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9C6E" w14:textId="77777777" w:rsidR="008559D7" w:rsidRPr="002B224B" w:rsidRDefault="008559D7" w:rsidP="00855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decimale </w:t>
            </w:r>
          </w:p>
        </w:tc>
      </w:tr>
    </w:tbl>
    <w:p w14:paraId="1D247941" w14:textId="77777777" w:rsidR="004A4E83" w:rsidRDefault="004A4E83" w:rsidP="0026408F"/>
    <w:p w14:paraId="1B4C674A" w14:textId="77777777" w:rsidR="0026408F" w:rsidRDefault="0026408F" w:rsidP="0026408F">
      <w:pPr>
        <w:pBdr>
          <w:bottom w:val="single" w:sz="6" w:space="1" w:color="auto"/>
        </w:pBdr>
      </w:pPr>
    </w:p>
    <w:p w14:paraId="5D234FF5" w14:textId="77777777" w:rsidR="0026408F" w:rsidRPr="00FF521D" w:rsidRDefault="0026408F" w:rsidP="0026408F">
      <w:pPr>
        <w:pStyle w:val="Titolo3"/>
        <w:numPr>
          <w:ilvl w:val="0"/>
          <w:numId w:val="0"/>
        </w:numPr>
        <w:ind w:left="720" w:hanging="720"/>
      </w:pPr>
      <w:bookmarkStart w:id="10" w:name="_Ref135155597"/>
      <w:r w:rsidRPr="008559D7">
        <w:t xml:space="preserve">Criteri di assegnazione e dati sulla distribuzione </w:t>
      </w:r>
      <w:r>
        <w:t>– PERSONALE NON DIRIGENZIALE</w:t>
      </w:r>
      <w:bookmarkEnd w:id="10"/>
      <w:r w:rsidR="00530CA5">
        <w:t xml:space="preserve"> (ove previsti dai CCNL)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5954"/>
        <w:gridCol w:w="1463"/>
      </w:tblGrid>
      <w:tr w:rsidR="0026408F" w:rsidRPr="005705FE" w14:paraId="7F158ADF" w14:textId="77777777" w:rsidTr="00547993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2EBF4E2F" w14:textId="77777777" w:rsidR="0026408F" w:rsidRDefault="0026408F" w:rsidP="0054799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CRITERI DI ASSEGNAZIONE DEL TRATTAMENTO ACCESSORIO e DATI SULLA DISTRIBUZIONE</w:t>
            </w:r>
          </w:p>
          <w:p w14:paraId="7C27354A" w14:textId="77777777" w:rsidR="0067382E" w:rsidRDefault="0026408F" w:rsidP="0054799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</w:pPr>
            <w:r w:rsidRPr="008559D7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>PERSONALE</w:t>
            </w:r>
            <w:r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 xml:space="preserve"> NON</w:t>
            </w:r>
            <w:r w:rsidRPr="008559D7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 xml:space="preserve"> DIRIGENZIALE</w:t>
            </w:r>
          </w:p>
          <w:p w14:paraId="07345E62" w14:textId="77777777" w:rsidR="0026408F" w:rsidRPr="008559D7" w:rsidRDefault="0067382E" w:rsidP="0054799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</w:pPr>
            <w:r w:rsidRPr="0067382E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t>DATI DA PUBBLICARE IN FORMA AGGREGATA</w:t>
            </w:r>
            <w:r w:rsidR="0026408F" w:rsidRPr="008559D7">
              <w:rPr>
                <w:rFonts w:ascii="Titillium" w:eastAsia="Times New Roman" w:hAnsi="Titillium" w:cs="Calibri"/>
                <w:color w:val="FFFFFF" w:themeColor="background1"/>
                <w:u w:val="single"/>
                <w:lang w:eastAsia="it-IT"/>
              </w:rPr>
              <w:br/>
            </w:r>
          </w:p>
        </w:tc>
      </w:tr>
      <w:tr w:rsidR="0026408F" w:rsidRPr="005705FE" w14:paraId="5F59CDAC" w14:textId="77777777" w:rsidTr="0026408F">
        <w:trPr>
          <w:trHeight w:val="660"/>
        </w:trPr>
        <w:tc>
          <w:tcPr>
            <w:tcW w:w="82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787D92D5" w14:textId="77777777" w:rsidR="0026408F" w:rsidRPr="005705FE" w:rsidRDefault="0026408F" w:rsidP="004244FB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Per le amministrazioni/gli enti tenuti all'adozione della sotto sezione Performance del PIAO, l’obbligo di pubblicazione dei criteri di assegnazione del trattamento accessorio può essere assolto mediante testo (set minimo di dati e informazioni) </w:t>
            </w:r>
            <w:r w:rsidR="004244FB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oppure link al documento sui sistemi di misurazione e valutazione della Performance per l'assegnazione del trattamento accessorio</w:t>
            </w:r>
            <w:r w:rsidR="004244F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, solitamente richiamato nella sezione Performance del PIAO</w:t>
            </w:r>
            <w:r w:rsidR="004244FB"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hideMark/>
          </w:tcPr>
          <w:p w14:paraId="0476DF1B" w14:textId="77777777" w:rsidR="0026408F" w:rsidRPr="005705FE" w:rsidRDefault="001A6886" w:rsidP="001A6886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="0026408F" w:rsidRPr="00991E5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esto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(campo libero)</w:t>
            </w:r>
            <w:r w:rsidR="0026408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/URL </w:t>
            </w:r>
          </w:p>
        </w:tc>
      </w:tr>
      <w:tr w:rsidR="0026408F" w:rsidRPr="005705FE" w14:paraId="4AE72B62" w14:textId="77777777" w:rsidTr="0026408F">
        <w:trPr>
          <w:trHeight w:val="660"/>
        </w:trPr>
        <w:tc>
          <w:tcPr>
            <w:tcW w:w="2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42889" w14:textId="77777777" w:rsidR="0026408F" w:rsidRPr="002B224B" w:rsidRDefault="0026408F" w:rsidP="00547993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Personale NON dirigenziale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DC92" w14:textId="77777777" w:rsidR="0026408F" w:rsidRPr="002B224B" w:rsidRDefault="0026408F" w:rsidP="00547993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Numero 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complessivo 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del personale 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NON 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dirigenziale 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distribuito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nelle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fasc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e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di valutazione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1ADD8" w14:textId="77777777" w:rsidR="0026408F" w:rsidRDefault="0026408F" w:rsidP="0054799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intero</w:t>
            </w:r>
          </w:p>
        </w:tc>
      </w:tr>
      <w:tr w:rsidR="0026408F" w:rsidRPr="005705FE" w14:paraId="19B168DB" w14:textId="77777777" w:rsidTr="00547993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vAlign w:val="center"/>
            <w:hideMark/>
          </w:tcPr>
          <w:p w14:paraId="2178285E" w14:textId="77777777" w:rsidR="0026408F" w:rsidRPr="005705FE" w:rsidRDefault="0026408F" w:rsidP="0054799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</w:pPr>
            <w:r w:rsidRPr="0026408F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GRADO DI DIFFERENZIAZIONE PERSONALE </w:t>
            </w: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 xml:space="preserve">NON </w:t>
            </w:r>
            <w:r w:rsidRPr="0026408F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DIRIGEN</w:t>
            </w:r>
            <w:r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t>ZIALE</w:t>
            </w:r>
            <w:r w:rsidRPr="005705FE">
              <w:rPr>
                <w:rFonts w:ascii="Titillium" w:eastAsia="Times New Roman" w:hAnsi="Titillium" w:cs="Calibri"/>
                <w:color w:val="FFFFFF" w:themeColor="background1"/>
                <w:lang w:eastAsia="it-IT"/>
              </w:rPr>
              <w:br/>
            </w:r>
            <w:r w:rsidRPr="0026408F">
              <w:rPr>
                <w:rFonts w:ascii="Titillium" w:eastAsia="Times New Roman" w:hAnsi="Titillium" w:cs="Calibri"/>
                <w:color w:val="FFFFFF" w:themeColor="background1"/>
                <w:u w:val="double"/>
                <w:lang w:eastAsia="it-IT"/>
              </w:rPr>
              <w:t xml:space="preserve">da replicare per ogni </w:t>
            </w:r>
            <w:r w:rsidR="00337977" w:rsidRPr="0026408F">
              <w:rPr>
                <w:rFonts w:ascii="Titillium" w:eastAsia="Times New Roman" w:hAnsi="Titillium" w:cs="Calibri"/>
                <w:color w:val="FFFFFF" w:themeColor="background1"/>
                <w:u w:val="double"/>
                <w:lang w:eastAsia="it-IT"/>
              </w:rPr>
              <w:t>fascia</w:t>
            </w:r>
            <w:r w:rsidR="00337977">
              <w:rPr>
                <w:rFonts w:ascii="Titillium" w:eastAsia="Times New Roman" w:hAnsi="Titillium" w:cs="Calibri"/>
                <w:color w:val="FFFFFF" w:themeColor="background1"/>
                <w:u w:val="double"/>
                <w:lang w:eastAsia="it-IT"/>
              </w:rPr>
              <w:t xml:space="preserve"> prevista dall’amministrazione</w:t>
            </w:r>
          </w:p>
        </w:tc>
      </w:tr>
      <w:tr w:rsidR="0026408F" w:rsidRPr="005705FE" w14:paraId="5F98F165" w14:textId="77777777" w:rsidTr="0026408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050B5" w14:textId="77777777" w:rsidR="0026408F" w:rsidRPr="007F06F3" w:rsidRDefault="0026408F" w:rsidP="00547993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highlight w:val="yellow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Fascia di valutazione prevista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4FD9A" w14:textId="77777777" w:rsidR="00402795" w:rsidRPr="00AF6AC5" w:rsidRDefault="00402795" w:rsidP="00547993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AF6AC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L</w:t>
            </w:r>
            <w:r w:rsidR="001A6886" w:rsidRPr="00AF6AC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’amministrazione che compila indica quante e quali sono le tipologie di fasce di valutazione. </w:t>
            </w:r>
          </w:p>
          <w:p w14:paraId="23B1F296" w14:textId="77777777" w:rsidR="00AF6AC5" w:rsidRDefault="00AF6AC5" w:rsidP="00547993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</w:p>
          <w:p w14:paraId="7CB41EDC" w14:textId="77777777" w:rsidR="00402795" w:rsidRPr="00AF6AC5" w:rsidRDefault="001A6886" w:rsidP="00547993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AF6AC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Possibili esempi: </w:t>
            </w:r>
          </w:p>
          <w:p w14:paraId="2510CADF" w14:textId="77777777" w:rsidR="00402795" w:rsidRPr="00AF6AC5" w:rsidRDefault="00402795" w:rsidP="00402795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AF6AC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- </w:t>
            </w:r>
            <w:r w:rsidR="001A6886" w:rsidRPr="00AF6AC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alta media bassa </w:t>
            </w:r>
          </w:p>
          <w:p w14:paraId="104384B0" w14:textId="77777777" w:rsidR="0026408F" w:rsidRPr="00AF6AC5" w:rsidRDefault="00402795" w:rsidP="00402795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AF6AC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- </w:t>
            </w:r>
            <w:r w:rsidR="001A6886" w:rsidRPr="00AF6AC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performance eccellente (10-9,5), ottima (9.49-9), adeguata (8,9 – 8), sufficiente (7.9-6), insufficiente (inferiore a 6)</w:t>
            </w:r>
          </w:p>
          <w:p w14:paraId="094605D8" w14:textId="77777777" w:rsidR="00402795" w:rsidRPr="002B224B" w:rsidRDefault="00402795" w:rsidP="00402795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AF6AC5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-  fascia di merito I, II, III, IV, personale non valutato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AE1E5" w14:textId="77777777" w:rsidR="0026408F" w:rsidRPr="002B224B" w:rsidRDefault="006937CF" w:rsidP="0054799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T</w:t>
            </w:r>
            <w:r w:rsidR="0026408F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esto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libero</w:t>
            </w:r>
          </w:p>
        </w:tc>
      </w:tr>
      <w:tr w:rsidR="0026408F" w:rsidRPr="005705FE" w14:paraId="330E1E5B" w14:textId="77777777" w:rsidTr="0026408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9C6A" w14:textId="77777777" w:rsidR="0026408F" w:rsidRPr="002B224B" w:rsidRDefault="0026408F" w:rsidP="00547993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Numero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577C" w14:textId="77777777" w:rsidR="0026408F" w:rsidRPr="002B224B" w:rsidRDefault="0026408F" w:rsidP="00547993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Numero del p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ersonale collocato 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nella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fascia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B2D1A" w14:textId="77777777" w:rsidR="0026408F" w:rsidRPr="002B224B" w:rsidRDefault="0026408F" w:rsidP="0054799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intero</w:t>
            </w:r>
          </w:p>
        </w:tc>
      </w:tr>
      <w:tr w:rsidR="0026408F" w:rsidRPr="005705FE" w14:paraId="191FA630" w14:textId="77777777" w:rsidTr="0026408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F4FB7" w14:textId="77777777" w:rsidR="0026408F" w:rsidRPr="002B224B" w:rsidRDefault="0026408F" w:rsidP="00547993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% rispetto al ruolo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20456" w14:textId="77777777" w:rsidR="0026408F" w:rsidRPr="002B224B" w:rsidRDefault="0026408F" w:rsidP="00547993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Valore percentuale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del personale 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NON 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dirigenziale collocato 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nella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fascia di valutazione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, rispetto al numero complessivo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1D73" w14:textId="77777777" w:rsidR="0026408F" w:rsidRPr="002B224B" w:rsidRDefault="00BE54E1" w:rsidP="0054799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percentuale</w:t>
            </w:r>
          </w:p>
        </w:tc>
      </w:tr>
      <w:tr w:rsidR="0026408F" w:rsidRPr="005705FE" w14:paraId="6C3117B3" w14:textId="77777777" w:rsidTr="0026408F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73802" w14:textId="77777777" w:rsidR="0026408F" w:rsidRPr="002B224B" w:rsidRDefault="0026408F" w:rsidP="00547993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Premio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C83E2" w14:textId="77777777" w:rsidR="0026408F" w:rsidRPr="002B224B" w:rsidRDefault="0026408F" w:rsidP="00547993">
            <w:pPr>
              <w:spacing w:after="0" w:line="240" w:lineRule="auto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Ammontare 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del 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premio corrispondente </w:t>
            </w: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alla</w:t>
            </w: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fascia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C6950" w14:textId="77777777" w:rsidR="0026408F" w:rsidRPr="002B224B" w:rsidRDefault="0026408F" w:rsidP="00547993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</w:pPr>
            <w:r w:rsidRPr="002B224B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decimale </w:t>
            </w:r>
          </w:p>
        </w:tc>
      </w:tr>
    </w:tbl>
    <w:p w14:paraId="32670EC3" w14:textId="77777777" w:rsidR="001551B9" w:rsidRPr="006338A7" w:rsidRDefault="001551B9" w:rsidP="00757FB9">
      <w:pPr>
        <w:rPr>
          <w:rFonts w:ascii="Titillium" w:hAnsi="Titillium"/>
        </w:rPr>
      </w:pPr>
      <w:bookmarkStart w:id="11" w:name="_GoBack"/>
      <w:bookmarkEnd w:id="11"/>
    </w:p>
    <w:sectPr w:rsidR="001551B9" w:rsidRPr="006338A7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8EDFFD5" w16cex:dateUtc="2023-11-10T1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52982B" w16cid:durableId="28F7590C"/>
  <w16cid:commentId w16cid:paraId="54E399FE" w16cid:durableId="18EDFF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34B15" w14:textId="77777777" w:rsidR="00D26A06" w:rsidRDefault="00D26A06" w:rsidP="00936846">
      <w:pPr>
        <w:spacing w:after="0" w:line="240" w:lineRule="auto"/>
      </w:pPr>
      <w:r>
        <w:separator/>
      </w:r>
    </w:p>
  </w:endnote>
  <w:endnote w:type="continuationSeparator" w:id="0">
    <w:p w14:paraId="46FAA94F" w14:textId="77777777" w:rsidR="00D26A06" w:rsidRDefault="00D26A06" w:rsidP="0093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5227475"/>
      <w:docPartObj>
        <w:docPartGallery w:val="Page Numbers (Bottom of Page)"/>
        <w:docPartUnique/>
      </w:docPartObj>
    </w:sdtPr>
    <w:sdtEndPr/>
    <w:sdtContent>
      <w:p w14:paraId="25860009" w14:textId="5C8CB740" w:rsidR="00936846" w:rsidRDefault="0093684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FB9">
          <w:rPr>
            <w:noProof/>
          </w:rPr>
          <w:t>4</w:t>
        </w:r>
        <w:r>
          <w:fldChar w:fldCharType="end"/>
        </w:r>
      </w:p>
    </w:sdtContent>
  </w:sdt>
  <w:p w14:paraId="20BC26BF" w14:textId="77777777" w:rsidR="00936846" w:rsidRDefault="009368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4034E" w14:textId="77777777" w:rsidR="00D26A06" w:rsidRDefault="00D26A06" w:rsidP="00936846">
      <w:pPr>
        <w:spacing w:after="0" w:line="240" w:lineRule="auto"/>
      </w:pPr>
      <w:r>
        <w:separator/>
      </w:r>
    </w:p>
  </w:footnote>
  <w:footnote w:type="continuationSeparator" w:id="0">
    <w:p w14:paraId="286AF634" w14:textId="77777777" w:rsidR="00D26A06" w:rsidRDefault="00D26A06" w:rsidP="00936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EB4EE" w14:textId="436465DD" w:rsidR="00BE54E1" w:rsidRDefault="00BE54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86923"/>
    <w:multiLevelType w:val="hybridMultilevel"/>
    <w:tmpl w:val="932A36E4"/>
    <w:lvl w:ilvl="0" w:tplc="B2EA2D0C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3837321"/>
    <w:multiLevelType w:val="hybridMultilevel"/>
    <w:tmpl w:val="2FA8C088"/>
    <w:lvl w:ilvl="0" w:tplc="F78EB422">
      <w:start w:val="1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32A26"/>
    <w:multiLevelType w:val="hybridMultilevel"/>
    <w:tmpl w:val="D46A8E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B7AAC"/>
    <w:multiLevelType w:val="multilevel"/>
    <w:tmpl w:val="23F4ABCE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52F313B"/>
    <w:multiLevelType w:val="hybridMultilevel"/>
    <w:tmpl w:val="B7E4487A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EB351C5"/>
    <w:multiLevelType w:val="hybridMultilevel"/>
    <w:tmpl w:val="446EC328"/>
    <w:lvl w:ilvl="0" w:tplc="51C42956">
      <w:start w:val="1"/>
      <w:numFmt w:val="lowerLetter"/>
      <w:lvlText w:val="%1)"/>
      <w:lvlJc w:val="left"/>
      <w:pPr>
        <w:ind w:left="1494" w:hanging="360"/>
      </w:pPr>
      <w:rPr>
        <w:rFonts w:ascii="Titillium" w:hAnsi="Titillium" w:hint="default"/>
        <w:b w:val="0"/>
        <w:color w:val="auto"/>
        <w:sz w:val="18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9E94D58"/>
    <w:multiLevelType w:val="hybridMultilevel"/>
    <w:tmpl w:val="E2F20F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"/>
  </w:num>
  <w:num w:numId="31">
    <w:abstractNumId w:val="6"/>
  </w:num>
  <w:num w:numId="32">
    <w:abstractNumId w:val="3"/>
  </w:num>
  <w:num w:numId="33">
    <w:abstractNumId w:val="3"/>
  </w:num>
  <w:num w:numId="34">
    <w:abstractNumId w:val="3"/>
  </w:num>
  <w:num w:numId="35">
    <w:abstractNumId w:val="4"/>
  </w:num>
  <w:num w:numId="36">
    <w:abstractNumId w:val="5"/>
  </w:num>
  <w:num w:numId="37">
    <w:abstractNumId w:val="0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21"/>
    <w:rsid w:val="00007D9A"/>
    <w:rsid w:val="00027BA2"/>
    <w:rsid w:val="000370FC"/>
    <w:rsid w:val="00041B99"/>
    <w:rsid w:val="0006678C"/>
    <w:rsid w:val="0008099F"/>
    <w:rsid w:val="000A00EF"/>
    <w:rsid w:val="000C2A7C"/>
    <w:rsid w:val="000C76CF"/>
    <w:rsid w:val="000D6249"/>
    <w:rsid w:val="0010524E"/>
    <w:rsid w:val="00110CAC"/>
    <w:rsid w:val="001125D7"/>
    <w:rsid w:val="001327D8"/>
    <w:rsid w:val="001342E8"/>
    <w:rsid w:val="001438E4"/>
    <w:rsid w:val="001551B9"/>
    <w:rsid w:val="00171B79"/>
    <w:rsid w:val="00176793"/>
    <w:rsid w:val="00182193"/>
    <w:rsid w:val="00190082"/>
    <w:rsid w:val="0019283B"/>
    <w:rsid w:val="001A1CFE"/>
    <w:rsid w:val="001A6886"/>
    <w:rsid w:val="001B4D42"/>
    <w:rsid w:val="001C14FB"/>
    <w:rsid w:val="001C5185"/>
    <w:rsid w:val="001F06EE"/>
    <w:rsid w:val="002237D8"/>
    <w:rsid w:val="002253E2"/>
    <w:rsid w:val="00256BC9"/>
    <w:rsid w:val="0026408F"/>
    <w:rsid w:val="00273339"/>
    <w:rsid w:val="002B224B"/>
    <w:rsid w:val="002B23C4"/>
    <w:rsid w:val="002B25C7"/>
    <w:rsid w:val="002B4B22"/>
    <w:rsid w:val="002C3C73"/>
    <w:rsid w:val="002E1C87"/>
    <w:rsid w:val="002E3789"/>
    <w:rsid w:val="00332658"/>
    <w:rsid w:val="00337977"/>
    <w:rsid w:val="00352421"/>
    <w:rsid w:val="00362B93"/>
    <w:rsid w:val="00381E40"/>
    <w:rsid w:val="003937EA"/>
    <w:rsid w:val="003A1D82"/>
    <w:rsid w:val="003C5B7D"/>
    <w:rsid w:val="003E03EE"/>
    <w:rsid w:val="003E18AB"/>
    <w:rsid w:val="003E381A"/>
    <w:rsid w:val="003F7CD7"/>
    <w:rsid w:val="00402795"/>
    <w:rsid w:val="004051EB"/>
    <w:rsid w:val="004244FB"/>
    <w:rsid w:val="00426762"/>
    <w:rsid w:val="00436F35"/>
    <w:rsid w:val="004401F7"/>
    <w:rsid w:val="0045453E"/>
    <w:rsid w:val="00477A0D"/>
    <w:rsid w:val="004810A9"/>
    <w:rsid w:val="00483AB9"/>
    <w:rsid w:val="00497065"/>
    <w:rsid w:val="004A00F8"/>
    <w:rsid w:val="004A1004"/>
    <w:rsid w:val="004A2AFD"/>
    <w:rsid w:val="004A4E83"/>
    <w:rsid w:val="004B4B63"/>
    <w:rsid w:val="004D149A"/>
    <w:rsid w:val="004D51F8"/>
    <w:rsid w:val="004F7C1A"/>
    <w:rsid w:val="00510544"/>
    <w:rsid w:val="00530CA5"/>
    <w:rsid w:val="00540C25"/>
    <w:rsid w:val="005468AB"/>
    <w:rsid w:val="005615B4"/>
    <w:rsid w:val="005705FE"/>
    <w:rsid w:val="00582B4A"/>
    <w:rsid w:val="00583475"/>
    <w:rsid w:val="005855E7"/>
    <w:rsid w:val="00587F66"/>
    <w:rsid w:val="00594320"/>
    <w:rsid w:val="00595E92"/>
    <w:rsid w:val="00597273"/>
    <w:rsid w:val="005A2196"/>
    <w:rsid w:val="005A5DEB"/>
    <w:rsid w:val="005B340A"/>
    <w:rsid w:val="005B3D21"/>
    <w:rsid w:val="005D6B8A"/>
    <w:rsid w:val="005D7D1E"/>
    <w:rsid w:val="005E1E31"/>
    <w:rsid w:val="005E4A24"/>
    <w:rsid w:val="00614DED"/>
    <w:rsid w:val="006229A2"/>
    <w:rsid w:val="006338A7"/>
    <w:rsid w:val="006356B1"/>
    <w:rsid w:val="00642E69"/>
    <w:rsid w:val="0067382E"/>
    <w:rsid w:val="00676A9C"/>
    <w:rsid w:val="006937CF"/>
    <w:rsid w:val="00697236"/>
    <w:rsid w:val="006A2F38"/>
    <w:rsid w:val="006C1DD6"/>
    <w:rsid w:val="006E3061"/>
    <w:rsid w:val="006F3EB2"/>
    <w:rsid w:val="006F4A7E"/>
    <w:rsid w:val="00704F5C"/>
    <w:rsid w:val="00714CB8"/>
    <w:rsid w:val="00724A7B"/>
    <w:rsid w:val="00724ACA"/>
    <w:rsid w:val="007321C8"/>
    <w:rsid w:val="00732743"/>
    <w:rsid w:val="00740474"/>
    <w:rsid w:val="0074307C"/>
    <w:rsid w:val="00746546"/>
    <w:rsid w:val="00757FB9"/>
    <w:rsid w:val="00775036"/>
    <w:rsid w:val="00783451"/>
    <w:rsid w:val="0078375E"/>
    <w:rsid w:val="00797B9C"/>
    <w:rsid w:val="007A1694"/>
    <w:rsid w:val="007A1E12"/>
    <w:rsid w:val="007B0BF5"/>
    <w:rsid w:val="007D4F8F"/>
    <w:rsid w:val="007F06F3"/>
    <w:rsid w:val="007F5C9E"/>
    <w:rsid w:val="00824D59"/>
    <w:rsid w:val="008268EF"/>
    <w:rsid w:val="00835800"/>
    <w:rsid w:val="00836758"/>
    <w:rsid w:val="00840D21"/>
    <w:rsid w:val="0084604F"/>
    <w:rsid w:val="008559D7"/>
    <w:rsid w:val="00856D6F"/>
    <w:rsid w:val="00857937"/>
    <w:rsid w:val="00877DFF"/>
    <w:rsid w:val="00882764"/>
    <w:rsid w:val="008936D9"/>
    <w:rsid w:val="008B1767"/>
    <w:rsid w:val="008B54A5"/>
    <w:rsid w:val="008C2AC3"/>
    <w:rsid w:val="008C4FD6"/>
    <w:rsid w:val="008D1149"/>
    <w:rsid w:val="008E0344"/>
    <w:rsid w:val="008E4BD4"/>
    <w:rsid w:val="00911E91"/>
    <w:rsid w:val="00915D04"/>
    <w:rsid w:val="00923B54"/>
    <w:rsid w:val="00931CF3"/>
    <w:rsid w:val="00934EE7"/>
    <w:rsid w:val="00935619"/>
    <w:rsid w:val="00935B51"/>
    <w:rsid w:val="00936846"/>
    <w:rsid w:val="00962ADB"/>
    <w:rsid w:val="009778A2"/>
    <w:rsid w:val="00991E5F"/>
    <w:rsid w:val="009921A4"/>
    <w:rsid w:val="00992C10"/>
    <w:rsid w:val="009A5173"/>
    <w:rsid w:val="009B5130"/>
    <w:rsid w:val="009D1E04"/>
    <w:rsid w:val="009D59B3"/>
    <w:rsid w:val="009E285A"/>
    <w:rsid w:val="009E4F02"/>
    <w:rsid w:val="00A00A6C"/>
    <w:rsid w:val="00A25E47"/>
    <w:rsid w:val="00A27BCB"/>
    <w:rsid w:val="00A4549A"/>
    <w:rsid w:val="00A50EA0"/>
    <w:rsid w:val="00A53754"/>
    <w:rsid w:val="00AA68A5"/>
    <w:rsid w:val="00AD2515"/>
    <w:rsid w:val="00AE1424"/>
    <w:rsid w:val="00AF1CC7"/>
    <w:rsid w:val="00AF21DA"/>
    <w:rsid w:val="00AF5F9A"/>
    <w:rsid w:val="00AF6AC5"/>
    <w:rsid w:val="00B0062B"/>
    <w:rsid w:val="00B11198"/>
    <w:rsid w:val="00B12469"/>
    <w:rsid w:val="00B144D5"/>
    <w:rsid w:val="00B1758C"/>
    <w:rsid w:val="00B36C3C"/>
    <w:rsid w:val="00B42CFA"/>
    <w:rsid w:val="00B75B37"/>
    <w:rsid w:val="00BB4492"/>
    <w:rsid w:val="00BB57DB"/>
    <w:rsid w:val="00BC02CB"/>
    <w:rsid w:val="00BC13A4"/>
    <w:rsid w:val="00BD0D19"/>
    <w:rsid w:val="00BE54E1"/>
    <w:rsid w:val="00BF02C9"/>
    <w:rsid w:val="00BF4CDA"/>
    <w:rsid w:val="00C13CC6"/>
    <w:rsid w:val="00C74FA8"/>
    <w:rsid w:val="00C941C1"/>
    <w:rsid w:val="00C94C55"/>
    <w:rsid w:val="00CB1F27"/>
    <w:rsid w:val="00CE3C52"/>
    <w:rsid w:val="00D04844"/>
    <w:rsid w:val="00D26A06"/>
    <w:rsid w:val="00D36B0B"/>
    <w:rsid w:val="00D5494A"/>
    <w:rsid w:val="00D64BFE"/>
    <w:rsid w:val="00D66B3D"/>
    <w:rsid w:val="00D679BD"/>
    <w:rsid w:val="00D71900"/>
    <w:rsid w:val="00D73D81"/>
    <w:rsid w:val="00D80D27"/>
    <w:rsid w:val="00DC79FE"/>
    <w:rsid w:val="00E15C84"/>
    <w:rsid w:val="00E3433D"/>
    <w:rsid w:val="00E3540A"/>
    <w:rsid w:val="00E44B03"/>
    <w:rsid w:val="00E506DF"/>
    <w:rsid w:val="00E5494E"/>
    <w:rsid w:val="00E74140"/>
    <w:rsid w:val="00E95744"/>
    <w:rsid w:val="00ED1600"/>
    <w:rsid w:val="00ED4B4D"/>
    <w:rsid w:val="00F16936"/>
    <w:rsid w:val="00F22FAF"/>
    <w:rsid w:val="00F242D6"/>
    <w:rsid w:val="00F2430B"/>
    <w:rsid w:val="00F272A1"/>
    <w:rsid w:val="00F3093E"/>
    <w:rsid w:val="00F359F8"/>
    <w:rsid w:val="00F525C5"/>
    <w:rsid w:val="00F554D7"/>
    <w:rsid w:val="00F75A48"/>
    <w:rsid w:val="00F87CEF"/>
    <w:rsid w:val="00FA59E1"/>
    <w:rsid w:val="00FB0960"/>
    <w:rsid w:val="00FB76FF"/>
    <w:rsid w:val="00FC19C8"/>
    <w:rsid w:val="00FE5183"/>
    <w:rsid w:val="00F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7CAC"/>
  <w15:chartTrackingRefBased/>
  <w15:docId w15:val="{CCB80C3C-F6D1-41A1-936F-1B35CE6B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lang w:val="it-IT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6762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430B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430B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2430B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2430B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2430B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30B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30B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30B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30B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243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243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2430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3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3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3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3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3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243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3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30B"/>
    <w:rPr>
      <w:rFonts w:eastAsiaTheme="minorEastAsia"/>
      <w:color w:val="5A5A5A" w:themeColor="text1" w:themeTint="A5"/>
      <w:spacing w:val="15"/>
    </w:rPr>
  </w:style>
  <w:style w:type="character" w:styleId="Enfasicorsivo">
    <w:name w:val="Emphasis"/>
    <w:basedOn w:val="Carpredefinitoparagrafo"/>
    <w:uiPriority w:val="20"/>
    <w:qFormat/>
    <w:rsid w:val="00F2430B"/>
    <w:rPr>
      <w:i/>
      <w:iCs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rsid w:val="00F2430B"/>
    <w:pPr>
      <w:ind w:left="720"/>
      <w:contextualSpacing/>
    </w:pPr>
  </w:style>
  <w:style w:type="character" w:styleId="Riferimentodelicato">
    <w:name w:val="Subtle Reference"/>
    <w:basedOn w:val="Carpredefinitoparagrafo"/>
    <w:uiPriority w:val="31"/>
    <w:qFormat/>
    <w:rsid w:val="00F2430B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F2430B"/>
    <w:rPr>
      <w:b/>
      <w:bCs/>
      <w:smallCaps/>
      <w:color w:val="4472C4" w:themeColor="accent1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F2430B"/>
    <w:pPr>
      <w:numPr>
        <w:numId w:val="0"/>
      </w:numPr>
      <w:outlineLvl w:val="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6762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426762"/>
  </w:style>
  <w:style w:type="paragraph" w:styleId="NormaleWeb">
    <w:name w:val="Normal (Web)"/>
    <w:basedOn w:val="Normale"/>
    <w:uiPriority w:val="99"/>
    <w:unhideWhenUsed/>
    <w:rsid w:val="003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E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58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5800"/>
    <w:rPr>
      <w:i/>
      <w:iCs/>
      <w:color w:val="4472C4" w:themeColor="accent1"/>
      <w:kern w:val="0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1E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1E5F"/>
    <w:rPr>
      <w:color w:val="954F72" w:themeColor="followedHyperlink"/>
      <w:u w:val="single"/>
    </w:rPr>
  </w:style>
  <w:style w:type="paragraph" w:customStyle="1" w:styleId="Default">
    <w:name w:val="Default"/>
    <w:rsid w:val="005E4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368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6846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368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6846"/>
    <w:rPr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540C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40C25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40C25"/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0C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40C25"/>
    <w:rPr>
      <w:b/>
      <w:bCs/>
      <w:kern w:val="0"/>
      <w14:ligatures w14:val="none"/>
    </w:rPr>
  </w:style>
  <w:style w:type="paragraph" w:styleId="Revisione">
    <w:name w:val="Revision"/>
    <w:hidden/>
    <w:uiPriority w:val="99"/>
    <w:semiHidden/>
    <w:rsid w:val="00540C25"/>
    <w:pPr>
      <w:spacing w:after="0" w:line="240" w:lineRule="auto"/>
    </w:pPr>
    <w:rPr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C2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Titillium"/>
        <a:ea typeface=""/>
        <a:cs typeface=""/>
      </a:majorFont>
      <a:minorFont>
        <a:latin typeface="Titill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79EE748F646E46829F6A48E9573011" ma:contentTypeVersion="4" ma:contentTypeDescription="Creare un nuovo documento." ma:contentTypeScope="" ma:versionID="f4716b66d1dc952a75f3084303ecfcd4">
  <xsd:schema xmlns:xsd="http://www.w3.org/2001/XMLSchema" xmlns:xs="http://www.w3.org/2001/XMLSchema" xmlns:p="http://schemas.microsoft.com/office/2006/metadata/properties" xmlns:ns2="993ad101-62d6-4fad-9ff5-ffd0120f2b0b" targetNamespace="http://schemas.microsoft.com/office/2006/metadata/properties" ma:root="true" ma:fieldsID="632b1cc51c0621e050d9b8d4fa392347" ns2:_="">
    <xsd:import namespace="993ad101-62d6-4fad-9ff5-ffd0120f2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d101-62d6-4fad-9ff5-ffd0120f2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2166D-C447-4E25-9CE6-31FA8678D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ad101-62d6-4fad-9ff5-ffd0120f2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48892-FF9E-4290-8D6B-382CCA2196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570397-CAA9-4679-B046-C5097A444B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F0A54-2C9C-4A65-9DD6-586B50D8B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Bocchetti Enrico</dc:creator>
  <cp:keywords/>
  <dc:description/>
  <cp:lastModifiedBy>URAC</cp:lastModifiedBy>
  <cp:revision>11</cp:revision>
  <cp:lastPrinted>2023-05-16T07:45:00Z</cp:lastPrinted>
  <dcterms:created xsi:type="dcterms:W3CDTF">2023-11-09T12:06:00Z</dcterms:created>
  <dcterms:modified xsi:type="dcterms:W3CDTF">2023-11-13T10:39:00Z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0x010100DE79EE748F646E46829F6A48E9573011</vt:lpwstr>
  </property>
</Properties>
</file>