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D500B" w14:textId="7CE54F9F" w:rsidR="00E527E6" w:rsidRPr="00020EB7" w:rsidRDefault="00177A8F" w:rsidP="00E527E6">
      <w:pPr>
        <w:pStyle w:val="Titolo1"/>
        <w:numPr>
          <w:ilvl w:val="0"/>
          <w:numId w:val="0"/>
        </w:numPr>
        <w:rPr>
          <w:sz w:val="24"/>
          <w:szCs w:val="24"/>
        </w:rPr>
      </w:pPr>
      <w:r w:rsidRPr="00020EB7">
        <w:rPr>
          <w:sz w:val="24"/>
          <w:szCs w:val="24"/>
        </w:rPr>
        <w:t>Obblighi di pubblicazione concernenti i dati relativi ai controlli sull'organizzazione e sull'attività dell'amministrazione</w:t>
      </w:r>
      <w:r w:rsidR="00604B63" w:rsidRPr="00020EB7">
        <w:rPr>
          <w:sz w:val="24"/>
          <w:szCs w:val="24"/>
        </w:rPr>
        <w:t xml:space="preserve"> (art. 31 d.lgs. 33/2013)</w:t>
      </w:r>
    </w:p>
    <w:p w14:paraId="303A9A72" w14:textId="77777777" w:rsidR="00E527E6" w:rsidRPr="00020EB7" w:rsidRDefault="00E527E6" w:rsidP="00E527E6"/>
    <w:p w14:paraId="0810A8B9" w14:textId="504643C6" w:rsidR="00426762" w:rsidRPr="00020EB7" w:rsidRDefault="00D32E79" w:rsidP="00381E40">
      <w:pPr>
        <w:pStyle w:val="Titolo2"/>
        <w:numPr>
          <w:ilvl w:val="0"/>
          <w:numId w:val="0"/>
        </w:numPr>
        <w:ind w:left="576" w:hanging="576"/>
        <w:rPr>
          <w:rStyle w:val="Riferimentodelicato"/>
          <w:smallCaps w:val="0"/>
          <w:color w:val="2F5496" w:themeColor="accent1" w:themeShade="BF"/>
          <w:sz w:val="24"/>
          <w:szCs w:val="24"/>
        </w:rPr>
      </w:pPr>
      <w:r>
        <w:rPr>
          <w:rStyle w:val="Riferimentodelicato"/>
          <w:smallCaps w:val="0"/>
          <w:color w:val="2F5496" w:themeColor="accent1" w:themeShade="BF"/>
          <w:sz w:val="24"/>
          <w:szCs w:val="24"/>
        </w:rPr>
        <w:t>La norma</w:t>
      </w:r>
    </w:p>
    <w:p w14:paraId="08BAD6D9" w14:textId="695F0DD9" w:rsidR="00F67F7F" w:rsidRPr="00020EB7" w:rsidRDefault="00F67F7F" w:rsidP="00E527E6">
      <w:pPr>
        <w:pStyle w:val="NormaleWeb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020EB7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1. Le pubbliche amministrazioni pubblicano gli atti degli organismi indipendenti di valutazione o nuclei di valutazione, procedendo all'indicazione in forma anonima dei dati personali eventualmente presenti. Pubblicano, inoltre, la relazione degli organi di revisione amministrativa e contabile al bilancio di previsione o budget, alle relative variazioni e al conto consuntivo o bilancio di esercizio nonché tutti i rilievi ancorché non recepiti della Corte dei conti riguardanti l'organizzazione e l'attività delle amministrazioni stesse e dei loro uffici.</w:t>
      </w:r>
      <w:r w:rsidRPr="00020EB7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br/>
        <w:t>(comma così sostituito dall'</w:t>
      </w:r>
      <w:hyperlink r:id="rId11" w:anchor="27" w:history="1">
        <w:r w:rsidRPr="00020EB7">
          <w:rPr>
            <w:rFonts w:ascii="Titillium" w:eastAsiaTheme="minorHAnsi" w:hAnsi="Titillium" w:cstheme="minorBidi"/>
            <w:i/>
            <w:iCs/>
            <w:sz w:val="20"/>
            <w:szCs w:val="20"/>
            <w:lang w:eastAsia="en-US"/>
          </w:rPr>
          <w:t>art. 27 del d.lgs. n. 97 del 2016</w:t>
        </w:r>
      </w:hyperlink>
      <w:r w:rsidRPr="00020EB7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)</w:t>
      </w:r>
    </w:p>
    <w:p w14:paraId="1881D089" w14:textId="77777777" w:rsidR="00D32E79" w:rsidRDefault="00D32E79" w:rsidP="00D32E79">
      <w:pPr>
        <w:jc w:val="both"/>
        <w:rPr>
          <w:rFonts w:ascii="Titillium" w:hAnsi="Titillium"/>
        </w:rPr>
      </w:pPr>
    </w:p>
    <w:p w14:paraId="7A6FBED3" w14:textId="39DAC344" w:rsidR="00D14F36" w:rsidRPr="00020EB7" w:rsidRDefault="00D14F36" w:rsidP="00D32E79">
      <w:pPr>
        <w:jc w:val="both"/>
        <w:rPr>
          <w:rFonts w:ascii="Titillium" w:hAnsi="Titillium"/>
        </w:rPr>
      </w:pPr>
      <w:r w:rsidRPr="00020EB7">
        <w:rPr>
          <w:rFonts w:ascii="Titillium" w:hAnsi="Titillium"/>
        </w:rPr>
        <w:t>Gli schemi potranno essere usati come modelli per l'organizzazione, la codificazione e la rappresentazione dei documenti, delle informazioni e dei dati oggetto di pubblicazione obbligatoria ai sensi dell’art. 31 sia nella Piattaforma Unica della Trasparenza nella sezione Amministrazione trasparente dei siti istituzionali delle amministrazioni/enti</w:t>
      </w:r>
      <w:r w:rsidR="00604B63" w:rsidRPr="00020EB7">
        <w:rPr>
          <w:rFonts w:ascii="Titillium" w:hAnsi="Titillium"/>
        </w:rPr>
        <w:t>,</w:t>
      </w:r>
      <w:r w:rsidRPr="00020EB7">
        <w:rPr>
          <w:rFonts w:ascii="Titillium" w:hAnsi="Titillium"/>
        </w:rPr>
        <w:t xml:space="preserve"> sotto-sezione di primo livello “Controlli e rilievi sull'amministrazione”</w:t>
      </w:r>
      <w:r w:rsidRPr="00020EB7">
        <w:rPr>
          <w:rFonts w:asciiTheme="majorHAnsi" w:hAnsiTheme="majorHAnsi"/>
        </w:rPr>
        <w:t xml:space="preserve"> e </w:t>
      </w:r>
      <w:r w:rsidRPr="00020EB7">
        <w:rPr>
          <w:rFonts w:ascii="Titillium" w:hAnsi="Titillium"/>
        </w:rPr>
        <w:t>sotto-sezione di secondo livello “Organismi indipendenti di valutazione, nuclei di valutazione o altri organismi con funzioni analoghe”.</w:t>
      </w:r>
    </w:p>
    <w:p w14:paraId="54757D11" w14:textId="0F418FA6" w:rsidR="00E31BF2" w:rsidRDefault="002F5143" w:rsidP="00D14F36">
      <w:pPr>
        <w:pStyle w:val="NormaleWeb"/>
        <w:jc w:val="both"/>
        <w:rPr>
          <w:rFonts w:ascii="Titillium" w:eastAsiaTheme="minorHAnsi" w:hAnsi="Titillium" w:cstheme="minorBidi"/>
          <w:sz w:val="20"/>
          <w:szCs w:val="20"/>
          <w:lang w:eastAsia="en-US"/>
        </w:rPr>
      </w:pPr>
      <w:r w:rsidRPr="00C22600">
        <w:rPr>
          <w:rFonts w:ascii="Titillium" w:eastAsiaTheme="minorHAnsi" w:hAnsi="Titillium" w:cstheme="minorBidi"/>
          <w:sz w:val="20"/>
          <w:szCs w:val="20"/>
          <w:lang w:eastAsia="en-US"/>
        </w:rPr>
        <w:t>N.B.</w:t>
      </w:r>
      <w:r w:rsidR="00E31BF2" w:rsidRPr="00C22600">
        <w:rPr>
          <w:rFonts w:ascii="Titillium" w:eastAsiaTheme="minorHAnsi" w:hAnsi="Titillium" w:cstheme="minorBidi"/>
          <w:sz w:val="20"/>
          <w:szCs w:val="20"/>
          <w:lang w:eastAsia="en-US"/>
        </w:rPr>
        <w:t>:</w:t>
      </w:r>
      <w:r w:rsidR="003C4350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 Per l</w:t>
      </w:r>
      <w:r w:rsidR="00FD4CAB" w:rsidRPr="00C22600">
        <w:rPr>
          <w:rFonts w:ascii="Titillium" w:eastAsiaTheme="minorHAnsi" w:hAnsi="Titillium" w:cstheme="minorBidi"/>
          <w:sz w:val="20"/>
          <w:szCs w:val="20"/>
          <w:lang w:eastAsia="en-US"/>
        </w:rPr>
        <w:t>a scheda relativa alle attestazioni OIV o organismi di analoga funzione</w:t>
      </w:r>
      <w:r w:rsidR="003C4350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, l’Autorità sta predisponendo una </w:t>
      </w:r>
      <w:r w:rsidR="003C4350" w:rsidRPr="00C22600">
        <w:rPr>
          <w:rFonts w:ascii="Titillium" w:eastAsiaTheme="minorHAnsi" w:hAnsi="Titillium" w:cstheme="minorBidi"/>
          <w:sz w:val="20"/>
          <w:szCs w:val="20"/>
          <w:lang w:eastAsia="en-US"/>
        </w:rPr>
        <w:t>piattafo</w:t>
      </w:r>
      <w:r w:rsidR="003C4350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rma per l’acquisizione delle stesse al fine di assicurare la pubblicazione con </w:t>
      </w:r>
      <w:r w:rsidR="00FD4CAB" w:rsidRPr="00C22600">
        <w:rPr>
          <w:rFonts w:ascii="Titillium" w:eastAsiaTheme="minorHAnsi" w:hAnsi="Titillium" w:cstheme="minorBidi"/>
          <w:sz w:val="20"/>
          <w:szCs w:val="20"/>
          <w:lang w:eastAsia="en-US"/>
        </w:rPr>
        <w:t>un collegamento alla piattaforma o al documento digitalizzato delle attestazioni medesime.</w:t>
      </w:r>
      <w:r w:rsidR="00FD4CAB" w:rsidRPr="00020EB7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 </w:t>
      </w:r>
    </w:p>
    <w:p w14:paraId="79ACDDB0" w14:textId="77777777" w:rsidR="00D32E79" w:rsidRDefault="00D32E79" w:rsidP="00D14F36">
      <w:pPr>
        <w:pStyle w:val="NormaleWeb"/>
        <w:jc w:val="both"/>
        <w:rPr>
          <w:rFonts w:ascii="Titillium" w:eastAsiaTheme="minorHAnsi" w:hAnsi="Titillium" w:cstheme="minorBidi"/>
          <w:sz w:val="20"/>
          <w:szCs w:val="20"/>
          <w:lang w:eastAsia="en-US"/>
        </w:rPr>
      </w:pPr>
    </w:p>
    <w:p w14:paraId="5CE70BC9" w14:textId="77777777" w:rsidR="00D32E79" w:rsidRDefault="00D32E79" w:rsidP="00D14F36">
      <w:pPr>
        <w:pStyle w:val="NormaleWeb"/>
        <w:jc w:val="both"/>
        <w:rPr>
          <w:rFonts w:ascii="Titillium" w:eastAsiaTheme="minorHAnsi" w:hAnsi="Titillium" w:cstheme="minorBidi"/>
          <w:sz w:val="20"/>
          <w:szCs w:val="20"/>
          <w:lang w:eastAsia="en-US"/>
        </w:rPr>
      </w:pPr>
    </w:p>
    <w:p w14:paraId="1905CC36" w14:textId="77777777" w:rsidR="00D32E79" w:rsidRDefault="00D32E79" w:rsidP="00D14F36">
      <w:pPr>
        <w:pStyle w:val="NormaleWeb"/>
        <w:jc w:val="both"/>
        <w:rPr>
          <w:rFonts w:ascii="Titillium" w:eastAsiaTheme="minorHAnsi" w:hAnsi="Titillium" w:cstheme="minorBidi"/>
          <w:sz w:val="20"/>
          <w:szCs w:val="20"/>
          <w:lang w:eastAsia="en-US"/>
        </w:rPr>
      </w:pPr>
    </w:p>
    <w:p w14:paraId="29C98B4E" w14:textId="77777777" w:rsidR="00D32E79" w:rsidRDefault="00D32E79" w:rsidP="00D14F36">
      <w:pPr>
        <w:pStyle w:val="NormaleWeb"/>
        <w:jc w:val="both"/>
        <w:rPr>
          <w:rFonts w:ascii="Titillium" w:eastAsiaTheme="minorHAnsi" w:hAnsi="Titillium" w:cstheme="minorBidi"/>
          <w:sz w:val="20"/>
          <w:szCs w:val="20"/>
          <w:lang w:eastAsia="en-US"/>
        </w:rPr>
      </w:pPr>
    </w:p>
    <w:p w14:paraId="6517EEE2" w14:textId="77777777" w:rsidR="00D32E79" w:rsidRDefault="00D32E79" w:rsidP="00D14F36">
      <w:pPr>
        <w:pStyle w:val="NormaleWeb"/>
        <w:jc w:val="both"/>
        <w:rPr>
          <w:rFonts w:ascii="Titillium" w:eastAsiaTheme="minorHAnsi" w:hAnsi="Titillium" w:cstheme="minorBidi"/>
          <w:sz w:val="20"/>
          <w:szCs w:val="20"/>
          <w:lang w:eastAsia="en-US"/>
        </w:rPr>
      </w:pPr>
    </w:p>
    <w:p w14:paraId="098AE8EE" w14:textId="77777777" w:rsidR="00D32E79" w:rsidRDefault="00D32E79" w:rsidP="00D14F36">
      <w:pPr>
        <w:pStyle w:val="NormaleWeb"/>
        <w:jc w:val="both"/>
        <w:rPr>
          <w:rFonts w:ascii="Titillium" w:eastAsiaTheme="minorHAnsi" w:hAnsi="Titillium" w:cstheme="minorBidi"/>
          <w:sz w:val="20"/>
          <w:szCs w:val="20"/>
          <w:lang w:eastAsia="en-US"/>
        </w:rPr>
      </w:pPr>
    </w:p>
    <w:p w14:paraId="4CDD3A60" w14:textId="77777777" w:rsidR="00D32E79" w:rsidRDefault="00D32E79" w:rsidP="00D14F36">
      <w:pPr>
        <w:pStyle w:val="NormaleWeb"/>
        <w:jc w:val="both"/>
        <w:rPr>
          <w:rFonts w:ascii="Titillium" w:eastAsiaTheme="minorHAnsi" w:hAnsi="Titillium" w:cstheme="minorBidi"/>
          <w:sz w:val="20"/>
          <w:szCs w:val="20"/>
          <w:lang w:eastAsia="en-US"/>
        </w:rPr>
      </w:pPr>
    </w:p>
    <w:p w14:paraId="74E0B879" w14:textId="77777777" w:rsidR="00D32E79" w:rsidRDefault="00D32E79" w:rsidP="00D14F36">
      <w:pPr>
        <w:pStyle w:val="NormaleWeb"/>
        <w:jc w:val="both"/>
        <w:rPr>
          <w:rFonts w:ascii="Titillium" w:eastAsiaTheme="minorHAnsi" w:hAnsi="Titillium" w:cstheme="minorBidi"/>
          <w:sz w:val="20"/>
          <w:szCs w:val="20"/>
          <w:lang w:eastAsia="en-US"/>
        </w:rPr>
      </w:pPr>
    </w:p>
    <w:p w14:paraId="640B4AA2" w14:textId="0B162F20" w:rsidR="00F1625A" w:rsidRDefault="00F1625A" w:rsidP="00D14F36">
      <w:pPr>
        <w:pStyle w:val="NormaleWeb"/>
        <w:jc w:val="both"/>
        <w:rPr>
          <w:rFonts w:ascii="Titillium" w:eastAsiaTheme="minorHAnsi" w:hAnsi="Titillium" w:cstheme="minorBidi"/>
          <w:sz w:val="20"/>
          <w:szCs w:val="20"/>
          <w:lang w:eastAsia="en-US"/>
        </w:rPr>
      </w:pPr>
    </w:p>
    <w:p w14:paraId="48B1F431" w14:textId="77777777" w:rsidR="00F1625A" w:rsidRDefault="00F1625A" w:rsidP="00D14F36">
      <w:pPr>
        <w:pStyle w:val="NormaleWeb"/>
        <w:jc w:val="both"/>
        <w:rPr>
          <w:rFonts w:ascii="Titillium" w:eastAsiaTheme="minorHAnsi" w:hAnsi="Titillium" w:cstheme="minorBidi"/>
          <w:sz w:val="20"/>
          <w:szCs w:val="20"/>
          <w:lang w:eastAsia="en-US"/>
        </w:rPr>
      </w:pPr>
    </w:p>
    <w:p w14:paraId="08B6C8A5" w14:textId="77777777" w:rsidR="00D32E79" w:rsidRDefault="00D32E79" w:rsidP="00D14F36">
      <w:pPr>
        <w:pStyle w:val="NormaleWeb"/>
        <w:jc w:val="both"/>
        <w:rPr>
          <w:rFonts w:ascii="Titillium" w:eastAsiaTheme="minorHAnsi" w:hAnsi="Titillium" w:cstheme="minorBidi"/>
          <w:sz w:val="20"/>
          <w:szCs w:val="20"/>
          <w:lang w:eastAsia="en-US"/>
        </w:rPr>
      </w:pPr>
    </w:p>
    <w:p w14:paraId="080B702A" w14:textId="77777777" w:rsidR="00D32E79" w:rsidRPr="00020EB7" w:rsidRDefault="00D32E79" w:rsidP="00D14F36">
      <w:pPr>
        <w:pStyle w:val="NormaleWeb"/>
        <w:jc w:val="both"/>
        <w:rPr>
          <w:rFonts w:ascii="Titillium" w:eastAsiaTheme="minorHAnsi" w:hAnsi="Titillium" w:cstheme="minorBidi"/>
        </w:rPr>
      </w:pPr>
    </w:p>
    <w:p w14:paraId="3113C1D9" w14:textId="529ED574" w:rsidR="00E31BF2" w:rsidRDefault="003E03EE" w:rsidP="00D32E79">
      <w:pPr>
        <w:pStyle w:val="Titolo2"/>
        <w:numPr>
          <w:ilvl w:val="0"/>
          <w:numId w:val="0"/>
        </w:numPr>
        <w:ind w:left="576" w:hanging="576"/>
        <w:rPr>
          <w:rStyle w:val="Riferimentodelicato"/>
          <w:smallCaps w:val="0"/>
          <w:color w:val="2F5496" w:themeColor="accent1" w:themeShade="BF"/>
          <w:sz w:val="24"/>
          <w:szCs w:val="24"/>
        </w:rPr>
      </w:pPr>
      <w:r w:rsidRPr="00020EB7">
        <w:rPr>
          <w:rStyle w:val="Riferimentodelicato"/>
          <w:smallCaps w:val="0"/>
          <w:color w:val="2F5496" w:themeColor="accent1" w:themeShade="BF"/>
          <w:sz w:val="24"/>
          <w:szCs w:val="24"/>
        </w:rPr>
        <w:lastRenderedPageBreak/>
        <w:t>Schemi di pubblicazione</w:t>
      </w:r>
      <w:r w:rsidR="00503E8A" w:rsidRPr="00020EB7">
        <w:rPr>
          <w:rStyle w:val="Riferimentodelicato"/>
          <w:smallCaps w:val="0"/>
          <w:color w:val="2F5496" w:themeColor="accent1" w:themeShade="BF"/>
          <w:sz w:val="24"/>
          <w:szCs w:val="24"/>
        </w:rPr>
        <w:t xml:space="preserve"> “OIV o organismo analogo”</w:t>
      </w:r>
      <w:r w:rsidR="003576E1" w:rsidRPr="00020EB7">
        <w:rPr>
          <w:rStyle w:val="Riferimentodelicato"/>
          <w:smallCaps w:val="0"/>
          <w:color w:val="2F5496" w:themeColor="accent1" w:themeShade="BF"/>
          <w:sz w:val="24"/>
          <w:szCs w:val="24"/>
        </w:rPr>
        <w:t xml:space="preserve"> </w:t>
      </w:r>
      <w:r w:rsidR="007373C4" w:rsidRPr="00020EB7">
        <w:rPr>
          <w:rStyle w:val="Riferimentodelicato"/>
          <w:smallCaps w:val="0"/>
          <w:color w:val="2F5496" w:themeColor="accent1" w:themeShade="BF"/>
          <w:sz w:val="24"/>
          <w:szCs w:val="24"/>
        </w:rPr>
        <w:t>(per gli enti tenuti)</w:t>
      </w:r>
    </w:p>
    <w:p w14:paraId="09DE0256" w14:textId="07ABB867" w:rsidR="00C22600" w:rsidRPr="00344549" w:rsidRDefault="00C22600" w:rsidP="00C22600">
      <w:pPr>
        <w:jc w:val="both"/>
        <w:rPr>
          <w:sz w:val="18"/>
          <w:szCs w:val="18"/>
        </w:rPr>
      </w:pPr>
      <w:r w:rsidRPr="00344549">
        <w:rPr>
          <w:sz w:val="18"/>
          <w:szCs w:val="18"/>
        </w:rPr>
        <w:t>N.B: i documenti devono essere pubblicati «</w:t>
      </w:r>
      <w:r w:rsidRPr="00344549">
        <w:rPr>
          <w:i/>
          <w:iCs/>
          <w:sz w:val="18"/>
          <w:szCs w:val="18"/>
        </w:rPr>
        <w:t>procedendo all'indicazione in forma anonima dei dati personali eventualmente presenti</w:t>
      </w:r>
      <w:r w:rsidRPr="00344549">
        <w:rPr>
          <w:sz w:val="18"/>
          <w:szCs w:val="18"/>
        </w:rPr>
        <w:t>» come indicato dall’articolo 31 d.lgs. 33/2013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539"/>
        <w:gridCol w:w="3260"/>
        <w:gridCol w:w="2835"/>
      </w:tblGrid>
      <w:tr w:rsidR="00FF72BB" w:rsidRPr="00020EB7" w14:paraId="50279F2B" w14:textId="77777777" w:rsidTr="00355C4E">
        <w:tc>
          <w:tcPr>
            <w:tcW w:w="3539" w:type="dxa"/>
            <w:shd w:val="clear" w:color="auto" w:fill="1F3864" w:themeFill="accent1" w:themeFillShade="80"/>
          </w:tcPr>
          <w:p w14:paraId="38941A30" w14:textId="77777777" w:rsidR="00FF72BB" w:rsidRPr="00020EB7" w:rsidRDefault="00FF72BB" w:rsidP="00355C4E">
            <w:pPr>
              <w:jc w:val="center"/>
              <w:rPr>
                <w:sz w:val="18"/>
                <w:szCs w:val="18"/>
              </w:rPr>
            </w:pPr>
            <w:r w:rsidRPr="00020EB7">
              <w:rPr>
                <w:sz w:val="18"/>
                <w:szCs w:val="18"/>
              </w:rPr>
              <w:t>SEZIONE</w:t>
            </w:r>
          </w:p>
        </w:tc>
        <w:tc>
          <w:tcPr>
            <w:tcW w:w="3260" w:type="dxa"/>
            <w:shd w:val="clear" w:color="auto" w:fill="1F3864" w:themeFill="accent1" w:themeFillShade="80"/>
          </w:tcPr>
          <w:p w14:paraId="24BD659A" w14:textId="77777777" w:rsidR="00FF72BB" w:rsidRPr="00020EB7" w:rsidRDefault="00FF72BB" w:rsidP="00355C4E">
            <w:pPr>
              <w:jc w:val="center"/>
              <w:rPr>
                <w:sz w:val="18"/>
                <w:szCs w:val="18"/>
              </w:rPr>
            </w:pPr>
            <w:r w:rsidRPr="00020EB7">
              <w:rPr>
                <w:sz w:val="18"/>
                <w:szCs w:val="18"/>
              </w:rPr>
              <w:t>AGGIORNAMENTO</w:t>
            </w:r>
          </w:p>
        </w:tc>
        <w:tc>
          <w:tcPr>
            <w:tcW w:w="2835" w:type="dxa"/>
            <w:shd w:val="clear" w:color="auto" w:fill="1F3864" w:themeFill="accent1" w:themeFillShade="80"/>
          </w:tcPr>
          <w:p w14:paraId="10EF8756" w14:textId="77777777" w:rsidR="00FF72BB" w:rsidRPr="00020EB7" w:rsidRDefault="00FF72BB" w:rsidP="00355C4E">
            <w:pPr>
              <w:rPr>
                <w:sz w:val="18"/>
                <w:szCs w:val="18"/>
              </w:rPr>
            </w:pPr>
            <w:r w:rsidRPr="00020EB7">
              <w:rPr>
                <w:sz w:val="18"/>
                <w:szCs w:val="18"/>
              </w:rPr>
              <w:t>Rif. NORMATIVI</w:t>
            </w:r>
          </w:p>
        </w:tc>
      </w:tr>
      <w:tr w:rsidR="00FF72BB" w:rsidRPr="00D63E34" w14:paraId="7463C35E" w14:textId="77777777" w:rsidTr="00355C4E">
        <w:tc>
          <w:tcPr>
            <w:tcW w:w="3539" w:type="dxa"/>
          </w:tcPr>
          <w:p w14:paraId="1B1225EA" w14:textId="1346DD52" w:rsidR="00FF72BB" w:rsidRPr="00020EB7" w:rsidRDefault="00DD75F9" w:rsidP="007373C4">
            <w:pPr>
              <w:rPr>
                <w:sz w:val="18"/>
                <w:szCs w:val="18"/>
              </w:rPr>
            </w:pPr>
            <w:r w:rsidRPr="00020EB7">
              <w:rPr>
                <w:sz w:val="18"/>
                <w:szCs w:val="18"/>
              </w:rPr>
              <w:t>Documento dell'OIV di validazione della Relazione sulla Performance</w:t>
            </w:r>
            <w:r w:rsidR="00883FFA" w:rsidRPr="00020EB7">
              <w:rPr>
                <w:sz w:val="18"/>
                <w:szCs w:val="18"/>
              </w:rPr>
              <w:t xml:space="preserve"> (Rif. </w:t>
            </w:r>
            <w:r w:rsidR="00883FFA" w:rsidRPr="00020EB7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begin"/>
            </w:r>
            <w:r w:rsidR="00883FFA" w:rsidRPr="00020EB7">
              <w:rPr>
                <w:color w:val="2F5496" w:themeColor="accent1" w:themeShade="BF"/>
                <w:sz w:val="18"/>
                <w:szCs w:val="18"/>
                <w:u w:val="double"/>
              </w:rPr>
              <w:instrText xml:space="preserve"> REF _Ref134620616 \h </w:instrText>
            </w:r>
            <w:r w:rsidR="00FE56AE" w:rsidRPr="00020EB7">
              <w:rPr>
                <w:color w:val="2F5496" w:themeColor="accent1" w:themeShade="BF"/>
                <w:sz w:val="18"/>
                <w:szCs w:val="18"/>
                <w:u w:val="double"/>
              </w:rPr>
              <w:instrText xml:space="preserve"> \* MERGEFORMAT </w:instrText>
            </w:r>
            <w:r w:rsidR="00883FFA" w:rsidRPr="00020EB7">
              <w:rPr>
                <w:color w:val="2F5496" w:themeColor="accent1" w:themeShade="BF"/>
                <w:sz w:val="18"/>
                <w:szCs w:val="18"/>
                <w:u w:val="double"/>
              </w:rPr>
            </w:r>
            <w:r w:rsidR="00883FFA" w:rsidRPr="00020EB7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separate"/>
            </w:r>
            <w:r w:rsidR="00883FFA" w:rsidRPr="00020EB7">
              <w:rPr>
                <w:color w:val="2F5496" w:themeColor="accent1" w:themeShade="BF"/>
                <w:sz w:val="18"/>
                <w:szCs w:val="18"/>
                <w:u w:val="double"/>
              </w:rPr>
              <w:t>Dati identificativi del documento</w:t>
            </w:r>
            <w:r w:rsidR="00883FFA" w:rsidRPr="00020EB7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end"/>
            </w:r>
            <w:r w:rsidR="00883FFA" w:rsidRPr="00020EB7">
              <w:rPr>
                <w:sz w:val="18"/>
                <w:szCs w:val="18"/>
              </w:rPr>
              <w:t>)</w:t>
            </w:r>
          </w:p>
        </w:tc>
        <w:tc>
          <w:tcPr>
            <w:tcW w:w="3260" w:type="dxa"/>
          </w:tcPr>
          <w:p w14:paraId="22454E10" w14:textId="2CACF2A7" w:rsidR="00B764CC" w:rsidRPr="00020EB7" w:rsidRDefault="00B764CC" w:rsidP="00355C4E">
            <w:pPr>
              <w:rPr>
                <w:sz w:val="18"/>
                <w:szCs w:val="18"/>
              </w:rPr>
            </w:pPr>
            <w:r w:rsidRPr="00020EB7">
              <w:rPr>
                <w:sz w:val="18"/>
                <w:szCs w:val="18"/>
              </w:rPr>
              <w:t>Tempestivo</w:t>
            </w:r>
          </w:p>
        </w:tc>
        <w:tc>
          <w:tcPr>
            <w:tcW w:w="2835" w:type="dxa"/>
          </w:tcPr>
          <w:p w14:paraId="57D07D4C" w14:textId="69DE9C2F" w:rsidR="00FF72BB" w:rsidRPr="00020EB7" w:rsidRDefault="00AF7747" w:rsidP="0061288A">
            <w:pPr>
              <w:rPr>
                <w:sz w:val="18"/>
                <w:szCs w:val="18"/>
                <w:lang w:val="en-US"/>
              </w:rPr>
            </w:pPr>
            <w:r w:rsidRPr="00020EB7">
              <w:rPr>
                <w:sz w:val="18"/>
                <w:szCs w:val="18"/>
                <w:lang w:val="en-US"/>
              </w:rPr>
              <w:t xml:space="preserve">Art. 31, </w:t>
            </w:r>
            <w:proofErr w:type="spellStart"/>
            <w:r w:rsidRPr="00020EB7">
              <w:rPr>
                <w:sz w:val="18"/>
                <w:szCs w:val="18"/>
                <w:lang w:val="en-US"/>
              </w:rPr>
              <w:t>d.lgs</w:t>
            </w:r>
            <w:proofErr w:type="spellEnd"/>
            <w:r w:rsidRPr="00020EB7">
              <w:rPr>
                <w:sz w:val="18"/>
                <w:szCs w:val="18"/>
                <w:lang w:val="en-US"/>
              </w:rPr>
              <w:t>. n. 33/2013</w:t>
            </w:r>
            <w:r w:rsidR="0061288A" w:rsidRPr="00020EB7">
              <w:rPr>
                <w:sz w:val="18"/>
                <w:szCs w:val="18"/>
                <w:lang w:val="en-US"/>
              </w:rPr>
              <w:t xml:space="preserve"> e art 14, co. 4, lett. </w:t>
            </w:r>
            <w:r w:rsidR="0061288A" w:rsidRPr="00020EB7">
              <w:rPr>
                <w:sz w:val="18"/>
                <w:szCs w:val="18"/>
                <w:lang w:val="en-GB"/>
              </w:rPr>
              <w:t>c), del d.lgs.150/2009</w:t>
            </w:r>
          </w:p>
        </w:tc>
      </w:tr>
      <w:tr w:rsidR="00FF72BB" w:rsidRPr="00D63E34" w14:paraId="0C0C342C" w14:textId="77777777" w:rsidTr="00355C4E">
        <w:tc>
          <w:tcPr>
            <w:tcW w:w="3539" w:type="dxa"/>
          </w:tcPr>
          <w:p w14:paraId="324AE988" w14:textId="2C009B41" w:rsidR="00FF72BB" w:rsidRPr="00020EB7" w:rsidRDefault="008306B1" w:rsidP="007373C4">
            <w:pPr>
              <w:rPr>
                <w:sz w:val="18"/>
                <w:szCs w:val="18"/>
              </w:rPr>
            </w:pPr>
            <w:r w:rsidRPr="00020EB7">
              <w:rPr>
                <w:sz w:val="18"/>
                <w:szCs w:val="18"/>
              </w:rPr>
              <w:t>Relazione dell'OIV sul funzionamento complessivo del Sistema di valutazione, trasparenza e integrità dei controlli interni</w:t>
            </w:r>
            <w:r w:rsidR="00F20497" w:rsidRPr="00020EB7">
              <w:rPr>
                <w:sz w:val="18"/>
                <w:szCs w:val="18"/>
              </w:rPr>
              <w:t xml:space="preserve"> </w:t>
            </w:r>
            <w:r w:rsidR="00FE56AE" w:rsidRPr="00020EB7">
              <w:rPr>
                <w:sz w:val="18"/>
                <w:szCs w:val="18"/>
              </w:rPr>
              <w:t xml:space="preserve">(Rif. </w:t>
            </w:r>
            <w:r w:rsidR="00FE56AE" w:rsidRPr="00020EB7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begin"/>
            </w:r>
            <w:r w:rsidR="00FE56AE" w:rsidRPr="00020EB7">
              <w:rPr>
                <w:color w:val="2F5496" w:themeColor="accent1" w:themeShade="BF"/>
                <w:sz w:val="18"/>
                <w:szCs w:val="18"/>
                <w:u w:val="double"/>
              </w:rPr>
              <w:instrText xml:space="preserve"> REF _Ref134620616 \h  \* MERGEFORMAT </w:instrText>
            </w:r>
            <w:r w:rsidR="00FE56AE" w:rsidRPr="00020EB7">
              <w:rPr>
                <w:color w:val="2F5496" w:themeColor="accent1" w:themeShade="BF"/>
                <w:sz w:val="18"/>
                <w:szCs w:val="18"/>
                <w:u w:val="double"/>
              </w:rPr>
            </w:r>
            <w:r w:rsidR="00FE56AE" w:rsidRPr="00020EB7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separate"/>
            </w:r>
            <w:r w:rsidR="00FE56AE" w:rsidRPr="00020EB7">
              <w:rPr>
                <w:color w:val="2F5496" w:themeColor="accent1" w:themeShade="BF"/>
                <w:sz w:val="18"/>
                <w:szCs w:val="18"/>
                <w:u w:val="double"/>
              </w:rPr>
              <w:t>Dati identificativi del documento</w:t>
            </w:r>
            <w:r w:rsidR="00FE56AE" w:rsidRPr="00020EB7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end"/>
            </w:r>
            <w:r w:rsidR="00FE56AE" w:rsidRPr="00020EB7">
              <w:rPr>
                <w:sz w:val="18"/>
                <w:szCs w:val="18"/>
              </w:rPr>
              <w:t>)</w:t>
            </w:r>
          </w:p>
        </w:tc>
        <w:tc>
          <w:tcPr>
            <w:tcW w:w="3260" w:type="dxa"/>
          </w:tcPr>
          <w:p w14:paraId="7EEDCDF6" w14:textId="3C7343A4" w:rsidR="00B764CC" w:rsidRPr="00020EB7" w:rsidRDefault="00B764CC" w:rsidP="00355C4E">
            <w:pPr>
              <w:rPr>
                <w:sz w:val="18"/>
                <w:szCs w:val="18"/>
              </w:rPr>
            </w:pPr>
            <w:r w:rsidRPr="00020EB7">
              <w:rPr>
                <w:sz w:val="18"/>
                <w:szCs w:val="18"/>
              </w:rPr>
              <w:t>Tempestivo</w:t>
            </w:r>
          </w:p>
        </w:tc>
        <w:tc>
          <w:tcPr>
            <w:tcW w:w="2835" w:type="dxa"/>
          </w:tcPr>
          <w:p w14:paraId="0403421E" w14:textId="7B15357B" w:rsidR="00FF72BB" w:rsidRPr="00020EB7" w:rsidRDefault="00AF7747" w:rsidP="00355C4E">
            <w:pPr>
              <w:rPr>
                <w:sz w:val="18"/>
                <w:szCs w:val="18"/>
                <w:lang w:val="en-GB"/>
              </w:rPr>
            </w:pPr>
            <w:r w:rsidRPr="00020EB7">
              <w:rPr>
                <w:sz w:val="18"/>
                <w:szCs w:val="18"/>
                <w:lang w:val="en-GB"/>
              </w:rPr>
              <w:t xml:space="preserve">Art. 31, </w:t>
            </w:r>
            <w:proofErr w:type="spellStart"/>
            <w:r w:rsidRPr="00020EB7">
              <w:rPr>
                <w:sz w:val="18"/>
                <w:szCs w:val="18"/>
                <w:lang w:val="en-GB"/>
              </w:rPr>
              <w:t>d.lgs</w:t>
            </w:r>
            <w:proofErr w:type="spellEnd"/>
            <w:r w:rsidRPr="00020EB7">
              <w:rPr>
                <w:sz w:val="18"/>
                <w:szCs w:val="18"/>
                <w:lang w:val="en-GB"/>
              </w:rPr>
              <w:t>. n. 33/2013</w:t>
            </w:r>
            <w:r w:rsidR="00E122D0" w:rsidRPr="00020EB7">
              <w:rPr>
                <w:sz w:val="18"/>
                <w:szCs w:val="18"/>
                <w:lang w:val="en-GB"/>
              </w:rPr>
              <w:t xml:space="preserve"> e ex art 14, co.4, lett a) del d.lgs.150/2009</w:t>
            </w:r>
          </w:p>
        </w:tc>
      </w:tr>
      <w:tr w:rsidR="00A97585" w:rsidRPr="00020EB7" w14:paraId="316E5559" w14:textId="77777777" w:rsidTr="00355C4E">
        <w:tc>
          <w:tcPr>
            <w:tcW w:w="3539" w:type="dxa"/>
          </w:tcPr>
          <w:p w14:paraId="34A8FB3B" w14:textId="2F3CD0CA" w:rsidR="00A97585" w:rsidRPr="00020EB7" w:rsidRDefault="00A97585" w:rsidP="00355C4E">
            <w:pPr>
              <w:rPr>
                <w:sz w:val="18"/>
                <w:szCs w:val="18"/>
              </w:rPr>
            </w:pPr>
            <w:r w:rsidRPr="00020EB7">
              <w:rPr>
                <w:sz w:val="18"/>
                <w:szCs w:val="18"/>
              </w:rPr>
              <w:t>Altri atti degli organismi indipendenti di valutazione, nuclei di valutazione o altri organismi con funzioni analoghe (se adottati)</w:t>
            </w:r>
            <w:r w:rsidR="00FE56AE" w:rsidRPr="00020EB7">
              <w:rPr>
                <w:sz w:val="18"/>
                <w:szCs w:val="18"/>
              </w:rPr>
              <w:t xml:space="preserve"> (Rif. </w:t>
            </w:r>
            <w:r w:rsidR="00FE56AE" w:rsidRPr="00020EB7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begin"/>
            </w:r>
            <w:r w:rsidR="00FE56AE" w:rsidRPr="00020EB7">
              <w:rPr>
                <w:color w:val="2F5496" w:themeColor="accent1" w:themeShade="BF"/>
                <w:sz w:val="18"/>
                <w:szCs w:val="18"/>
                <w:u w:val="double"/>
              </w:rPr>
              <w:instrText xml:space="preserve"> REF _Ref134620616 \h  \* MERGEFORMAT </w:instrText>
            </w:r>
            <w:r w:rsidR="00FE56AE" w:rsidRPr="00020EB7">
              <w:rPr>
                <w:color w:val="2F5496" w:themeColor="accent1" w:themeShade="BF"/>
                <w:sz w:val="18"/>
                <w:szCs w:val="18"/>
                <w:u w:val="double"/>
              </w:rPr>
            </w:r>
            <w:r w:rsidR="00FE56AE" w:rsidRPr="00020EB7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separate"/>
            </w:r>
            <w:r w:rsidR="00FE56AE" w:rsidRPr="00020EB7">
              <w:rPr>
                <w:color w:val="2F5496" w:themeColor="accent1" w:themeShade="BF"/>
                <w:sz w:val="18"/>
                <w:szCs w:val="18"/>
                <w:u w:val="double"/>
              </w:rPr>
              <w:t>Dati identificativi del documento</w:t>
            </w:r>
            <w:r w:rsidR="00FE56AE" w:rsidRPr="00020EB7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end"/>
            </w:r>
            <w:r w:rsidR="00FE56AE" w:rsidRPr="00020EB7">
              <w:rPr>
                <w:sz w:val="18"/>
                <w:szCs w:val="18"/>
              </w:rPr>
              <w:t>)</w:t>
            </w:r>
          </w:p>
        </w:tc>
        <w:tc>
          <w:tcPr>
            <w:tcW w:w="3260" w:type="dxa"/>
          </w:tcPr>
          <w:p w14:paraId="51BAD9C1" w14:textId="51C0192C" w:rsidR="00B764CC" w:rsidRPr="00020EB7" w:rsidRDefault="00B764CC" w:rsidP="00355C4E">
            <w:pPr>
              <w:rPr>
                <w:sz w:val="18"/>
                <w:szCs w:val="18"/>
              </w:rPr>
            </w:pPr>
            <w:r w:rsidRPr="00020EB7">
              <w:rPr>
                <w:sz w:val="18"/>
                <w:szCs w:val="18"/>
              </w:rPr>
              <w:t>Tempestivo</w:t>
            </w:r>
          </w:p>
        </w:tc>
        <w:tc>
          <w:tcPr>
            <w:tcW w:w="2835" w:type="dxa"/>
          </w:tcPr>
          <w:p w14:paraId="08409A5B" w14:textId="48A7205C" w:rsidR="00A97585" w:rsidRPr="00020EB7" w:rsidRDefault="00AB3811" w:rsidP="00355C4E">
            <w:pPr>
              <w:rPr>
                <w:sz w:val="18"/>
                <w:szCs w:val="18"/>
              </w:rPr>
            </w:pPr>
            <w:r w:rsidRPr="00020EB7">
              <w:rPr>
                <w:sz w:val="18"/>
                <w:szCs w:val="18"/>
                <w:lang w:val="en-US"/>
              </w:rPr>
              <w:t xml:space="preserve">Art. 31, </w:t>
            </w:r>
            <w:proofErr w:type="spellStart"/>
            <w:r w:rsidRPr="00020EB7">
              <w:rPr>
                <w:sz w:val="18"/>
                <w:szCs w:val="18"/>
                <w:lang w:val="en-US"/>
              </w:rPr>
              <w:t>d.lgs</w:t>
            </w:r>
            <w:proofErr w:type="spellEnd"/>
            <w:r w:rsidRPr="00020EB7">
              <w:rPr>
                <w:sz w:val="18"/>
                <w:szCs w:val="18"/>
                <w:lang w:val="en-US"/>
              </w:rPr>
              <w:t>. n. 33/2013</w:t>
            </w:r>
          </w:p>
        </w:tc>
      </w:tr>
    </w:tbl>
    <w:p w14:paraId="09006712" w14:textId="77777777" w:rsidR="00346BF2" w:rsidRPr="00020EB7" w:rsidRDefault="00346BF2" w:rsidP="00B74D42">
      <w:pPr>
        <w:pBdr>
          <w:bottom w:val="single" w:sz="6" w:space="1" w:color="auto"/>
        </w:pBdr>
      </w:pPr>
    </w:p>
    <w:p w14:paraId="2C87A5A0" w14:textId="4A8A2BC5" w:rsidR="00501406" w:rsidRPr="00954158" w:rsidRDefault="00501406" w:rsidP="00A3578A">
      <w:pPr>
        <w:pStyle w:val="Titolo3"/>
        <w:numPr>
          <w:ilvl w:val="0"/>
          <w:numId w:val="0"/>
        </w:numPr>
        <w:ind w:left="720" w:hanging="720"/>
      </w:pPr>
      <w:r w:rsidRPr="00954158">
        <w:t>Ambito soggettivo di applicazione:</w:t>
      </w:r>
    </w:p>
    <w:p w14:paraId="1BB74909" w14:textId="33DA3C98" w:rsidR="00E35D12" w:rsidRPr="00954158" w:rsidRDefault="00E35D12" w:rsidP="00E35D12">
      <w:pPr>
        <w:pStyle w:val="Paragrafoelenco"/>
        <w:numPr>
          <w:ilvl w:val="0"/>
          <w:numId w:val="43"/>
        </w:numPr>
      </w:pPr>
      <w:r w:rsidRPr="00954158">
        <w:t>soggetti di cui all’art. 2-bis, co. 1 (pubbliche amministrazioni di cui all’art. 1, co. 2 dlgs 165/2001)</w:t>
      </w:r>
    </w:p>
    <w:p w14:paraId="66C09C88" w14:textId="12E31D2F" w:rsidR="00501406" w:rsidRPr="00954158" w:rsidRDefault="00E35D12" w:rsidP="00E35D12">
      <w:pPr>
        <w:pStyle w:val="Paragrafoelenco"/>
        <w:numPr>
          <w:ilvl w:val="0"/>
          <w:numId w:val="43"/>
        </w:numPr>
      </w:pPr>
      <w:r w:rsidRPr="00954158">
        <w:t>soggetti di cui all’art. 2-bis, co. 2 (vale a dire enti pubblici economici, ordini professionali, società in controllo, associazioni, fondazioni ed enti di diritto privato comunque denominati in controllo pubblico)</w:t>
      </w:r>
    </w:p>
    <w:p w14:paraId="28EAD525" w14:textId="20B13E13" w:rsidR="00E35D12" w:rsidRPr="00954158" w:rsidRDefault="00E35D12" w:rsidP="00E35D12">
      <w:pPr>
        <w:pStyle w:val="Paragrafoelenco"/>
        <w:numPr>
          <w:ilvl w:val="0"/>
          <w:numId w:val="43"/>
        </w:numPr>
      </w:pPr>
      <w:r w:rsidRPr="00954158">
        <w:t>soggetti di cui all’art. 2-bis, co. 3 (società partecipate ed enti di diritto privato non in controllo)</w:t>
      </w:r>
    </w:p>
    <w:p w14:paraId="06AF8275" w14:textId="77777777" w:rsidR="00E35D12" w:rsidRPr="00501406" w:rsidRDefault="00E35D12" w:rsidP="00E35D12">
      <w:pPr>
        <w:pStyle w:val="Paragrafoelenco"/>
      </w:pPr>
    </w:p>
    <w:p w14:paraId="70F7C451" w14:textId="6CB494E2" w:rsidR="0001619B" w:rsidRPr="00020EB7" w:rsidRDefault="00A3578A" w:rsidP="00A3578A">
      <w:pPr>
        <w:pStyle w:val="Titolo3"/>
        <w:numPr>
          <w:ilvl w:val="0"/>
          <w:numId w:val="0"/>
        </w:numPr>
        <w:ind w:left="720" w:hanging="720"/>
      </w:pPr>
      <w:r w:rsidRPr="00020EB7">
        <w:t>Dati identificativi del documento</w:t>
      </w:r>
      <w:r w:rsidR="00DD0CFD" w:rsidRPr="00020EB7">
        <w:t xml:space="preserve"> </w:t>
      </w:r>
    </w:p>
    <w:p w14:paraId="0236D1E2" w14:textId="77777777" w:rsidR="001F14C3" w:rsidRDefault="00604B63" w:rsidP="00DD0CFD">
      <w:pPr>
        <w:spacing w:after="0"/>
        <w:jc w:val="both"/>
      </w:pPr>
      <w:r w:rsidRPr="00020EB7">
        <w:t xml:space="preserve">N.B.: </w:t>
      </w:r>
      <w:r w:rsidR="00075FEE" w:rsidRPr="00020EB7">
        <w:t xml:space="preserve">Valgono sia </w:t>
      </w:r>
      <w:r w:rsidR="00DD0CFD" w:rsidRPr="00020EB7">
        <w:t>per il Documento dell'OIV di validazione della Relazione sulla Performance che per la Relazione OIV sul funzionamento complessivo del Sistema di valutazione e per gli altri atti degli organismi indipendenti di valutazione, nuclei di valutazione o altri organismi con funzioni analoghe</w:t>
      </w:r>
      <w:r w:rsidR="001F14C3">
        <w:t xml:space="preserve">. </w:t>
      </w:r>
    </w:p>
    <w:p w14:paraId="18B3E073" w14:textId="10A2B81C" w:rsidR="00DD0CFD" w:rsidRPr="00020EB7" w:rsidRDefault="001F14C3" w:rsidP="00DD0CFD">
      <w:pPr>
        <w:spacing w:after="0"/>
        <w:jc w:val="both"/>
      </w:pPr>
      <w:r>
        <w:t xml:space="preserve">Tali documenti vanno pubblicati </w:t>
      </w:r>
      <w:r w:rsidRPr="001F14C3">
        <w:t>procedendo all'indicazione in forma anonima dei dati p</w:t>
      </w:r>
      <w:r w:rsidR="00EF549D">
        <w:t xml:space="preserve">ersonali eventualmente presenti </w:t>
      </w:r>
      <w:r w:rsidR="004019E5">
        <w:t>(</w:t>
      </w:r>
      <w:r w:rsidR="00EF549D">
        <w:t>Cfr. art 31).</w:t>
      </w:r>
    </w:p>
    <w:p w14:paraId="3D30BC28" w14:textId="7E2D9F79" w:rsidR="00BB4F17" w:rsidRPr="00020EB7" w:rsidRDefault="00BB4F17" w:rsidP="00BB4F17"/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379"/>
        <w:gridCol w:w="1038"/>
      </w:tblGrid>
      <w:tr w:rsidR="00BB4F17" w:rsidRPr="00020EB7" w14:paraId="3D046F41" w14:textId="77777777" w:rsidTr="00355C4E">
        <w:trPr>
          <w:trHeight w:val="66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346C6250" w14:textId="77777777" w:rsidR="00BB4F17" w:rsidRPr="00020EB7" w:rsidRDefault="00BB4F17" w:rsidP="00355C4E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u w:val="single"/>
                <w:lang w:eastAsia="it-IT"/>
              </w:rPr>
            </w:pPr>
            <w:r w:rsidRPr="00020EB7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Dati identificativi del documento</w:t>
            </w:r>
          </w:p>
        </w:tc>
      </w:tr>
      <w:tr w:rsidR="00BB4F17" w:rsidRPr="00020EB7" w14:paraId="60F1CA0A" w14:textId="77777777" w:rsidTr="00355C4E">
        <w:trPr>
          <w:trHeight w:val="3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CE26F" w14:textId="4F310339" w:rsidR="00BB4F17" w:rsidRPr="00020EB7" w:rsidRDefault="00BB4F17" w:rsidP="00355C4E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20EB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Data</w:t>
            </w:r>
            <w:r w:rsidR="00E527E6" w:rsidRPr="00020EB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di pubblicazione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A3A6" w14:textId="00EC06E3" w:rsidR="00BB4F17" w:rsidRPr="00020EB7" w:rsidRDefault="00E527E6" w:rsidP="00355C4E">
            <w:pPr>
              <w:spacing w:after="0" w:line="240" w:lineRule="auto"/>
              <w:rPr>
                <w:rFonts w:ascii="Titillium" w:eastAsia="Times New Roman" w:hAnsi="Titillium" w:cs="Calibri"/>
                <w:color w:val="FF0000"/>
                <w:sz w:val="18"/>
                <w:szCs w:val="18"/>
                <w:lang w:eastAsia="it-IT"/>
              </w:rPr>
            </w:pPr>
            <w:r w:rsidRPr="00020EB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Data di pubblicazione del documento</w:t>
            </w:r>
            <w:r w:rsidR="00263C4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(GG/MM/AAAA)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E03BB" w14:textId="77777777" w:rsidR="00BB4F17" w:rsidRPr="00020EB7" w:rsidRDefault="00BB4F17" w:rsidP="00355C4E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20EB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data</w:t>
            </w:r>
          </w:p>
        </w:tc>
      </w:tr>
      <w:tr w:rsidR="00BB4F17" w:rsidRPr="00020EB7" w14:paraId="70E96B67" w14:textId="77777777" w:rsidTr="00355C4E">
        <w:trPr>
          <w:trHeight w:val="41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0CB29" w14:textId="77777777" w:rsidR="00BB4F17" w:rsidRPr="00020EB7" w:rsidRDefault="00BB4F17" w:rsidP="00355C4E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20EB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Documento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E572" w14:textId="3664FC04" w:rsidR="00BB4F17" w:rsidRPr="00020EB7" w:rsidRDefault="00BB4F17" w:rsidP="00604B63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20EB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Link al documento pubblicato nel sito istituzionale</w:t>
            </w:r>
            <w:r w:rsidR="00604B63" w:rsidRPr="00020E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52281" w14:textId="77777777" w:rsidR="00BB4F17" w:rsidRPr="00020EB7" w:rsidRDefault="00BB4F17" w:rsidP="00355C4E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20EB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URL</w:t>
            </w:r>
          </w:p>
        </w:tc>
      </w:tr>
    </w:tbl>
    <w:p w14:paraId="46B65408" w14:textId="6A2CD2A6" w:rsidR="00C62F39" w:rsidRPr="00020EB7" w:rsidRDefault="00C62F39" w:rsidP="00C62F39">
      <w:pPr>
        <w:rPr>
          <w:rStyle w:val="Riferimentodelicato"/>
          <w:smallCaps w:val="0"/>
          <w:color w:val="2F5496" w:themeColor="accent1" w:themeShade="BF"/>
          <w:sz w:val="24"/>
          <w:szCs w:val="24"/>
        </w:rPr>
      </w:pPr>
    </w:p>
    <w:p w14:paraId="3532EF9E" w14:textId="2B2E821E" w:rsidR="00DD0CFD" w:rsidRPr="00020EB7" w:rsidRDefault="0088155E" w:rsidP="00D32E79">
      <w:pPr>
        <w:jc w:val="center"/>
        <w:rPr>
          <w:rStyle w:val="Riferimentodelicato"/>
          <w:smallCaps w:val="0"/>
          <w:color w:val="2F5496" w:themeColor="accent1" w:themeShade="BF"/>
          <w:sz w:val="24"/>
          <w:szCs w:val="24"/>
        </w:rPr>
      </w:pPr>
      <w:r w:rsidRPr="00020EB7">
        <w:rPr>
          <w:rStyle w:val="Riferimentodelicato"/>
          <w:smallCaps w:val="0"/>
          <w:color w:val="2F5496" w:themeColor="accent1" w:themeShade="BF"/>
          <w:sz w:val="24"/>
          <w:szCs w:val="24"/>
        </w:rPr>
        <w:t>*****</w:t>
      </w:r>
    </w:p>
    <w:p w14:paraId="0B653028" w14:textId="39E2896F" w:rsidR="00E31BF2" w:rsidRPr="00D32E79" w:rsidRDefault="0084672E" w:rsidP="00D32E79">
      <w:pPr>
        <w:pStyle w:val="Titolo2"/>
        <w:numPr>
          <w:ilvl w:val="0"/>
          <w:numId w:val="0"/>
        </w:numPr>
        <w:ind w:left="576" w:hanging="576"/>
        <w:rPr>
          <w:sz w:val="24"/>
          <w:szCs w:val="24"/>
        </w:rPr>
      </w:pPr>
      <w:r w:rsidRPr="00020EB7">
        <w:rPr>
          <w:rStyle w:val="Riferimentodelicato"/>
          <w:smallCaps w:val="0"/>
          <w:color w:val="2F5496" w:themeColor="accent1" w:themeShade="BF"/>
          <w:sz w:val="24"/>
          <w:szCs w:val="24"/>
        </w:rPr>
        <w:t>Schemi di pubblicazione “Organi di revisione”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539"/>
        <w:gridCol w:w="3260"/>
        <w:gridCol w:w="2835"/>
      </w:tblGrid>
      <w:tr w:rsidR="006B60D1" w:rsidRPr="00020EB7" w14:paraId="28E07128" w14:textId="77777777" w:rsidTr="00355C4E">
        <w:tc>
          <w:tcPr>
            <w:tcW w:w="3539" w:type="dxa"/>
            <w:shd w:val="clear" w:color="auto" w:fill="1F3864" w:themeFill="accent1" w:themeFillShade="80"/>
          </w:tcPr>
          <w:p w14:paraId="0E7AD71B" w14:textId="77777777" w:rsidR="006B60D1" w:rsidRPr="00020EB7" w:rsidRDefault="006B60D1" w:rsidP="00355C4E">
            <w:pPr>
              <w:jc w:val="center"/>
              <w:rPr>
                <w:sz w:val="18"/>
                <w:szCs w:val="18"/>
              </w:rPr>
            </w:pPr>
            <w:r w:rsidRPr="00020EB7">
              <w:rPr>
                <w:sz w:val="18"/>
                <w:szCs w:val="18"/>
              </w:rPr>
              <w:t>SEZIONE</w:t>
            </w:r>
          </w:p>
        </w:tc>
        <w:tc>
          <w:tcPr>
            <w:tcW w:w="3260" w:type="dxa"/>
            <w:shd w:val="clear" w:color="auto" w:fill="1F3864" w:themeFill="accent1" w:themeFillShade="80"/>
          </w:tcPr>
          <w:p w14:paraId="199ACF59" w14:textId="77777777" w:rsidR="006B60D1" w:rsidRPr="00020EB7" w:rsidRDefault="006B60D1" w:rsidP="00355C4E">
            <w:pPr>
              <w:jc w:val="center"/>
              <w:rPr>
                <w:sz w:val="18"/>
                <w:szCs w:val="18"/>
              </w:rPr>
            </w:pPr>
            <w:r w:rsidRPr="00020EB7">
              <w:rPr>
                <w:sz w:val="18"/>
                <w:szCs w:val="18"/>
              </w:rPr>
              <w:t>AGGIORNAMENTO</w:t>
            </w:r>
          </w:p>
        </w:tc>
        <w:tc>
          <w:tcPr>
            <w:tcW w:w="2835" w:type="dxa"/>
            <w:shd w:val="clear" w:color="auto" w:fill="1F3864" w:themeFill="accent1" w:themeFillShade="80"/>
          </w:tcPr>
          <w:p w14:paraId="63114712" w14:textId="77777777" w:rsidR="006B60D1" w:rsidRPr="00020EB7" w:rsidRDefault="006B60D1" w:rsidP="00355C4E">
            <w:pPr>
              <w:rPr>
                <w:sz w:val="18"/>
                <w:szCs w:val="18"/>
              </w:rPr>
            </w:pPr>
            <w:r w:rsidRPr="00020EB7">
              <w:rPr>
                <w:sz w:val="18"/>
                <w:szCs w:val="18"/>
              </w:rPr>
              <w:t>Rif. NORMATIVI</w:t>
            </w:r>
          </w:p>
        </w:tc>
      </w:tr>
      <w:tr w:rsidR="006B60D1" w:rsidRPr="00020EB7" w14:paraId="5F6512D2" w14:textId="77777777" w:rsidTr="00355C4E">
        <w:tc>
          <w:tcPr>
            <w:tcW w:w="3539" w:type="dxa"/>
          </w:tcPr>
          <w:p w14:paraId="4561C96C" w14:textId="24B06D34" w:rsidR="006B60D1" w:rsidRPr="00020EB7" w:rsidRDefault="006B60D1" w:rsidP="00355C4E">
            <w:pPr>
              <w:rPr>
                <w:sz w:val="18"/>
                <w:szCs w:val="18"/>
              </w:rPr>
            </w:pPr>
            <w:r w:rsidRPr="00020EB7">
              <w:rPr>
                <w:sz w:val="18"/>
                <w:szCs w:val="18"/>
              </w:rPr>
              <w:t>Relazioni degli organi di revisione amministrativa e contabile al bilancio di previsione o budget e alle relative variazioni (</w:t>
            </w:r>
            <w:proofErr w:type="spellStart"/>
            <w:r w:rsidRPr="00020EB7">
              <w:rPr>
                <w:sz w:val="18"/>
                <w:szCs w:val="18"/>
              </w:rPr>
              <w:t>Rif.</w:t>
            </w:r>
            <w:r w:rsidR="009231D4" w:rsidRPr="00020EB7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begin"/>
            </w:r>
            <w:r w:rsidR="009231D4" w:rsidRPr="00020EB7">
              <w:rPr>
                <w:color w:val="2F5496" w:themeColor="accent1" w:themeShade="BF"/>
                <w:sz w:val="18"/>
                <w:szCs w:val="18"/>
                <w:u w:val="double"/>
              </w:rPr>
              <w:instrText xml:space="preserve"> REF _Ref134622798 \h  \* MERGEFORMAT </w:instrText>
            </w:r>
            <w:r w:rsidR="009231D4" w:rsidRPr="00020EB7">
              <w:rPr>
                <w:color w:val="2F5496" w:themeColor="accent1" w:themeShade="BF"/>
                <w:sz w:val="18"/>
                <w:szCs w:val="18"/>
                <w:u w:val="double"/>
              </w:rPr>
            </w:r>
            <w:r w:rsidR="009231D4" w:rsidRPr="00020EB7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separate"/>
            </w:r>
            <w:r w:rsidR="009231D4" w:rsidRPr="00020EB7">
              <w:rPr>
                <w:color w:val="2F5496" w:themeColor="accent1" w:themeShade="BF"/>
                <w:sz w:val="18"/>
                <w:szCs w:val="18"/>
                <w:u w:val="double"/>
              </w:rPr>
              <w:t>Dati</w:t>
            </w:r>
            <w:proofErr w:type="spellEnd"/>
            <w:r w:rsidR="009231D4" w:rsidRPr="00020EB7">
              <w:rPr>
                <w:color w:val="2F5496" w:themeColor="accent1" w:themeShade="BF"/>
                <w:sz w:val="18"/>
                <w:szCs w:val="18"/>
                <w:u w:val="double"/>
              </w:rPr>
              <w:t xml:space="preserve"> identificativi del documento</w:t>
            </w:r>
            <w:r w:rsidR="009231D4" w:rsidRPr="00020EB7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end"/>
            </w:r>
            <w:r w:rsidRPr="00020EB7">
              <w:rPr>
                <w:color w:val="2F5496" w:themeColor="accent1" w:themeShade="BF"/>
                <w:sz w:val="18"/>
                <w:szCs w:val="18"/>
                <w:u w:val="double"/>
              </w:rPr>
              <w:t>)</w:t>
            </w:r>
          </w:p>
        </w:tc>
        <w:tc>
          <w:tcPr>
            <w:tcW w:w="3260" w:type="dxa"/>
          </w:tcPr>
          <w:p w14:paraId="53790F6C" w14:textId="17A835C3" w:rsidR="00DD0CFD" w:rsidRPr="00020EB7" w:rsidRDefault="00DD0CFD" w:rsidP="00355C4E">
            <w:pPr>
              <w:rPr>
                <w:sz w:val="18"/>
                <w:szCs w:val="18"/>
              </w:rPr>
            </w:pPr>
            <w:r w:rsidRPr="00020EB7">
              <w:rPr>
                <w:sz w:val="18"/>
                <w:szCs w:val="18"/>
              </w:rPr>
              <w:t>Tempestivo</w:t>
            </w:r>
          </w:p>
        </w:tc>
        <w:tc>
          <w:tcPr>
            <w:tcW w:w="2835" w:type="dxa"/>
          </w:tcPr>
          <w:p w14:paraId="66517E3F" w14:textId="77777777" w:rsidR="006B60D1" w:rsidRPr="00020EB7" w:rsidRDefault="006B60D1" w:rsidP="00355C4E">
            <w:pPr>
              <w:rPr>
                <w:sz w:val="18"/>
                <w:szCs w:val="18"/>
                <w:lang w:val="en-US"/>
              </w:rPr>
            </w:pPr>
            <w:r w:rsidRPr="00020EB7">
              <w:rPr>
                <w:sz w:val="18"/>
                <w:szCs w:val="18"/>
                <w:lang w:val="en-US"/>
              </w:rPr>
              <w:t xml:space="preserve">Art. 31, </w:t>
            </w:r>
            <w:proofErr w:type="spellStart"/>
            <w:r w:rsidRPr="00020EB7">
              <w:rPr>
                <w:sz w:val="18"/>
                <w:szCs w:val="18"/>
                <w:lang w:val="en-US"/>
              </w:rPr>
              <w:t>d.lgs</w:t>
            </w:r>
            <w:proofErr w:type="spellEnd"/>
            <w:r w:rsidRPr="00020EB7">
              <w:rPr>
                <w:sz w:val="18"/>
                <w:szCs w:val="18"/>
                <w:lang w:val="en-US"/>
              </w:rPr>
              <w:t>. n. 33/2013</w:t>
            </w:r>
          </w:p>
        </w:tc>
      </w:tr>
      <w:tr w:rsidR="006B60D1" w:rsidRPr="00020EB7" w14:paraId="49695AE2" w14:textId="77777777" w:rsidTr="00355C4E">
        <w:tc>
          <w:tcPr>
            <w:tcW w:w="3539" w:type="dxa"/>
          </w:tcPr>
          <w:p w14:paraId="438FFD9F" w14:textId="76F3D74D" w:rsidR="006B60D1" w:rsidRPr="00020EB7" w:rsidRDefault="006B60D1" w:rsidP="00355C4E">
            <w:pPr>
              <w:rPr>
                <w:sz w:val="18"/>
                <w:szCs w:val="18"/>
              </w:rPr>
            </w:pPr>
            <w:r w:rsidRPr="00020EB7">
              <w:rPr>
                <w:sz w:val="18"/>
                <w:szCs w:val="18"/>
              </w:rPr>
              <w:t xml:space="preserve">Relazioni degli organi di revisione amministrativa e contabile al conto consuntivo o al bilancio di esercizio </w:t>
            </w:r>
            <w:r w:rsidR="009231D4" w:rsidRPr="00020EB7">
              <w:rPr>
                <w:sz w:val="18"/>
                <w:szCs w:val="18"/>
              </w:rPr>
              <w:t>(</w:t>
            </w:r>
            <w:proofErr w:type="spellStart"/>
            <w:r w:rsidR="009231D4" w:rsidRPr="00020EB7">
              <w:rPr>
                <w:sz w:val="18"/>
                <w:szCs w:val="18"/>
              </w:rPr>
              <w:t>Rif.</w:t>
            </w:r>
            <w:r w:rsidR="009231D4" w:rsidRPr="00020EB7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begin"/>
            </w:r>
            <w:r w:rsidR="009231D4" w:rsidRPr="00020EB7">
              <w:rPr>
                <w:color w:val="2F5496" w:themeColor="accent1" w:themeShade="BF"/>
                <w:sz w:val="18"/>
                <w:szCs w:val="18"/>
                <w:u w:val="double"/>
              </w:rPr>
              <w:instrText xml:space="preserve"> REF _Ref134622798 \h  \* MERGEFORMAT </w:instrText>
            </w:r>
            <w:r w:rsidR="009231D4" w:rsidRPr="00020EB7">
              <w:rPr>
                <w:color w:val="2F5496" w:themeColor="accent1" w:themeShade="BF"/>
                <w:sz w:val="18"/>
                <w:szCs w:val="18"/>
                <w:u w:val="double"/>
              </w:rPr>
            </w:r>
            <w:r w:rsidR="009231D4" w:rsidRPr="00020EB7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separate"/>
            </w:r>
            <w:r w:rsidR="009231D4" w:rsidRPr="00020EB7">
              <w:rPr>
                <w:color w:val="2F5496" w:themeColor="accent1" w:themeShade="BF"/>
                <w:sz w:val="18"/>
                <w:szCs w:val="18"/>
                <w:u w:val="double"/>
              </w:rPr>
              <w:t>Dati</w:t>
            </w:r>
            <w:proofErr w:type="spellEnd"/>
            <w:r w:rsidR="009231D4" w:rsidRPr="00020EB7">
              <w:rPr>
                <w:color w:val="2F5496" w:themeColor="accent1" w:themeShade="BF"/>
                <w:sz w:val="18"/>
                <w:szCs w:val="18"/>
                <w:u w:val="double"/>
              </w:rPr>
              <w:t xml:space="preserve"> identificativi del documento</w:t>
            </w:r>
            <w:r w:rsidR="009231D4" w:rsidRPr="00020EB7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end"/>
            </w:r>
            <w:r w:rsidR="009231D4" w:rsidRPr="00020EB7">
              <w:rPr>
                <w:color w:val="2F5496" w:themeColor="accent1" w:themeShade="BF"/>
                <w:sz w:val="18"/>
                <w:szCs w:val="18"/>
                <w:u w:val="double"/>
              </w:rPr>
              <w:t>)</w:t>
            </w:r>
          </w:p>
        </w:tc>
        <w:tc>
          <w:tcPr>
            <w:tcW w:w="3260" w:type="dxa"/>
          </w:tcPr>
          <w:p w14:paraId="060195DB" w14:textId="7B6DA790" w:rsidR="00DD0CFD" w:rsidRPr="00020EB7" w:rsidRDefault="00DD0CFD" w:rsidP="00355C4E">
            <w:pPr>
              <w:rPr>
                <w:strike/>
                <w:sz w:val="18"/>
                <w:szCs w:val="18"/>
              </w:rPr>
            </w:pPr>
            <w:r w:rsidRPr="00020EB7">
              <w:rPr>
                <w:sz w:val="18"/>
                <w:szCs w:val="18"/>
              </w:rPr>
              <w:t>Tempestivo</w:t>
            </w:r>
          </w:p>
        </w:tc>
        <w:tc>
          <w:tcPr>
            <w:tcW w:w="2835" w:type="dxa"/>
          </w:tcPr>
          <w:p w14:paraId="05DEA4EA" w14:textId="77777777" w:rsidR="006B60D1" w:rsidRPr="00020EB7" w:rsidRDefault="006B60D1" w:rsidP="00355C4E">
            <w:pPr>
              <w:rPr>
                <w:sz w:val="18"/>
                <w:szCs w:val="18"/>
              </w:rPr>
            </w:pPr>
            <w:r w:rsidRPr="00020EB7">
              <w:rPr>
                <w:sz w:val="18"/>
                <w:szCs w:val="18"/>
                <w:lang w:val="en-US"/>
              </w:rPr>
              <w:t xml:space="preserve">Art. 31, </w:t>
            </w:r>
            <w:proofErr w:type="spellStart"/>
            <w:r w:rsidRPr="00020EB7">
              <w:rPr>
                <w:sz w:val="18"/>
                <w:szCs w:val="18"/>
                <w:lang w:val="en-US"/>
              </w:rPr>
              <w:t>d.lgs</w:t>
            </w:r>
            <w:proofErr w:type="spellEnd"/>
            <w:r w:rsidRPr="00020EB7">
              <w:rPr>
                <w:sz w:val="18"/>
                <w:szCs w:val="18"/>
                <w:lang w:val="en-US"/>
              </w:rPr>
              <w:t>. n. 33/2013</w:t>
            </w:r>
          </w:p>
        </w:tc>
      </w:tr>
    </w:tbl>
    <w:p w14:paraId="033B6C6E" w14:textId="77777777" w:rsidR="00A13B23" w:rsidRPr="00020EB7" w:rsidRDefault="00A13B23" w:rsidP="00B74D42">
      <w:pPr>
        <w:pBdr>
          <w:bottom w:val="single" w:sz="6" w:space="1" w:color="auto"/>
        </w:pBdr>
      </w:pPr>
    </w:p>
    <w:p w14:paraId="38980E4E" w14:textId="0A4B2FE2" w:rsidR="0084672E" w:rsidRPr="00020EB7" w:rsidRDefault="0084672E" w:rsidP="0084672E">
      <w:pPr>
        <w:pStyle w:val="Titolo3"/>
        <w:numPr>
          <w:ilvl w:val="0"/>
          <w:numId w:val="0"/>
        </w:numPr>
        <w:ind w:left="720" w:hanging="720"/>
      </w:pPr>
      <w:bookmarkStart w:id="0" w:name="_Ref134622798"/>
      <w:r w:rsidRPr="00020EB7">
        <w:t>Dati identificativi del documento</w:t>
      </w:r>
      <w:bookmarkEnd w:id="0"/>
    </w:p>
    <w:p w14:paraId="3C6995E9" w14:textId="5499DC53" w:rsidR="0084672E" w:rsidRPr="00020EB7" w:rsidRDefault="00604B63" w:rsidP="00604B63">
      <w:pPr>
        <w:spacing w:line="240" w:lineRule="auto"/>
        <w:jc w:val="both"/>
      </w:pPr>
      <w:r w:rsidRPr="00020EB7">
        <w:t xml:space="preserve">N.B: </w:t>
      </w:r>
      <w:r w:rsidR="008F180F" w:rsidRPr="00020EB7">
        <w:t>Valgono sia per le relazioni degli organi di revisione amministrativa e contabile al bilancio di previsione o budget che per le relazioni degli organi di revisione amministrativa e contabile al conto consuntivo o al bilancio di esercizio.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379"/>
        <w:gridCol w:w="1038"/>
      </w:tblGrid>
      <w:tr w:rsidR="0084672E" w:rsidRPr="00020EB7" w14:paraId="21C56BCA" w14:textId="77777777" w:rsidTr="00355C4E">
        <w:trPr>
          <w:trHeight w:val="66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1505FCF1" w14:textId="77777777" w:rsidR="0084672E" w:rsidRPr="00020EB7" w:rsidRDefault="0084672E" w:rsidP="00355C4E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</w:pPr>
            <w:r w:rsidRPr="00020EB7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Dati identificativi del documento</w:t>
            </w:r>
          </w:p>
        </w:tc>
      </w:tr>
      <w:tr w:rsidR="0084672E" w:rsidRPr="00020EB7" w14:paraId="0108CE2F" w14:textId="77777777" w:rsidTr="00355C4E">
        <w:trPr>
          <w:trHeight w:val="3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4EDBD" w14:textId="68D08A2D" w:rsidR="0084672E" w:rsidRPr="00020EB7" w:rsidRDefault="0084672E" w:rsidP="00355C4E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20EB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Data</w:t>
            </w:r>
            <w:r w:rsidR="00E527E6" w:rsidRPr="00020EB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di pubblicazione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3ED4" w14:textId="409EB91E" w:rsidR="0084672E" w:rsidRPr="00020EB7" w:rsidRDefault="00E527E6" w:rsidP="00355C4E">
            <w:pPr>
              <w:spacing w:after="0" w:line="240" w:lineRule="auto"/>
              <w:rPr>
                <w:rFonts w:ascii="Titillium" w:eastAsia="Times New Roman" w:hAnsi="Titillium" w:cs="Calibri"/>
                <w:color w:val="FF0000"/>
                <w:sz w:val="18"/>
                <w:szCs w:val="18"/>
                <w:lang w:eastAsia="it-IT"/>
              </w:rPr>
            </w:pPr>
            <w:r w:rsidRPr="00020EB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Data di pubblicazione </w:t>
            </w:r>
            <w:r w:rsidR="00D02FE5" w:rsidRPr="00020EB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(</w:t>
            </w:r>
            <w:r w:rsidR="00D32E7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GG</w:t>
            </w:r>
            <w:r w:rsidRPr="00020EB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/</w:t>
            </w:r>
            <w:r w:rsidR="00D32E7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MM</w:t>
            </w:r>
            <w:r w:rsidRPr="00020EB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/</w:t>
            </w:r>
            <w:r w:rsidR="00D32E7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AAAA</w:t>
            </w:r>
            <w:r w:rsidR="00D02FE5" w:rsidRPr="00020EB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43CAF" w14:textId="77777777" w:rsidR="0084672E" w:rsidRPr="00020EB7" w:rsidRDefault="0084672E" w:rsidP="00355C4E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20EB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data</w:t>
            </w:r>
          </w:p>
        </w:tc>
      </w:tr>
      <w:tr w:rsidR="0084672E" w:rsidRPr="00020EB7" w14:paraId="7B409D6B" w14:textId="77777777" w:rsidTr="00355C4E">
        <w:trPr>
          <w:trHeight w:val="41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5CF13" w14:textId="77777777" w:rsidR="0084672E" w:rsidRPr="00020EB7" w:rsidRDefault="0084672E" w:rsidP="00355C4E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20EB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Documento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604D6" w14:textId="5B24F09B" w:rsidR="0084672E" w:rsidRPr="00020EB7" w:rsidRDefault="0084672E" w:rsidP="00604B63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20EB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Link al </w:t>
            </w:r>
            <w:r w:rsidRPr="00020EB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documento pubblicato nel sito istituzionale</w:t>
            </w:r>
            <w:r w:rsidR="00604B63" w:rsidRPr="00020EB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4662D" w14:textId="77777777" w:rsidR="0084672E" w:rsidRPr="00020EB7" w:rsidRDefault="0084672E" w:rsidP="00355C4E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20EB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URL</w:t>
            </w:r>
          </w:p>
        </w:tc>
      </w:tr>
    </w:tbl>
    <w:p w14:paraId="0C0CE47F" w14:textId="2EF14E72" w:rsidR="009231D4" w:rsidRPr="00020EB7" w:rsidRDefault="009231D4" w:rsidP="009231D4">
      <w:pPr>
        <w:rPr>
          <w:rStyle w:val="Riferimentodelicato"/>
          <w:smallCaps w:val="0"/>
          <w:color w:val="2F5496" w:themeColor="accent1" w:themeShade="BF"/>
          <w:sz w:val="24"/>
          <w:szCs w:val="24"/>
        </w:rPr>
      </w:pPr>
    </w:p>
    <w:p w14:paraId="7A5B288D" w14:textId="21F93355" w:rsidR="00D02FE5" w:rsidRPr="00020EB7" w:rsidRDefault="00D02FE5" w:rsidP="00D02FE5">
      <w:pPr>
        <w:jc w:val="center"/>
        <w:rPr>
          <w:rStyle w:val="Riferimentodelicato"/>
          <w:smallCaps w:val="0"/>
          <w:color w:val="2F5496" w:themeColor="accent1" w:themeShade="BF"/>
          <w:sz w:val="24"/>
          <w:szCs w:val="24"/>
        </w:rPr>
      </w:pPr>
      <w:r w:rsidRPr="00020EB7">
        <w:rPr>
          <w:rStyle w:val="Riferimentodelicato"/>
          <w:smallCaps w:val="0"/>
          <w:color w:val="2F5496" w:themeColor="accent1" w:themeShade="BF"/>
          <w:sz w:val="24"/>
          <w:szCs w:val="24"/>
        </w:rPr>
        <w:t>****</w:t>
      </w:r>
    </w:p>
    <w:p w14:paraId="2DAADDF6" w14:textId="3242707F" w:rsidR="00E31BF2" w:rsidRPr="00D32E79" w:rsidRDefault="00FA5A83" w:rsidP="00D32E79">
      <w:pPr>
        <w:pStyle w:val="Titolo2"/>
        <w:numPr>
          <w:ilvl w:val="0"/>
          <w:numId w:val="0"/>
        </w:numPr>
        <w:ind w:left="576" w:hanging="576"/>
        <w:rPr>
          <w:sz w:val="24"/>
          <w:szCs w:val="24"/>
        </w:rPr>
      </w:pPr>
      <w:r w:rsidRPr="00020EB7">
        <w:rPr>
          <w:rStyle w:val="Riferimentodelicato"/>
          <w:smallCaps w:val="0"/>
          <w:color w:val="2F5496" w:themeColor="accent1" w:themeShade="BF"/>
          <w:sz w:val="24"/>
          <w:szCs w:val="24"/>
        </w:rPr>
        <w:t xml:space="preserve">Schemi di pubblicazione “Organi di </w:t>
      </w:r>
      <w:r w:rsidR="009231D4" w:rsidRPr="00020EB7">
        <w:rPr>
          <w:rStyle w:val="Riferimentodelicato"/>
          <w:smallCaps w:val="0"/>
          <w:color w:val="2F5496" w:themeColor="accent1" w:themeShade="BF"/>
          <w:sz w:val="24"/>
          <w:szCs w:val="24"/>
        </w:rPr>
        <w:t>controllo</w:t>
      </w:r>
      <w:r w:rsidRPr="00020EB7">
        <w:rPr>
          <w:rStyle w:val="Riferimentodelicato"/>
          <w:smallCaps w:val="0"/>
          <w:color w:val="2F5496" w:themeColor="accent1" w:themeShade="BF"/>
          <w:sz w:val="24"/>
          <w:szCs w:val="24"/>
        </w:rPr>
        <w:t>”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539"/>
        <w:gridCol w:w="3260"/>
        <w:gridCol w:w="2835"/>
      </w:tblGrid>
      <w:tr w:rsidR="00007520" w:rsidRPr="00020EB7" w14:paraId="4C5C2C9A" w14:textId="77777777" w:rsidTr="00355C4E">
        <w:tc>
          <w:tcPr>
            <w:tcW w:w="3539" w:type="dxa"/>
            <w:shd w:val="clear" w:color="auto" w:fill="1F3864" w:themeFill="accent1" w:themeFillShade="80"/>
          </w:tcPr>
          <w:p w14:paraId="78F36EFE" w14:textId="77777777" w:rsidR="00007520" w:rsidRPr="00020EB7" w:rsidRDefault="00007520" w:rsidP="00355C4E">
            <w:pPr>
              <w:jc w:val="center"/>
              <w:rPr>
                <w:sz w:val="18"/>
                <w:szCs w:val="18"/>
              </w:rPr>
            </w:pPr>
            <w:r w:rsidRPr="00020EB7">
              <w:rPr>
                <w:sz w:val="18"/>
                <w:szCs w:val="18"/>
              </w:rPr>
              <w:t>SEZIONE</w:t>
            </w:r>
          </w:p>
        </w:tc>
        <w:tc>
          <w:tcPr>
            <w:tcW w:w="3260" w:type="dxa"/>
            <w:shd w:val="clear" w:color="auto" w:fill="1F3864" w:themeFill="accent1" w:themeFillShade="80"/>
          </w:tcPr>
          <w:p w14:paraId="2DF5EC7A" w14:textId="77777777" w:rsidR="00007520" w:rsidRPr="00020EB7" w:rsidRDefault="00007520" w:rsidP="00355C4E">
            <w:pPr>
              <w:jc w:val="center"/>
              <w:rPr>
                <w:sz w:val="18"/>
                <w:szCs w:val="18"/>
              </w:rPr>
            </w:pPr>
            <w:r w:rsidRPr="00020EB7">
              <w:rPr>
                <w:sz w:val="18"/>
                <w:szCs w:val="18"/>
              </w:rPr>
              <w:t>AGGIORNAMENTO</w:t>
            </w:r>
          </w:p>
        </w:tc>
        <w:tc>
          <w:tcPr>
            <w:tcW w:w="2835" w:type="dxa"/>
            <w:shd w:val="clear" w:color="auto" w:fill="1F3864" w:themeFill="accent1" w:themeFillShade="80"/>
          </w:tcPr>
          <w:p w14:paraId="4E7DD4DE" w14:textId="77777777" w:rsidR="00007520" w:rsidRPr="00020EB7" w:rsidRDefault="00007520" w:rsidP="00355C4E">
            <w:pPr>
              <w:rPr>
                <w:sz w:val="18"/>
                <w:szCs w:val="18"/>
              </w:rPr>
            </w:pPr>
            <w:r w:rsidRPr="00020EB7">
              <w:rPr>
                <w:sz w:val="18"/>
                <w:szCs w:val="18"/>
              </w:rPr>
              <w:t>Rif. NORMATIVI</w:t>
            </w:r>
          </w:p>
        </w:tc>
      </w:tr>
      <w:tr w:rsidR="00007520" w:rsidRPr="00020EB7" w14:paraId="4E5E5490" w14:textId="77777777" w:rsidTr="00355C4E">
        <w:tc>
          <w:tcPr>
            <w:tcW w:w="3539" w:type="dxa"/>
          </w:tcPr>
          <w:p w14:paraId="1B2A4227" w14:textId="3903E8B7" w:rsidR="009414DA" w:rsidRPr="00020EB7" w:rsidRDefault="00123070" w:rsidP="009414DA">
            <w:pPr>
              <w:rPr>
                <w:sz w:val="18"/>
                <w:szCs w:val="18"/>
              </w:rPr>
            </w:pPr>
            <w:r w:rsidRPr="00020EB7">
              <w:rPr>
                <w:sz w:val="18"/>
                <w:szCs w:val="18"/>
              </w:rPr>
              <w:t xml:space="preserve">Rilievi </w:t>
            </w:r>
            <w:r w:rsidR="00F225D4" w:rsidRPr="00020EB7">
              <w:rPr>
                <w:sz w:val="18"/>
                <w:szCs w:val="18"/>
              </w:rPr>
              <w:t xml:space="preserve">– recepiti e non - </w:t>
            </w:r>
            <w:r w:rsidRPr="00020EB7">
              <w:rPr>
                <w:sz w:val="18"/>
                <w:szCs w:val="18"/>
              </w:rPr>
              <w:t xml:space="preserve">della </w:t>
            </w:r>
            <w:r w:rsidR="00197650" w:rsidRPr="00020EB7">
              <w:rPr>
                <w:sz w:val="18"/>
                <w:szCs w:val="18"/>
              </w:rPr>
              <w:t>Corte dei conti</w:t>
            </w:r>
            <w:r w:rsidR="000A1F89" w:rsidRPr="00020EB7">
              <w:rPr>
                <w:sz w:val="18"/>
                <w:szCs w:val="18"/>
              </w:rPr>
              <w:t xml:space="preserve"> </w:t>
            </w:r>
            <w:r w:rsidR="009414DA" w:rsidRPr="00020EB7">
              <w:rPr>
                <w:sz w:val="18"/>
                <w:szCs w:val="18"/>
              </w:rPr>
              <w:t>riguardanti l'organizzazione e l'attività delle</w:t>
            </w:r>
          </w:p>
          <w:p w14:paraId="0BFA2448" w14:textId="3F389EBF" w:rsidR="009414DA" w:rsidRPr="00020EB7" w:rsidRDefault="009414DA" w:rsidP="009414DA">
            <w:pPr>
              <w:rPr>
                <w:sz w:val="18"/>
                <w:szCs w:val="18"/>
              </w:rPr>
            </w:pPr>
            <w:r w:rsidRPr="00020EB7">
              <w:rPr>
                <w:sz w:val="18"/>
                <w:szCs w:val="18"/>
              </w:rPr>
              <w:t>amministrazioni stesse e dei loro uffici</w:t>
            </w:r>
          </w:p>
          <w:p w14:paraId="0727F5A0" w14:textId="2884DC0A" w:rsidR="00007520" w:rsidRPr="00020EB7" w:rsidRDefault="000A1F89" w:rsidP="00355C4E">
            <w:pPr>
              <w:rPr>
                <w:sz w:val="18"/>
                <w:szCs w:val="18"/>
              </w:rPr>
            </w:pPr>
            <w:r w:rsidRPr="00020EB7">
              <w:rPr>
                <w:sz w:val="18"/>
                <w:szCs w:val="18"/>
              </w:rPr>
              <w:t xml:space="preserve">(Rif. </w:t>
            </w:r>
            <w:r w:rsidRPr="00020EB7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begin"/>
            </w:r>
            <w:r w:rsidRPr="00020EB7">
              <w:rPr>
                <w:color w:val="2F5496" w:themeColor="accent1" w:themeShade="BF"/>
                <w:sz w:val="18"/>
                <w:szCs w:val="18"/>
                <w:u w:val="double"/>
              </w:rPr>
              <w:instrText xml:space="preserve"> REF _Ref134624534 \h  \* MERGEFORMAT </w:instrText>
            </w:r>
            <w:r w:rsidRPr="00020EB7">
              <w:rPr>
                <w:color w:val="2F5496" w:themeColor="accent1" w:themeShade="BF"/>
                <w:sz w:val="18"/>
                <w:szCs w:val="18"/>
                <w:u w:val="double"/>
              </w:rPr>
            </w:r>
            <w:r w:rsidRPr="00020EB7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separate"/>
            </w:r>
            <w:r w:rsidRPr="00020EB7">
              <w:rPr>
                <w:color w:val="2F5496" w:themeColor="accent1" w:themeShade="BF"/>
                <w:sz w:val="18"/>
                <w:szCs w:val="18"/>
                <w:u w:val="double"/>
              </w:rPr>
              <w:t>Rilievi della Corte dei conti</w:t>
            </w:r>
            <w:r w:rsidRPr="00020EB7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end"/>
            </w:r>
            <w:r w:rsidRPr="00020EB7">
              <w:rPr>
                <w:sz w:val="18"/>
                <w:szCs w:val="18"/>
              </w:rPr>
              <w:t>)</w:t>
            </w:r>
          </w:p>
        </w:tc>
        <w:tc>
          <w:tcPr>
            <w:tcW w:w="3260" w:type="dxa"/>
          </w:tcPr>
          <w:p w14:paraId="2306C143" w14:textId="71A3C271" w:rsidR="009414DA" w:rsidRPr="00020EB7" w:rsidRDefault="009414DA" w:rsidP="00355C4E">
            <w:pPr>
              <w:rPr>
                <w:sz w:val="18"/>
                <w:szCs w:val="18"/>
              </w:rPr>
            </w:pPr>
            <w:r w:rsidRPr="00020EB7">
              <w:rPr>
                <w:sz w:val="18"/>
                <w:szCs w:val="18"/>
              </w:rPr>
              <w:t>Tempestivo</w:t>
            </w:r>
          </w:p>
        </w:tc>
        <w:tc>
          <w:tcPr>
            <w:tcW w:w="2835" w:type="dxa"/>
          </w:tcPr>
          <w:p w14:paraId="5530DB6A" w14:textId="77777777" w:rsidR="00007520" w:rsidRPr="00020EB7" w:rsidRDefault="00007520" w:rsidP="00355C4E">
            <w:pPr>
              <w:rPr>
                <w:sz w:val="18"/>
                <w:szCs w:val="18"/>
                <w:lang w:val="en-US"/>
              </w:rPr>
            </w:pPr>
            <w:r w:rsidRPr="00020EB7">
              <w:rPr>
                <w:sz w:val="18"/>
                <w:szCs w:val="18"/>
                <w:lang w:val="en-US"/>
              </w:rPr>
              <w:t xml:space="preserve">Art. 31, </w:t>
            </w:r>
            <w:proofErr w:type="spellStart"/>
            <w:r w:rsidRPr="00020EB7">
              <w:rPr>
                <w:sz w:val="18"/>
                <w:szCs w:val="18"/>
                <w:lang w:val="en-US"/>
              </w:rPr>
              <w:t>d.lgs</w:t>
            </w:r>
            <w:proofErr w:type="spellEnd"/>
            <w:r w:rsidRPr="00020EB7">
              <w:rPr>
                <w:sz w:val="18"/>
                <w:szCs w:val="18"/>
                <w:lang w:val="en-US"/>
              </w:rPr>
              <w:t>. n. 33/2013</w:t>
            </w:r>
          </w:p>
        </w:tc>
      </w:tr>
    </w:tbl>
    <w:p w14:paraId="743E539D" w14:textId="77777777" w:rsidR="00092DEE" w:rsidRPr="00020EB7" w:rsidRDefault="00092DEE" w:rsidP="00B74D42">
      <w:pPr>
        <w:pBdr>
          <w:bottom w:val="single" w:sz="6" w:space="1" w:color="auto"/>
        </w:pBdr>
      </w:pPr>
    </w:p>
    <w:p w14:paraId="3A93F177" w14:textId="77777777" w:rsidR="007267E9" w:rsidRPr="00020EB7" w:rsidRDefault="007267E9" w:rsidP="00B74D42">
      <w:pPr>
        <w:pBdr>
          <w:bottom w:val="single" w:sz="6" w:space="1" w:color="auto"/>
        </w:pBdr>
      </w:pPr>
    </w:p>
    <w:p w14:paraId="2F5577A5" w14:textId="2B5CED04" w:rsidR="00B0660C" w:rsidRPr="00020EB7" w:rsidRDefault="001F28F3" w:rsidP="00B0660C">
      <w:pPr>
        <w:pStyle w:val="Titolo3"/>
        <w:numPr>
          <w:ilvl w:val="0"/>
          <w:numId w:val="0"/>
        </w:numPr>
        <w:ind w:left="720" w:hanging="720"/>
      </w:pPr>
      <w:bookmarkStart w:id="1" w:name="_Ref134624534"/>
      <w:r w:rsidRPr="00020EB7">
        <w:t xml:space="preserve">Rilievi </w:t>
      </w:r>
      <w:r w:rsidR="00263C40">
        <w:t xml:space="preserve">- recepiti e non - </w:t>
      </w:r>
      <w:r w:rsidRPr="00020EB7">
        <w:t>della Corte dei conti</w:t>
      </w:r>
      <w:bookmarkEnd w:id="1"/>
      <w:r w:rsidR="00263C40">
        <w:t xml:space="preserve"> 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5387"/>
        <w:gridCol w:w="2030"/>
      </w:tblGrid>
      <w:tr w:rsidR="00C05EAB" w:rsidRPr="00020EB7" w14:paraId="35386EF8" w14:textId="77777777" w:rsidTr="00355C4E">
        <w:trPr>
          <w:trHeight w:val="66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2492AC78" w14:textId="73E13FE5" w:rsidR="001F28F3" w:rsidRPr="00020EB7" w:rsidRDefault="001F28F3" w:rsidP="001F28F3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  <w:r w:rsidRPr="00020EB7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Rilievi</w:t>
            </w:r>
            <w:r w:rsidR="00042529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 xml:space="preserve"> </w:t>
            </w:r>
            <w:r w:rsidRPr="00020EB7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della Corte dei conti riguardanti l'organizzazione e l'attività delle</w:t>
            </w:r>
          </w:p>
          <w:p w14:paraId="5F18AA1B" w14:textId="77777777" w:rsidR="00C05EAB" w:rsidRPr="00020EB7" w:rsidRDefault="001F28F3" w:rsidP="001F28F3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  <w:r w:rsidRPr="00020EB7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amministrazioni stesse e dei loro uffici (vanno indicati sia i rilievi recepiti che quelli non recepiti)</w:t>
            </w:r>
          </w:p>
          <w:p w14:paraId="77528EAD" w14:textId="3BE4EA58" w:rsidR="001F28F3" w:rsidRPr="00020EB7" w:rsidRDefault="001F28F3" w:rsidP="001F28F3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</w:pPr>
            <w:r w:rsidRPr="00020EB7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  <w:t>da replicare per ogni rilievo</w:t>
            </w:r>
          </w:p>
        </w:tc>
      </w:tr>
      <w:tr w:rsidR="006933C7" w:rsidRPr="00020EB7" w14:paraId="033C60B4" w14:textId="77777777" w:rsidTr="00042529">
        <w:trPr>
          <w:trHeight w:val="3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5FE21" w14:textId="5A939789" w:rsidR="006933C7" w:rsidRPr="00020EB7" w:rsidRDefault="006933C7" w:rsidP="006933C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20EB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Data</w:t>
            </w:r>
            <w:r w:rsidR="00E527E6" w:rsidRPr="00020EB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di pubblicazione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1040" w14:textId="4798DE0A" w:rsidR="006933C7" w:rsidRPr="00020EB7" w:rsidRDefault="00263C40" w:rsidP="006933C7">
            <w:pPr>
              <w:spacing w:after="0" w:line="240" w:lineRule="auto"/>
              <w:rPr>
                <w:rFonts w:ascii="Titillium" w:eastAsia="Times New Roman" w:hAnsi="Titillium" w:cs="Calibri"/>
                <w:color w:val="FF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Data </w:t>
            </w:r>
            <w:r w:rsidR="00E527E6" w:rsidRPr="00020EB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di pubblicazione</w:t>
            </w:r>
            <w:r w:rsidR="00F225D4" w:rsidRPr="00020EB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  <w:r w:rsidR="00BB5EE4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del 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rilievo della Corte dei Conti </w:t>
            </w:r>
            <w:r w:rsidR="00F225D4" w:rsidRPr="00020EB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(</w:t>
            </w:r>
            <w:r w:rsidR="00D32E7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GG</w:t>
            </w:r>
            <w:r w:rsidR="00F225D4" w:rsidRPr="00020EB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/</w:t>
            </w:r>
            <w:r w:rsidR="00D32E7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MM</w:t>
            </w:r>
            <w:r w:rsidR="00F225D4" w:rsidRPr="00020EB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/</w:t>
            </w:r>
            <w:r w:rsidR="00D32E7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AAAA</w:t>
            </w:r>
            <w:r w:rsidR="00F225D4" w:rsidRPr="00020EB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36668" w14:textId="33D013A0" w:rsidR="006933C7" w:rsidRPr="00020EB7" w:rsidRDefault="006933C7" w:rsidP="006933C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20EB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data</w:t>
            </w:r>
          </w:p>
        </w:tc>
      </w:tr>
      <w:tr w:rsidR="006933C7" w:rsidRPr="00020EB7" w14:paraId="189BEE0B" w14:textId="77777777" w:rsidTr="00042529">
        <w:trPr>
          <w:trHeight w:val="41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AE6A5" w14:textId="5B289A3E" w:rsidR="006933C7" w:rsidRPr="008D2F74" w:rsidRDefault="006933C7" w:rsidP="006933C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highlight w:val="yellow"/>
                <w:lang w:eastAsia="it-IT"/>
              </w:rPr>
            </w:pPr>
            <w:r w:rsidRPr="00CA4A7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Oggetto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0DB11" w14:textId="77777777" w:rsidR="00042529" w:rsidRPr="00954158" w:rsidRDefault="00A62511" w:rsidP="00AE2A0B">
            <w:pPr>
              <w:pBdr>
                <w:bottom w:val="single" w:sz="6" w:space="1" w:color="auto"/>
              </w:pBdr>
              <w:spacing w:after="0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95415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Atto o</w:t>
            </w:r>
            <w:r w:rsidR="006933C7" w:rsidRPr="0095415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ggetto del rilievo</w:t>
            </w:r>
            <w:r w:rsidRPr="0095415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14:paraId="6AFA5E33" w14:textId="0BA5A878" w:rsidR="00042529" w:rsidRPr="00954158" w:rsidRDefault="00AE2A0B" w:rsidP="00AE2A0B">
            <w:pPr>
              <w:pBdr>
                <w:bottom w:val="single" w:sz="6" w:space="1" w:color="auto"/>
              </w:pBdr>
              <w:spacing w:after="0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95415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(</w:t>
            </w:r>
            <w:r w:rsidR="00042529" w:rsidRPr="0095415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Menu a tendina</w:t>
            </w:r>
            <w:r w:rsidRPr="0095415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) opzioni:</w:t>
            </w:r>
          </w:p>
          <w:p w14:paraId="4B7901BA" w14:textId="77777777" w:rsidR="00AE2A0B" w:rsidRPr="00954158" w:rsidRDefault="00042529" w:rsidP="00AE2A0B">
            <w:pPr>
              <w:pStyle w:val="Paragrafoelenco"/>
              <w:numPr>
                <w:ilvl w:val="0"/>
                <w:numId w:val="43"/>
              </w:numPr>
              <w:pBdr>
                <w:bottom w:val="single" w:sz="6" w:space="1" w:color="auto"/>
              </w:pBdr>
              <w:spacing w:after="0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95415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Organizzazione </w:t>
            </w:r>
          </w:p>
          <w:p w14:paraId="5415FF9A" w14:textId="77777777" w:rsidR="00AE2A0B" w:rsidRPr="00954158" w:rsidRDefault="00042529" w:rsidP="00AE2A0B">
            <w:pPr>
              <w:pStyle w:val="Paragrafoelenco"/>
              <w:numPr>
                <w:ilvl w:val="0"/>
                <w:numId w:val="43"/>
              </w:numPr>
              <w:pBdr>
                <w:bottom w:val="single" w:sz="6" w:space="1" w:color="auto"/>
              </w:pBdr>
              <w:spacing w:after="0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95415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Attività</w:t>
            </w:r>
          </w:p>
          <w:p w14:paraId="152F3590" w14:textId="303749C6" w:rsidR="00042529" w:rsidRPr="00954158" w:rsidRDefault="00042529" w:rsidP="00AE2A0B">
            <w:pPr>
              <w:pStyle w:val="Paragrafoelenco"/>
              <w:numPr>
                <w:ilvl w:val="0"/>
                <w:numId w:val="43"/>
              </w:numPr>
              <w:pBdr>
                <w:bottom w:val="single" w:sz="6" w:space="1" w:color="auto"/>
              </w:pBdr>
              <w:spacing w:after="0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95415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entrambe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6A52F" w14:textId="4A6BD2A2" w:rsidR="006933C7" w:rsidRPr="00954158" w:rsidRDefault="00042529" w:rsidP="006933C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95415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Men</w:t>
            </w:r>
            <w:r w:rsidR="007429AD" w:rsidRPr="0095415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ù</w:t>
            </w:r>
            <w:r w:rsidRPr="0095415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a tendina</w:t>
            </w:r>
          </w:p>
        </w:tc>
      </w:tr>
      <w:tr w:rsidR="00A62511" w:rsidRPr="00020EB7" w14:paraId="2124DDD5" w14:textId="77777777" w:rsidTr="00042529">
        <w:trPr>
          <w:trHeight w:val="41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383C7" w14:textId="748AE28E" w:rsidR="0003380E" w:rsidRPr="00D63E34" w:rsidRDefault="0003380E" w:rsidP="006933C7">
            <w:pPr>
              <w:spacing w:after="0" w:line="240" w:lineRule="auto"/>
              <w:rPr>
                <w:rFonts w:ascii="Titillium" w:eastAsia="Times New Roman" w:hAnsi="Titillium" w:cs="Calibri"/>
                <w:b/>
                <w:color w:val="000000"/>
                <w:sz w:val="18"/>
                <w:szCs w:val="18"/>
                <w:lang w:eastAsia="it-IT"/>
              </w:rPr>
            </w:pPr>
            <w:r w:rsidRPr="00D63E34">
              <w:rPr>
                <w:rFonts w:ascii="Titillium" w:eastAsia="Times New Roman" w:hAnsi="Titillium" w:cs="Calibri"/>
                <w:b/>
                <w:color w:val="000000"/>
                <w:sz w:val="18"/>
                <w:szCs w:val="18"/>
                <w:lang w:eastAsia="it-IT"/>
              </w:rPr>
              <w:t xml:space="preserve">PROPOSTA 1 </w:t>
            </w:r>
          </w:p>
          <w:p w14:paraId="0F95986C" w14:textId="2C56ECF9" w:rsidR="0003380E" w:rsidRPr="00D63E34" w:rsidRDefault="0003380E" w:rsidP="006933C7">
            <w:pPr>
              <w:spacing w:after="0" w:line="240" w:lineRule="auto"/>
              <w:rPr>
                <w:rFonts w:ascii="Titillium" w:eastAsia="Times New Roman" w:hAnsi="Titillium" w:cs="Calibri"/>
                <w:b/>
                <w:color w:val="000000"/>
                <w:sz w:val="18"/>
                <w:szCs w:val="18"/>
                <w:lang w:eastAsia="it-IT"/>
              </w:rPr>
            </w:pPr>
            <w:r w:rsidRPr="00D63E34">
              <w:rPr>
                <w:rFonts w:ascii="Titillium" w:eastAsia="Times New Roman" w:hAnsi="Titillium" w:cs="Calibri"/>
                <w:b/>
                <w:color w:val="000000"/>
                <w:sz w:val="18"/>
                <w:szCs w:val="18"/>
                <w:lang w:eastAsia="it-IT"/>
              </w:rPr>
              <w:t>INSERIRE QUESTO DATO</w:t>
            </w:r>
          </w:p>
          <w:p w14:paraId="02556707" w14:textId="77777777" w:rsidR="00A62511" w:rsidRPr="00D63E34" w:rsidRDefault="00BB5EE4" w:rsidP="006933C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63E34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Recepimento o meno del rilievo da parte dell’amministrazione</w:t>
            </w:r>
          </w:p>
          <w:p w14:paraId="3CAD90C3" w14:textId="77777777" w:rsidR="0003380E" w:rsidRPr="00D63E34" w:rsidRDefault="0003380E" w:rsidP="006933C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  <w:p w14:paraId="1F686080" w14:textId="77777777" w:rsidR="0003380E" w:rsidRPr="00D63E34" w:rsidRDefault="0003380E" w:rsidP="006933C7">
            <w:pPr>
              <w:spacing w:after="0" w:line="240" w:lineRule="auto"/>
              <w:rPr>
                <w:rFonts w:ascii="Titillium" w:eastAsia="Times New Roman" w:hAnsi="Titillium" w:cs="Calibri"/>
                <w:b/>
                <w:color w:val="000000"/>
                <w:sz w:val="18"/>
                <w:szCs w:val="18"/>
                <w:lang w:eastAsia="it-IT"/>
              </w:rPr>
            </w:pPr>
            <w:r w:rsidRPr="00D63E34">
              <w:rPr>
                <w:rFonts w:ascii="Titillium" w:eastAsia="Times New Roman" w:hAnsi="Titillium" w:cs="Calibri"/>
                <w:b/>
                <w:color w:val="000000"/>
                <w:sz w:val="18"/>
                <w:szCs w:val="18"/>
                <w:lang w:eastAsia="it-IT"/>
              </w:rPr>
              <w:t>PROPOSTA 2</w:t>
            </w:r>
          </w:p>
          <w:p w14:paraId="4E429F76" w14:textId="34D806B3" w:rsidR="0003380E" w:rsidRPr="00D63E34" w:rsidRDefault="0003380E" w:rsidP="006933C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63E34">
              <w:rPr>
                <w:rFonts w:ascii="Titillium" w:eastAsia="Times New Roman" w:hAnsi="Titillium" w:cs="Calibri"/>
                <w:b/>
                <w:color w:val="000000"/>
                <w:sz w:val="18"/>
                <w:szCs w:val="18"/>
                <w:lang w:eastAsia="it-IT"/>
              </w:rPr>
              <w:t>NON INSERIRE QUEST0 DATO</w:t>
            </w:r>
            <w:r w:rsidRPr="00D63E34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49C1" w14:textId="54CABABD" w:rsidR="00A62511" w:rsidRPr="0003380E" w:rsidRDefault="00BB5EE4" w:rsidP="008B753A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3380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Recepito/Non recepito</w:t>
            </w:r>
            <w:r w:rsidR="004D141F" w:rsidRPr="0003380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/</w:t>
            </w:r>
            <w:r w:rsidR="004D141F" w:rsidRPr="00D16F6C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parzialmente recepito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673CA" w14:textId="50A29AD9" w:rsidR="00A62511" w:rsidRPr="0003380E" w:rsidRDefault="00296260" w:rsidP="006933C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16F6C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Menù a tendina</w:t>
            </w:r>
          </w:p>
        </w:tc>
      </w:tr>
      <w:tr w:rsidR="00263C40" w:rsidRPr="00020EB7" w14:paraId="2C52AD5E" w14:textId="77777777" w:rsidTr="00042529">
        <w:trPr>
          <w:trHeight w:val="41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B66AB" w14:textId="77777777" w:rsidR="0003380E" w:rsidRPr="00D63E34" w:rsidRDefault="0003380E" w:rsidP="0003380E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63E34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PROPOSTA 1 </w:t>
            </w:r>
          </w:p>
          <w:p w14:paraId="36DE9227" w14:textId="77777777" w:rsidR="0003380E" w:rsidRPr="00D63E34" w:rsidRDefault="0003380E" w:rsidP="0003380E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63E34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INSERIRE QUESTO DATO</w:t>
            </w:r>
          </w:p>
          <w:p w14:paraId="4FE45A34" w14:textId="77777777" w:rsidR="00263C40" w:rsidRPr="00D63E34" w:rsidRDefault="008B753A" w:rsidP="00A62511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63E34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Esiti dell’esame da parte della Corte dei Conti</w:t>
            </w:r>
          </w:p>
          <w:p w14:paraId="7D7756FF" w14:textId="77777777" w:rsidR="0003380E" w:rsidRPr="00D63E34" w:rsidRDefault="0003380E" w:rsidP="00A62511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  <w:p w14:paraId="7158E6D5" w14:textId="77777777" w:rsidR="0003380E" w:rsidRPr="00D63E34" w:rsidRDefault="0003380E" w:rsidP="00A62511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  <w:p w14:paraId="073C81C8" w14:textId="77777777" w:rsidR="0003380E" w:rsidRPr="00D63E34" w:rsidRDefault="0003380E" w:rsidP="0003380E">
            <w:pPr>
              <w:spacing w:after="0" w:line="240" w:lineRule="auto"/>
              <w:rPr>
                <w:rFonts w:ascii="Titillium" w:eastAsia="Times New Roman" w:hAnsi="Titillium" w:cs="Calibri"/>
                <w:b/>
                <w:color w:val="000000"/>
                <w:sz w:val="18"/>
                <w:szCs w:val="18"/>
                <w:lang w:eastAsia="it-IT"/>
              </w:rPr>
            </w:pPr>
            <w:bookmarkStart w:id="2" w:name="_GoBack"/>
            <w:r w:rsidRPr="00D63E34">
              <w:rPr>
                <w:rFonts w:ascii="Titillium" w:eastAsia="Times New Roman" w:hAnsi="Titillium" w:cs="Calibri"/>
                <w:b/>
                <w:color w:val="000000"/>
                <w:sz w:val="18"/>
                <w:szCs w:val="18"/>
                <w:lang w:eastAsia="it-IT"/>
              </w:rPr>
              <w:t>PROPOSTA 2</w:t>
            </w:r>
          </w:p>
          <w:p w14:paraId="2975359D" w14:textId="374B9126" w:rsidR="0003380E" w:rsidRPr="00D63E34" w:rsidRDefault="0003380E" w:rsidP="0003380E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63E34">
              <w:rPr>
                <w:rFonts w:ascii="Titillium" w:eastAsia="Times New Roman" w:hAnsi="Titillium" w:cs="Calibri"/>
                <w:b/>
                <w:color w:val="000000"/>
                <w:sz w:val="18"/>
                <w:szCs w:val="18"/>
                <w:lang w:eastAsia="it-IT"/>
              </w:rPr>
              <w:t>NON INSERIRE QUEST0 DATO</w:t>
            </w:r>
            <w:bookmarkEnd w:id="2"/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9BB0" w14:textId="0534594C" w:rsidR="00296260" w:rsidRPr="00D16F6C" w:rsidRDefault="00415EAE" w:rsidP="00A62511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16F6C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(</w:t>
            </w:r>
            <w:r w:rsidR="005637E7" w:rsidRPr="00D16F6C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Menu a tendina</w:t>
            </w:r>
            <w:r w:rsidRPr="00D16F6C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)</w:t>
            </w:r>
            <w:r w:rsidR="005637E7" w:rsidRPr="00D16F6C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  <w:r w:rsidR="00296260" w:rsidRPr="00D16F6C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opzioni:</w:t>
            </w:r>
          </w:p>
          <w:p w14:paraId="2CF161E1" w14:textId="34A272DA" w:rsidR="00296260" w:rsidRPr="00D16F6C" w:rsidRDefault="00296260" w:rsidP="00296260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16F6C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registrazione del provvedimento</w:t>
            </w:r>
          </w:p>
          <w:p w14:paraId="69EE7513" w14:textId="41A78196" w:rsidR="00296260" w:rsidRPr="00D16F6C" w:rsidRDefault="00296260" w:rsidP="00296260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16F6C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recusazione della registrazione del provvedimento; </w:t>
            </w:r>
          </w:p>
          <w:p w14:paraId="305F868F" w14:textId="77777777" w:rsidR="00415EAE" w:rsidRPr="00D16F6C" w:rsidRDefault="00296260" w:rsidP="00415EAE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16F6C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chiusura </w:t>
            </w:r>
            <w:r w:rsidR="005361BC" w:rsidRPr="00D16F6C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del </w:t>
            </w:r>
            <w:r w:rsidRPr="00D16F6C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procedimento </w:t>
            </w:r>
            <w:r w:rsidR="005361BC" w:rsidRPr="00D16F6C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sul</w:t>
            </w:r>
            <w:r w:rsidRPr="00D16F6C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rilievo per ritiro del provvedimento da parte dell’ente </w:t>
            </w:r>
          </w:p>
          <w:p w14:paraId="109691B1" w14:textId="68B2D9EF" w:rsidR="005637E7" w:rsidRPr="00D16F6C" w:rsidRDefault="00296260" w:rsidP="00415EAE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16F6C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altro 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5D118" w14:textId="77777777" w:rsidR="00263C40" w:rsidRPr="0003380E" w:rsidRDefault="00296260" w:rsidP="006933C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16F6C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Menù a tendina</w:t>
            </w:r>
          </w:p>
          <w:p w14:paraId="7B5FFBFA" w14:textId="451281D3" w:rsidR="00296260" w:rsidRPr="0003380E" w:rsidRDefault="00296260" w:rsidP="006933C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3380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+ altro</w:t>
            </w:r>
          </w:p>
        </w:tc>
      </w:tr>
      <w:tr w:rsidR="006933C7" w:rsidRPr="00020EB7" w14:paraId="04EAABD1" w14:textId="77777777" w:rsidTr="00042529">
        <w:trPr>
          <w:trHeight w:val="41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F1FC1" w14:textId="77777777" w:rsidR="006933C7" w:rsidRPr="00020EB7" w:rsidRDefault="006933C7" w:rsidP="006933C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20EB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Documento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1EF66" w14:textId="58460A5D" w:rsidR="006933C7" w:rsidRPr="00020EB7" w:rsidRDefault="006933C7" w:rsidP="003006FC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20EB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Link </w:t>
            </w:r>
            <w:r w:rsidR="00E3326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al documento sui rilievi della</w:t>
            </w:r>
            <w:r w:rsidRPr="00020EB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Corte</w:t>
            </w:r>
            <w:r w:rsidR="003006FC" w:rsidRPr="00020EB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dei C</w:t>
            </w:r>
            <w:r w:rsidRPr="00020EB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onti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A1669" w14:textId="77777777" w:rsidR="006933C7" w:rsidRPr="00020EB7" w:rsidRDefault="006933C7" w:rsidP="006933C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20EB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URL</w:t>
            </w:r>
          </w:p>
        </w:tc>
      </w:tr>
    </w:tbl>
    <w:p w14:paraId="7686B340" w14:textId="77777777" w:rsidR="00685FA7" w:rsidRDefault="00685FA7" w:rsidP="00D32E79"/>
    <w:sectPr w:rsidR="00685FA7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429C9" w14:textId="77777777" w:rsidR="00891D7B" w:rsidRDefault="00891D7B" w:rsidP="00A37338">
      <w:pPr>
        <w:spacing w:after="0" w:line="240" w:lineRule="auto"/>
      </w:pPr>
      <w:r>
        <w:separator/>
      </w:r>
    </w:p>
  </w:endnote>
  <w:endnote w:type="continuationSeparator" w:id="0">
    <w:p w14:paraId="17CBC2C3" w14:textId="77777777" w:rsidR="00891D7B" w:rsidRDefault="00891D7B" w:rsidP="00A3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F06F5" w14:textId="77777777" w:rsidR="00891D7B" w:rsidRDefault="00891D7B" w:rsidP="00A37338">
      <w:pPr>
        <w:spacing w:after="0" w:line="240" w:lineRule="auto"/>
      </w:pPr>
      <w:r>
        <w:separator/>
      </w:r>
    </w:p>
  </w:footnote>
  <w:footnote w:type="continuationSeparator" w:id="0">
    <w:p w14:paraId="7E38A81D" w14:textId="77777777" w:rsidR="00891D7B" w:rsidRDefault="00891D7B" w:rsidP="00A37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F2B92" w14:textId="3CB7021D" w:rsidR="00A37338" w:rsidRDefault="00A37338">
    <w:pPr>
      <w:pStyle w:val="Intestazione"/>
    </w:pPr>
    <w:r>
      <w:t xml:space="preserve">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29A7"/>
    <w:multiLevelType w:val="hybridMultilevel"/>
    <w:tmpl w:val="3F8E9FF8"/>
    <w:lvl w:ilvl="0" w:tplc="971CA0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3228C"/>
    <w:multiLevelType w:val="hybridMultilevel"/>
    <w:tmpl w:val="4DD0908E"/>
    <w:lvl w:ilvl="0" w:tplc="77D8F3FA"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769A"/>
    <w:multiLevelType w:val="hybridMultilevel"/>
    <w:tmpl w:val="875C6D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7F3F8A"/>
    <w:multiLevelType w:val="hybridMultilevel"/>
    <w:tmpl w:val="B99C11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32A26"/>
    <w:multiLevelType w:val="hybridMultilevel"/>
    <w:tmpl w:val="D46A8E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4900A4"/>
    <w:multiLevelType w:val="hybridMultilevel"/>
    <w:tmpl w:val="977E6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B7AAC"/>
    <w:multiLevelType w:val="multilevel"/>
    <w:tmpl w:val="23F4ABCE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3AD3BAA"/>
    <w:multiLevelType w:val="hybridMultilevel"/>
    <w:tmpl w:val="28C80E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94D58"/>
    <w:multiLevelType w:val="hybridMultilevel"/>
    <w:tmpl w:val="E2F20FD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1C6563"/>
    <w:multiLevelType w:val="hybridMultilevel"/>
    <w:tmpl w:val="1A78B0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25E15"/>
    <w:multiLevelType w:val="hybridMultilevel"/>
    <w:tmpl w:val="CAF6D35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C815CD"/>
    <w:multiLevelType w:val="hybridMultilevel"/>
    <w:tmpl w:val="14B01F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4"/>
  </w:num>
  <w:num w:numId="31">
    <w:abstractNumId w:val="8"/>
  </w:num>
  <w:num w:numId="32">
    <w:abstractNumId w:val="5"/>
  </w:num>
  <w:num w:numId="33">
    <w:abstractNumId w:val="0"/>
  </w:num>
  <w:num w:numId="34">
    <w:abstractNumId w:val="2"/>
  </w:num>
  <w:num w:numId="35">
    <w:abstractNumId w:val="11"/>
  </w:num>
  <w:num w:numId="36">
    <w:abstractNumId w:val="9"/>
  </w:num>
  <w:num w:numId="37">
    <w:abstractNumId w:val="10"/>
  </w:num>
  <w:num w:numId="38">
    <w:abstractNumId w:val="6"/>
  </w:num>
  <w:num w:numId="39">
    <w:abstractNumId w:val="3"/>
  </w:num>
  <w:num w:numId="40">
    <w:abstractNumId w:val="6"/>
  </w:num>
  <w:num w:numId="41">
    <w:abstractNumId w:val="6"/>
  </w:num>
  <w:num w:numId="42">
    <w:abstractNumId w:val="7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21"/>
    <w:rsid w:val="00006BCB"/>
    <w:rsid w:val="00007520"/>
    <w:rsid w:val="0001247F"/>
    <w:rsid w:val="00012A9C"/>
    <w:rsid w:val="00014EF9"/>
    <w:rsid w:val="0001619B"/>
    <w:rsid w:val="00020EB7"/>
    <w:rsid w:val="00021697"/>
    <w:rsid w:val="00024A8B"/>
    <w:rsid w:val="0002566F"/>
    <w:rsid w:val="0003380E"/>
    <w:rsid w:val="00033DD9"/>
    <w:rsid w:val="000370FC"/>
    <w:rsid w:val="000401BE"/>
    <w:rsid w:val="00041B99"/>
    <w:rsid w:val="00042529"/>
    <w:rsid w:val="00042BB2"/>
    <w:rsid w:val="0005170F"/>
    <w:rsid w:val="00057FF5"/>
    <w:rsid w:val="00064CEF"/>
    <w:rsid w:val="00070240"/>
    <w:rsid w:val="00075FEE"/>
    <w:rsid w:val="0008099F"/>
    <w:rsid w:val="0008383B"/>
    <w:rsid w:val="0008466A"/>
    <w:rsid w:val="00092DEE"/>
    <w:rsid w:val="00093B97"/>
    <w:rsid w:val="000A00EF"/>
    <w:rsid w:val="000A1F89"/>
    <w:rsid w:val="000A6BDC"/>
    <w:rsid w:val="000C2A7C"/>
    <w:rsid w:val="000C741E"/>
    <w:rsid w:val="000C76CF"/>
    <w:rsid w:val="000D4E69"/>
    <w:rsid w:val="000D4F9B"/>
    <w:rsid w:val="000F5405"/>
    <w:rsid w:val="0010524E"/>
    <w:rsid w:val="0010710A"/>
    <w:rsid w:val="00107B6E"/>
    <w:rsid w:val="00110CAC"/>
    <w:rsid w:val="00112A17"/>
    <w:rsid w:val="0011529B"/>
    <w:rsid w:val="00122B1F"/>
    <w:rsid w:val="00123070"/>
    <w:rsid w:val="0013223C"/>
    <w:rsid w:val="001327D8"/>
    <w:rsid w:val="0013495D"/>
    <w:rsid w:val="00150592"/>
    <w:rsid w:val="00155A57"/>
    <w:rsid w:val="00166E4B"/>
    <w:rsid w:val="001714FD"/>
    <w:rsid w:val="00171B79"/>
    <w:rsid w:val="00177A8F"/>
    <w:rsid w:val="00182193"/>
    <w:rsid w:val="00185BAE"/>
    <w:rsid w:val="001907E5"/>
    <w:rsid w:val="00191229"/>
    <w:rsid w:val="0019283B"/>
    <w:rsid w:val="00194E0A"/>
    <w:rsid w:val="00197650"/>
    <w:rsid w:val="001B4D42"/>
    <w:rsid w:val="001C5185"/>
    <w:rsid w:val="001D434E"/>
    <w:rsid w:val="001F06EE"/>
    <w:rsid w:val="001F14C3"/>
    <w:rsid w:val="001F28F3"/>
    <w:rsid w:val="001F2E07"/>
    <w:rsid w:val="001F5052"/>
    <w:rsid w:val="00206C33"/>
    <w:rsid w:val="00206D1D"/>
    <w:rsid w:val="00223C4A"/>
    <w:rsid w:val="00227578"/>
    <w:rsid w:val="002301BF"/>
    <w:rsid w:val="0023394E"/>
    <w:rsid w:val="00236C3B"/>
    <w:rsid w:val="00247F3C"/>
    <w:rsid w:val="00256BC9"/>
    <w:rsid w:val="00263C40"/>
    <w:rsid w:val="00265840"/>
    <w:rsid w:val="00284A02"/>
    <w:rsid w:val="00292C7E"/>
    <w:rsid w:val="00293C4A"/>
    <w:rsid w:val="00296260"/>
    <w:rsid w:val="002B25C7"/>
    <w:rsid w:val="002C3C73"/>
    <w:rsid w:val="002D44ED"/>
    <w:rsid w:val="002D6BA3"/>
    <w:rsid w:val="002E1C85"/>
    <w:rsid w:val="002E1C87"/>
    <w:rsid w:val="002F5143"/>
    <w:rsid w:val="002F5B5D"/>
    <w:rsid w:val="002F6C1C"/>
    <w:rsid w:val="003006FC"/>
    <w:rsid w:val="00303430"/>
    <w:rsid w:val="00312974"/>
    <w:rsid w:val="00331724"/>
    <w:rsid w:val="00344549"/>
    <w:rsid w:val="00346BF2"/>
    <w:rsid w:val="00352421"/>
    <w:rsid w:val="003576E1"/>
    <w:rsid w:val="0036022C"/>
    <w:rsid w:val="00377F2D"/>
    <w:rsid w:val="00381E40"/>
    <w:rsid w:val="003922B2"/>
    <w:rsid w:val="00392EF4"/>
    <w:rsid w:val="00394CAF"/>
    <w:rsid w:val="003A03C3"/>
    <w:rsid w:val="003A0FA3"/>
    <w:rsid w:val="003A1D82"/>
    <w:rsid w:val="003B6E0B"/>
    <w:rsid w:val="003C1012"/>
    <w:rsid w:val="003C16B1"/>
    <w:rsid w:val="003C1C81"/>
    <w:rsid w:val="003C4350"/>
    <w:rsid w:val="003C5B7D"/>
    <w:rsid w:val="003D48F8"/>
    <w:rsid w:val="003D6FB9"/>
    <w:rsid w:val="003E0238"/>
    <w:rsid w:val="003E03EE"/>
    <w:rsid w:val="003E0D00"/>
    <w:rsid w:val="003E2537"/>
    <w:rsid w:val="003E381A"/>
    <w:rsid w:val="003E4E0C"/>
    <w:rsid w:val="003F7CD7"/>
    <w:rsid w:val="004019E5"/>
    <w:rsid w:val="0040254A"/>
    <w:rsid w:val="00404829"/>
    <w:rsid w:val="004051EB"/>
    <w:rsid w:val="00415A58"/>
    <w:rsid w:val="00415EAE"/>
    <w:rsid w:val="00420632"/>
    <w:rsid w:val="00421192"/>
    <w:rsid w:val="00426762"/>
    <w:rsid w:val="00436F35"/>
    <w:rsid w:val="004422B6"/>
    <w:rsid w:val="004441DB"/>
    <w:rsid w:val="00453796"/>
    <w:rsid w:val="004556E5"/>
    <w:rsid w:val="00465114"/>
    <w:rsid w:val="0047097C"/>
    <w:rsid w:val="004A1004"/>
    <w:rsid w:val="004A175B"/>
    <w:rsid w:val="004A601D"/>
    <w:rsid w:val="004C1DB4"/>
    <w:rsid w:val="004C5FA4"/>
    <w:rsid w:val="004C7660"/>
    <w:rsid w:val="004D141F"/>
    <w:rsid w:val="004D149A"/>
    <w:rsid w:val="004D51F8"/>
    <w:rsid w:val="004D6D95"/>
    <w:rsid w:val="004E33E0"/>
    <w:rsid w:val="004F310D"/>
    <w:rsid w:val="004F7C1A"/>
    <w:rsid w:val="00501406"/>
    <w:rsid w:val="00503E8A"/>
    <w:rsid w:val="00510544"/>
    <w:rsid w:val="005303E0"/>
    <w:rsid w:val="005361BC"/>
    <w:rsid w:val="0054130D"/>
    <w:rsid w:val="00542A80"/>
    <w:rsid w:val="005468AB"/>
    <w:rsid w:val="0055312B"/>
    <w:rsid w:val="00553DF0"/>
    <w:rsid w:val="0055765B"/>
    <w:rsid w:val="00557864"/>
    <w:rsid w:val="005619D9"/>
    <w:rsid w:val="005637E7"/>
    <w:rsid w:val="005639BF"/>
    <w:rsid w:val="0057044F"/>
    <w:rsid w:val="005705FE"/>
    <w:rsid w:val="00574CF0"/>
    <w:rsid w:val="005A2196"/>
    <w:rsid w:val="005A5DEB"/>
    <w:rsid w:val="005A7FA7"/>
    <w:rsid w:val="005B12F8"/>
    <w:rsid w:val="005B2F4C"/>
    <w:rsid w:val="005B340A"/>
    <w:rsid w:val="005B3D21"/>
    <w:rsid w:val="005C4D05"/>
    <w:rsid w:val="005C73E4"/>
    <w:rsid w:val="005D1DB4"/>
    <w:rsid w:val="005E0A21"/>
    <w:rsid w:val="005E1C5B"/>
    <w:rsid w:val="005E1E31"/>
    <w:rsid w:val="005E24EB"/>
    <w:rsid w:val="005F4274"/>
    <w:rsid w:val="005F42B3"/>
    <w:rsid w:val="006017C6"/>
    <w:rsid w:val="00603796"/>
    <w:rsid w:val="00604B63"/>
    <w:rsid w:val="00610E3F"/>
    <w:rsid w:val="0061288A"/>
    <w:rsid w:val="00636805"/>
    <w:rsid w:val="00653155"/>
    <w:rsid w:val="00665680"/>
    <w:rsid w:val="006770A2"/>
    <w:rsid w:val="00685FA7"/>
    <w:rsid w:val="00686CB3"/>
    <w:rsid w:val="006933C7"/>
    <w:rsid w:val="00694CA9"/>
    <w:rsid w:val="006A6BDA"/>
    <w:rsid w:val="006B1AB8"/>
    <w:rsid w:val="006B3941"/>
    <w:rsid w:val="006B60D1"/>
    <w:rsid w:val="006C0B7B"/>
    <w:rsid w:val="006C13FD"/>
    <w:rsid w:val="006C1DD6"/>
    <w:rsid w:val="006C36F3"/>
    <w:rsid w:val="006C7E15"/>
    <w:rsid w:val="006D1178"/>
    <w:rsid w:val="006D30F9"/>
    <w:rsid w:val="006E3061"/>
    <w:rsid w:val="006E5EBD"/>
    <w:rsid w:val="006F4A7E"/>
    <w:rsid w:val="006F7358"/>
    <w:rsid w:val="00704F53"/>
    <w:rsid w:val="00712A9D"/>
    <w:rsid w:val="00714641"/>
    <w:rsid w:val="007164F5"/>
    <w:rsid w:val="00717483"/>
    <w:rsid w:val="00723989"/>
    <w:rsid w:val="00724ACA"/>
    <w:rsid w:val="007267E9"/>
    <w:rsid w:val="00732743"/>
    <w:rsid w:val="00734F62"/>
    <w:rsid w:val="00735197"/>
    <w:rsid w:val="007373C4"/>
    <w:rsid w:val="007429AD"/>
    <w:rsid w:val="0074307C"/>
    <w:rsid w:val="00753465"/>
    <w:rsid w:val="007535E8"/>
    <w:rsid w:val="00754052"/>
    <w:rsid w:val="00766133"/>
    <w:rsid w:val="0077364E"/>
    <w:rsid w:val="00775EC4"/>
    <w:rsid w:val="00792BC6"/>
    <w:rsid w:val="007930FB"/>
    <w:rsid w:val="007954ED"/>
    <w:rsid w:val="007A16FA"/>
    <w:rsid w:val="007A5058"/>
    <w:rsid w:val="007B0AE9"/>
    <w:rsid w:val="007B2024"/>
    <w:rsid w:val="007C1E62"/>
    <w:rsid w:val="007C7C30"/>
    <w:rsid w:val="007D6DC1"/>
    <w:rsid w:val="007D6F3F"/>
    <w:rsid w:val="007F5C9E"/>
    <w:rsid w:val="00800465"/>
    <w:rsid w:val="00801087"/>
    <w:rsid w:val="00803A7B"/>
    <w:rsid w:val="00810EC3"/>
    <w:rsid w:val="00811B37"/>
    <w:rsid w:val="00813139"/>
    <w:rsid w:val="00820F83"/>
    <w:rsid w:val="008215EE"/>
    <w:rsid w:val="00825603"/>
    <w:rsid w:val="008306B1"/>
    <w:rsid w:val="00833FB2"/>
    <w:rsid w:val="00835800"/>
    <w:rsid w:val="0083669B"/>
    <w:rsid w:val="008373C5"/>
    <w:rsid w:val="00840D21"/>
    <w:rsid w:val="0084199F"/>
    <w:rsid w:val="0084672E"/>
    <w:rsid w:val="00863C25"/>
    <w:rsid w:val="008656D3"/>
    <w:rsid w:val="00870D24"/>
    <w:rsid w:val="0088155E"/>
    <w:rsid w:val="00883FFA"/>
    <w:rsid w:val="00891D7B"/>
    <w:rsid w:val="008A489E"/>
    <w:rsid w:val="008B11FF"/>
    <w:rsid w:val="008B1767"/>
    <w:rsid w:val="008B4306"/>
    <w:rsid w:val="008B753A"/>
    <w:rsid w:val="008B7F99"/>
    <w:rsid w:val="008C2AC3"/>
    <w:rsid w:val="008C6A61"/>
    <w:rsid w:val="008C7297"/>
    <w:rsid w:val="008D1149"/>
    <w:rsid w:val="008D2F74"/>
    <w:rsid w:val="008E02FC"/>
    <w:rsid w:val="008E0344"/>
    <w:rsid w:val="008E4BD4"/>
    <w:rsid w:val="008E76D5"/>
    <w:rsid w:val="008F0AA6"/>
    <w:rsid w:val="008F180F"/>
    <w:rsid w:val="00902BEF"/>
    <w:rsid w:val="00911E91"/>
    <w:rsid w:val="00915D04"/>
    <w:rsid w:val="00921D9C"/>
    <w:rsid w:val="009231D4"/>
    <w:rsid w:val="009247EE"/>
    <w:rsid w:val="00932A24"/>
    <w:rsid w:val="00934EE7"/>
    <w:rsid w:val="009414DA"/>
    <w:rsid w:val="00954158"/>
    <w:rsid w:val="00960324"/>
    <w:rsid w:val="0096133A"/>
    <w:rsid w:val="009626A8"/>
    <w:rsid w:val="00962ADB"/>
    <w:rsid w:val="00963E03"/>
    <w:rsid w:val="00970F64"/>
    <w:rsid w:val="0098552E"/>
    <w:rsid w:val="00991E5F"/>
    <w:rsid w:val="00992C10"/>
    <w:rsid w:val="009A5173"/>
    <w:rsid w:val="009B2D8C"/>
    <w:rsid w:val="009C5B9C"/>
    <w:rsid w:val="009D1E04"/>
    <w:rsid w:val="009E285A"/>
    <w:rsid w:val="009F1993"/>
    <w:rsid w:val="009F2820"/>
    <w:rsid w:val="009F696B"/>
    <w:rsid w:val="00A12468"/>
    <w:rsid w:val="00A13B23"/>
    <w:rsid w:val="00A340F3"/>
    <w:rsid w:val="00A3578A"/>
    <w:rsid w:val="00A3642E"/>
    <w:rsid w:val="00A37338"/>
    <w:rsid w:val="00A427AE"/>
    <w:rsid w:val="00A42EA0"/>
    <w:rsid w:val="00A4441B"/>
    <w:rsid w:val="00A4549A"/>
    <w:rsid w:val="00A47820"/>
    <w:rsid w:val="00A62511"/>
    <w:rsid w:val="00A70260"/>
    <w:rsid w:val="00A7059B"/>
    <w:rsid w:val="00A72FFA"/>
    <w:rsid w:val="00A8027E"/>
    <w:rsid w:val="00A950CA"/>
    <w:rsid w:val="00A95D79"/>
    <w:rsid w:val="00A97585"/>
    <w:rsid w:val="00A978BC"/>
    <w:rsid w:val="00AB3654"/>
    <w:rsid w:val="00AB3811"/>
    <w:rsid w:val="00AB6259"/>
    <w:rsid w:val="00AB752E"/>
    <w:rsid w:val="00AC11CF"/>
    <w:rsid w:val="00AC60FA"/>
    <w:rsid w:val="00AD78FB"/>
    <w:rsid w:val="00AE2A0B"/>
    <w:rsid w:val="00AF5F9A"/>
    <w:rsid w:val="00AF7747"/>
    <w:rsid w:val="00B0062B"/>
    <w:rsid w:val="00B0166C"/>
    <w:rsid w:val="00B0660C"/>
    <w:rsid w:val="00B11198"/>
    <w:rsid w:val="00B247CD"/>
    <w:rsid w:val="00B34C87"/>
    <w:rsid w:val="00B54FF5"/>
    <w:rsid w:val="00B65C4E"/>
    <w:rsid w:val="00B65E8F"/>
    <w:rsid w:val="00B66C01"/>
    <w:rsid w:val="00B67448"/>
    <w:rsid w:val="00B74D42"/>
    <w:rsid w:val="00B764CC"/>
    <w:rsid w:val="00B76F20"/>
    <w:rsid w:val="00B80B3E"/>
    <w:rsid w:val="00B87140"/>
    <w:rsid w:val="00B91737"/>
    <w:rsid w:val="00BA3675"/>
    <w:rsid w:val="00BA790C"/>
    <w:rsid w:val="00BB0D72"/>
    <w:rsid w:val="00BB229D"/>
    <w:rsid w:val="00BB4492"/>
    <w:rsid w:val="00BB4F17"/>
    <w:rsid w:val="00BB57DB"/>
    <w:rsid w:val="00BB5EE4"/>
    <w:rsid w:val="00BB692E"/>
    <w:rsid w:val="00BC13A4"/>
    <w:rsid w:val="00BD0D19"/>
    <w:rsid w:val="00BD6C47"/>
    <w:rsid w:val="00BF5628"/>
    <w:rsid w:val="00C05EAB"/>
    <w:rsid w:val="00C06DAE"/>
    <w:rsid w:val="00C13CC6"/>
    <w:rsid w:val="00C22600"/>
    <w:rsid w:val="00C246A0"/>
    <w:rsid w:val="00C366E8"/>
    <w:rsid w:val="00C47E8F"/>
    <w:rsid w:val="00C62F39"/>
    <w:rsid w:val="00C63E37"/>
    <w:rsid w:val="00C74257"/>
    <w:rsid w:val="00C74FA8"/>
    <w:rsid w:val="00C779A9"/>
    <w:rsid w:val="00C80416"/>
    <w:rsid w:val="00C835B7"/>
    <w:rsid w:val="00C93854"/>
    <w:rsid w:val="00CA22EE"/>
    <w:rsid w:val="00CA2F5A"/>
    <w:rsid w:val="00CA4A7E"/>
    <w:rsid w:val="00CB1F27"/>
    <w:rsid w:val="00CB6900"/>
    <w:rsid w:val="00CD01E9"/>
    <w:rsid w:val="00CD0D50"/>
    <w:rsid w:val="00CD2070"/>
    <w:rsid w:val="00CD2E2E"/>
    <w:rsid w:val="00CF0040"/>
    <w:rsid w:val="00CF33A8"/>
    <w:rsid w:val="00D02FE5"/>
    <w:rsid w:val="00D03691"/>
    <w:rsid w:val="00D04844"/>
    <w:rsid w:val="00D103A7"/>
    <w:rsid w:val="00D10AAE"/>
    <w:rsid w:val="00D12434"/>
    <w:rsid w:val="00D14F36"/>
    <w:rsid w:val="00D16F6C"/>
    <w:rsid w:val="00D20A53"/>
    <w:rsid w:val="00D22ED5"/>
    <w:rsid w:val="00D31CB2"/>
    <w:rsid w:val="00D32E79"/>
    <w:rsid w:val="00D36B0B"/>
    <w:rsid w:val="00D41829"/>
    <w:rsid w:val="00D50056"/>
    <w:rsid w:val="00D5494A"/>
    <w:rsid w:val="00D61553"/>
    <w:rsid w:val="00D63E34"/>
    <w:rsid w:val="00D64BFE"/>
    <w:rsid w:val="00D66B3D"/>
    <w:rsid w:val="00D6774A"/>
    <w:rsid w:val="00D71900"/>
    <w:rsid w:val="00D73D81"/>
    <w:rsid w:val="00D80D27"/>
    <w:rsid w:val="00D92993"/>
    <w:rsid w:val="00D92F48"/>
    <w:rsid w:val="00DA74BC"/>
    <w:rsid w:val="00DB2D7A"/>
    <w:rsid w:val="00DC0150"/>
    <w:rsid w:val="00DC191F"/>
    <w:rsid w:val="00DC6D2B"/>
    <w:rsid w:val="00DC7B34"/>
    <w:rsid w:val="00DD0CFD"/>
    <w:rsid w:val="00DD5C12"/>
    <w:rsid w:val="00DD75F9"/>
    <w:rsid w:val="00DE2322"/>
    <w:rsid w:val="00DE6128"/>
    <w:rsid w:val="00DF7D49"/>
    <w:rsid w:val="00E122D0"/>
    <w:rsid w:val="00E1790E"/>
    <w:rsid w:val="00E24229"/>
    <w:rsid w:val="00E2426D"/>
    <w:rsid w:val="00E25022"/>
    <w:rsid w:val="00E31BF2"/>
    <w:rsid w:val="00E3326B"/>
    <w:rsid w:val="00E3540A"/>
    <w:rsid w:val="00E35D12"/>
    <w:rsid w:val="00E37C66"/>
    <w:rsid w:val="00E44B03"/>
    <w:rsid w:val="00E47A91"/>
    <w:rsid w:val="00E527E6"/>
    <w:rsid w:val="00E5494E"/>
    <w:rsid w:val="00E574FE"/>
    <w:rsid w:val="00E64497"/>
    <w:rsid w:val="00E71F54"/>
    <w:rsid w:val="00E7362E"/>
    <w:rsid w:val="00E82437"/>
    <w:rsid w:val="00E91AD5"/>
    <w:rsid w:val="00E95744"/>
    <w:rsid w:val="00EB58E9"/>
    <w:rsid w:val="00EB5B06"/>
    <w:rsid w:val="00EC4272"/>
    <w:rsid w:val="00EC73B3"/>
    <w:rsid w:val="00ED2DE9"/>
    <w:rsid w:val="00EF3C2F"/>
    <w:rsid w:val="00EF4169"/>
    <w:rsid w:val="00EF51F7"/>
    <w:rsid w:val="00EF53D4"/>
    <w:rsid w:val="00EF549D"/>
    <w:rsid w:val="00F00B00"/>
    <w:rsid w:val="00F1625A"/>
    <w:rsid w:val="00F16936"/>
    <w:rsid w:val="00F20497"/>
    <w:rsid w:val="00F210D5"/>
    <w:rsid w:val="00F214C5"/>
    <w:rsid w:val="00F225D4"/>
    <w:rsid w:val="00F2430B"/>
    <w:rsid w:val="00F3093E"/>
    <w:rsid w:val="00F54D7F"/>
    <w:rsid w:val="00F57201"/>
    <w:rsid w:val="00F67F7F"/>
    <w:rsid w:val="00F7217B"/>
    <w:rsid w:val="00F75012"/>
    <w:rsid w:val="00F76A73"/>
    <w:rsid w:val="00F80B3F"/>
    <w:rsid w:val="00F84672"/>
    <w:rsid w:val="00F93146"/>
    <w:rsid w:val="00FA05F2"/>
    <w:rsid w:val="00FA59E1"/>
    <w:rsid w:val="00FA5A83"/>
    <w:rsid w:val="00FB76FF"/>
    <w:rsid w:val="00FC1118"/>
    <w:rsid w:val="00FC19C8"/>
    <w:rsid w:val="00FC2C90"/>
    <w:rsid w:val="00FD1790"/>
    <w:rsid w:val="00FD4CAB"/>
    <w:rsid w:val="00FD4EC0"/>
    <w:rsid w:val="00FD6485"/>
    <w:rsid w:val="00FE54AC"/>
    <w:rsid w:val="00FE56AE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5972"/>
  <w15:chartTrackingRefBased/>
  <w15:docId w15:val="{CCB80C3C-F6D1-41A1-936F-1B35CE6B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lang w:val="it-IT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6762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430B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2430B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2430B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2430B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2430B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430B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430B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430B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430B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4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24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243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2430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2430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430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430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43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43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43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243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430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430B"/>
    <w:rPr>
      <w:rFonts w:eastAsiaTheme="minorEastAsia"/>
      <w:color w:val="5A5A5A" w:themeColor="text1" w:themeTint="A5"/>
      <w:spacing w:val="15"/>
    </w:rPr>
  </w:style>
  <w:style w:type="character" w:styleId="Enfasicorsivo">
    <w:name w:val="Emphasis"/>
    <w:basedOn w:val="Carpredefinitoparagrafo"/>
    <w:uiPriority w:val="20"/>
    <w:qFormat/>
    <w:rsid w:val="00F2430B"/>
    <w:rPr>
      <w:i/>
      <w:iCs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Normale"/>
    <w:link w:val="ParagrafoelencoCarattere"/>
    <w:uiPriority w:val="34"/>
    <w:qFormat/>
    <w:rsid w:val="00F2430B"/>
    <w:pPr>
      <w:ind w:left="720"/>
      <w:contextualSpacing/>
    </w:pPr>
  </w:style>
  <w:style w:type="character" w:styleId="Riferimentodelicato">
    <w:name w:val="Subtle Reference"/>
    <w:basedOn w:val="Carpredefinitoparagrafo"/>
    <w:uiPriority w:val="31"/>
    <w:qFormat/>
    <w:rsid w:val="00F2430B"/>
    <w:rPr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F2430B"/>
    <w:rPr>
      <w:b/>
      <w:bCs/>
      <w:smallCaps/>
      <w:color w:val="4472C4" w:themeColor="accent1"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F2430B"/>
    <w:pPr>
      <w:numPr>
        <w:numId w:val="0"/>
      </w:numPr>
      <w:outlineLvl w:val="9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6762"/>
    <w:rPr>
      <w:color w:val="0563C1" w:themeColor="hyperlink"/>
      <w:u w:val="single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lp1 Carattere"/>
    <w:link w:val="Paragrafoelenco"/>
    <w:uiPriority w:val="34"/>
    <w:qFormat/>
    <w:locked/>
    <w:rsid w:val="00426762"/>
  </w:style>
  <w:style w:type="paragraph" w:styleId="NormaleWeb">
    <w:name w:val="Normal (Web)"/>
    <w:basedOn w:val="Normale"/>
    <w:uiPriority w:val="99"/>
    <w:unhideWhenUsed/>
    <w:rsid w:val="003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E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580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5800"/>
    <w:rPr>
      <w:i/>
      <w:iCs/>
      <w:color w:val="4472C4" w:themeColor="accent1"/>
      <w:kern w:val="0"/>
      <w14:ligatures w14:val="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91E5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1E5F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C40"/>
    <w:rPr>
      <w:rFonts w:ascii="Segoe UI" w:hAnsi="Segoe UI" w:cs="Segoe UI"/>
      <w:kern w:val="0"/>
      <w:sz w:val="18"/>
      <w:szCs w:val="18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FD4E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D4EC0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D4EC0"/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4E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4EC0"/>
    <w:rPr>
      <w:b/>
      <w:bCs/>
      <w:kern w:val="0"/>
      <w14:ligatures w14:val="none"/>
    </w:rPr>
  </w:style>
  <w:style w:type="paragraph" w:styleId="Revisione">
    <w:name w:val="Revision"/>
    <w:hidden/>
    <w:uiPriority w:val="99"/>
    <w:semiHidden/>
    <w:rsid w:val="008C7297"/>
    <w:pPr>
      <w:spacing w:after="0" w:line="240" w:lineRule="auto"/>
    </w:pPr>
    <w:rPr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37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7338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37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33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7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settiegatti.eu/info/norme/statali/2016_0097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Titillium"/>
        <a:ea typeface=""/>
        <a:cs typeface=""/>
      </a:majorFont>
      <a:minorFont>
        <a:latin typeface="Titill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79EE748F646E46829F6A48E9573011" ma:contentTypeVersion="4" ma:contentTypeDescription="Creare un nuovo documento." ma:contentTypeScope="" ma:versionID="f4716b66d1dc952a75f3084303ecfcd4">
  <xsd:schema xmlns:xsd="http://www.w3.org/2001/XMLSchema" xmlns:xs="http://www.w3.org/2001/XMLSchema" xmlns:p="http://schemas.microsoft.com/office/2006/metadata/properties" xmlns:ns2="993ad101-62d6-4fad-9ff5-ffd0120f2b0b" targetNamespace="http://schemas.microsoft.com/office/2006/metadata/properties" ma:root="true" ma:fieldsID="632b1cc51c0621e050d9b8d4fa392347" ns2:_="">
    <xsd:import namespace="993ad101-62d6-4fad-9ff5-ffd0120f2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ad101-62d6-4fad-9ff5-ffd0120f2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53D73-F479-41F1-B9C0-8400BA9FE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B11C5-AA97-4CEF-8649-36793DB09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ad101-62d6-4fad-9ff5-ffd0120f2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6ADE2E-E1C3-48A3-A18A-E02649871F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455F50-5A81-4DEE-8489-CCAC753D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Bocchetti Enrico</dc:creator>
  <cp:keywords/>
  <dc:description/>
  <cp:lastModifiedBy>URAC</cp:lastModifiedBy>
  <cp:revision>49</cp:revision>
  <dcterms:created xsi:type="dcterms:W3CDTF">2023-09-22T09:53:00Z</dcterms:created>
  <dcterms:modified xsi:type="dcterms:W3CDTF">2023-11-13T10:40:00Z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0x010100DE79EE748F646E46829F6A48E9573011</vt:lpwstr>
  </property>
</Properties>
</file>