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C2052" w14:textId="77777777" w:rsidR="00A00C17" w:rsidRDefault="0074667D" w:rsidP="008F21CA">
      <w:pPr>
        <w:pStyle w:val="Titolo1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Servizi erogati</w:t>
      </w:r>
      <w:r w:rsidR="00987BCD">
        <w:rPr>
          <w:sz w:val="24"/>
          <w:szCs w:val="24"/>
        </w:rPr>
        <w:t xml:space="preserve"> (art. 32 d.lgs. 33/2013)</w:t>
      </w:r>
    </w:p>
    <w:p w14:paraId="63A09A6A" w14:textId="77777777" w:rsidR="008F21CA" w:rsidRPr="008F21CA" w:rsidRDefault="008F21CA" w:rsidP="008F21CA">
      <w:bookmarkStart w:id="0" w:name="_GoBack"/>
      <w:bookmarkEnd w:id="0"/>
    </w:p>
    <w:p w14:paraId="2350D04B" w14:textId="77777777" w:rsidR="00410A6C" w:rsidRDefault="007670C3" w:rsidP="00410A6C">
      <w:pPr>
        <w:pStyle w:val="Titolo1"/>
        <w:numPr>
          <w:ilvl w:val="0"/>
          <w:numId w:val="0"/>
        </w:numPr>
        <w:rPr>
          <w:sz w:val="24"/>
          <w:szCs w:val="24"/>
        </w:rPr>
      </w:pPr>
      <w:r>
        <w:rPr>
          <w:rStyle w:val="Riferimentodelicato"/>
          <w:smallCaps w:val="0"/>
          <w:color w:val="2F5496" w:themeColor="accent1" w:themeShade="BF"/>
          <w:sz w:val="24"/>
          <w:szCs w:val="24"/>
        </w:rPr>
        <w:t>La norma</w:t>
      </w:r>
      <w:r w:rsidR="000813D6">
        <w:rPr>
          <w:rStyle w:val="Riferimentodelicato"/>
          <w:smallCaps w:val="0"/>
          <w:color w:val="2F5496" w:themeColor="accent1" w:themeShade="BF"/>
          <w:sz w:val="24"/>
          <w:szCs w:val="24"/>
        </w:rPr>
        <w:t xml:space="preserve"> </w:t>
      </w:r>
      <w:r w:rsidR="00410A6C">
        <w:rPr>
          <w:sz w:val="24"/>
          <w:szCs w:val="24"/>
        </w:rPr>
        <w:t>(art. 32 d.lgs. 33/2013)</w:t>
      </w:r>
    </w:p>
    <w:p w14:paraId="6E53836B" w14:textId="77777777" w:rsidR="0074667D" w:rsidRPr="0074667D" w:rsidRDefault="0074667D" w:rsidP="008D7C12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74667D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1. Le pubbliche amministrazioni e i gestori di pubblici servizi pubblicano la carta dei servizi o il documento contenente gli standard di qualità dei servizi pubblici.</w:t>
      </w:r>
    </w:p>
    <w:p w14:paraId="14E5863A" w14:textId="77777777" w:rsidR="0074667D" w:rsidRPr="0074667D" w:rsidRDefault="0074667D" w:rsidP="008D7C12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74667D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2. Le pubbliche amministrazioni e i gestori di pubblici servizi, individuati i servizi erogati agli utenti, sia finali che intermedi, ai sensi dell'</w:t>
      </w:r>
      <w:hyperlink r:id="rId11" w:anchor="10" w:history="1">
        <w:r w:rsidRPr="0074667D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articolo 10, comma 5</w:t>
        </w:r>
      </w:hyperlink>
      <w:r w:rsidRPr="0074667D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, pubblicano:</w:t>
      </w:r>
    </w:p>
    <w:p w14:paraId="445B1757" w14:textId="77777777" w:rsidR="0074667D" w:rsidRPr="0074667D" w:rsidRDefault="0074667D" w:rsidP="008D7C12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74667D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a) i costi contabilizzati;</w:t>
      </w:r>
      <w:r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 xml:space="preserve"> </w:t>
      </w:r>
      <w:r w:rsidRPr="0074667D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(lettera così modificata dall'</w:t>
      </w:r>
      <w:hyperlink r:id="rId12" w:anchor="28" w:history="1">
        <w:r w:rsidRPr="0074667D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art. 28 del d.lgs. n. 97 del 2016</w:t>
        </w:r>
      </w:hyperlink>
      <w:r w:rsidRPr="0074667D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)</w:t>
      </w:r>
      <w:r w:rsidRPr="0074667D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br/>
        <w:t>b)</w:t>
      </w:r>
      <w:r w:rsidRPr="0074667D">
        <w:rPr>
          <w:rFonts w:ascii="Calibri" w:eastAsiaTheme="minorHAnsi" w:hAnsi="Calibri" w:cs="Calibri"/>
          <w:i/>
          <w:iCs/>
          <w:sz w:val="20"/>
          <w:szCs w:val="20"/>
          <w:lang w:eastAsia="en-US"/>
        </w:rPr>
        <w:t> </w:t>
      </w:r>
      <w:r w:rsidRPr="0074667D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(lettera abrogata dall'</w:t>
      </w:r>
      <w:hyperlink r:id="rId13" w:anchor="28" w:history="1">
        <w:r w:rsidRPr="0074667D">
          <w:rPr>
            <w:rFonts w:ascii="Titillium" w:eastAsiaTheme="minorHAnsi" w:hAnsi="Titillium" w:cstheme="minorBidi"/>
            <w:i/>
            <w:iCs/>
            <w:sz w:val="20"/>
            <w:szCs w:val="20"/>
            <w:lang w:eastAsia="en-US"/>
          </w:rPr>
          <w:t>art. 28 del d.lgs. n. 97 del 2016</w:t>
        </w:r>
      </w:hyperlink>
      <w:r w:rsidRPr="0074667D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)</w:t>
      </w:r>
    </w:p>
    <w:p w14:paraId="759B4E40" w14:textId="77777777" w:rsidR="0074667D" w:rsidRDefault="0074667D" w:rsidP="0080436C">
      <w:pPr>
        <w:pStyle w:val="Titolo2"/>
        <w:numPr>
          <w:ilvl w:val="0"/>
          <w:numId w:val="0"/>
        </w:numPr>
        <w:ind w:left="576" w:hanging="576"/>
        <w:jc w:val="both"/>
        <w:rPr>
          <w:rStyle w:val="Riferimentodelicato"/>
          <w:smallCaps w:val="0"/>
          <w:color w:val="2F5496" w:themeColor="accent1" w:themeShade="BF"/>
          <w:sz w:val="24"/>
          <w:szCs w:val="24"/>
        </w:rPr>
      </w:pPr>
    </w:p>
    <w:p w14:paraId="6215F1CC" w14:textId="77777777" w:rsidR="00987BCD" w:rsidRPr="00BC3F1D" w:rsidRDefault="00482D18" w:rsidP="00DB4E6F">
      <w:pPr>
        <w:pStyle w:val="Titolo1"/>
        <w:numPr>
          <w:ilvl w:val="0"/>
          <w:numId w:val="0"/>
        </w:numPr>
        <w:rPr>
          <w:rStyle w:val="Riferimentodelicato"/>
          <w:color w:val="2F5496" w:themeColor="accent1" w:themeShade="BF"/>
          <w:sz w:val="24"/>
          <w:szCs w:val="24"/>
        </w:rPr>
      </w:pPr>
      <w:r w:rsidRPr="004E660F">
        <w:rPr>
          <w:rStyle w:val="Riferimentodelicato"/>
          <w:color w:val="2F5496" w:themeColor="accent1" w:themeShade="BF"/>
          <w:sz w:val="24"/>
          <w:szCs w:val="24"/>
        </w:rPr>
        <w:t>Altre normative</w:t>
      </w:r>
      <w:r w:rsidR="00410A6C" w:rsidRPr="004E660F">
        <w:rPr>
          <w:rStyle w:val="Riferimentodelicato"/>
          <w:color w:val="2F5496" w:themeColor="accent1" w:themeShade="BF"/>
          <w:sz w:val="24"/>
          <w:szCs w:val="24"/>
        </w:rPr>
        <w:t xml:space="preserve"> richiamate nel presente modello</w:t>
      </w:r>
    </w:p>
    <w:p w14:paraId="6BC29538" w14:textId="77777777" w:rsidR="008D7C12" w:rsidRDefault="00B92429" w:rsidP="008D7C12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Cs/>
          <w:sz w:val="20"/>
          <w:szCs w:val="20"/>
          <w:lang w:eastAsia="en-US"/>
        </w:rPr>
      </w:pPr>
      <w:bookmarkStart w:id="1" w:name="inizio"/>
      <w:r w:rsidRPr="004E660F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DECRETO LEGISLATIVO 20 dicembre 2009, n. 19</w:t>
      </w:r>
      <w:bookmarkEnd w:id="1"/>
      <w:r w:rsidR="00410A6C" w:rsidRPr="004E660F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8 “</w:t>
      </w:r>
      <w:r w:rsidRPr="004E660F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Attuazione dell'art. 4 della legge 4 marzo 2009, n. 15, in materia di ricorso per l'efficienza delle amministrazioni e dei concessionari di servizi pubblici</w:t>
      </w:r>
      <w:r w:rsidR="00410A6C" w:rsidRPr="004E660F">
        <w:rPr>
          <w:rFonts w:ascii="Titillium" w:eastAsiaTheme="minorHAnsi" w:hAnsi="Titillium" w:cstheme="minorBidi"/>
          <w:iCs/>
          <w:sz w:val="20"/>
          <w:szCs w:val="20"/>
          <w:lang w:eastAsia="en-US"/>
        </w:rPr>
        <w:t>”</w:t>
      </w:r>
    </w:p>
    <w:p w14:paraId="0237B09B" w14:textId="77777777" w:rsidR="008D7C12" w:rsidRDefault="008D7C12" w:rsidP="008D7C12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Cs/>
          <w:sz w:val="20"/>
          <w:szCs w:val="20"/>
          <w:lang w:eastAsia="en-US"/>
        </w:rPr>
      </w:pPr>
    </w:p>
    <w:p w14:paraId="458D5B58" w14:textId="77777777" w:rsidR="008D7C12" w:rsidRDefault="00097363" w:rsidP="008D7C12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Cs/>
          <w:sz w:val="20"/>
          <w:szCs w:val="20"/>
          <w:lang w:val="en-GB" w:eastAsia="en-US"/>
        </w:rPr>
      </w:pPr>
      <w:r w:rsidRPr="008D7C12">
        <w:rPr>
          <w:rFonts w:ascii="Titillium" w:eastAsiaTheme="minorHAnsi" w:hAnsi="Titillium" w:cstheme="minorBidi"/>
          <w:iCs/>
          <w:sz w:val="20"/>
          <w:szCs w:val="20"/>
          <w:lang w:val="en-GB" w:eastAsia="en-US"/>
        </w:rPr>
        <w:t xml:space="preserve">Dati sulla Class Action </w:t>
      </w:r>
    </w:p>
    <w:p w14:paraId="346585E3" w14:textId="77777777" w:rsidR="008D7C12" w:rsidRDefault="008D7C12" w:rsidP="008D7C12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Cs/>
          <w:sz w:val="20"/>
          <w:szCs w:val="20"/>
          <w:lang w:val="en-GB" w:eastAsia="en-US"/>
        </w:rPr>
      </w:pPr>
    </w:p>
    <w:p w14:paraId="5301F214" w14:textId="53F68BFF" w:rsidR="00B92429" w:rsidRPr="008D7C12" w:rsidRDefault="00B92429" w:rsidP="008D7C12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Cs/>
          <w:sz w:val="20"/>
          <w:szCs w:val="20"/>
          <w:lang w:eastAsia="en-US"/>
        </w:rPr>
      </w:pPr>
      <w:r w:rsidRPr="008D7C12">
        <w:rPr>
          <w:rFonts w:ascii="Titillium" w:eastAsiaTheme="minorHAnsi" w:hAnsi="Titillium" w:cstheme="minorBidi"/>
          <w:b/>
          <w:i/>
          <w:iCs/>
          <w:sz w:val="20"/>
          <w:szCs w:val="20"/>
          <w:lang w:val="en-GB" w:eastAsia="en-US"/>
        </w:rPr>
        <w:t xml:space="preserve">Art. 1. </w:t>
      </w:r>
      <w:r w:rsidRPr="004E660F">
        <w:rPr>
          <w:rFonts w:ascii="Titillium" w:eastAsiaTheme="minorHAnsi" w:hAnsi="Titillium" w:cstheme="minorBidi"/>
          <w:b/>
          <w:i/>
          <w:iCs/>
          <w:sz w:val="20"/>
          <w:szCs w:val="20"/>
          <w:lang w:eastAsia="en-US"/>
        </w:rPr>
        <w:t>Presupposti dell'azione e legittimazione ad agire</w:t>
      </w:r>
    </w:p>
    <w:p w14:paraId="0CB0D936" w14:textId="77777777" w:rsidR="00DB4E6F" w:rsidRPr="004E660F" w:rsidRDefault="00DB4E6F" w:rsidP="008D7C12">
      <w:pPr>
        <w:spacing w:after="0" w:line="240" w:lineRule="auto"/>
        <w:jc w:val="both"/>
        <w:rPr>
          <w:rFonts w:ascii="Titillium" w:hAnsi="Titillium"/>
          <w:i/>
          <w:iCs/>
        </w:rPr>
      </w:pPr>
      <w:r w:rsidRPr="004E660F">
        <w:rPr>
          <w:rFonts w:ascii="Titillium" w:hAnsi="Titillium"/>
          <w:i/>
          <w:iCs/>
        </w:rPr>
        <w:t>[..]</w:t>
      </w:r>
    </w:p>
    <w:p w14:paraId="7789AE54" w14:textId="77777777" w:rsidR="00B92429" w:rsidRPr="004E660F" w:rsidRDefault="00B92429" w:rsidP="008D7C12">
      <w:pPr>
        <w:spacing w:after="0" w:line="240" w:lineRule="auto"/>
        <w:jc w:val="both"/>
        <w:rPr>
          <w:rFonts w:ascii="Titillium" w:hAnsi="Titillium"/>
          <w:i/>
          <w:iCs/>
        </w:rPr>
      </w:pPr>
      <w:r w:rsidRPr="004E660F">
        <w:rPr>
          <w:rFonts w:ascii="Titillium" w:hAnsi="Titillium"/>
          <w:i/>
          <w:iCs/>
        </w:rPr>
        <w:t>Co. 2 Del ricorso è data immediatamente notizia sul sito istituzionale dell'amministrazione o del concessionario intimati; il ricorso è altresì comunicato al Ministro per la pubblica amministrazione e l'innovazione.</w:t>
      </w:r>
    </w:p>
    <w:p w14:paraId="77F1B1D1" w14:textId="77777777" w:rsidR="00B92429" w:rsidRPr="004E660F" w:rsidRDefault="00B92429" w:rsidP="008D7C12">
      <w:pPr>
        <w:jc w:val="both"/>
        <w:rPr>
          <w:rFonts w:ascii="Titillium" w:hAnsi="Titillium"/>
          <w:i/>
          <w:iCs/>
        </w:rPr>
      </w:pPr>
    </w:p>
    <w:p w14:paraId="0E3F8EF2" w14:textId="77777777" w:rsidR="00B92429" w:rsidRPr="004E660F" w:rsidRDefault="00B92429" w:rsidP="008D7C12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b/>
          <w:i/>
          <w:iCs/>
          <w:sz w:val="20"/>
          <w:szCs w:val="20"/>
          <w:lang w:eastAsia="en-US"/>
        </w:rPr>
      </w:pPr>
      <w:r w:rsidRPr="004E660F">
        <w:rPr>
          <w:rFonts w:ascii="Titillium" w:eastAsiaTheme="minorHAnsi" w:hAnsi="Titillium" w:cstheme="minorBidi"/>
          <w:b/>
          <w:i/>
          <w:iCs/>
          <w:sz w:val="20"/>
          <w:szCs w:val="20"/>
          <w:lang w:eastAsia="en-US"/>
        </w:rPr>
        <w:t>Art. 4. Sentenza</w:t>
      </w:r>
    </w:p>
    <w:p w14:paraId="375BA2AC" w14:textId="77777777" w:rsidR="00DB4E6F" w:rsidRPr="004E660F" w:rsidRDefault="00DB4E6F" w:rsidP="008D7C12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b/>
          <w:i/>
          <w:iCs/>
          <w:sz w:val="20"/>
          <w:szCs w:val="20"/>
          <w:lang w:eastAsia="en-US"/>
        </w:rPr>
      </w:pPr>
      <w:r w:rsidRPr="004E660F">
        <w:rPr>
          <w:rFonts w:ascii="Titillium" w:eastAsiaTheme="minorHAnsi" w:hAnsi="Titillium" w:cstheme="minorBidi"/>
          <w:b/>
          <w:i/>
          <w:iCs/>
          <w:sz w:val="20"/>
          <w:szCs w:val="20"/>
          <w:lang w:eastAsia="en-US"/>
        </w:rPr>
        <w:t>[..]</w:t>
      </w:r>
    </w:p>
    <w:p w14:paraId="517C6245" w14:textId="77777777" w:rsidR="00B92429" w:rsidRPr="004E660F" w:rsidRDefault="00B92429" w:rsidP="008D7C12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4E660F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2. Della sentenza che definisce il giudizio è data notizia con le stesse modalità previste per il ricorso dall'articolo 1, comma 2.</w:t>
      </w:r>
    </w:p>
    <w:p w14:paraId="2BD2DD57" w14:textId="77777777" w:rsidR="00B92429" w:rsidRPr="004E660F" w:rsidRDefault="00B92429" w:rsidP="008D7C12">
      <w:pPr>
        <w:pStyle w:val="NormaleWeb"/>
        <w:spacing w:before="0" w:beforeAutospacing="0" w:after="0" w:afterAutospacing="0"/>
        <w:jc w:val="both"/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</w:pPr>
      <w:r w:rsidRPr="004E660F">
        <w:rPr>
          <w:rFonts w:ascii="Titillium" w:eastAsiaTheme="minorHAnsi" w:hAnsi="Titillium" w:cstheme="minorBidi"/>
          <w:i/>
          <w:iCs/>
          <w:sz w:val="20"/>
          <w:szCs w:val="20"/>
          <w:lang w:eastAsia="en-US"/>
        </w:rPr>
        <w:t>6. Le misure adottate in ottemperanza alla sentenza sono pubblicate sul sito istituzionale del Ministro per la pubblica amministrazione e l'innovazione e sul sito istituzionale dell'amministrazione o del concessionario soccombente in giudizio.</w:t>
      </w:r>
    </w:p>
    <w:p w14:paraId="53821823" w14:textId="77777777" w:rsidR="00B92429" w:rsidRPr="004E660F" w:rsidRDefault="00B92429" w:rsidP="008D7C12">
      <w:pPr>
        <w:jc w:val="both"/>
      </w:pPr>
    </w:p>
    <w:p w14:paraId="40E4E622" w14:textId="0F60BB3B" w:rsidR="00410A6C" w:rsidRPr="004E660F" w:rsidRDefault="00410A6C" w:rsidP="008D7C12">
      <w:pPr>
        <w:spacing w:after="0" w:line="240" w:lineRule="auto"/>
        <w:jc w:val="both"/>
      </w:pPr>
      <w:r w:rsidRPr="004E660F">
        <w:t>DECRE</w:t>
      </w:r>
      <w:r w:rsidR="00747004">
        <w:t>TO LEGISLATIVO 23 dicembre 2022</w:t>
      </w:r>
      <w:r w:rsidRPr="004E660F">
        <w:t>, n. 201 . Riordino della disciplina dei servizi pubblici locali di rilevanza economica.</w:t>
      </w:r>
    </w:p>
    <w:p w14:paraId="285D8404" w14:textId="77777777" w:rsidR="000A6C63" w:rsidRPr="004E660F" w:rsidRDefault="00482D18" w:rsidP="008D7C12">
      <w:pPr>
        <w:spacing w:after="0" w:line="240" w:lineRule="auto"/>
        <w:jc w:val="both"/>
        <w:rPr>
          <w:b/>
          <w:i/>
        </w:rPr>
      </w:pPr>
      <w:r w:rsidRPr="004E660F">
        <w:rPr>
          <w:b/>
          <w:i/>
        </w:rPr>
        <w:t>Art. 31, d.lgs. 201/2022</w:t>
      </w:r>
      <w:r w:rsidR="00410A6C" w:rsidRPr="004E660F">
        <w:rPr>
          <w:b/>
          <w:i/>
        </w:rPr>
        <w:t xml:space="preserve"> </w:t>
      </w:r>
      <w:r w:rsidR="000A6C63" w:rsidRPr="004E660F">
        <w:rPr>
          <w:b/>
          <w:i/>
        </w:rPr>
        <w:t>Trasparenza nei servizi pubblici locali</w:t>
      </w:r>
    </w:p>
    <w:p w14:paraId="269E42E1" w14:textId="77777777" w:rsidR="000A6C63" w:rsidRPr="004E660F" w:rsidRDefault="000A6C63" w:rsidP="008D7C12">
      <w:pPr>
        <w:spacing w:after="0" w:line="240" w:lineRule="auto"/>
        <w:jc w:val="both"/>
        <w:rPr>
          <w:i/>
        </w:rPr>
      </w:pPr>
      <w:r w:rsidRPr="004E660F">
        <w:rPr>
          <w:i/>
        </w:rPr>
        <w:t xml:space="preserve"> 1. Al fine di rafforzare la trasparenza e la comprensibilità degli atti e dei dati concernenti l’affidamento e la gestione dei servizi pubblici</w:t>
      </w:r>
      <w:r w:rsidR="00142150" w:rsidRPr="004E660F">
        <w:rPr>
          <w:i/>
        </w:rPr>
        <w:t xml:space="preserve"> locali di rilevanza economica, </w:t>
      </w:r>
      <w:r w:rsidRPr="004E660F">
        <w:rPr>
          <w:i/>
        </w:rPr>
        <w:t>gli enti locali redigono la deliberazione di cui all’articolo 10, comma 5, la relazione di cui all’articolo 14, comma 3, la deliberazione di cu</w:t>
      </w:r>
      <w:r w:rsidR="00142150" w:rsidRPr="004E660F">
        <w:rPr>
          <w:i/>
        </w:rPr>
        <w:t xml:space="preserve">i all’articolo 17, comma 2 e la </w:t>
      </w:r>
      <w:r w:rsidRPr="004E660F">
        <w:rPr>
          <w:i/>
        </w:rPr>
        <w:t>relazione di cui all’arti</w:t>
      </w:r>
      <w:r w:rsidR="00142150" w:rsidRPr="004E660F">
        <w:rPr>
          <w:i/>
        </w:rPr>
        <w:t xml:space="preserve">colo 30, comma 2, tenendo conto </w:t>
      </w:r>
      <w:r w:rsidRPr="004E660F">
        <w:rPr>
          <w:i/>
        </w:rPr>
        <w:t>degli atti e degli indicatori di cui agli articoli 7, 8 e 9.</w:t>
      </w:r>
    </w:p>
    <w:p w14:paraId="207878C6" w14:textId="77777777" w:rsidR="000A6C63" w:rsidRPr="004E660F" w:rsidRDefault="000A6C63" w:rsidP="008D7C12">
      <w:pPr>
        <w:spacing w:after="0" w:line="240" w:lineRule="auto"/>
        <w:jc w:val="both"/>
        <w:rPr>
          <w:i/>
        </w:rPr>
      </w:pPr>
      <w:r w:rsidRPr="004E660F">
        <w:rPr>
          <w:i/>
        </w:rPr>
        <w:t xml:space="preserve"> 2. Gli atti di cui al comma 1 e il contratto di servizio sono pubblicati senza indugio sul sito istituzionale</w:t>
      </w:r>
      <w:r w:rsidR="00142150" w:rsidRPr="004E660F">
        <w:rPr>
          <w:i/>
        </w:rPr>
        <w:t xml:space="preserve"> </w:t>
      </w:r>
      <w:r w:rsidRPr="004E660F">
        <w:rPr>
          <w:i/>
        </w:rPr>
        <w:t>dell’ente affidante e trasmessi contestualmente</w:t>
      </w:r>
      <w:r w:rsidR="00142150" w:rsidRPr="004E660F">
        <w:rPr>
          <w:i/>
        </w:rPr>
        <w:t xml:space="preserve"> all’Anac, </w:t>
      </w:r>
      <w:r w:rsidRPr="004E660F">
        <w:rPr>
          <w:i/>
        </w:rPr>
        <w:t>che provvede alla loro immediata pubblicazione sul proprio portale telematico, in un’apposita sezione denominata «Trasparenza dei servi</w:t>
      </w:r>
      <w:r w:rsidR="00142150" w:rsidRPr="004E660F">
        <w:rPr>
          <w:i/>
        </w:rPr>
        <w:t xml:space="preserve">zi pubblici locali di rilevanza </w:t>
      </w:r>
      <w:r w:rsidRPr="004E660F">
        <w:rPr>
          <w:i/>
        </w:rPr>
        <w:t>economica – Traspar</w:t>
      </w:r>
      <w:r w:rsidR="00142150" w:rsidRPr="004E660F">
        <w:rPr>
          <w:i/>
        </w:rPr>
        <w:t xml:space="preserve">enza SPL», dando evidenza della </w:t>
      </w:r>
      <w:r w:rsidRPr="004E660F">
        <w:rPr>
          <w:i/>
        </w:rPr>
        <w:t>data di pubblicazione.</w:t>
      </w:r>
    </w:p>
    <w:p w14:paraId="48BDFEE6" w14:textId="77777777" w:rsidR="000A6C63" w:rsidRPr="004E660F" w:rsidRDefault="000A6C63" w:rsidP="008D7C12">
      <w:pPr>
        <w:spacing w:after="0" w:line="240" w:lineRule="auto"/>
        <w:jc w:val="both"/>
        <w:rPr>
          <w:i/>
        </w:rPr>
      </w:pPr>
      <w:r w:rsidRPr="004E660F">
        <w:rPr>
          <w:i/>
        </w:rPr>
        <w:t xml:space="preserve"> 3. I medesimi atti sono resi accessibili anche attraverso la piattaforma unica del</w:t>
      </w:r>
      <w:r w:rsidR="00142150" w:rsidRPr="004E660F">
        <w:rPr>
          <w:i/>
        </w:rPr>
        <w:t xml:space="preserve">la trasparenza gestita da Anac, </w:t>
      </w:r>
      <w:r w:rsidRPr="004E660F">
        <w:rPr>
          <w:i/>
        </w:rPr>
        <w:t>che costituisce punto di acce</w:t>
      </w:r>
      <w:r w:rsidR="00142150" w:rsidRPr="004E660F">
        <w:rPr>
          <w:i/>
        </w:rPr>
        <w:t xml:space="preserve">sso unico per gli atti e i dati </w:t>
      </w:r>
      <w:r w:rsidRPr="004E660F">
        <w:rPr>
          <w:i/>
        </w:rPr>
        <w:t>relativi ai servizi pubblic</w:t>
      </w:r>
      <w:r w:rsidR="00142150" w:rsidRPr="004E660F">
        <w:rPr>
          <w:i/>
        </w:rPr>
        <w:t xml:space="preserve">i locali di rilevanza economica </w:t>
      </w:r>
      <w:r w:rsidRPr="004E660F">
        <w:rPr>
          <w:i/>
        </w:rPr>
        <w:t>attraverso il collegamento al luogo di prima pubblicazione di cui al comma 2.</w:t>
      </w:r>
    </w:p>
    <w:p w14:paraId="3BE89585" w14:textId="77777777" w:rsidR="000A6C63" w:rsidRPr="004E660F" w:rsidRDefault="000A6C63" w:rsidP="008D7C12">
      <w:pPr>
        <w:spacing w:after="0" w:line="240" w:lineRule="auto"/>
        <w:jc w:val="both"/>
        <w:rPr>
          <w:i/>
        </w:rPr>
      </w:pPr>
      <w:r w:rsidRPr="004E660F">
        <w:rPr>
          <w:i/>
        </w:rPr>
        <w:t xml:space="preserve"> 4. Sulla piattaforma </w:t>
      </w:r>
      <w:r w:rsidR="00142150" w:rsidRPr="004E660F">
        <w:rPr>
          <w:i/>
        </w:rPr>
        <w:t xml:space="preserve">unica della trasparenza gestita </w:t>
      </w:r>
      <w:r w:rsidRPr="004E660F">
        <w:rPr>
          <w:i/>
        </w:rPr>
        <w:t>dall’ANAC sono anche resi accessibili, secondo le modalità di cui al comma 3:</w:t>
      </w:r>
    </w:p>
    <w:p w14:paraId="64BCF298" w14:textId="77777777" w:rsidR="000A6C63" w:rsidRPr="004E660F" w:rsidRDefault="000A6C63" w:rsidP="008D7C12">
      <w:pPr>
        <w:spacing w:after="0" w:line="240" w:lineRule="auto"/>
        <w:jc w:val="both"/>
        <w:rPr>
          <w:i/>
        </w:rPr>
      </w:pPr>
      <w:r w:rsidRPr="004E660F">
        <w:rPr>
          <w:i/>
        </w:rPr>
        <w:lastRenderedPageBreak/>
        <w:t>a) gli ulteriori dati rela</w:t>
      </w:r>
      <w:r w:rsidR="00142150" w:rsidRPr="004E660F">
        <w:rPr>
          <w:i/>
        </w:rPr>
        <w:t xml:space="preserve">tivi ai servizi pubblici locali </w:t>
      </w:r>
      <w:r w:rsidRPr="004E660F">
        <w:rPr>
          <w:i/>
        </w:rPr>
        <w:t>di rilevanza economica contenuti nella banca dati nazionale sui contratti pubblici;</w:t>
      </w:r>
    </w:p>
    <w:p w14:paraId="3FB3A4E9" w14:textId="77777777" w:rsidR="000A6C63" w:rsidRPr="004E660F" w:rsidRDefault="000A6C63" w:rsidP="008D7C12">
      <w:pPr>
        <w:spacing w:after="0" w:line="240" w:lineRule="auto"/>
        <w:jc w:val="both"/>
        <w:rPr>
          <w:i/>
        </w:rPr>
      </w:pPr>
      <w:r w:rsidRPr="004E660F">
        <w:rPr>
          <w:i/>
        </w:rPr>
        <w:t>b) le rilevazioni periodiche in materia di trasporto pubblico locale pubb</w:t>
      </w:r>
      <w:r w:rsidR="00142150" w:rsidRPr="004E660F">
        <w:rPr>
          <w:i/>
        </w:rPr>
        <w:t xml:space="preserve">licate dall’Osservatorio di cui </w:t>
      </w:r>
      <w:r w:rsidRPr="004E660F">
        <w:rPr>
          <w:i/>
        </w:rPr>
        <w:t>all’articolo 1, comma 300</w:t>
      </w:r>
      <w:r w:rsidR="00142150" w:rsidRPr="004E660F">
        <w:rPr>
          <w:i/>
        </w:rPr>
        <w:t xml:space="preserve">, della legge 24 dicembre 2007, </w:t>
      </w:r>
      <w:r w:rsidRPr="004E660F">
        <w:rPr>
          <w:i/>
        </w:rPr>
        <w:t>n. 244;</w:t>
      </w:r>
    </w:p>
    <w:p w14:paraId="69CA4380" w14:textId="77777777" w:rsidR="000A6C63" w:rsidRPr="004E660F" w:rsidRDefault="000A6C63" w:rsidP="008D7C12">
      <w:pPr>
        <w:spacing w:after="0" w:line="240" w:lineRule="auto"/>
        <w:jc w:val="both"/>
        <w:rPr>
          <w:i/>
        </w:rPr>
      </w:pPr>
      <w:r w:rsidRPr="004E660F">
        <w:rPr>
          <w:i/>
        </w:rPr>
        <w:t>c) gli atti e gli indicat</w:t>
      </w:r>
      <w:r w:rsidR="00142150" w:rsidRPr="004E660F">
        <w:rPr>
          <w:i/>
        </w:rPr>
        <w:t xml:space="preserve">ori cui agli articoli 7, 8 e 9, </w:t>
      </w:r>
      <w:r w:rsidRPr="004E660F">
        <w:rPr>
          <w:i/>
        </w:rPr>
        <w:t>nonché, ove disponibili, le informazioni sugli effettivi livelli di qualità conseguiti dai gestori pubblicati dalle autorità di settore sui propri siti istituzionali.</w:t>
      </w:r>
    </w:p>
    <w:p w14:paraId="0F8C82EF" w14:textId="77777777" w:rsidR="000A6C63" w:rsidRPr="004E660F" w:rsidRDefault="000A6C63" w:rsidP="008D7C12">
      <w:pPr>
        <w:spacing w:after="0" w:line="240" w:lineRule="auto"/>
        <w:jc w:val="both"/>
        <w:rPr>
          <w:i/>
        </w:rPr>
      </w:pPr>
      <w:r w:rsidRPr="004E660F">
        <w:rPr>
          <w:i/>
        </w:rPr>
        <w:t xml:space="preserve"> 5. Gli atti e i dati di cui al pr</w:t>
      </w:r>
      <w:r w:rsidR="00142150" w:rsidRPr="004E660F">
        <w:rPr>
          <w:i/>
        </w:rPr>
        <w:t xml:space="preserve">esente articolo sono resi </w:t>
      </w:r>
      <w:r w:rsidRPr="004E660F">
        <w:rPr>
          <w:i/>
        </w:rPr>
        <w:t>disponibili dall’ente che li produce in conformità a quanto previsto dall’articolo 5</w:t>
      </w:r>
      <w:r w:rsidR="00142150" w:rsidRPr="004E660F">
        <w:rPr>
          <w:i/>
        </w:rPr>
        <w:t xml:space="preserve">0 del decreto legislativo n. 82 </w:t>
      </w:r>
      <w:r w:rsidRPr="004E660F">
        <w:rPr>
          <w:i/>
        </w:rPr>
        <w:t>del 2005.</w:t>
      </w:r>
    </w:p>
    <w:p w14:paraId="1C87C0DA" w14:textId="77777777" w:rsidR="00987BCD" w:rsidRPr="007642F6" w:rsidRDefault="000A6C63" w:rsidP="008D7C12">
      <w:pPr>
        <w:spacing w:after="0" w:line="240" w:lineRule="auto"/>
        <w:jc w:val="both"/>
        <w:rPr>
          <w:i/>
        </w:rPr>
      </w:pPr>
      <w:r w:rsidRPr="004E660F">
        <w:rPr>
          <w:i/>
        </w:rPr>
        <w:t xml:space="preserve"> 6. Gli enti locali, le ammi</w:t>
      </w:r>
      <w:r w:rsidR="00142150" w:rsidRPr="004E660F">
        <w:rPr>
          <w:i/>
        </w:rPr>
        <w:t xml:space="preserve">nistrazioni statali, le Regioni </w:t>
      </w:r>
      <w:r w:rsidRPr="004E660F">
        <w:rPr>
          <w:i/>
        </w:rPr>
        <w:t>e le Autorità di regolazione hanno accesso alla piattaforma dell’ANAC, ai sensi dell’articolo 50 del decreto legislativo 7 marzo 2005, n. 82</w:t>
      </w:r>
      <w:r w:rsidR="00142150" w:rsidRPr="004E660F">
        <w:rPr>
          <w:i/>
        </w:rPr>
        <w:t xml:space="preserve">, anche al fine di esercitare i </w:t>
      </w:r>
      <w:r w:rsidRPr="004E660F">
        <w:rPr>
          <w:i/>
        </w:rPr>
        <w:t>poteri di verifica e monitora</w:t>
      </w:r>
      <w:r w:rsidR="00142150" w:rsidRPr="004E660F">
        <w:rPr>
          <w:i/>
        </w:rPr>
        <w:t xml:space="preserve">ggio rispettivamente attribuiti </w:t>
      </w:r>
      <w:r w:rsidRPr="004E660F">
        <w:rPr>
          <w:i/>
        </w:rPr>
        <w:t>dalla normativa vigente.</w:t>
      </w:r>
    </w:p>
    <w:p w14:paraId="1EFE1D40" w14:textId="77777777" w:rsidR="00987BCD" w:rsidRDefault="00987BCD" w:rsidP="008D7C12">
      <w:pPr>
        <w:jc w:val="both"/>
      </w:pPr>
    </w:p>
    <w:p w14:paraId="15B4E09E" w14:textId="77777777" w:rsidR="00F2799B" w:rsidRDefault="00F2799B" w:rsidP="008D7C12">
      <w:pPr>
        <w:jc w:val="both"/>
      </w:pPr>
      <w:r>
        <w:br w:type="page"/>
      </w:r>
    </w:p>
    <w:p w14:paraId="5719C1FF" w14:textId="77777777" w:rsidR="00987BCD" w:rsidRPr="007642F6" w:rsidRDefault="00987BCD" w:rsidP="007642F6"/>
    <w:p w14:paraId="1234411C" w14:textId="77777777" w:rsidR="003E03EE" w:rsidRPr="00381E40" w:rsidRDefault="003E03EE" w:rsidP="00381E40">
      <w:pPr>
        <w:pStyle w:val="Titolo2"/>
        <w:numPr>
          <w:ilvl w:val="0"/>
          <w:numId w:val="0"/>
        </w:numPr>
        <w:ind w:left="576" w:hanging="576"/>
        <w:rPr>
          <w:rStyle w:val="Riferimentodelicato"/>
          <w:smallCaps w:val="0"/>
          <w:color w:val="2F5496" w:themeColor="accent1" w:themeShade="BF"/>
          <w:sz w:val="24"/>
          <w:szCs w:val="24"/>
        </w:rPr>
      </w:pPr>
      <w:r w:rsidRPr="00381E40">
        <w:rPr>
          <w:rStyle w:val="Riferimentodelicato"/>
          <w:smallCaps w:val="0"/>
          <w:color w:val="2F5496" w:themeColor="accent1" w:themeShade="BF"/>
          <w:sz w:val="24"/>
          <w:szCs w:val="24"/>
        </w:rPr>
        <w:t>Schemi di pubblicazione</w:t>
      </w:r>
    </w:p>
    <w:p w14:paraId="79B2911B" w14:textId="77777777" w:rsidR="00176941" w:rsidRPr="00467C1F" w:rsidRDefault="00E5494E" w:rsidP="00467C1F">
      <w:pPr>
        <w:pStyle w:val="NormaleWeb"/>
        <w:jc w:val="both"/>
        <w:rPr>
          <w:rFonts w:ascii="Titillium" w:eastAsiaTheme="minorHAnsi" w:hAnsi="Titillium" w:cstheme="minorBidi"/>
          <w:sz w:val="20"/>
          <w:szCs w:val="20"/>
          <w:lang w:eastAsia="en-US"/>
        </w:rPr>
      </w:pPr>
      <w:r>
        <w:rPr>
          <w:rFonts w:ascii="Titillium" w:eastAsiaTheme="minorHAnsi" w:hAnsi="Titillium" w:cstheme="minorBidi"/>
          <w:sz w:val="20"/>
          <w:szCs w:val="20"/>
          <w:lang w:eastAsia="en-US"/>
        </w:rPr>
        <w:t>G</w:t>
      </w:r>
      <w:r w:rsidRPr="00E5494E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li schemi rappresentano informazioni da pubblicare ex-novo nella Sezione “Amministrazione Trasparente” del sito istituzionale dell’amministrazione, sotto-sezione di </w:t>
      </w:r>
      <w:r w:rsidR="0040254A">
        <w:rPr>
          <w:rFonts w:ascii="Titillium" w:eastAsiaTheme="minorHAnsi" w:hAnsi="Titillium" w:cstheme="minorBidi"/>
          <w:sz w:val="20"/>
          <w:szCs w:val="20"/>
          <w:lang w:eastAsia="en-US"/>
        </w:rPr>
        <w:t>primo</w:t>
      </w:r>
      <w:r w:rsidRPr="00E5494E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 livello “</w:t>
      </w:r>
      <w:r w:rsidR="0074667D" w:rsidRPr="0074667D">
        <w:rPr>
          <w:rFonts w:ascii="Titillium" w:eastAsiaTheme="minorHAnsi" w:hAnsi="Titillium" w:cstheme="minorBidi"/>
          <w:sz w:val="20"/>
          <w:szCs w:val="20"/>
          <w:lang w:eastAsia="en-US"/>
        </w:rPr>
        <w:t>Servizi erogati</w:t>
      </w:r>
      <w:r w:rsidR="005A2196">
        <w:rPr>
          <w:rFonts w:ascii="Titillium" w:eastAsiaTheme="minorHAnsi" w:hAnsi="Titillium" w:cstheme="minorBidi"/>
          <w:sz w:val="20"/>
          <w:szCs w:val="20"/>
          <w:lang w:eastAsia="en-US"/>
        </w:rPr>
        <w:t>”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539"/>
        <w:gridCol w:w="2977"/>
        <w:gridCol w:w="3118"/>
      </w:tblGrid>
      <w:tr w:rsidR="00412DE3" w:rsidRPr="00991E5F" w14:paraId="72EA8A53" w14:textId="77777777" w:rsidTr="0074667D">
        <w:tc>
          <w:tcPr>
            <w:tcW w:w="3539" w:type="dxa"/>
            <w:shd w:val="clear" w:color="auto" w:fill="1F3864" w:themeFill="accent1" w:themeFillShade="80"/>
          </w:tcPr>
          <w:p w14:paraId="5275B304" w14:textId="77777777" w:rsidR="00412DE3" w:rsidRPr="00991E5F" w:rsidRDefault="00412DE3" w:rsidP="004A3C57">
            <w:pPr>
              <w:jc w:val="center"/>
              <w:rPr>
                <w:sz w:val="18"/>
                <w:szCs w:val="18"/>
              </w:rPr>
            </w:pPr>
            <w:r w:rsidRPr="00991E5F">
              <w:rPr>
                <w:sz w:val="18"/>
                <w:szCs w:val="18"/>
              </w:rPr>
              <w:t>SEZIONE</w:t>
            </w:r>
          </w:p>
        </w:tc>
        <w:tc>
          <w:tcPr>
            <w:tcW w:w="2977" w:type="dxa"/>
            <w:shd w:val="clear" w:color="auto" w:fill="1F3864" w:themeFill="accent1" w:themeFillShade="80"/>
          </w:tcPr>
          <w:p w14:paraId="08618430" w14:textId="77777777" w:rsidR="00412DE3" w:rsidRPr="00991E5F" w:rsidRDefault="00412DE3" w:rsidP="004A3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AGGIORNAMENTO</w:t>
            </w:r>
          </w:p>
        </w:tc>
        <w:tc>
          <w:tcPr>
            <w:tcW w:w="3118" w:type="dxa"/>
            <w:shd w:val="clear" w:color="auto" w:fill="1F3864" w:themeFill="accent1" w:themeFillShade="80"/>
          </w:tcPr>
          <w:p w14:paraId="2018CFD9" w14:textId="77777777" w:rsidR="00412DE3" w:rsidRPr="00991E5F" w:rsidRDefault="00412DE3" w:rsidP="004A3C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Rif. NORMATIVI</w:t>
            </w:r>
          </w:p>
        </w:tc>
      </w:tr>
      <w:tr w:rsidR="00412DE3" w:rsidRPr="0074667D" w14:paraId="745EFDF5" w14:textId="77777777" w:rsidTr="0074667D">
        <w:tc>
          <w:tcPr>
            <w:tcW w:w="3539" w:type="dxa"/>
          </w:tcPr>
          <w:p w14:paraId="2AC991D5" w14:textId="77777777" w:rsidR="00412DE3" w:rsidRPr="004F7C1A" w:rsidRDefault="0074667D" w:rsidP="006B25AC">
            <w:pPr>
              <w:rPr>
                <w:sz w:val="18"/>
                <w:szCs w:val="18"/>
              </w:rPr>
            </w:pPr>
            <w:r w:rsidRPr="0074667D">
              <w:rPr>
                <w:sz w:val="18"/>
                <w:szCs w:val="18"/>
              </w:rPr>
              <w:t xml:space="preserve">Carta dei servizi e standard di qualità </w:t>
            </w:r>
            <w:r w:rsidR="009A7100">
              <w:rPr>
                <w:sz w:val="18"/>
                <w:szCs w:val="18"/>
              </w:rPr>
              <w:t>(R</w:t>
            </w:r>
            <w:r w:rsidR="00B311CF">
              <w:rPr>
                <w:sz w:val="18"/>
                <w:szCs w:val="18"/>
              </w:rPr>
              <w:t>if.</w:t>
            </w:r>
            <w:r w:rsidR="00B211C6">
              <w:rPr>
                <w:color w:val="2F5496" w:themeColor="accent1" w:themeShade="BF"/>
                <w:sz w:val="18"/>
                <w:szCs w:val="18"/>
                <w:u w:val="double"/>
              </w:rPr>
              <w:t xml:space="preserve"> </w:t>
            </w:r>
            <w:r w:rsidR="00B211C6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="00B211C6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_Ref144202764 \h  \* MERGEFORMAT </w:instrText>
            </w:r>
            <w:r w:rsidR="00B211C6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="00B211C6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B211C6" w:rsidRPr="00B211C6">
              <w:rPr>
                <w:color w:val="2F5496" w:themeColor="accent1" w:themeShade="BF"/>
                <w:sz w:val="18"/>
                <w:szCs w:val="18"/>
                <w:u w:val="double"/>
              </w:rPr>
              <w:t>Carta dei servizi e standard di qualità</w:t>
            </w:r>
            <w:r w:rsidR="00B211C6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="009A7100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11EC5FA4" w14:textId="77777777" w:rsidR="00412DE3" w:rsidRPr="00991E5F" w:rsidRDefault="00467C1F" w:rsidP="00991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Tempestivo</w:t>
            </w:r>
          </w:p>
        </w:tc>
        <w:tc>
          <w:tcPr>
            <w:tcW w:w="3118" w:type="dxa"/>
          </w:tcPr>
          <w:p w14:paraId="341DC017" w14:textId="77777777" w:rsidR="00412DE3" w:rsidRPr="00EC7747" w:rsidRDefault="0074667D" w:rsidP="00467C1F">
            <w:pPr>
              <w:rPr>
                <w:sz w:val="18"/>
                <w:szCs w:val="18"/>
                <w:lang w:val="de-DE"/>
              </w:rPr>
            </w:pPr>
            <w:r w:rsidRPr="0074667D">
              <w:rPr>
                <w:sz w:val="18"/>
                <w:szCs w:val="18"/>
                <w:lang w:val="de-DE"/>
              </w:rPr>
              <w:t>Art. 32, c. 1, d.lgs. n. 33/2013</w:t>
            </w:r>
          </w:p>
        </w:tc>
      </w:tr>
      <w:tr w:rsidR="00B311CF" w:rsidRPr="0074667D" w14:paraId="14ABB8F7" w14:textId="77777777" w:rsidTr="0074667D">
        <w:tc>
          <w:tcPr>
            <w:tcW w:w="3539" w:type="dxa"/>
          </w:tcPr>
          <w:p w14:paraId="7B418468" w14:textId="77777777" w:rsidR="00B311CF" w:rsidRDefault="0074667D" w:rsidP="00B31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 w:rsidRPr="0074667D">
              <w:rPr>
                <w:sz w:val="18"/>
                <w:szCs w:val="18"/>
              </w:rPr>
              <w:t xml:space="preserve">osti contabilizzati dei servizi </w:t>
            </w:r>
            <w:r w:rsidR="00B311CF">
              <w:rPr>
                <w:sz w:val="18"/>
                <w:szCs w:val="18"/>
              </w:rPr>
              <w:t>(Rif.</w:t>
            </w:r>
            <w:r w:rsidR="00340F1F">
              <w:rPr>
                <w:color w:val="2F5496" w:themeColor="accent1" w:themeShade="BF"/>
                <w:sz w:val="18"/>
                <w:szCs w:val="18"/>
                <w:u w:val="double"/>
              </w:rPr>
              <w:t xml:space="preserve"> </w:t>
            </w:r>
            <w:r w:rsidR="00340F1F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="00340F1F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_Ref144202942 \h  \* MERGEFORMAT </w:instrText>
            </w:r>
            <w:r w:rsidR="00340F1F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="00340F1F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340F1F" w:rsidRPr="00340F1F">
              <w:rPr>
                <w:color w:val="2F5496" w:themeColor="accent1" w:themeShade="BF"/>
                <w:sz w:val="18"/>
                <w:szCs w:val="18"/>
                <w:u w:val="double"/>
              </w:rPr>
              <w:t>Costi contabilizzati dei servizi</w:t>
            </w:r>
            <w:r w:rsidR="00340F1F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="00B311CF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1B8172E8" w14:textId="77777777" w:rsidR="00B311CF" w:rsidRDefault="0074667D" w:rsidP="00B311CF">
            <w:pPr>
              <w:rPr>
                <w:sz w:val="18"/>
                <w:szCs w:val="18"/>
              </w:rPr>
            </w:pPr>
            <w:r w:rsidRPr="0074667D">
              <w:rPr>
                <w:sz w:val="18"/>
                <w:szCs w:val="18"/>
              </w:rPr>
              <w:t>Annuale</w:t>
            </w:r>
          </w:p>
        </w:tc>
        <w:tc>
          <w:tcPr>
            <w:tcW w:w="3118" w:type="dxa"/>
          </w:tcPr>
          <w:p w14:paraId="50220220" w14:textId="77777777" w:rsidR="0074667D" w:rsidRPr="0074667D" w:rsidRDefault="0074667D" w:rsidP="0074667D">
            <w:pPr>
              <w:rPr>
                <w:sz w:val="18"/>
                <w:szCs w:val="18"/>
                <w:lang w:val="en-US"/>
              </w:rPr>
            </w:pPr>
            <w:r w:rsidRPr="0074667D">
              <w:rPr>
                <w:sz w:val="18"/>
                <w:szCs w:val="18"/>
                <w:lang w:val="en-US"/>
              </w:rPr>
              <w:t>Art. 32, c. 2, lett. a), d.lgs. n. 33/2013</w:t>
            </w:r>
          </w:p>
          <w:p w14:paraId="43B86948" w14:textId="77777777" w:rsidR="00B311CF" w:rsidRPr="00467C1F" w:rsidRDefault="0074667D" w:rsidP="0074667D">
            <w:pPr>
              <w:rPr>
                <w:sz w:val="18"/>
                <w:szCs w:val="18"/>
                <w:lang w:val="de-DE"/>
              </w:rPr>
            </w:pPr>
            <w:r w:rsidRPr="0074667D">
              <w:rPr>
                <w:sz w:val="18"/>
                <w:szCs w:val="18"/>
                <w:lang w:val="de-DE"/>
              </w:rPr>
              <w:t>Art. 10, c. 5, d.lgs. n. 33/2013</w:t>
            </w:r>
          </w:p>
        </w:tc>
      </w:tr>
      <w:tr w:rsidR="00B311CF" w:rsidRPr="0074667D" w14:paraId="1B5DF6EB" w14:textId="77777777" w:rsidTr="0074667D">
        <w:tc>
          <w:tcPr>
            <w:tcW w:w="3539" w:type="dxa"/>
          </w:tcPr>
          <w:p w14:paraId="1AE38BFD" w14:textId="77777777" w:rsidR="00B311CF" w:rsidRPr="00B311CF" w:rsidRDefault="0074667D" w:rsidP="00B31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74667D">
              <w:rPr>
                <w:sz w:val="18"/>
                <w:szCs w:val="18"/>
              </w:rPr>
              <w:t xml:space="preserve">ervizi di rete </w:t>
            </w:r>
            <w:r w:rsidR="00B311CF">
              <w:rPr>
                <w:sz w:val="18"/>
                <w:szCs w:val="18"/>
              </w:rPr>
              <w:t>(Rif.</w:t>
            </w:r>
            <w:r w:rsidR="008A5DFB">
              <w:rPr>
                <w:color w:val="2F5496" w:themeColor="accent1" w:themeShade="BF"/>
                <w:sz w:val="18"/>
                <w:szCs w:val="18"/>
                <w:u w:val="double"/>
              </w:rPr>
              <w:t xml:space="preserve"> </w:t>
            </w:r>
            <w:r w:rsidR="008A5DFB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="008A5DFB">
              <w:rPr>
                <w:color w:val="2F5496" w:themeColor="accent1" w:themeShade="BF"/>
                <w:sz w:val="18"/>
                <w:szCs w:val="18"/>
                <w:u w:val="double"/>
              </w:rPr>
              <w:instrText xml:space="preserve"> REF _Ref144203465 \h  \* MERGEFORMAT </w:instrText>
            </w:r>
            <w:r w:rsidR="008A5DFB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="008A5DFB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8A5DFB" w:rsidRPr="008A5DFB">
              <w:rPr>
                <w:color w:val="2F5496" w:themeColor="accent1" w:themeShade="BF"/>
                <w:sz w:val="18"/>
                <w:szCs w:val="18"/>
                <w:u w:val="double"/>
              </w:rPr>
              <w:t>Servizi di rete</w:t>
            </w:r>
            <w:r w:rsidR="008A5DFB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="00B311CF" w:rsidRPr="008A5DFB">
              <w:rPr>
                <w:color w:val="2F5496" w:themeColor="accent1" w:themeShade="BF"/>
                <w:sz w:val="18"/>
                <w:szCs w:val="18"/>
                <w:u w:val="double"/>
              </w:rPr>
              <w:t>)</w:t>
            </w:r>
          </w:p>
        </w:tc>
        <w:tc>
          <w:tcPr>
            <w:tcW w:w="2977" w:type="dxa"/>
          </w:tcPr>
          <w:p w14:paraId="267E1B7D" w14:textId="77777777" w:rsidR="00B311CF" w:rsidRPr="000A41BD" w:rsidRDefault="0074667D" w:rsidP="00B311CF">
            <w:pPr>
              <w:rPr>
                <w:sz w:val="18"/>
                <w:szCs w:val="18"/>
                <w:lang w:val="de-DE"/>
              </w:rPr>
            </w:pPr>
            <w:r w:rsidRPr="0074667D">
              <w:rPr>
                <w:sz w:val="18"/>
                <w:szCs w:val="18"/>
              </w:rPr>
              <w:t>Annuale</w:t>
            </w:r>
          </w:p>
        </w:tc>
        <w:tc>
          <w:tcPr>
            <w:tcW w:w="3118" w:type="dxa"/>
          </w:tcPr>
          <w:p w14:paraId="4EF15530" w14:textId="77777777" w:rsidR="00B311CF" w:rsidRPr="00467C1F" w:rsidRDefault="0074667D" w:rsidP="00B311CF">
            <w:pPr>
              <w:rPr>
                <w:sz w:val="18"/>
                <w:szCs w:val="18"/>
                <w:lang w:val="de-DE"/>
              </w:rPr>
            </w:pPr>
            <w:r w:rsidRPr="0074667D">
              <w:rPr>
                <w:sz w:val="18"/>
                <w:szCs w:val="18"/>
                <w:lang w:val="de-DE"/>
              </w:rPr>
              <w:t>Art. 7</w:t>
            </w:r>
            <w:r>
              <w:rPr>
                <w:sz w:val="18"/>
                <w:szCs w:val="18"/>
                <w:lang w:val="de-DE"/>
              </w:rPr>
              <w:t>,</w:t>
            </w:r>
            <w:r w:rsidRPr="0074667D">
              <w:rPr>
                <w:sz w:val="18"/>
                <w:szCs w:val="18"/>
                <w:lang w:val="de-DE"/>
              </w:rPr>
              <w:t xml:space="preserve"> co. 3 d.lgs. 82/2005</w:t>
            </w:r>
          </w:p>
        </w:tc>
      </w:tr>
      <w:tr w:rsidR="0074667D" w:rsidRPr="0074667D" w14:paraId="43AD1BEF" w14:textId="77777777" w:rsidTr="0074667D">
        <w:tc>
          <w:tcPr>
            <w:tcW w:w="3539" w:type="dxa"/>
          </w:tcPr>
          <w:p w14:paraId="7ED65F19" w14:textId="77777777" w:rsidR="0074667D" w:rsidRPr="00AF7ECB" w:rsidRDefault="0074667D" w:rsidP="00B311CF">
            <w:pPr>
              <w:rPr>
                <w:sz w:val="18"/>
                <w:szCs w:val="18"/>
                <w:lang w:val="en-US"/>
              </w:rPr>
            </w:pPr>
            <w:r w:rsidRPr="00AF7ECB">
              <w:rPr>
                <w:sz w:val="18"/>
                <w:szCs w:val="18"/>
                <w:lang w:val="en-US"/>
              </w:rPr>
              <w:t>Class action</w:t>
            </w:r>
            <w:r w:rsidR="004045C2" w:rsidRPr="00AF7ECB">
              <w:rPr>
                <w:sz w:val="18"/>
                <w:szCs w:val="18"/>
                <w:lang w:val="en-US"/>
              </w:rPr>
              <w:t xml:space="preserve"> (Rif. </w:t>
            </w:r>
            <w:r w:rsidR="004045C2" w:rsidRPr="004045C2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begin"/>
            </w:r>
            <w:r w:rsidR="004045C2" w:rsidRPr="00AF7ECB">
              <w:rPr>
                <w:color w:val="2F5496" w:themeColor="accent1" w:themeShade="BF"/>
                <w:sz w:val="18"/>
                <w:szCs w:val="18"/>
                <w:u w:val="double"/>
                <w:lang w:val="en-US"/>
              </w:rPr>
              <w:instrText xml:space="preserve"> REF _Ref144203821 \h  \* MERGEFORMAT </w:instrText>
            </w:r>
            <w:r w:rsidR="004045C2" w:rsidRPr="004045C2">
              <w:rPr>
                <w:color w:val="2F5496" w:themeColor="accent1" w:themeShade="BF"/>
                <w:sz w:val="18"/>
                <w:szCs w:val="18"/>
                <w:u w:val="double"/>
              </w:rPr>
            </w:r>
            <w:r w:rsidR="004045C2" w:rsidRPr="004045C2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separate"/>
            </w:r>
            <w:r w:rsidR="004045C2" w:rsidRPr="00AF7ECB">
              <w:rPr>
                <w:color w:val="2F5496" w:themeColor="accent1" w:themeShade="BF"/>
                <w:sz w:val="18"/>
                <w:szCs w:val="18"/>
                <w:u w:val="double"/>
                <w:lang w:val="en-US"/>
              </w:rPr>
              <w:t>Class action</w:t>
            </w:r>
            <w:r w:rsidR="004045C2" w:rsidRPr="004045C2">
              <w:rPr>
                <w:color w:val="2F5496" w:themeColor="accent1" w:themeShade="BF"/>
                <w:sz w:val="18"/>
                <w:szCs w:val="18"/>
                <w:u w:val="double"/>
              </w:rPr>
              <w:fldChar w:fldCharType="end"/>
            </w:r>
            <w:r w:rsidR="004045C2" w:rsidRPr="00AF7ECB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2977" w:type="dxa"/>
          </w:tcPr>
          <w:p w14:paraId="010B3819" w14:textId="77777777" w:rsidR="0074667D" w:rsidRPr="00AF7ECB" w:rsidRDefault="00AF7ECB" w:rsidP="00B311C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Tempestivo</w:t>
            </w:r>
          </w:p>
        </w:tc>
        <w:tc>
          <w:tcPr>
            <w:tcW w:w="3118" w:type="dxa"/>
          </w:tcPr>
          <w:p w14:paraId="2673CDDB" w14:textId="77777777" w:rsidR="0074667D" w:rsidRPr="0074667D" w:rsidRDefault="0074667D" w:rsidP="00B31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Art. </w:t>
            </w:r>
            <w:r w:rsidRPr="0074667D">
              <w:rPr>
                <w:sz w:val="18"/>
                <w:szCs w:val="18"/>
              </w:rPr>
              <w:t>1, co. 2</w:t>
            </w:r>
            <w:r w:rsidR="00315927">
              <w:rPr>
                <w:sz w:val="18"/>
                <w:szCs w:val="18"/>
              </w:rPr>
              <w:t>, art. 4 co 2 e</w:t>
            </w:r>
            <w:r w:rsidRPr="0074667D">
              <w:rPr>
                <w:sz w:val="18"/>
                <w:szCs w:val="18"/>
              </w:rPr>
              <w:t xml:space="preserve"> 6 del decreto legislativo n. 198/2009</w:t>
            </w:r>
          </w:p>
        </w:tc>
      </w:tr>
      <w:tr w:rsidR="0074667D" w:rsidRPr="0074667D" w14:paraId="5E7A4B58" w14:textId="77777777" w:rsidTr="0074667D">
        <w:tc>
          <w:tcPr>
            <w:tcW w:w="3539" w:type="dxa"/>
          </w:tcPr>
          <w:p w14:paraId="6D3DC9A3" w14:textId="51DC4ACD" w:rsidR="0074667D" w:rsidRDefault="0074667D" w:rsidP="00B31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74667D">
              <w:rPr>
                <w:sz w:val="18"/>
                <w:szCs w:val="18"/>
              </w:rPr>
              <w:t>ervizi pubblici locali</w:t>
            </w:r>
          </w:p>
          <w:p w14:paraId="55A6CACD" w14:textId="77777777" w:rsidR="00F17DE6" w:rsidRDefault="00F17DE6" w:rsidP="00F17DE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N.B: A</w:t>
            </w:r>
            <w:r w:rsidRPr="00F17DE6">
              <w:rPr>
                <w:sz w:val="18"/>
                <w:szCs w:val="18"/>
              </w:rPr>
              <w:t>l momento l'elaborazione di questi modelli sui SPL è sospesa in quanto è in corso una attività che vede coinvolti ANAC-AGCM-PCM per la standardizzazione nella pubblicazione di questi dati.</w:t>
            </w:r>
          </w:p>
          <w:p w14:paraId="74645BE9" w14:textId="77777777" w:rsidR="0044027B" w:rsidRDefault="0044027B" w:rsidP="0044027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 si riferisce a: </w:t>
            </w:r>
          </w:p>
          <w:p w14:paraId="00C4D618" w14:textId="77777777" w:rsidR="0044027B" w:rsidRDefault="0044027B" w:rsidP="0044027B">
            <w:pPr>
              <w:pStyle w:val="Paragrafoelenco"/>
              <w:numPr>
                <w:ilvl w:val="0"/>
                <w:numId w:val="48"/>
              </w:numPr>
              <w:jc w:val="both"/>
              <w:rPr>
                <w:sz w:val="18"/>
                <w:szCs w:val="18"/>
              </w:rPr>
            </w:pPr>
            <w:r w:rsidRPr="0044027B">
              <w:rPr>
                <w:sz w:val="18"/>
                <w:szCs w:val="18"/>
              </w:rPr>
              <w:t>elazione sulla scelta della modalità di gestione del servizio pubblico locale, come previsto dall’art. 14, comma 3</w:t>
            </w:r>
          </w:p>
          <w:p w14:paraId="15164E05" w14:textId="3B00B7A0" w:rsidR="0044027B" w:rsidRDefault="0044027B" w:rsidP="0044027B">
            <w:pPr>
              <w:pStyle w:val="Paragrafoelenco"/>
              <w:numPr>
                <w:ilvl w:val="0"/>
                <w:numId w:val="48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44027B">
              <w:rPr>
                <w:sz w:val="18"/>
                <w:szCs w:val="18"/>
              </w:rPr>
              <w:t>otivazione qualificata richiesta dall’art. 17, comma 2, in caso di affidamenti diretti a società in house di importo superiore alle soglie di rilevanza europea in materia di contratti pubblici</w:t>
            </w:r>
          </w:p>
          <w:p w14:paraId="631568D7" w14:textId="4F7C7318" w:rsidR="0044027B" w:rsidRPr="0044027B" w:rsidRDefault="00944C23" w:rsidP="0044027B">
            <w:pPr>
              <w:jc w:val="both"/>
              <w:rPr>
                <w:sz w:val="18"/>
                <w:szCs w:val="18"/>
              </w:rPr>
            </w:pPr>
            <w:hyperlink r:id="rId14" w:anchor="p3" w:history="1">
              <w:r w:rsidR="0044027B" w:rsidRPr="0044027B">
                <w:rPr>
                  <w:rStyle w:val="Collegamentoipertestuale"/>
                  <w:sz w:val="18"/>
                  <w:szCs w:val="18"/>
                </w:rPr>
                <w:t>https://www.anticorruzione.it/-/trasparenza-dei-servizi-pubblici-locali-di-rilevanza-economica#p3</w:t>
              </w:r>
            </w:hyperlink>
          </w:p>
        </w:tc>
        <w:tc>
          <w:tcPr>
            <w:tcW w:w="2977" w:type="dxa"/>
          </w:tcPr>
          <w:p w14:paraId="4763ED80" w14:textId="77777777" w:rsidR="0074667D" w:rsidRPr="0074667D" w:rsidRDefault="0074667D" w:rsidP="00B311CF">
            <w:pPr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Tempestivo</w:t>
            </w:r>
          </w:p>
        </w:tc>
        <w:tc>
          <w:tcPr>
            <w:tcW w:w="3118" w:type="dxa"/>
          </w:tcPr>
          <w:p w14:paraId="5F9B28D5" w14:textId="77777777" w:rsidR="0074667D" w:rsidRDefault="0074667D" w:rsidP="00B311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74667D">
              <w:rPr>
                <w:sz w:val="18"/>
                <w:szCs w:val="18"/>
              </w:rPr>
              <w:t>rt. 31, d.lgs. 201/2022</w:t>
            </w:r>
          </w:p>
        </w:tc>
      </w:tr>
    </w:tbl>
    <w:p w14:paraId="14A95240" w14:textId="346A9900" w:rsidR="00995109" w:rsidRPr="0074667D" w:rsidRDefault="00995109" w:rsidP="00B74D42">
      <w:pPr>
        <w:pBdr>
          <w:bottom w:val="single" w:sz="6" w:space="1" w:color="auto"/>
        </w:pBdr>
      </w:pPr>
    </w:p>
    <w:p w14:paraId="3EC52E94" w14:textId="77777777" w:rsidR="00467C1F" w:rsidRPr="0074667D" w:rsidRDefault="00467C1F" w:rsidP="00B74D42">
      <w:pPr>
        <w:pBdr>
          <w:bottom w:val="single" w:sz="6" w:space="1" w:color="auto"/>
        </w:pBdr>
      </w:pPr>
    </w:p>
    <w:p w14:paraId="2D98A8A0" w14:textId="77777777" w:rsidR="00760CDE" w:rsidRDefault="005651FE" w:rsidP="00467C1F">
      <w:pPr>
        <w:pStyle w:val="Titolo3"/>
        <w:numPr>
          <w:ilvl w:val="0"/>
          <w:numId w:val="0"/>
        </w:numPr>
        <w:ind w:left="720" w:hanging="720"/>
      </w:pPr>
      <w:bookmarkStart w:id="2" w:name="_Ref144202764"/>
      <w:r>
        <w:t>Carta dei servizi e standard di qualità</w:t>
      </w:r>
      <w:bookmarkEnd w:id="2"/>
    </w:p>
    <w:p w14:paraId="5489D931" w14:textId="77777777" w:rsidR="00467C1F" w:rsidRPr="00760CDE" w:rsidRDefault="00467C1F" w:rsidP="00760CDE">
      <w:pPr>
        <w:pStyle w:val="Paragrafoelenco"/>
        <w:spacing w:after="0" w:line="240" w:lineRule="auto"/>
        <w:ind w:left="360"/>
        <w:rPr>
          <w:rFonts w:ascii="Titillium" w:eastAsia="Times New Roman" w:hAnsi="Titillium" w:cs="Calibri"/>
          <w:color w:val="000000"/>
          <w:sz w:val="18"/>
          <w:szCs w:val="18"/>
          <w:lang w:eastAsia="it-IT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237"/>
        <w:gridCol w:w="1180"/>
      </w:tblGrid>
      <w:tr w:rsidR="008B7F99" w:rsidRPr="005705FE" w14:paraId="20A33102" w14:textId="77777777" w:rsidTr="00CE0928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475E0930" w14:textId="77777777" w:rsidR="003F67EF" w:rsidRDefault="003F67EF" w:rsidP="003F67EF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bookmarkStart w:id="3" w:name="_Hlk144194031"/>
          </w:p>
          <w:p w14:paraId="7D934ED9" w14:textId="77777777" w:rsidR="00B5799A" w:rsidRDefault="005651FE" w:rsidP="003F67EF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Carta dei servizi e standard di qualità</w:t>
            </w:r>
          </w:p>
          <w:p w14:paraId="1744E7ED" w14:textId="77777777" w:rsidR="003710F7" w:rsidRDefault="003710F7" w:rsidP="00B5799A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</w:p>
          <w:p w14:paraId="498223C6" w14:textId="77777777" w:rsidR="00B5799A" w:rsidRPr="0062454E" w:rsidRDefault="00B5799A" w:rsidP="00B5799A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</w:p>
        </w:tc>
      </w:tr>
      <w:tr w:rsidR="008B7F99" w:rsidRPr="005705FE" w14:paraId="0FC0A0AD" w14:textId="77777777" w:rsidTr="00384926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D78B" w14:textId="77777777" w:rsidR="008B7F99" w:rsidRDefault="00A85F19" w:rsidP="00CE092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Qualificazione</w:t>
            </w:r>
            <w:r w:rsidR="003F67E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soggetto</w:t>
            </w:r>
          </w:p>
          <w:p w14:paraId="08A8C3B8" w14:textId="77777777" w:rsidR="003F67EF" w:rsidRDefault="003F67EF" w:rsidP="00CE092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14:paraId="4D69239D" w14:textId="77777777" w:rsidR="003F67EF" w:rsidRPr="005705FE" w:rsidRDefault="003F67EF" w:rsidP="00CE092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1999" w14:textId="77777777" w:rsidR="00BC3F1D" w:rsidRDefault="003F67EF" w:rsidP="003F67E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Valori possibili</w:t>
            </w:r>
            <w:r w:rsidR="00203E30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(menù a tendina)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:</w:t>
            </w:r>
          </w:p>
          <w:p w14:paraId="614ADB12" w14:textId="77777777" w:rsidR="003F67EF" w:rsidRPr="003F67EF" w:rsidRDefault="003F67EF" w:rsidP="003F67E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3F67E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1) </w:t>
            </w:r>
            <w:r w:rsidR="005651FE" w:rsidRPr="005651F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Pubblica amministrazione</w:t>
            </w:r>
            <w:r w:rsidR="005651F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;</w:t>
            </w:r>
          </w:p>
          <w:p w14:paraId="0FC32F3D" w14:textId="77777777" w:rsidR="003F67EF" w:rsidRPr="003F67EF" w:rsidRDefault="003F67EF" w:rsidP="003F67E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3F67E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2) </w:t>
            </w:r>
            <w:r w:rsidR="005651FE" w:rsidRPr="005651F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Gestore del servizio pubblico</w:t>
            </w:r>
            <w:r w:rsidR="005651F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;</w:t>
            </w:r>
          </w:p>
          <w:p w14:paraId="4DF7E7A3" w14:textId="77777777" w:rsidR="003F67EF" w:rsidRDefault="003F67EF" w:rsidP="003F67E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3F67E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3) </w:t>
            </w:r>
            <w:r w:rsidR="005651FE" w:rsidRPr="005651F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Gestore di servizio pubblico locale di rilevanza economica*(art 25, co.1 e 2, del d.lgs. 201/2022)</w:t>
            </w:r>
            <w:r w:rsidRPr="003F67E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.</w:t>
            </w:r>
          </w:p>
          <w:p w14:paraId="3A7E460F" w14:textId="77777777" w:rsidR="003F67EF" w:rsidRPr="00261711" w:rsidRDefault="003F67EF" w:rsidP="003F67E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2923B" w14:textId="77777777" w:rsidR="008B7F99" w:rsidRPr="005705FE" w:rsidRDefault="008B7F99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</w:tr>
      <w:tr w:rsidR="00963267" w:rsidRPr="005705FE" w14:paraId="02A2C8CF" w14:textId="77777777" w:rsidTr="00384926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0CC03" w14:textId="77777777" w:rsidR="00963267" w:rsidRDefault="005651FE" w:rsidP="00CE0928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Link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6DA7" w14:textId="77777777" w:rsidR="00C1690F" w:rsidRDefault="005651FE" w:rsidP="00C1690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Link alla c</w:t>
            </w:r>
            <w:r w:rsidRPr="005651F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arta dei servizi o documento che contiene i livelli minimi di qualità dei servizi pubblici.</w:t>
            </w:r>
          </w:p>
          <w:p w14:paraId="471E5C23" w14:textId="77777777" w:rsidR="00963267" w:rsidRDefault="00203E30" w:rsidP="00FE499A">
            <w:pPr>
              <w:spacing w:after="0" w:line="240" w:lineRule="auto"/>
              <w:jc w:val="both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Con specifico riferimento ai servizi pubblici locali  link alla </w:t>
            </w:r>
            <w:r w:rsidR="005651FE" w:rsidRPr="007D112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Carta di servizio corredata altresì delle informazioni relative alla composizione della tariffa che contiene il livello effettivo di qualità dei servizi offerti, il livello annuale degli </w:t>
            </w:r>
            <w:r w:rsidR="005651FE" w:rsidRPr="007D1129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lastRenderedPageBreak/>
              <w:t>investimenti effettuati e della loro programmazione fino al termine dell’affidamento</w:t>
            </w:r>
            <w:r w:rsidR="005651FE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 xml:space="preserve"> </w:t>
            </w:r>
            <w:r w:rsidR="006F6C3A">
              <w:rPr>
                <w:rFonts w:ascii="Titillium" w:eastAsia="Times New Roman" w:hAnsi="Titillium" w:cs="Calibri"/>
                <w:sz w:val="18"/>
                <w:szCs w:val="18"/>
                <w:lang w:eastAsia="it-IT"/>
              </w:rPr>
              <w:t>(cfr. art. 25 dlgs 201)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17497" w14:textId="77777777" w:rsidR="00963267" w:rsidRDefault="005651FE" w:rsidP="00CE0928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lastRenderedPageBreak/>
              <w:t>URL</w:t>
            </w:r>
          </w:p>
        </w:tc>
      </w:tr>
      <w:bookmarkEnd w:id="3"/>
    </w:tbl>
    <w:p w14:paraId="39FE5BBB" w14:textId="77777777" w:rsidR="001177FC" w:rsidRDefault="001177FC" w:rsidP="008067D6">
      <w:pPr>
        <w:pBdr>
          <w:bottom w:val="single" w:sz="6" w:space="1" w:color="auto"/>
        </w:pBdr>
      </w:pPr>
    </w:p>
    <w:p w14:paraId="6E11E70E" w14:textId="77777777" w:rsidR="003B4B6D" w:rsidRPr="003B4B6D" w:rsidRDefault="00B211C6" w:rsidP="003B4B6D">
      <w:pPr>
        <w:pStyle w:val="Titolo3"/>
        <w:numPr>
          <w:ilvl w:val="0"/>
          <w:numId w:val="0"/>
        </w:numPr>
        <w:ind w:left="720" w:hanging="720"/>
      </w:pPr>
      <w:bookmarkStart w:id="4" w:name="_Ref144202942"/>
      <w:r>
        <w:t>Costi contabilizzati dei servizi</w:t>
      </w:r>
      <w:bookmarkEnd w:id="4"/>
    </w:p>
    <w:p w14:paraId="3FD9F7ED" w14:textId="77777777" w:rsidR="00340F1F" w:rsidRPr="00340F1F" w:rsidRDefault="00340F1F" w:rsidP="00340F1F">
      <w:pPr>
        <w:spacing w:after="0" w:line="240" w:lineRule="auto"/>
        <w:rPr>
          <w:rFonts w:ascii="Titillium" w:eastAsia="Times New Roman" w:hAnsi="Titillium" w:cs="Calibri"/>
          <w:color w:val="000000"/>
          <w:sz w:val="18"/>
          <w:szCs w:val="18"/>
          <w:lang w:eastAsia="it-IT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237"/>
        <w:gridCol w:w="1180"/>
      </w:tblGrid>
      <w:tr w:rsidR="003B4B6D" w:rsidRPr="005705FE" w14:paraId="68BEA9B0" w14:textId="77777777" w:rsidTr="00C429D7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2809120C" w14:textId="77777777" w:rsidR="003B4B6D" w:rsidRDefault="003B4B6D" w:rsidP="00C429D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</w:p>
          <w:p w14:paraId="7F060CC1" w14:textId="77777777" w:rsidR="003B4B6D" w:rsidRDefault="00B211C6" w:rsidP="00C429D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Costi contabilizzati dei servizi</w:t>
            </w:r>
          </w:p>
          <w:p w14:paraId="2624435F" w14:textId="77777777" w:rsidR="003B4B6D" w:rsidRPr="00340F1F" w:rsidRDefault="00340F1F" w:rsidP="00C429D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u w:val="single"/>
                <w:lang w:eastAsia="it-IT"/>
              </w:rPr>
            </w:pPr>
            <w:r w:rsidRPr="00340F1F">
              <w:rPr>
                <w:rFonts w:ascii="Titillium" w:eastAsia="Times New Roman" w:hAnsi="Titillium" w:cs="Calibri"/>
                <w:sz w:val="18"/>
                <w:szCs w:val="18"/>
                <w:u w:val="single"/>
                <w:lang w:eastAsia="it-IT"/>
              </w:rPr>
              <w:t>da replicare per ogni tipologia</w:t>
            </w:r>
          </w:p>
          <w:p w14:paraId="583965B5" w14:textId="77777777" w:rsidR="00340F1F" w:rsidRDefault="00340F1F" w:rsidP="00C429D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</w:p>
          <w:p w14:paraId="2CFFB48F" w14:textId="77777777" w:rsidR="003B4B6D" w:rsidRPr="0062454E" w:rsidRDefault="003B4B6D" w:rsidP="00C429D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</w:p>
        </w:tc>
      </w:tr>
      <w:tr w:rsidR="003B4B6D" w:rsidRPr="005705FE" w14:paraId="58846871" w14:textId="77777777" w:rsidTr="00C429D7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0B9AC" w14:textId="77777777" w:rsidR="003B4B6D" w:rsidRDefault="003B4B6D" w:rsidP="00C429D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Qualificazione soggetto</w:t>
            </w:r>
          </w:p>
          <w:p w14:paraId="665FFB89" w14:textId="77777777" w:rsidR="003B4B6D" w:rsidRPr="005705FE" w:rsidRDefault="003B4B6D" w:rsidP="00C429D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1A0F2" w14:textId="77777777" w:rsidR="003B4B6D" w:rsidRDefault="003B4B6D" w:rsidP="00C429D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Valori possibili</w:t>
            </w:r>
            <w:r w:rsidR="00203E30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(menù a tendina)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:</w:t>
            </w:r>
          </w:p>
          <w:p w14:paraId="6FC82626" w14:textId="77777777" w:rsidR="00340F1F" w:rsidRPr="003F67EF" w:rsidRDefault="00340F1F" w:rsidP="00340F1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3F67E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1) </w:t>
            </w:r>
            <w:r w:rsidRPr="005651F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Pubblica amministrazione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;</w:t>
            </w:r>
          </w:p>
          <w:p w14:paraId="6C6C6F85" w14:textId="77777777" w:rsidR="003B4B6D" w:rsidRPr="00261711" w:rsidRDefault="00340F1F" w:rsidP="003B4B6D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3F67E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2) </w:t>
            </w:r>
            <w:r w:rsidRPr="005651FE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Gestore del servizio pubblico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;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F3AEE" w14:textId="77777777" w:rsidR="003B4B6D" w:rsidRPr="005705FE" w:rsidRDefault="00BC3F1D" w:rsidP="00C429D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menù a tendina</w:t>
            </w:r>
          </w:p>
        </w:tc>
      </w:tr>
      <w:tr w:rsidR="003B4B6D" w:rsidRPr="005705FE" w14:paraId="0CA920BD" w14:textId="77777777" w:rsidTr="00C429D7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7A8CA" w14:textId="77777777" w:rsidR="003B4B6D" w:rsidRDefault="00340F1F" w:rsidP="00C429D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433F" w14:textId="77777777" w:rsidR="003B4B6D" w:rsidRPr="003B4B6D" w:rsidRDefault="003B4B6D" w:rsidP="00340F1F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79703" w14:textId="77777777" w:rsidR="003B4B6D" w:rsidRDefault="00340F1F" w:rsidP="00C429D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numero</w:t>
            </w:r>
          </w:p>
        </w:tc>
      </w:tr>
      <w:tr w:rsidR="003B4B6D" w:rsidRPr="005705FE" w14:paraId="17A73FAA" w14:textId="77777777" w:rsidTr="00C429D7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9B38C" w14:textId="77777777" w:rsidR="003B4B6D" w:rsidRDefault="00340F1F" w:rsidP="00C429D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Tipologia di servizio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E73D" w14:textId="77777777" w:rsidR="00B65BE3" w:rsidRDefault="00B65BE3" w:rsidP="00B65BE3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Valori possibili:</w:t>
            </w:r>
          </w:p>
          <w:p w14:paraId="1138DFC9" w14:textId="77777777" w:rsidR="00792A6B" w:rsidRDefault="00792A6B" w:rsidP="00C429D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  <w:p w14:paraId="4DEDE694" w14:textId="77777777" w:rsidR="00735AB3" w:rsidRPr="003710F7" w:rsidRDefault="00735AB3" w:rsidP="00C429D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t>*Lista delle tipologie di servizio previste dal portale TSPL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39D53" w14:textId="77777777" w:rsidR="003B4B6D" w:rsidRDefault="003B4B6D" w:rsidP="00C429D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340F1F" w:rsidRPr="005705FE" w14:paraId="42FA34DD" w14:textId="77777777" w:rsidTr="00C429D7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20D51" w14:textId="77777777" w:rsidR="00340F1F" w:rsidRDefault="00340F1F" w:rsidP="00C429D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</w:t>
            </w:r>
            <w:r w:rsidRPr="00340F1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otale di spese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58484" w14:textId="77777777" w:rsidR="00340F1F" w:rsidRPr="00467C1F" w:rsidRDefault="00340F1F" w:rsidP="00C429D7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highlight w:val="yellow"/>
                <w:lang w:eastAsia="it-IT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7640" w14:textId="77777777" w:rsidR="00340F1F" w:rsidRDefault="00340F1F" w:rsidP="00C429D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decimale</w:t>
            </w:r>
          </w:p>
        </w:tc>
      </w:tr>
    </w:tbl>
    <w:p w14:paraId="13CAE44C" w14:textId="77777777" w:rsidR="003B4B6D" w:rsidRDefault="003B4B6D" w:rsidP="003B4B6D">
      <w:pPr>
        <w:pBdr>
          <w:bottom w:val="single" w:sz="6" w:space="0" w:color="auto"/>
        </w:pBdr>
      </w:pPr>
    </w:p>
    <w:p w14:paraId="69A4F233" w14:textId="77777777" w:rsidR="006B15B5" w:rsidRPr="004843AE" w:rsidRDefault="00CE13B6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*</w:t>
      </w:r>
      <w:r w:rsidR="00735AB3" w:rsidRPr="004843AE">
        <w:t xml:space="preserve"> Lista delle tipologie di servizio ad oggi previste dal portale TSPL </w:t>
      </w:r>
      <w:r w:rsidR="00DC4601" w:rsidRPr="004843AE">
        <w:t xml:space="preserve">(da valutare la sostituzione </w:t>
      </w:r>
      <w:r w:rsidR="00792A6B" w:rsidRPr="004843AE">
        <w:t>con le CPV)</w:t>
      </w:r>
    </w:p>
    <w:p w14:paraId="77EC9060" w14:textId="77777777" w:rsidR="004D73B5" w:rsidRPr="004843AE" w:rsidRDefault="006B15B5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Asili nido</w:t>
      </w:r>
    </w:p>
    <w:p w14:paraId="496BAAC3" w14:textId="77777777" w:rsidR="004D73B5" w:rsidRPr="004843AE" w:rsidRDefault="006B15B5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Assistenza disabili</w:t>
      </w:r>
    </w:p>
    <w:p w14:paraId="4282C64B" w14:textId="77777777" w:rsidR="004D73B5" w:rsidRPr="004843AE" w:rsidRDefault="001222D9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Assistenza domiciliare</w:t>
      </w:r>
    </w:p>
    <w:p w14:paraId="2DFE01B7" w14:textId="77777777" w:rsidR="001222D9" w:rsidRPr="004843AE" w:rsidRDefault="001222D9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Assistenza minori</w:t>
      </w:r>
    </w:p>
    <w:p w14:paraId="0494947D" w14:textId="77777777" w:rsidR="004D73B5" w:rsidRPr="004843AE" w:rsidRDefault="00735AB3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Biblioteche</w:t>
      </w:r>
    </w:p>
    <w:p w14:paraId="53112C11" w14:textId="77777777" w:rsidR="006B15B5" w:rsidRPr="004843AE" w:rsidRDefault="008C6426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Distribuzione di energia elettrica</w:t>
      </w:r>
    </w:p>
    <w:p w14:paraId="54D46BE8" w14:textId="77777777" w:rsidR="008C6426" w:rsidRPr="004843AE" w:rsidRDefault="008C6426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Distribuzione di gas naturale</w:t>
      </w:r>
    </w:p>
    <w:p w14:paraId="743C740D" w14:textId="77777777" w:rsidR="008C6426" w:rsidRPr="004843AE" w:rsidRDefault="008C6426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Farmacie</w:t>
      </w:r>
    </w:p>
    <w:p w14:paraId="4E3D0F95" w14:textId="77777777" w:rsidR="00D27C8B" w:rsidRPr="004843AE" w:rsidRDefault="00D27C8B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Illuminazione pubblica</w:t>
      </w:r>
    </w:p>
    <w:p w14:paraId="178BA085" w14:textId="77777777" w:rsidR="00D27C8B" w:rsidRPr="004843AE" w:rsidRDefault="00D27C8B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Impianti sportivi</w:t>
      </w:r>
    </w:p>
    <w:p w14:paraId="6299DC8A" w14:textId="77777777" w:rsidR="00D27C8B" w:rsidRPr="004843AE" w:rsidRDefault="00D27C8B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Manutenzione edifici</w:t>
      </w:r>
    </w:p>
    <w:p w14:paraId="43AE8C40" w14:textId="77777777" w:rsidR="00D27C8B" w:rsidRPr="004843AE" w:rsidRDefault="00D27C8B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Manutenzione del verde pubblico</w:t>
      </w:r>
    </w:p>
    <w:p w14:paraId="1A473F3B" w14:textId="77777777" w:rsidR="00D27C8B" w:rsidRPr="004843AE" w:rsidRDefault="00D27C8B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Musei</w:t>
      </w:r>
    </w:p>
    <w:p w14:paraId="3A5174F4" w14:textId="77777777" w:rsidR="00D27C8B" w:rsidRPr="004843AE" w:rsidRDefault="00FB1A3C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Parcheggi</w:t>
      </w:r>
    </w:p>
    <w:p w14:paraId="62008928" w14:textId="77777777" w:rsidR="00FB1A3C" w:rsidRPr="004843AE" w:rsidRDefault="00FB1A3C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Rifiuti</w:t>
      </w:r>
    </w:p>
    <w:p w14:paraId="499ABF8A" w14:textId="77777777" w:rsidR="00FB1A3C" w:rsidRPr="004843AE" w:rsidRDefault="00FB1A3C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Riscossione tributi</w:t>
      </w:r>
    </w:p>
    <w:p w14:paraId="50B2DC36" w14:textId="77777777" w:rsidR="00FB1A3C" w:rsidRPr="004843AE" w:rsidRDefault="00FB1A3C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Ristorazione scolastica</w:t>
      </w:r>
    </w:p>
    <w:p w14:paraId="78B6DD9A" w14:textId="77777777" w:rsidR="00FB1A3C" w:rsidRPr="004843AE" w:rsidRDefault="00FB1A3C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Servizi cimiteriali</w:t>
      </w:r>
    </w:p>
    <w:p w14:paraId="1A6062EB" w14:textId="77777777" w:rsidR="00FB1A3C" w:rsidRPr="004843AE" w:rsidRDefault="00744B41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Servizio idrico integrato</w:t>
      </w:r>
    </w:p>
    <w:p w14:paraId="7EBFA284" w14:textId="77777777" w:rsidR="00744B41" w:rsidRPr="004843AE" w:rsidRDefault="00744B41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Servizi di manutenzione</w:t>
      </w:r>
    </w:p>
    <w:p w14:paraId="18CA974B" w14:textId="77777777" w:rsidR="00744B41" w:rsidRPr="004843AE" w:rsidRDefault="00744B41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Servizi sociali</w:t>
      </w:r>
    </w:p>
    <w:p w14:paraId="2F1ADD1B" w14:textId="77777777" w:rsidR="00744B41" w:rsidRPr="004843AE" w:rsidRDefault="00744B41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Supporto amministrativo</w:t>
      </w:r>
    </w:p>
    <w:p w14:paraId="34A12BE0" w14:textId="77777777" w:rsidR="00744B41" w:rsidRPr="004843AE" w:rsidRDefault="00744B41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Teatri</w:t>
      </w:r>
    </w:p>
    <w:p w14:paraId="261D0CC3" w14:textId="77777777" w:rsidR="00744B41" w:rsidRPr="004843AE" w:rsidRDefault="00F62C1B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Trasporto pubblico locale</w:t>
      </w:r>
    </w:p>
    <w:p w14:paraId="437F6D41" w14:textId="77777777" w:rsidR="00F62C1B" w:rsidRPr="004843AE" w:rsidRDefault="00F62C1B" w:rsidP="004843AE">
      <w:pPr>
        <w:pBdr>
          <w:bottom w:val="single" w:sz="6" w:space="0" w:color="auto"/>
        </w:pBdr>
        <w:spacing w:after="0" w:line="240" w:lineRule="auto"/>
        <w:jc w:val="both"/>
      </w:pPr>
      <w:r w:rsidRPr="004843AE">
        <w:t>Varie tipologie</w:t>
      </w:r>
    </w:p>
    <w:p w14:paraId="0A8F3D58" w14:textId="77777777" w:rsidR="003B4B6D" w:rsidRDefault="00F62C1B" w:rsidP="004843AE">
      <w:pPr>
        <w:pBdr>
          <w:bottom w:val="single" w:sz="6" w:space="0" w:color="auto"/>
        </w:pBdr>
        <w:spacing w:after="0" w:line="240" w:lineRule="auto"/>
        <w:jc w:val="both"/>
      </w:pPr>
      <w:r w:rsidRPr="00B563FF">
        <w:t>Altro</w:t>
      </w:r>
    </w:p>
    <w:p w14:paraId="34310D92" w14:textId="77777777" w:rsidR="00F62C1B" w:rsidRDefault="00F62C1B" w:rsidP="00F62C1B">
      <w:pPr>
        <w:pBdr>
          <w:bottom w:val="single" w:sz="6" w:space="0" w:color="auto"/>
        </w:pBdr>
        <w:spacing w:after="0"/>
      </w:pPr>
    </w:p>
    <w:p w14:paraId="58E26125" w14:textId="77777777" w:rsidR="00864D28" w:rsidRPr="003B4B6D" w:rsidRDefault="00864D28" w:rsidP="00864D28">
      <w:pPr>
        <w:pStyle w:val="Titolo3"/>
        <w:numPr>
          <w:ilvl w:val="0"/>
          <w:numId w:val="0"/>
        </w:numPr>
        <w:ind w:left="720" w:hanging="720"/>
      </w:pPr>
      <w:bookmarkStart w:id="5" w:name="_Ref144197461"/>
      <w:bookmarkStart w:id="6" w:name="_Ref144203465"/>
      <w:r>
        <w:t>S</w:t>
      </w:r>
      <w:bookmarkEnd w:id="5"/>
      <w:r w:rsidR="008A5DFB">
        <w:t>ervizi di rete</w:t>
      </w:r>
      <w:bookmarkEnd w:id="6"/>
    </w:p>
    <w:p w14:paraId="7FB5B0BD" w14:textId="77777777" w:rsidR="00EA3CD7" w:rsidRPr="00BC3F1D" w:rsidRDefault="008B6B1F" w:rsidP="00676631">
      <w:pPr>
        <w:spacing w:after="0" w:line="240" w:lineRule="auto"/>
        <w:rPr>
          <w:rFonts w:ascii="Titillium" w:eastAsia="Times New Roman" w:hAnsi="Titillium" w:cs="Calibri"/>
          <w:color w:val="000000"/>
          <w:lang w:eastAsia="it-IT"/>
        </w:rPr>
      </w:pPr>
      <w:r w:rsidRPr="004E660F">
        <w:rPr>
          <w:rFonts w:ascii="Titillium" w:eastAsia="Times New Roman" w:hAnsi="Titillium" w:cs="Calibri"/>
          <w:color w:val="000000"/>
          <w:lang w:eastAsia="it-IT"/>
        </w:rPr>
        <w:t xml:space="preserve">Sono identificati come servizi a “rete”, i servizi </w:t>
      </w:r>
      <w:r w:rsidR="00F56678" w:rsidRPr="004E660F">
        <w:rPr>
          <w:rFonts w:ascii="Titillium" w:eastAsia="Times New Roman" w:hAnsi="Titillium" w:cs="Calibri"/>
          <w:color w:val="000000"/>
          <w:lang w:eastAsia="it-IT"/>
        </w:rPr>
        <w:t xml:space="preserve">con tipologia: idrico, ambientale (rifiuti) e </w:t>
      </w:r>
      <w:r w:rsidR="00294684" w:rsidRPr="004E660F">
        <w:rPr>
          <w:rFonts w:ascii="Titillium" w:eastAsia="Times New Roman" w:hAnsi="Titillium" w:cs="Calibri"/>
          <w:color w:val="000000"/>
          <w:lang w:eastAsia="it-IT"/>
        </w:rPr>
        <w:t>trasporto pubblico locale</w:t>
      </w:r>
    </w:p>
    <w:p w14:paraId="784A3CDD" w14:textId="77777777" w:rsidR="008B6B1F" w:rsidRPr="004E660F" w:rsidRDefault="008B6B1F" w:rsidP="00676631">
      <w:pPr>
        <w:spacing w:after="0" w:line="240" w:lineRule="auto"/>
        <w:rPr>
          <w:rFonts w:ascii="Titillium" w:eastAsia="Times New Roman" w:hAnsi="Titillium" w:cs="Calibri"/>
          <w:color w:val="000000"/>
          <w:sz w:val="18"/>
          <w:szCs w:val="18"/>
          <w:lang w:eastAsia="it-IT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237"/>
        <w:gridCol w:w="1180"/>
      </w:tblGrid>
      <w:tr w:rsidR="00EA3CD7" w:rsidRPr="004E660F" w14:paraId="44BED5BF" w14:textId="77777777" w:rsidTr="00C429D7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530DF461" w14:textId="77777777" w:rsidR="000813D6" w:rsidRPr="004E660F" w:rsidRDefault="000813D6" w:rsidP="000813D6">
            <w:pPr>
              <w:spacing w:after="0" w:line="240" w:lineRule="auto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Risultati delle indagini sulla soddisfazione da parte degli utenti rispetto alla qualità dei servizi in rete e statistiche di utilizzo dei servizi in rete</w:t>
            </w:r>
          </w:p>
          <w:p w14:paraId="5964FE16" w14:textId="77777777" w:rsidR="00EA3CD7" w:rsidRPr="004E660F" w:rsidRDefault="00EA3CD7" w:rsidP="00C429D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</w:p>
          <w:p w14:paraId="12746B76" w14:textId="77777777" w:rsidR="00EA3CD7" w:rsidRPr="004E660F" w:rsidRDefault="008A5DFB" w:rsidP="00C429D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Servizi di rete</w:t>
            </w:r>
          </w:p>
          <w:p w14:paraId="174B3CB3" w14:textId="77777777" w:rsidR="008A5DFB" w:rsidRPr="004E660F" w:rsidRDefault="008A5DFB" w:rsidP="008A5DFB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sz w:val="18"/>
                <w:szCs w:val="18"/>
                <w:u w:val="single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sz w:val="18"/>
                <w:szCs w:val="18"/>
                <w:u w:val="single"/>
                <w:lang w:eastAsia="it-IT"/>
              </w:rPr>
              <w:t>da replicare per ogni servizio di rete gestito dall’ente</w:t>
            </w:r>
          </w:p>
          <w:p w14:paraId="3C6466A9" w14:textId="77777777" w:rsidR="008A5DFB" w:rsidRPr="004E660F" w:rsidRDefault="008A5DFB" w:rsidP="00C429D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</w:p>
          <w:p w14:paraId="72C32DBE" w14:textId="77777777" w:rsidR="00EA3CD7" w:rsidRPr="004E660F" w:rsidRDefault="00EA3CD7" w:rsidP="008D7F44">
            <w:pPr>
              <w:spacing w:after="0" w:line="240" w:lineRule="auto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</w:p>
        </w:tc>
      </w:tr>
      <w:tr w:rsidR="008A5DFB" w:rsidRPr="004E660F" w14:paraId="191370E0" w14:textId="77777777" w:rsidTr="00C429D7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E6D0" w14:textId="77777777" w:rsidR="008A5DFB" w:rsidRPr="004E660F" w:rsidRDefault="008A5DFB" w:rsidP="008A5DFB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59F03" w14:textId="77777777" w:rsidR="008A5DFB" w:rsidRPr="004E660F" w:rsidRDefault="008A5DFB" w:rsidP="008A5DFB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2340C" w14:textId="77777777" w:rsidR="008A5DFB" w:rsidRPr="004E660F" w:rsidRDefault="008A5DFB" w:rsidP="008A5DFB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numero</w:t>
            </w:r>
          </w:p>
        </w:tc>
      </w:tr>
      <w:tr w:rsidR="00EA3CD7" w:rsidRPr="005705FE" w14:paraId="5D664CC3" w14:textId="77777777" w:rsidTr="00C429D7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E03EA" w14:textId="77777777" w:rsidR="00EA3CD7" w:rsidRPr="004E660F" w:rsidRDefault="008A5DFB" w:rsidP="008D7F44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Oggetto</w:t>
            </w:r>
            <w:r w:rsidR="008D7F44"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/contenuto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E6DF" w14:textId="77777777" w:rsidR="006701E8" w:rsidRPr="004E660F" w:rsidRDefault="008D7F44" w:rsidP="008A5DFB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Esito/risultanze indagini sulla soddisfazione da parte degli utenti rispetto alla qualità dei servizi in rete e statistiche di utilizzo dei servizi in rete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DE211" w14:textId="77777777" w:rsidR="00EA3CD7" w:rsidRDefault="00EA3CD7" w:rsidP="00C429D7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BC3F1D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</w:tbl>
    <w:p w14:paraId="389BC396" w14:textId="77777777" w:rsidR="00EA3CD7" w:rsidRDefault="00EA3CD7" w:rsidP="003B4B6D">
      <w:pPr>
        <w:pBdr>
          <w:bottom w:val="single" w:sz="6" w:space="0" w:color="auto"/>
        </w:pBdr>
      </w:pPr>
    </w:p>
    <w:p w14:paraId="4AAB16CD" w14:textId="77777777" w:rsidR="004C4643" w:rsidRDefault="004C4643" w:rsidP="003B4B6D">
      <w:pPr>
        <w:pBdr>
          <w:bottom w:val="single" w:sz="6" w:space="0" w:color="auto"/>
        </w:pBdr>
      </w:pPr>
    </w:p>
    <w:p w14:paraId="209690FD" w14:textId="77777777" w:rsidR="004C4643" w:rsidRPr="00BC3F1D" w:rsidRDefault="004C4643" w:rsidP="004C4643">
      <w:pPr>
        <w:pStyle w:val="Titolo3"/>
        <w:numPr>
          <w:ilvl w:val="0"/>
          <w:numId w:val="0"/>
        </w:numPr>
        <w:ind w:left="720" w:hanging="720"/>
      </w:pPr>
      <w:bookmarkStart w:id="7" w:name="_Ref144203821"/>
      <w:r w:rsidRPr="00BC3F1D">
        <w:t>Class action</w:t>
      </w:r>
      <w:bookmarkEnd w:id="7"/>
      <w:r w:rsidR="000813D6" w:rsidRPr="00BC3F1D">
        <w:t xml:space="preserve"> </w:t>
      </w:r>
    </w:p>
    <w:p w14:paraId="4B44FD92" w14:textId="77777777" w:rsidR="004C4643" w:rsidRPr="004E660F" w:rsidRDefault="004C4643" w:rsidP="004C4643">
      <w:pPr>
        <w:spacing w:after="0" w:line="240" w:lineRule="auto"/>
        <w:rPr>
          <w:rFonts w:ascii="Titillium" w:eastAsia="Times New Roman" w:hAnsi="Titillium" w:cs="Calibri"/>
          <w:color w:val="000000"/>
          <w:sz w:val="18"/>
          <w:szCs w:val="18"/>
          <w:lang w:eastAsia="it-IT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237"/>
        <w:gridCol w:w="1180"/>
      </w:tblGrid>
      <w:tr w:rsidR="004C4643" w:rsidRPr="004E660F" w14:paraId="0CB2A93B" w14:textId="77777777" w:rsidTr="002E4000">
        <w:trPr>
          <w:trHeight w:val="660"/>
        </w:trPr>
        <w:tc>
          <w:tcPr>
            <w:tcW w:w="9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30C0A4B4" w14:textId="77777777" w:rsidR="004C4643" w:rsidRPr="004E660F" w:rsidRDefault="004C4643" w:rsidP="002E4000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</w:p>
          <w:p w14:paraId="697B5EFC" w14:textId="77777777" w:rsidR="004C4643" w:rsidRPr="004E660F" w:rsidRDefault="004C4643" w:rsidP="002E4000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lang w:eastAsia="it-IT"/>
              </w:rPr>
              <w:t>Class action</w:t>
            </w:r>
          </w:p>
          <w:p w14:paraId="3CF7E255" w14:textId="77777777" w:rsidR="004C4643" w:rsidRPr="004E660F" w:rsidRDefault="004C4643" w:rsidP="004C4643">
            <w:pPr>
              <w:spacing w:after="0" w:line="240" w:lineRule="auto"/>
              <w:rPr>
                <w:rFonts w:ascii="Titillium" w:eastAsia="Times New Roman" w:hAnsi="Titillium" w:cs="Calibri"/>
                <w:color w:val="FFFFFF" w:themeColor="background1"/>
                <w:sz w:val="18"/>
                <w:szCs w:val="18"/>
                <w:u w:val="single"/>
                <w:lang w:eastAsia="it-IT"/>
              </w:rPr>
            </w:pPr>
          </w:p>
        </w:tc>
      </w:tr>
      <w:tr w:rsidR="004C4643" w:rsidRPr="004E660F" w14:paraId="7F7C7C03" w14:textId="77777777" w:rsidTr="002E4000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2E173" w14:textId="77777777" w:rsidR="004C4643" w:rsidRPr="004E660F" w:rsidRDefault="004C4643" w:rsidP="002E400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Oggetto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D18D" w14:textId="77777777" w:rsidR="004C4643" w:rsidRDefault="0018147E" w:rsidP="002E400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Oggetto del ricorso/impugnativa</w:t>
            </w:r>
          </w:p>
          <w:p w14:paraId="185FC847" w14:textId="5163798F" w:rsidR="00D930F0" w:rsidRPr="004E660F" w:rsidRDefault="00D930F0" w:rsidP="002E400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N.B: va esclusa la pubblicazione dei nom</w:t>
            </w:r>
            <w:r w:rsidR="007B3167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i</w:t>
            </w:r>
            <w:r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delle parti, ove persone fisiche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31AEB" w14:textId="77777777" w:rsidR="004C4643" w:rsidRPr="004E660F" w:rsidRDefault="004C4643" w:rsidP="002E4000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  <w:tr w:rsidR="00D01971" w:rsidRPr="004E660F" w14:paraId="3FC2384B" w14:textId="77777777" w:rsidTr="002E4000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E8CB4" w14:textId="77777777" w:rsidR="00D01971" w:rsidRPr="004E660F" w:rsidRDefault="0018147E" w:rsidP="002E400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Numero s</w:t>
            </w:r>
            <w:r w:rsidR="00BA7068"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entenza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8BAEA" w14:textId="77777777" w:rsidR="00D01971" w:rsidRPr="004E660F" w:rsidRDefault="001041A8" w:rsidP="002E400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Numero identificativo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7A7EF" w14:textId="77777777" w:rsidR="00D01971" w:rsidRPr="004E660F" w:rsidRDefault="000813D6" w:rsidP="002E4000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numero </w:t>
            </w:r>
          </w:p>
        </w:tc>
      </w:tr>
      <w:tr w:rsidR="0018147E" w:rsidRPr="004E660F" w14:paraId="3269DBD7" w14:textId="77777777" w:rsidTr="002E4000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65F21" w14:textId="77777777" w:rsidR="0018147E" w:rsidRPr="004E660F" w:rsidRDefault="0018147E" w:rsidP="002E400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Data sentenza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C2C36" w14:textId="77777777" w:rsidR="0018147E" w:rsidRPr="004E660F" w:rsidRDefault="008622F3" w:rsidP="002E400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Data </w:t>
            </w:r>
            <w:r w:rsidR="001041A8"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di pubblicazione/deposito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8E86F" w14:textId="77777777" w:rsidR="0018147E" w:rsidRPr="004E660F" w:rsidRDefault="008622F3" w:rsidP="002E4000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data</w:t>
            </w:r>
          </w:p>
        </w:tc>
      </w:tr>
      <w:tr w:rsidR="0018147E" w:rsidRPr="004E660F" w14:paraId="12B083CC" w14:textId="77777777" w:rsidTr="002E4000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3A824" w14:textId="77777777" w:rsidR="0018147E" w:rsidRPr="004E660F" w:rsidRDefault="008622F3" w:rsidP="002E400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Link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292C" w14:textId="77777777" w:rsidR="0018147E" w:rsidRPr="004E660F" w:rsidRDefault="008622F3" w:rsidP="002E400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Link alla sentenza ove pubblicata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64A63" w14:textId="77777777" w:rsidR="0018147E" w:rsidRPr="004E660F" w:rsidRDefault="008622F3" w:rsidP="002E4000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URL</w:t>
            </w:r>
          </w:p>
        </w:tc>
      </w:tr>
      <w:tr w:rsidR="00BA7068" w:rsidRPr="005705FE" w14:paraId="0667E7E1" w14:textId="77777777" w:rsidTr="002E4000">
        <w:trPr>
          <w:trHeight w:val="3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CD5B2" w14:textId="77777777" w:rsidR="00BA7068" w:rsidRPr="004E660F" w:rsidRDefault="00BA7068" w:rsidP="002E400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Misure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C410" w14:textId="77777777" w:rsidR="00BA7068" w:rsidRPr="004E660F" w:rsidRDefault="00BA7068" w:rsidP="002E4000">
            <w:pPr>
              <w:spacing w:after="0" w:line="240" w:lineRule="auto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Misure</w:t>
            </w:r>
            <w:r w:rsidR="000813D6"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eventualmente </w:t>
            </w: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 xml:space="preserve"> adottate in ottemperanza alla sentenza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46EB6" w14:textId="77777777" w:rsidR="00BA7068" w:rsidRPr="004E660F" w:rsidRDefault="001041A8" w:rsidP="002E4000">
            <w:pPr>
              <w:spacing w:after="0" w:line="240" w:lineRule="auto"/>
              <w:jc w:val="center"/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</w:pPr>
            <w:r w:rsidRPr="004E660F">
              <w:rPr>
                <w:rFonts w:ascii="Titillium" w:eastAsia="Times New Roman" w:hAnsi="Titillium" w:cs="Calibri"/>
                <w:color w:val="000000"/>
                <w:sz w:val="18"/>
                <w:szCs w:val="18"/>
                <w:lang w:eastAsia="it-IT"/>
              </w:rPr>
              <w:t>testo</w:t>
            </w:r>
          </w:p>
        </w:tc>
      </w:tr>
    </w:tbl>
    <w:p w14:paraId="5B375936" w14:textId="77777777" w:rsidR="00EA3CD7" w:rsidRDefault="00EA3CD7" w:rsidP="003B4B6D">
      <w:pPr>
        <w:pBdr>
          <w:bottom w:val="single" w:sz="6" w:space="0" w:color="auto"/>
        </w:pBdr>
      </w:pPr>
    </w:p>
    <w:sectPr w:rsidR="00EA3CD7"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AF2BD" w14:textId="77777777" w:rsidR="000B2003" w:rsidRDefault="000B2003" w:rsidP="006D27D9">
      <w:pPr>
        <w:spacing w:after="0" w:line="240" w:lineRule="auto"/>
      </w:pPr>
      <w:r>
        <w:separator/>
      </w:r>
    </w:p>
  </w:endnote>
  <w:endnote w:type="continuationSeparator" w:id="0">
    <w:p w14:paraId="02A6F7CC" w14:textId="77777777" w:rsidR="000B2003" w:rsidRDefault="000B2003" w:rsidP="006D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">
    <w:altName w:val="Calibri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468141"/>
      <w:docPartObj>
        <w:docPartGallery w:val="Page Numbers (Bottom of Page)"/>
        <w:docPartUnique/>
      </w:docPartObj>
    </w:sdtPr>
    <w:sdtEndPr/>
    <w:sdtContent>
      <w:p w14:paraId="6CDF4557" w14:textId="088D88E2" w:rsidR="00062228" w:rsidRDefault="0006222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4C23">
          <w:rPr>
            <w:noProof/>
          </w:rPr>
          <w:t>5</w:t>
        </w:r>
        <w:r>
          <w:fldChar w:fldCharType="end"/>
        </w:r>
      </w:p>
    </w:sdtContent>
  </w:sdt>
  <w:p w14:paraId="4C73FAAA" w14:textId="77777777" w:rsidR="00062228" w:rsidRDefault="000622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B2479" w14:textId="77777777" w:rsidR="000B2003" w:rsidRDefault="000B2003" w:rsidP="006D27D9">
      <w:pPr>
        <w:spacing w:after="0" w:line="240" w:lineRule="auto"/>
      </w:pPr>
      <w:r>
        <w:separator/>
      </w:r>
    </w:p>
  </w:footnote>
  <w:footnote w:type="continuationSeparator" w:id="0">
    <w:p w14:paraId="7D3EA60A" w14:textId="77777777" w:rsidR="000B2003" w:rsidRDefault="000B2003" w:rsidP="006D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42272" w14:textId="4497464A" w:rsidR="00AD0230" w:rsidRDefault="00AD0230">
    <w:pPr>
      <w:pStyle w:val="Intestazione"/>
    </w:pPr>
    <w:r>
      <w:t xml:space="preserve">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29A7"/>
    <w:multiLevelType w:val="hybridMultilevel"/>
    <w:tmpl w:val="3F8E9FF8"/>
    <w:lvl w:ilvl="0" w:tplc="971CA0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2AE8"/>
    <w:multiLevelType w:val="hybridMultilevel"/>
    <w:tmpl w:val="1A5461B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875EB7"/>
    <w:multiLevelType w:val="hybridMultilevel"/>
    <w:tmpl w:val="2A5ED7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9769A"/>
    <w:multiLevelType w:val="hybridMultilevel"/>
    <w:tmpl w:val="875C6DA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302B00"/>
    <w:multiLevelType w:val="hybridMultilevel"/>
    <w:tmpl w:val="F6F00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77266"/>
    <w:multiLevelType w:val="hybridMultilevel"/>
    <w:tmpl w:val="11B47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C1E73"/>
    <w:multiLevelType w:val="hybridMultilevel"/>
    <w:tmpl w:val="CCAA0BE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132A26"/>
    <w:multiLevelType w:val="hybridMultilevel"/>
    <w:tmpl w:val="D46A8E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6765A20"/>
    <w:multiLevelType w:val="hybridMultilevel"/>
    <w:tmpl w:val="A5C022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4900A4"/>
    <w:multiLevelType w:val="hybridMultilevel"/>
    <w:tmpl w:val="977E62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65824"/>
    <w:multiLevelType w:val="hybridMultilevel"/>
    <w:tmpl w:val="5B52B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B7AAC"/>
    <w:multiLevelType w:val="multilevel"/>
    <w:tmpl w:val="23F4ABCE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A680E4C"/>
    <w:multiLevelType w:val="hybridMultilevel"/>
    <w:tmpl w:val="11ECFAB6"/>
    <w:lvl w:ilvl="0" w:tplc="938275E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94D58"/>
    <w:multiLevelType w:val="hybridMultilevel"/>
    <w:tmpl w:val="E2F20FD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1601CE"/>
    <w:multiLevelType w:val="hybridMultilevel"/>
    <w:tmpl w:val="D982EE36"/>
    <w:lvl w:ilvl="0" w:tplc="0C7A1F2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C6563"/>
    <w:multiLevelType w:val="hybridMultilevel"/>
    <w:tmpl w:val="1A78B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25E15"/>
    <w:multiLevelType w:val="hybridMultilevel"/>
    <w:tmpl w:val="CAF6D3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3F00B5"/>
    <w:multiLevelType w:val="hybridMultilevel"/>
    <w:tmpl w:val="DE2A9600"/>
    <w:lvl w:ilvl="0" w:tplc="7EA26B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815CD"/>
    <w:multiLevelType w:val="hybridMultilevel"/>
    <w:tmpl w:val="14B01F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7"/>
  </w:num>
  <w:num w:numId="31">
    <w:abstractNumId w:val="13"/>
  </w:num>
  <w:num w:numId="32">
    <w:abstractNumId w:val="9"/>
  </w:num>
  <w:num w:numId="33">
    <w:abstractNumId w:val="0"/>
  </w:num>
  <w:num w:numId="34">
    <w:abstractNumId w:val="3"/>
  </w:num>
  <w:num w:numId="35">
    <w:abstractNumId w:val="18"/>
  </w:num>
  <w:num w:numId="36">
    <w:abstractNumId w:val="15"/>
  </w:num>
  <w:num w:numId="37">
    <w:abstractNumId w:val="16"/>
  </w:num>
  <w:num w:numId="38">
    <w:abstractNumId w:val="1"/>
  </w:num>
  <w:num w:numId="39">
    <w:abstractNumId w:val="6"/>
  </w:num>
  <w:num w:numId="40">
    <w:abstractNumId w:val="4"/>
  </w:num>
  <w:num w:numId="41">
    <w:abstractNumId w:val="5"/>
  </w:num>
  <w:num w:numId="42">
    <w:abstractNumId w:val="8"/>
  </w:num>
  <w:num w:numId="43">
    <w:abstractNumId w:val="14"/>
  </w:num>
  <w:num w:numId="44">
    <w:abstractNumId w:val="10"/>
  </w:num>
  <w:num w:numId="45">
    <w:abstractNumId w:val="17"/>
  </w:num>
  <w:num w:numId="46">
    <w:abstractNumId w:val="12"/>
  </w:num>
  <w:num w:numId="47">
    <w:abstractNumId w:val="11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21"/>
    <w:rsid w:val="00001E4D"/>
    <w:rsid w:val="00003E1F"/>
    <w:rsid w:val="00006BCB"/>
    <w:rsid w:val="0001247F"/>
    <w:rsid w:val="00012A9C"/>
    <w:rsid w:val="00014EF9"/>
    <w:rsid w:val="0002566F"/>
    <w:rsid w:val="00033DD9"/>
    <w:rsid w:val="000370FC"/>
    <w:rsid w:val="000401BE"/>
    <w:rsid w:val="00041B99"/>
    <w:rsid w:val="0004219C"/>
    <w:rsid w:val="00051378"/>
    <w:rsid w:val="0005170F"/>
    <w:rsid w:val="00057FF5"/>
    <w:rsid w:val="00062228"/>
    <w:rsid w:val="00070240"/>
    <w:rsid w:val="0008099F"/>
    <w:rsid w:val="000813D6"/>
    <w:rsid w:val="00083C44"/>
    <w:rsid w:val="0008466A"/>
    <w:rsid w:val="000863C7"/>
    <w:rsid w:val="00092C68"/>
    <w:rsid w:val="00093B97"/>
    <w:rsid w:val="00097363"/>
    <w:rsid w:val="000A00EF"/>
    <w:rsid w:val="000A41BD"/>
    <w:rsid w:val="000A6BDC"/>
    <w:rsid w:val="000A6C63"/>
    <w:rsid w:val="000B2003"/>
    <w:rsid w:val="000B39B6"/>
    <w:rsid w:val="000C2558"/>
    <w:rsid w:val="000C2A7C"/>
    <w:rsid w:val="000C4A83"/>
    <w:rsid w:val="000C4B7A"/>
    <w:rsid w:val="000C7352"/>
    <w:rsid w:val="000C741E"/>
    <w:rsid w:val="000C76CF"/>
    <w:rsid w:val="000D479E"/>
    <w:rsid w:val="000D4F9B"/>
    <w:rsid w:val="000F420E"/>
    <w:rsid w:val="000F5405"/>
    <w:rsid w:val="000F556F"/>
    <w:rsid w:val="00101A4D"/>
    <w:rsid w:val="001041A8"/>
    <w:rsid w:val="0010524E"/>
    <w:rsid w:val="00110CAC"/>
    <w:rsid w:val="00112A17"/>
    <w:rsid w:val="00113D9A"/>
    <w:rsid w:val="0011529B"/>
    <w:rsid w:val="0011749E"/>
    <w:rsid w:val="001177FC"/>
    <w:rsid w:val="001222D9"/>
    <w:rsid w:val="0013223C"/>
    <w:rsid w:val="001327D8"/>
    <w:rsid w:val="00142150"/>
    <w:rsid w:val="00147C9D"/>
    <w:rsid w:val="00150592"/>
    <w:rsid w:val="00150860"/>
    <w:rsid w:val="00152408"/>
    <w:rsid w:val="00155A57"/>
    <w:rsid w:val="0016267F"/>
    <w:rsid w:val="00166E4B"/>
    <w:rsid w:val="001714FD"/>
    <w:rsid w:val="00171B79"/>
    <w:rsid w:val="00171E15"/>
    <w:rsid w:val="00176941"/>
    <w:rsid w:val="001804D0"/>
    <w:rsid w:val="00180B84"/>
    <w:rsid w:val="0018147E"/>
    <w:rsid w:val="00182193"/>
    <w:rsid w:val="00185BAE"/>
    <w:rsid w:val="00191095"/>
    <w:rsid w:val="00191229"/>
    <w:rsid w:val="0019283B"/>
    <w:rsid w:val="00194E0A"/>
    <w:rsid w:val="00195CED"/>
    <w:rsid w:val="001B4D42"/>
    <w:rsid w:val="001C0B01"/>
    <w:rsid w:val="001C5185"/>
    <w:rsid w:val="001D434E"/>
    <w:rsid w:val="001E5BFA"/>
    <w:rsid w:val="001F06EE"/>
    <w:rsid w:val="001F2E07"/>
    <w:rsid w:val="001F5052"/>
    <w:rsid w:val="002032AD"/>
    <w:rsid w:val="00203E30"/>
    <w:rsid w:val="00206C33"/>
    <w:rsid w:val="00206D1D"/>
    <w:rsid w:val="002176CC"/>
    <w:rsid w:val="00223C4A"/>
    <w:rsid w:val="00224409"/>
    <w:rsid w:val="00227578"/>
    <w:rsid w:val="002301BF"/>
    <w:rsid w:val="00236C3B"/>
    <w:rsid w:val="00237DBB"/>
    <w:rsid w:val="002433B9"/>
    <w:rsid w:val="00247F3C"/>
    <w:rsid w:val="00250D7F"/>
    <w:rsid w:val="00256BC9"/>
    <w:rsid w:val="00261711"/>
    <w:rsid w:val="00261CB0"/>
    <w:rsid w:val="00265840"/>
    <w:rsid w:val="00266A58"/>
    <w:rsid w:val="00284A02"/>
    <w:rsid w:val="00287965"/>
    <w:rsid w:val="00292C7E"/>
    <w:rsid w:val="00292D3D"/>
    <w:rsid w:val="00293C4A"/>
    <w:rsid w:val="00294684"/>
    <w:rsid w:val="002A75D0"/>
    <w:rsid w:val="002B25C7"/>
    <w:rsid w:val="002C291B"/>
    <w:rsid w:val="002C32AE"/>
    <w:rsid w:val="002C3C73"/>
    <w:rsid w:val="002D150A"/>
    <w:rsid w:val="002D44ED"/>
    <w:rsid w:val="002D5FEF"/>
    <w:rsid w:val="002D6BA3"/>
    <w:rsid w:val="002E1C85"/>
    <w:rsid w:val="002E1C87"/>
    <w:rsid w:val="002F389A"/>
    <w:rsid w:val="002F5B5D"/>
    <w:rsid w:val="002F6C1C"/>
    <w:rsid w:val="00303430"/>
    <w:rsid w:val="00315662"/>
    <w:rsid w:val="00315927"/>
    <w:rsid w:val="003218F7"/>
    <w:rsid w:val="0032531D"/>
    <w:rsid w:val="00340F1F"/>
    <w:rsid w:val="00352421"/>
    <w:rsid w:val="0036022C"/>
    <w:rsid w:val="003661E7"/>
    <w:rsid w:val="003710F7"/>
    <w:rsid w:val="00374AD7"/>
    <w:rsid w:val="003774E0"/>
    <w:rsid w:val="00377F2D"/>
    <w:rsid w:val="00381E40"/>
    <w:rsid w:val="00384926"/>
    <w:rsid w:val="003922B2"/>
    <w:rsid w:val="00394CAF"/>
    <w:rsid w:val="003A0797"/>
    <w:rsid w:val="003A0FA3"/>
    <w:rsid w:val="003A1D82"/>
    <w:rsid w:val="003B4B6D"/>
    <w:rsid w:val="003C16B1"/>
    <w:rsid w:val="003C1C81"/>
    <w:rsid w:val="003C58DD"/>
    <w:rsid w:val="003C5B7D"/>
    <w:rsid w:val="003D245E"/>
    <w:rsid w:val="003D48F8"/>
    <w:rsid w:val="003D64C6"/>
    <w:rsid w:val="003E0238"/>
    <w:rsid w:val="003E03EE"/>
    <w:rsid w:val="003E2537"/>
    <w:rsid w:val="003E381A"/>
    <w:rsid w:val="003E4E0C"/>
    <w:rsid w:val="003F67EF"/>
    <w:rsid w:val="003F740F"/>
    <w:rsid w:val="003F7CD7"/>
    <w:rsid w:val="0040254A"/>
    <w:rsid w:val="004045C2"/>
    <w:rsid w:val="00404829"/>
    <w:rsid w:val="004051EB"/>
    <w:rsid w:val="00410A6C"/>
    <w:rsid w:val="00412DE3"/>
    <w:rsid w:val="004158B8"/>
    <w:rsid w:val="00420632"/>
    <w:rsid w:val="00421192"/>
    <w:rsid w:val="00426762"/>
    <w:rsid w:val="004360A3"/>
    <w:rsid w:val="00436F35"/>
    <w:rsid w:val="0044027B"/>
    <w:rsid w:val="004422B6"/>
    <w:rsid w:val="00444049"/>
    <w:rsid w:val="00453796"/>
    <w:rsid w:val="004556E5"/>
    <w:rsid w:val="00460BA1"/>
    <w:rsid w:val="00465114"/>
    <w:rsid w:val="00467C1F"/>
    <w:rsid w:val="0047097C"/>
    <w:rsid w:val="00482D18"/>
    <w:rsid w:val="004843AE"/>
    <w:rsid w:val="00492239"/>
    <w:rsid w:val="00497791"/>
    <w:rsid w:val="004A1004"/>
    <w:rsid w:val="004A175B"/>
    <w:rsid w:val="004A601D"/>
    <w:rsid w:val="004C1DB4"/>
    <w:rsid w:val="004C4643"/>
    <w:rsid w:val="004C7660"/>
    <w:rsid w:val="004D149A"/>
    <w:rsid w:val="004D51F8"/>
    <w:rsid w:val="004D6D95"/>
    <w:rsid w:val="004D73B5"/>
    <w:rsid w:val="004E33E0"/>
    <w:rsid w:val="004E660F"/>
    <w:rsid w:val="004F310D"/>
    <w:rsid w:val="004F7C1A"/>
    <w:rsid w:val="00510544"/>
    <w:rsid w:val="00515F84"/>
    <w:rsid w:val="00526060"/>
    <w:rsid w:val="00537243"/>
    <w:rsid w:val="0054130D"/>
    <w:rsid w:val="00542A80"/>
    <w:rsid w:val="005468AB"/>
    <w:rsid w:val="0055312B"/>
    <w:rsid w:val="00553DF0"/>
    <w:rsid w:val="00556213"/>
    <w:rsid w:val="0055765B"/>
    <w:rsid w:val="005619D9"/>
    <w:rsid w:val="005639BF"/>
    <w:rsid w:val="00564CD0"/>
    <w:rsid w:val="005651FE"/>
    <w:rsid w:val="005654C6"/>
    <w:rsid w:val="0056657B"/>
    <w:rsid w:val="0057044F"/>
    <w:rsid w:val="005705FE"/>
    <w:rsid w:val="00575CB9"/>
    <w:rsid w:val="005837EF"/>
    <w:rsid w:val="005A2196"/>
    <w:rsid w:val="005A5DEB"/>
    <w:rsid w:val="005B0935"/>
    <w:rsid w:val="005B12F8"/>
    <w:rsid w:val="005B2871"/>
    <w:rsid w:val="005B2F4C"/>
    <w:rsid w:val="005B340A"/>
    <w:rsid w:val="005B3D21"/>
    <w:rsid w:val="005C4D05"/>
    <w:rsid w:val="005C73E4"/>
    <w:rsid w:val="005D1DB4"/>
    <w:rsid w:val="005D2DD9"/>
    <w:rsid w:val="005E0A21"/>
    <w:rsid w:val="005E1C5B"/>
    <w:rsid w:val="005E1E31"/>
    <w:rsid w:val="005E24EB"/>
    <w:rsid w:val="005F1B1A"/>
    <w:rsid w:val="005F3D4F"/>
    <w:rsid w:val="005F42B3"/>
    <w:rsid w:val="006108A5"/>
    <w:rsid w:val="00612112"/>
    <w:rsid w:val="00615387"/>
    <w:rsid w:val="00621724"/>
    <w:rsid w:val="0062454E"/>
    <w:rsid w:val="00631126"/>
    <w:rsid w:val="00632947"/>
    <w:rsid w:val="00653155"/>
    <w:rsid w:val="006534D5"/>
    <w:rsid w:val="00653E13"/>
    <w:rsid w:val="00665680"/>
    <w:rsid w:val="006701E8"/>
    <w:rsid w:val="00673804"/>
    <w:rsid w:val="00676631"/>
    <w:rsid w:val="006770A2"/>
    <w:rsid w:val="00680081"/>
    <w:rsid w:val="00686CB3"/>
    <w:rsid w:val="00696A79"/>
    <w:rsid w:val="006A6BDA"/>
    <w:rsid w:val="006A7073"/>
    <w:rsid w:val="006B15B5"/>
    <w:rsid w:val="006B1AB8"/>
    <w:rsid w:val="006B25AC"/>
    <w:rsid w:val="006B3941"/>
    <w:rsid w:val="006C0B7B"/>
    <w:rsid w:val="006C1DD6"/>
    <w:rsid w:val="006C3E80"/>
    <w:rsid w:val="006C7E15"/>
    <w:rsid w:val="006D1178"/>
    <w:rsid w:val="006D27D9"/>
    <w:rsid w:val="006D30F9"/>
    <w:rsid w:val="006D33C6"/>
    <w:rsid w:val="006D4C0C"/>
    <w:rsid w:val="006E1D51"/>
    <w:rsid w:val="006E3061"/>
    <w:rsid w:val="006E59E4"/>
    <w:rsid w:val="006E5EBD"/>
    <w:rsid w:val="006F081D"/>
    <w:rsid w:val="006F1362"/>
    <w:rsid w:val="006F2CD9"/>
    <w:rsid w:val="006F2E70"/>
    <w:rsid w:val="006F4A7E"/>
    <w:rsid w:val="006F6C3A"/>
    <w:rsid w:val="006F7358"/>
    <w:rsid w:val="00704F53"/>
    <w:rsid w:val="00712A9D"/>
    <w:rsid w:val="007164F5"/>
    <w:rsid w:val="00717483"/>
    <w:rsid w:val="00723989"/>
    <w:rsid w:val="00724ACA"/>
    <w:rsid w:val="00732743"/>
    <w:rsid w:val="00732D45"/>
    <w:rsid w:val="00734F62"/>
    <w:rsid w:val="00735197"/>
    <w:rsid w:val="00735AB3"/>
    <w:rsid w:val="0074307C"/>
    <w:rsid w:val="00744B41"/>
    <w:rsid w:val="0074667D"/>
    <w:rsid w:val="00747004"/>
    <w:rsid w:val="007535E8"/>
    <w:rsid w:val="00754052"/>
    <w:rsid w:val="00760CDE"/>
    <w:rsid w:val="007642F6"/>
    <w:rsid w:val="00766133"/>
    <w:rsid w:val="00766D16"/>
    <w:rsid w:val="007670C3"/>
    <w:rsid w:val="0077364E"/>
    <w:rsid w:val="00775EC4"/>
    <w:rsid w:val="00792A6B"/>
    <w:rsid w:val="00792BC6"/>
    <w:rsid w:val="007930FB"/>
    <w:rsid w:val="007954ED"/>
    <w:rsid w:val="007A16FA"/>
    <w:rsid w:val="007A5058"/>
    <w:rsid w:val="007A728B"/>
    <w:rsid w:val="007B0AE9"/>
    <w:rsid w:val="007B3167"/>
    <w:rsid w:val="007C1E62"/>
    <w:rsid w:val="007D1129"/>
    <w:rsid w:val="007D6DC1"/>
    <w:rsid w:val="007F5C9E"/>
    <w:rsid w:val="007F7ABA"/>
    <w:rsid w:val="00800465"/>
    <w:rsid w:val="00801087"/>
    <w:rsid w:val="00803A7B"/>
    <w:rsid w:val="0080436C"/>
    <w:rsid w:val="008058B3"/>
    <w:rsid w:val="008067D6"/>
    <w:rsid w:val="00813139"/>
    <w:rsid w:val="00820F83"/>
    <w:rsid w:val="008244A3"/>
    <w:rsid w:val="00825603"/>
    <w:rsid w:val="00833FB2"/>
    <w:rsid w:val="00835800"/>
    <w:rsid w:val="00836641"/>
    <w:rsid w:val="0083669B"/>
    <w:rsid w:val="008373C5"/>
    <w:rsid w:val="00840513"/>
    <w:rsid w:val="00840D21"/>
    <w:rsid w:val="0084199F"/>
    <w:rsid w:val="00851488"/>
    <w:rsid w:val="008604FF"/>
    <w:rsid w:val="008614C9"/>
    <w:rsid w:val="008622F3"/>
    <w:rsid w:val="00863C25"/>
    <w:rsid w:val="00864D28"/>
    <w:rsid w:val="008656D3"/>
    <w:rsid w:val="00870D24"/>
    <w:rsid w:val="00877092"/>
    <w:rsid w:val="008774EB"/>
    <w:rsid w:val="00897BBF"/>
    <w:rsid w:val="008A489E"/>
    <w:rsid w:val="008A5DFB"/>
    <w:rsid w:val="008B11FF"/>
    <w:rsid w:val="008B1767"/>
    <w:rsid w:val="008B6B1F"/>
    <w:rsid w:val="008B7F99"/>
    <w:rsid w:val="008C092F"/>
    <w:rsid w:val="008C2AC3"/>
    <w:rsid w:val="008C6426"/>
    <w:rsid w:val="008C6A61"/>
    <w:rsid w:val="008C6E97"/>
    <w:rsid w:val="008D1149"/>
    <w:rsid w:val="008D41AA"/>
    <w:rsid w:val="008D531E"/>
    <w:rsid w:val="008D7C12"/>
    <w:rsid w:val="008D7F44"/>
    <w:rsid w:val="008D7FB8"/>
    <w:rsid w:val="008E02FC"/>
    <w:rsid w:val="008E0344"/>
    <w:rsid w:val="008E4BD4"/>
    <w:rsid w:val="008E76D5"/>
    <w:rsid w:val="008F0AA6"/>
    <w:rsid w:val="008F21CA"/>
    <w:rsid w:val="00911E91"/>
    <w:rsid w:val="009134BD"/>
    <w:rsid w:val="00915D04"/>
    <w:rsid w:val="00916FC8"/>
    <w:rsid w:val="00932314"/>
    <w:rsid w:val="00932A24"/>
    <w:rsid w:val="00934631"/>
    <w:rsid w:val="00934EE7"/>
    <w:rsid w:val="00934F85"/>
    <w:rsid w:val="009447C4"/>
    <w:rsid w:val="00944A4C"/>
    <w:rsid w:val="00944C23"/>
    <w:rsid w:val="00946224"/>
    <w:rsid w:val="00960324"/>
    <w:rsid w:val="009614FC"/>
    <w:rsid w:val="00962ADB"/>
    <w:rsid w:val="00963267"/>
    <w:rsid w:val="0098552E"/>
    <w:rsid w:val="00987501"/>
    <w:rsid w:val="00987BCD"/>
    <w:rsid w:val="00991530"/>
    <w:rsid w:val="00991E5F"/>
    <w:rsid w:val="00992C10"/>
    <w:rsid w:val="00995109"/>
    <w:rsid w:val="009A0CC8"/>
    <w:rsid w:val="009A122D"/>
    <w:rsid w:val="009A5173"/>
    <w:rsid w:val="009A7100"/>
    <w:rsid w:val="009B2D8C"/>
    <w:rsid w:val="009C0F75"/>
    <w:rsid w:val="009C406B"/>
    <w:rsid w:val="009C5434"/>
    <w:rsid w:val="009C5B9C"/>
    <w:rsid w:val="009D1E04"/>
    <w:rsid w:val="009D375D"/>
    <w:rsid w:val="009E285A"/>
    <w:rsid w:val="009E3F4A"/>
    <w:rsid w:val="009F2820"/>
    <w:rsid w:val="00A00C17"/>
    <w:rsid w:val="00A12468"/>
    <w:rsid w:val="00A13D38"/>
    <w:rsid w:val="00A2686E"/>
    <w:rsid w:val="00A340F3"/>
    <w:rsid w:val="00A3642E"/>
    <w:rsid w:val="00A427AE"/>
    <w:rsid w:val="00A42EA0"/>
    <w:rsid w:val="00A4441B"/>
    <w:rsid w:val="00A4549A"/>
    <w:rsid w:val="00A47820"/>
    <w:rsid w:val="00A62AE3"/>
    <w:rsid w:val="00A62E98"/>
    <w:rsid w:val="00A70260"/>
    <w:rsid w:val="00A72FFA"/>
    <w:rsid w:val="00A8027E"/>
    <w:rsid w:val="00A85F19"/>
    <w:rsid w:val="00A8603B"/>
    <w:rsid w:val="00A90409"/>
    <w:rsid w:val="00A92D17"/>
    <w:rsid w:val="00A950CA"/>
    <w:rsid w:val="00A95D79"/>
    <w:rsid w:val="00A96EE5"/>
    <w:rsid w:val="00AA77E9"/>
    <w:rsid w:val="00AB1618"/>
    <w:rsid w:val="00AB3654"/>
    <w:rsid w:val="00AB6259"/>
    <w:rsid w:val="00AB6E99"/>
    <w:rsid w:val="00AB752E"/>
    <w:rsid w:val="00AC11CF"/>
    <w:rsid w:val="00AC60FA"/>
    <w:rsid w:val="00AD0230"/>
    <w:rsid w:val="00AE64BB"/>
    <w:rsid w:val="00AF5F9A"/>
    <w:rsid w:val="00AF7ECB"/>
    <w:rsid w:val="00B0062B"/>
    <w:rsid w:val="00B0487D"/>
    <w:rsid w:val="00B11198"/>
    <w:rsid w:val="00B13442"/>
    <w:rsid w:val="00B211C6"/>
    <w:rsid w:val="00B247CD"/>
    <w:rsid w:val="00B311CF"/>
    <w:rsid w:val="00B31BC3"/>
    <w:rsid w:val="00B34C87"/>
    <w:rsid w:val="00B563FF"/>
    <w:rsid w:val="00B5799A"/>
    <w:rsid w:val="00B65BE3"/>
    <w:rsid w:val="00B65C4E"/>
    <w:rsid w:val="00B65E8F"/>
    <w:rsid w:val="00B66C01"/>
    <w:rsid w:val="00B67066"/>
    <w:rsid w:val="00B67448"/>
    <w:rsid w:val="00B702ED"/>
    <w:rsid w:val="00B74D42"/>
    <w:rsid w:val="00B76F20"/>
    <w:rsid w:val="00B87140"/>
    <w:rsid w:val="00B87A82"/>
    <w:rsid w:val="00B92429"/>
    <w:rsid w:val="00B94B52"/>
    <w:rsid w:val="00B965EE"/>
    <w:rsid w:val="00BA08E5"/>
    <w:rsid w:val="00BA3675"/>
    <w:rsid w:val="00BA7068"/>
    <w:rsid w:val="00BA790C"/>
    <w:rsid w:val="00BB229D"/>
    <w:rsid w:val="00BB30A0"/>
    <w:rsid w:val="00BB4492"/>
    <w:rsid w:val="00BB57DB"/>
    <w:rsid w:val="00BB692E"/>
    <w:rsid w:val="00BC13A4"/>
    <w:rsid w:val="00BC1992"/>
    <w:rsid w:val="00BC3F1D"/>
    <w:rsid w:val="00BC5ED5"/>
    <w:rsid w:val="00BD0D19"/>
    <w:rsid w:val="00BD2F1D"/>
    <w:rsid w:val="00BD6C47"/>
    <w:rsid w:val="00BE6528"/>
    <w:rsid w:val="00BF5628"/>
    <w:rsid w:val="00C1060F"/>
    <w:rsid w:val="00C1210D"/>
    <w:rsid w:val="00C13CC6"/>
    <w:rsid w:val="00C15C40"/>
    <w:rsid w:val="00C1690F"/>
    <w:rsid w:val="00C246A0"/>
    <w:rsid w:val="00C26FEF"/>
    <w:rsid w:val="00C3291F"/>
    <w:rsid w:val="00C366E8"/>
    <w:rsid w:val="00C42209"/>
    <w:rsid w:val="00C5418C"/>
    <w:rsid w:val="00C572C1"/>
    <w:rsid w:val="00C57DCF"/>
    <w:rsid w:val="00C63E37"/>
    <w:rsid w:val="00C74257"/>
    <w:rsid w:val="00C74FA8"/>
    <w:rsid w:val="00C75F5E"/>
    <w:rsid w:val="00C779A9"/>
    <w:rsid w:val="00C80416"/>
    <w:rsid w:val="00C835B7"/>
    <w:rsid w:val="00C838EC"/>
    <w:rsid w:val="00C83E87"/>
    <w:rsid w:val="00C93854"/>
    <w:rsid w:val="00C943DF"/>
    <w:rsid w:val="00CA2F5A"/>
    <w:rsid w:val="00CA414C"/>
    <w:rsid w:val="00CB1F27"/>
    <w:rsid w:val="00CB6900"/>
    <w:rsid w:val="00CB7F6F"/>
    <w:rsid w:val="00CC4733"/>
    <w:rsid w:val="00CC73CE"/>
    <w:rsid w:val="00CD01E9"/>
    <w:rsid w:val="00CD2E2E"/>
    <w:rsid w:val="00CE13B6"/>
    <w:rsid w:val="00CF0040"/>
    <w:rsid w:val="00CF33A8"/>
    <w:rsid w:val="00CF3D24"/>
    <w:rsid w:val="00CF73BB"/>
    <w:rsid w:val="00D01971"/>
    <w:rsid w:val="00D03691"/>
    <w:rsid w:val="00D04844"/>
    <w:rsid w:val="00D108C3"/>
    <w:rsid w:val="00D27C8B"/>
    <w:rsid w:val="00D31CB2"/>
    <w:rsid w:val="00D33EC9"/>
    <w:rsid w:val="00D347FA"/>
    <w:rsid w:val="00D36B0B"/>
    <w:rsid w:val="00D40D60"/>
    <w:rsid w:val="00D41829"/>
    <w:rsid w:val="00D5494A"/>
    <w:rsid w:val="00D61553"/>
    <w:rsid w:val="00D6315C"/>
    <w:rsid w:val="00D63E28"/>
    <w:rsid w:val="00D64BFE"/>
    <w:rsid w:val="00D658A8"/>
    <w:rsid w:val="00D66B3D"/>
    <w:rsid w:val="00D6774A"/>
    <w:rsid w:val="00D71900"/>
    <w:rsid w:val="00D73D81"/>
    <w:rsid w:val="00D806B5"/>
    <w:rsid w:val="00D80D27"/>
    <w:rsid w:val="00D92993"/>
    <w:rsid w:val="00D930F0"/>
    <w:rsid w:val="00DA74BC"/>
    <w:rsid w:val="00DB2486"/>
    <w:rsid w:val="00DB4E6F"/>
    <w:rsid w:val="00DB6CB3"/>
    <w:rsid w:val="00DC4601"/>
    <w:rsid w:val="00DC7B34"/>
    <w:rsid w:val="00DD5B7D"/>
    <w:rsid w:val="00DE2322"/>
    <w:rsid w:val="00DE472E"/>
    <w:rsid w:val="00DE6128"/>
    <w:rsid w:val="00DF3095"/>
    <w:rsid w:val="00E13C5B"/>
    <w:rsid w:val="00E1790E"/>
    <w:rsid w:val="00E20A2B"/>
    <w:rsid w:val="00E24229"/>
    <w:rsid w:val="00E2426D"/>
    <w:rsid w:val="00E25022"/>
    <w:rsid w:val="00E3540A"/>
    <w:rsid w:val="00E37C66"/>
    <w:rsid w:val="00E41EEF"/>
    <w:rsid w:val="00E44B03"/>
    <w:rsid w:val="00E477FC"/>
    <w:rsid w:val="00E5429B"/>
    <w:rsid w:val="00E5494E"/>
    <w:rsid w:val="00E574FE"/>
    <w:rsid w:val="00E64497"/>
    <w:rsid w:val="00E666DA"/>
    <w:rsid w:val="00E71F54"/>
    <w:rsid w:val="00E72CD5"/>
    <w:rsid w:val="00E7362E"/>
    <w:rsid w:val="00E82437"/>
    <w:rsid w:val="00E91AD5"/>
    <w:rsid w:val="00E95744"/>
    <w:rsid w:val="00EA16FF"/>
    <w:rsid w:val="00EA3CD7"/>
    <w:rsid w:val="00EB58E9"/>
    <w:rsid w:val="00EB5B06"/>
    <w:rsid w:val="00EC0C5E"/>
    <w:rsid w:val="00EC1A17"/>
    <w:rsid w:val="00EC577C"/>
    <w:rsid w:val="00EC6C8A"/>
    <w:rsid w:val="00EC73B3"/>
    <w:rsid w:val="00EC7747"/>
    <w:rsid w:val="00ED2DE9"/>
    <w:rsid w:val="00ED72FF"/>
    <w:rsid w:val="00EF37AA"/>
    <w:rsid w:val="00EF3C2F"/>
    <w:rsid w:val="00EF4169"/>
    <w:rsid w:val="00EF51F7"/>
    <w:rsid w:val="00EF53D4"/>
    <w:rsid w:val="00EF6675"/>
    <w:rsid w:val="00F00B00"/>
    <w:rsid w:val="00F025D7"/>
    <w:rsid w:val="00F04810"/>
    <w:rsid w:val="00F16936"/>
    <w:rsid w:val="00F17DE6"/>
    <w:rsid w:val="00F210D5"/>
    <w:rsid w:val="00F214C5"/>
    <w:rsid w:val="00F2430B"/>
    <w:rsid w:val="00F2799B"/>
    <w:rsid w:val="00F3093E"/>
    <w:rsid w:val="00F47060"/>
    <w:rsid w:val="00F54D7F"/>
    <w:rsid w:val="00F56678"/>
    <w:rsid w:val="00F57201"/>
    <w:rsid w:val="00F62C1B"/>
    <w:rsid w:val="00F63F31"/>
    <w:rsid w:val="00F71FE5"/>
    <w:rsid w:val="00F7217B"/>
    <w:rsid w:val="00F73E0A"/>
    <w:rsid w:val="00F76A73"/>
    <w:rsid w:val="00F80B3F"/>
    <w:rsid w:val="00F84672"/>
    <w:rsid w:val="00F85BF0"/>
    <w:rsid w:val="00FA05F2"/>
    <w:rsid w:val="00FA59E1"/>
    <w:rsid w:val="00FB1A3C"/>
    <w:rsid w:val="00FB4C66"/>
    <w:rsid w:val="00FB76FF"/>
    <w:rsid w:val="00FC07AC"/>
    <w:rsid w:val="00FC19C8"/>
    <w:rsid w:val="00FC2C90"/>
    <w:rsid w:val="00FD1790"/>
    <w:rsid w:val="00FD6485"/>
    <w:rsid w:val="00FE189E"/>
    <w:rsid w:val="00FE499A"/>
    <w:rsid w:val="00FE54AC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1B63"/>
  <w15:chartTrackingRefBased/>
  <w15:docId w15:val="{CCB80C3C-F6D1-41A1-936F-1B35CE6B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lang w:val="it-IT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6762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430B"/>
    <w:pPr>
      <w:keepNext/>
      <w:keepLines/>
      <w:numPr>
        <w:numId w:val="2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430B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2430B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2430B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2430B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30B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30B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30B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30B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43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243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2430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2430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30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30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30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3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3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243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30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30B"/>
    <w:rPr>
      <w:rFonts w:eastAsiaTheme="minorEastAsia"/>
      <w:color w:val="5A5A5A" w:themeColor="text1" w:themeTint="A5"/>
      <w:spacing w:val="15"/>
    </w:rPr>
  </w:style>
  <w:style w:type="character" w:styleId="Enfasicorsivo">
    <w:name w:val="Emphasis"/>
    <w:basedOn w:val="Carpredefinitoparagrafo"/>
    <w:uiPriority w:val="20"/>
    <w:qFormat/>
    <w:rsid w:val="00F2430B"/>
    <w:rPr>
      <w:i/>
      <w:iCs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link w:val="ParagrafoelencoCarattere"/>
    <w:uiPriority w:val="34"/>
    <w:qFormat/>
    <w:rsid w:val="00F2430B"/>
    <w:pPr>
      <w:ind w:left="720"/>
      <w:contextualSpacing/>
    </w:pPr>
  </w:style>
  <w:style w:type="character" w:styleId="Riferimentodelicato">
    <w:name w:val="Subtle Reference"/>
    <w:basedOn w:val="Carpredefinitoparagrafo"/>
    <w:uiPriority w:val="31"/>
    <w:qFormat/>
    <w:rsid w:val="00F2430B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F2430B"/>
    <w:rPr>
      <w:b/>
      <w:bCs/>
      <w:smallCaps/>
      <w:color w:val="4472C4" w:themeColor="accent1"/>
      <w:spacing w:val="5"/>
    </w:rPr>
  </w:style>
  <w:style w:type="paragraph" w:styleId="Titolosommario">
    <w:name w:val="TOC Heading"/>
    <w:basedOn w:val="Titolo1"/>
    <w:next w:val="Normale"/>
    <w:uiPriority w:val="39"/>
    <w:unhideWhenUsed/>
    <w:qFormat/>
    <w:rsid w:val="00F2430B"/>
    <w:pPr>
      <w:numPr>
        <w:numId w:val="0"/>
      </w:numPr>
      <w:outlineLvl w:val="9"/>
    </w:pPr>
    <w:rPr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26762"/>
    <w:rPr>
      <w:color w:val="0563C1" w:themeColor="hyperlink"/>
      <w:u w:val="single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link w:val="Paragrafoelenco"/>
    <w:uiPriority w:val="34"/>
    <w:qFormat/>
    <w:locked/>
    <w:rsid w:val="00426762"/>
  </w:style>
  <w:style w:type="paragraph" w:styleId="NormaleWeb">
    <w:name w:val="Normal (Web)"/>
    <w:basedOn w:val="Normale"/>
    <w:uiPriority w:val="99"/>
    <w:unhideWhenUsed/>
    <w:rsid w:val="003E0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E0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580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5800"/>
    <w:rPr>
      <w:i/>
      <w:iCs/>
      <w:color w:val="4472C4" w:themeColor="accent1"/>
      <w:kern w:val="0"/>
      <w14:ligatures w14:val="non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91E5F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1E5F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D27D9"/>
    <w:pPr>
      <w:spacing w:after="0"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D27D9"/>
    <w:rPr>
      <w:kern w:val="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D27D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0622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2228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622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2228"/>
    <w:rPr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1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13D6"/>
    <w:rPr>
      <w:rFonts w:ascii="Segoe UI" w:hAnsi="Segoe UI" w:cs="Segoe UI"/>
      <w:kern w:val="0"/>
      <w:sz w:val="18"/>
      <w:szCs w:val="18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0813D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813D6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813D6"/>
    <w:rPr>
      <w:kern w:val="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13D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13D6"/>
    <w:rPr>
      <w:b/>
      <w:bCs/>
      <w:kern w:val="0"/>
      <w14:ligatures w14:val="non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40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2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7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64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settiegatti.eu/info/norme/statali/2016_0097.ht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settiegatti.eu/info/norme/statali/2016_0097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settiegatti.eu/info/norme/statali/2013_0033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nticorruzione.it/-/trasparenza-dei-servizi-pubblici-locali-di-rilevanza-economi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fault">
      <a:majorFont>
        <a:latin typeface="Titillium"/>
        <a:ea typeface=""/>
        <a:cs typeface=""/>
      </a:majorFont>
      <a:minorFont>
        <a:latin typeface="Titill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E79EE748F646E46829F6A48E9573011" ma:contentTypeVersion="5" ma:contentTypeDescription="Creare un nuovo documento." ma:contentTypeScope="" ma:versionID="432181acaf3a672e5212376fa53104f5">
  <xsd:schema xmlns:xsd="http://www.w3.org/2001/XMLSchema" xmlns:xs="http://www.w3.org/2001/XMLSchema" xmlns:p="http://schemas.microsoft.com/office/2006/metadata/properties" xmlns:ns2="993ad101-62d6-4fad-9ff5-ffd0120f2b0b" targetNamespace="http://schemas.microsoft.com/office/2006/metadata/properties" ma:root="true" ma:fieldsID="63a29daf04d3675a68e2d5903ecec45f" ns2:_="">
    <xsd:import namespace="993ad101-62d6-4fad-9ff5-ffd0120f2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ad101-62d6-4fad-9ff5-ffd0120f2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F0072-EC98-4E2D-8C77-2BB8912C8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ad101-62d6-4fad-9ff5-ffd0120f2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6ADE2E-E1C3-48A3-A18A-E02649871F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B53D73-F479-41F1-B9C0-8400BA9FE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734605-D344-48B1-97D2-78D7A4E37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Bocchetti Enrico</dc:creator>
  <cp:keywords/>
  <dc:description/>
  <cp:lastModifiedBy>URAC</cp:lastModifiedBy>
  <cp:revision>61</cp:revision>
  <dcterms:created xsi:type="dcterms:W3CDTF">2023-09-12T09:48:00Z</dcterms:created>
  <dcterms:modified xsi:type="dcterms:W3CDTF">2023-11-22T08:30:00Z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0x010100DE79EE748F646E46829F6A48E9573011</vt:lpwstr>
  </property>
</Properties>
</file>