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5B853" w14:textId="77777777" w:rsidR="00A00C17" w:rsidRDefault="008F21CA" w:rsidP="008F21CA">
      <w:pPr>
        <w:pStyle w:val="Titolo1"/>
        <w:rPr>
          <w:sz w:val="24"/>
          <w:szCs w:val="24"/>
        </w:rPr>
      </w:pPr>
      <w:r w:rsidRPr="008F21CA">
        <w:rPr>
          <w:sz w:val="24"/>
          <w:szCs w:val="24"/>
        </w:rPr>
        <w:t>Pubblicazione delle informazioni necessarie per l'effettuazione di pagamenti informatici</w:t>
      </w:r>
      <w:r w:rsidR="00912C2A">
        <w:rPr>
          <w:sz w:val="24"/>
          <w:szCs w:val="24"/>
        </w:rPr>
        <w:t xml:space="preserve"> (art. 36)</w:t>
      </w:r>
    </w:p>
    <w:p w14:paraId="225D3DA4" w14:textId="77777777" w:rsidR="008F21CA" w:rsidRPr="008F21CA" w:rsidRDefault="008F21CA" w:rsidP="008F21CA">
      <w:bookmarkStart w:id="0" w:name="_GoBack"/>
      <w:bookmarkEnd w:id="0"/>
    </w:p>
    <w:p w14:paraId="6E128F39" w14:textId="77777777" w:rsidR="00426762" w:rsidRPr="00381E40" w:rsidRDefault="007670C3" w:rsidP="00381E40">
      <w:pPr>
        <w:pStyle w:val="Titolo2"/>
        <w:ind w:left="576" w:hanging="576"/>
        <w:rPr>
          <w:rStyle w:val="Riferimentodelicato"/>
          <w:smallCaps w:val="0"/>
          <w:color w:val="2F5496" w:themeColor="accent1" w:themeShade="BF"/>
          <w:sz w:val="24"/>
          <w:szCs w:val="24"/>
        </w:rPr>
      </w:pPr>
      <w:r>
        <w:rPr>
          <w:rStyle w:val="Riferimentodelicato"/>
          <w:smallCaps w:val="0"/>
          <w:color w:val="2F5496" w:themeColor="accent1" w:themeShade="BF"/>
          <w:sz w:val="24"/>
          <w:szCs w:val="24"/>
        </w:rPr>
        <w:t>La norma</w:t>
      </w:r>
    </w:p>
    <w:p w14:paraId="590D64F5" w14:textId="77777777" w:rsidR="00C943DF" w:rsidRPr="00250D7F" w:rsidRDefault="008F21CA" w:rsidP="00250D7F">
      <w:pPr>
        <w:pStyle w:val="NormaleWeb"/>
        <w:rPr>
          <w:rFonts w:ascii="Titillium" w:eastAsiaTheme="minorHAnsi" w:hAnsi="Titillium" w:cstheme="minorBidi"/>
          <w:i/>
          <w:iCs/>
          <w:sz w:val="20"/>
          <w:szCs w:val="20"/>
          <w:lang w:eastAsia="en-US"/>
        </w:rPr>
      </w:pPr>
      <w:r w:rsidRPr="008F21CA">
        <w:rPr>
          <w:rFonts w:ascii="Titillium" w:eastAsiaTheme="minorHAnsi" w:hAnsi="Titillium" w:cstheme="minorBidi"/>
          <w:i/>
          <w:iCs/>
          <w:sz w:val="20"/>
          <w:szCs w:val="20"/>
          <w:lang w:eastAsia="en-US"/>
        </w:rPr>
        <w:t>1. Le pubbliche amministrazioni pubblicano e specificano nelle richieste di pagamento i dati e le informazioni di cui all'</w:t>
      </w:r>
      <w:hyperlink r:id="rId11" w:anchor="05" w:history="1">
        <w:r w:rsidRPr="008F21CA">
          <w:rPr>
            <w:rFonts w:ascii="Titillium" w:eastAsiaTheme="minorHAnsi" w:hAnsi="Titillium" w:cstheme="minorBidi"/>
            <w:i/>
            <w:iCs/>
            <w:sz w:val="20"/>
            <w:szCs w:val="20"/>
            <w:lang w:eastAsia="en-US"/>
          </w:rPr>
          <w:t>articolo 5 del decreto legislativo 7 marzo 2005, n. 82</w:t>
        </w:r>
      </w:hyperlink>
      <w:r w:rsidR="00BB1A00">
        <w:rPr>
          <w:rStyle w:val="Rimandonotaapidipagina"/>
          <w:rFonts w:ascii="Titillium" w:eastAsiaTheme="minorHAnsi" w:hAnsi="Titillium" w:cstheme="minorBidi"/>
          <w:i/>
          <w:iCs/>
          <w:sz w:val="20"/>
          <w:szCs w:val="20"/>
          <w:lang w:eastAsia="en-US"/>
        </w:rPr>
        <w:footnoteReference w:id="1"/>
      </w:r>
      <w:r w:rsidRPr="008F21CA">
        <w:rPr>
          <w:rFonts w:ascii="Titillium" w:eastAsiaTheme="minorHAnsi" w:hAnsi="Titillium" w:cstheme="minorBidi"/>
          <w:i/>
          <w:iCs/>
          <w:sz w:val="20"/>
          <w:szCs w:val="20"/>
          <w:lang w:eastAsia="en-US"/>
        </w:rPr>
        <w:t>.</w:t>
      </w:r>
    </w:p>
    <w:p w14:paraId="71E6F087" w14:textId="77777777" w:rsidR="003E03EE" w:rsidRPr="00381E40" w:rsidRDefault="003E03EE" w:rsidP="00381E40">
      <w:pPr>
        <w:pStyle w:val="Titolo2"/>
        <w:ind w:left="576" w:hanging="576"/>
        <w:rPr>
          <w:rStyle w:val="Riferimentodelicato"/>
          <w:smallCaps w:val="0"/>
          <w:color w:val="2F5496" w:themeColor="accent1" w:themeShade="BF"/>
          <w:sz w:val="24"/>
          <w:szCs w:val="24"/>
        </w:rPr>
      </w:pPr>
      <w:r w:rsidRPr="00381E40">
        <w:rPr>
          <w:rStyle w:val="Riferimentodelicato"/>
          <w:smallCaps w:val="0"/>
          <w:color w:val="2F5496" w:themeColor="accent1" w:themeShade="BF"/>
          <w:sz w:val="24"/>
          <w:szCs w:val="24"/>
        </w:rPr>
        <w:t>Schemi di pubblicazione</w:t>
      </w:r>
    </w:p>
    <w:p w14:paraId="43A66FF7" w14:textId="77777777" w:rsidR="00176941" w:rsidRPr="00467C1F" w:rsidRDefault="00E5494E" w:rsidP="00467C1F">
      <w:pPr>
        <w:pStyle w:val="NormaleWeb"/>
        <w:jc w:val="both"/>
        <w:rPr>
          <w:rFonts w:ascii="Titillium" w:eastAsiaTheme="minorHAnsi" w:hAnsi="Titillium" w:cstheme="minorBidi"/>
          <w:sz w:val="20"/>
          <w:szCs w:val="20"/>
          <w:lang w:eastAsia="en-US"/>
        </w:rPr>
      </w:pPr>
      <w:r>
        <w:rPr>
          <w:rFonts w:ascii="Titillium" w:eastAsiaTheme="minorHAnsi" w:hAnsi="Titillium" w:cstheme="minorBidi"/>
          <w:sz w:val="20"/>
          <w:szCs w:val="20"/>
          <w:lang w:eastAsia="en-US"/>
        </w:rPr>
        <w:t>G</w:t>
      </w:r>
      <w:r w:rsidRPr="00E5494E">
        <w:rPr>
          <w:rFonts w:ascii="Titillium" w:eastAsiaTheme="minorHAnsi" w:hAnsi="Titillium" w:cstheme="minorBidi"/>
          <w:sz w:val="20"/>
          <w:szCs w:val="20"/>
          <w:lang w:eastAsia="en-US"/>
        </w:rPr>
        <w:t xml:space="preserve">li schemi rappresentano informazioni da pubblicare ex-novo nella Sezione “Amministrazione Trasparente” del sito istituzionale dell’amministrazione, sotto-sezione di </w:t>
      </w:r>
      <w:r w:rsidR="0040254A">
        <w:rPr>
          <w:rFonts w:ascii="Titillium" w:eastAsiaTheme="minorHAnsi" w:hAnsi="Titillium" w:cstheme="minorBidi"/>
          <w:sz w:val="20"/>
          <w:szCs w:val="20"/>
          <w:lang w:eastAsia="en-US"/>
        </w:rPr>
        <w:t>primo</w:t>
      </w:r>
      <w:r w:rsidRPr="00E5494E">
        <w:rPr>
          <w:rFonts w:ascii="Titillium" w:eastAsiaTheme="minorHAnsi" w:hAnsi="Titillium" w:cstheme="minorBidi"/>
          <w:sz w:val="20"/>
          <w:szCs w:val="20"/>
          <w:lang w:eastAsia="en-US"/>
        </w:rPr>
        <w:t xml:space="preserve"> livello “</w:t>
      </w:r>
      <w:r w:rsidR="00A8603B">
        <w:rPr>
          <w:rFonts w:ascii="Titillium" w:eastAsiaTheme="minorHAnsi" w:hAnsi="Titillium" w:cstheme="minorBidi"/>
          <w:sz w:val="20"/>
          <w:szCs w:val="20"/>
          <w:lang w:eastAsia="en-US"/>
        </w:rPr>
        <w:t xml:space="preserve">Pagamenti </w:t>
      </w:r>
      <w:r w:rsidR="00001E4D">
        <w:rPr>
          <w:rFonts w:ascii="Titillium" w:eastAsiaTheme="minorHAnsi" w:hAnsi="Titillium" w:cstheme="minorBidi"/>
          <w:sz w:val="20"/>
          <w:szCs w:val="20"/>
          <w:lang w:eastAsia="en-US"/>
        </w:rPr>
        <w:t>dell’amministrazione</w:t>
      </w:r>
      <w:r w:rsidR="005A2196">
        <w:rPr>
          <w:rFonts w:ascii="Titillium" w:eastAsiaTheme="minorHAnsi" w:hAnsi="Titillium" w:cstheme="minorBidi"/>
          <w:sz w:val="20"/>
          <w:szCs w:val="20"/>
          <w:lang w:eastAsia="en-US"/>
        </w:rPr>
        <w:t>”</w:t>
      </w:r>
      <w:r w:rsidR="00877092">
        <w:rPr>
          <w:rFonts w:asciiTheme="majorHAnsi" w:eastAsiaTheme="minorHAnsi" w:hAnsiTheme="majorHAnsi" w:cstheme="minorBidi"/>
          <w:sz w:val="20"/>
          <w:szCs w:val="20"/>
          <w:lang w:eastAsia="en-US"/>
        </w:rPr>
        <w:t xml:space="preserve"> e </w:t>
      </w:r>
      <w:r w:rsidR="00877092" w:rsidRPr="00E5494E">
        <w:rPr>
          <w:rFonts w:ascii="Titillium" w:eastAsiaTheme="minorHAnsi" w:hAnsi="Titillium" w:cstheme="minorBidi"/>
          <w:sz w:val="20"/>
          <w:szCs w:val="20"/>
          <w:lang w:eastAsia="en-US"/>
        </w:rPr>
        <w:t xml:space="preserve">sotto-sezione di </w:t>
      </w:r>
      <w:r w:rsidR="00877092">
        <w:rPr>
          <w:rFonts w:ascii="Titillium" w:eastAsiaTheme="minorHAnsi" w:hAnsi="Titillium" w:cstheme="minorBidi"/>
          <w:sz w:val="20"/>
          <w:szCs w:val="20"/>
          <w:lang w:eastAsia="en-US"/>
        </w:rPr>
        <w:t>secondo</w:t>
      </w:r>
      <w:r w:rsidR="00877092" w:rsidRPr="00E5494E">
        <w:rPr>
          <w:rFonts w:ascii="Titillium" w:eastAsiaTheme="minorHAnsi" w:hAnsi="Titillium" w:cstheme="minorBidi"/>
          <w:sz w:val="20"/>
          <w:szCs w:val="20"/>
          <w:lang w:eastAsia="en-US"/>
        </w:rPr>
        <w:t xml:space="preserve"> livello “</w:t>
      </w:r>
      <w:r w:rsidR="008F21CA" w:rsidRPr="008F21CA">
        <w:rPr>
          <w:rFonts w:ascii="Titillium" w:eastAsiaTheme="minorHAnsi" w:hAnsi="Titillium" w:cstheme="minorBidi"/>
          <w:sz w:val="20"/>
          <w:szCs w:val="20"/>
          <w:lang w:eastAsia="en-US"/>
        </w:rPr>
        <w:t>IBAN e pagamenti informatici</w:t>
      </w:r>
      <w:r w:rsidR="00877092">
        <w:rPr>
          <w:rFonts w:ascii="Titillium" w:eastAsiaTheme="minorHAnsi" w:hAnsi="Titillium" w:cstheme="minorBidi"/>
          <w:sz w:val="20"/>
          <w:szCs w:val="20"/>
          <w:lang w:eastAsia="en-US"/>
        </w:rPr>
        <w:t>”.</w:t>
      </w:r>
    </w:p>
    <w:tbl>
      <w:tblPr>
        <w:tblStyle w:val="Grigliatabella"/>
        <w:tblW w:w="9634" w:type="dxa"/>
        <w:tblLook w:val="04A0" w:firstRow="1" w:lastRow="0" w:firstColumn="1" w:lastColumn="0" w:noHBand="0" w:noVBand="1"/>
      </w:tblPr>
      <w:tblGrid>
        <w:gridCol w:w="3539"/>
        <w:gridCol w:w="3260"/>
        <w:gridCol w:w="2835"/>
      </w:tblGrid>
      <w:tr w:rsidR="00412DE3" w:rsidRPr="00991E5F" w14:paraId="67E5D6C8" w14:textId="77777777" w:rsidTr="00963267">
        <w:tc>
          <w:tcPr>
            <w:tcW w:w="3539" w:type="dxa"/>
            <w:shd w:val="clear" w:color="auto" w:fill="1F3864" w:themeFill="accent1" w:themeFillShade="80"/>
          </w:tcPr>
          <w:p w14:paraId="6322398F" w14:textId="77777777" w:rsidR="00412DE3" w:rsidRPr="00991E5F" w:rsidRDefault="00412DE3" w:rsidP="004A3C57">
            <w:pPr>
              <w:jc w:val="center"/>
              <w:rPr>
                <w:sz w:val="18"/>
                <w:szCs w:val="18"/>
              </w:rPr>
            </w:pPr>
            <w:r w:rsidRPr="00991E5F">
              <w:rPr>
                <w:sz w:val="18"/>
                <w:szCs w:val="18"/>
              </w:rPr>
              <w:t>SEZIONE</w:t>
            </w:r>
          </w:p>
        </w:tc>
        <w:tc>
          <w:tcPr>
            <w:tcW w:w="3260" w:type="dxa"/>
            <w:shd w:val="clear" w:color="auto" w:fill="1F3864" w:themeFill="accent1" w:themeFillShade="80"/>
          </w:tcPr>
          <w:p w14:paraId="33071331" w14:textId="77777777" w:rsidR="00412DE3" w:rsidRPr="00991E5F" w:rsidRDefault="00412DE3" w:rsidP="004A3C57">
            <w:pPr>
              <w:jc w:val="center"/>
              <w:rPr>
                <w:sz w:val="18"/>
                <w:szCs w:val="18"/>
              </w:rPr>
            </w:pPr>
            <w:r>
              <w:rPr>
                <w:sz w:val="18"/>
                <w:szCs w:val="18"/>
              </w:rPr>
              <w:t>AGGIORNAMENTO</w:t>
            </w:r>
          </w:p>
        </w:tc>
        <w:tc>
          <w:tcPr>
            <w:tcW w:w="2835" w:type="dxa"/>
            <w:shd w:val="clear" w:color="auto" w:fill="1F3864" w:themeFill="accent1" w:themeFillShade="80"/>
          </w:tcPr>
          <w:p w14:paraId="31781C63" w14:textId="77777777" w:rsidR="00412DE3" w:rsidRPr="00991E5F" w:rsidRDefault="00412DE3" w:rsidP="004A3C57">
            <w:pPr>
              <w:rPr>
                <w:sz w:val="18"/>
                <w:szCs w:val="18"/>
              </w:rPr>
            </w:pPr>
            <w:r>
              <w:rPr>
                <w:sz w:val="18"/>
                <w:szCs w:val="18"/>
              </w:rPr>
              <w:t>Rif. NORMATIVI</w:t>
            </w:r>
          </w:p>
        </w:tc>
      </w:tr>
      <w:tr w:rsidR="00412DE3" w:rsidRPr="00942CB5" w14:paraId="78610BC3" w14:textId="77777777" w:rsidTr="00963267">
        <w:tc>
          <w:tcPr>
            <w:tcW w:w="3539" w:type="dxa"/>
          </w:tcPr>
          <w:p w14:paraId="776DA82B" w14:textId="65C5E78A" w:rsidR="00412DE3" w:rsidRPr="004F7C1A" w:rsidRDefault="000A41BD" w:rsidP="006B25AC">
            <w:pPr>
              <w:rPr>
                <w:sz w:val="18"/>
                <w:szCs w:val="18"/>
              </w:rPr>
            </w:pPr>
            <w:r>
              <w:rPr>
                <w:sz w:val="18"/>
                <w:szCs w:val="18"/>
              </w:rPr>
              <w:t xml:space="preserve">Utilizzo esclusivo </w:t>
            </w:r>
            <w:proofErr w:type="spellStart"/>
            <w:r>
              <w:rPr>
                <w:sz w:val="18"/>
                <w:szCs w:val="18"/>
              </w:rPr>
              <w:t>PagoPA</w:t>
            </w:r>
            <w:proofErr w:type="spellEnd"/>
            <w:r>
              <w:rPr>
                <w:sz w:val="18"/>
                <w:szCs w:val="18"/>
              </w:rPr>
              <w:t xml:space="preserve"> </w:t>
            </w:r>
            <w:r w:rsidR="009A7100">
              <w:rPr>
                <w:sz w:val="18"/>
                <w:szCs w:val="18"/>
              </w:rPr>
              <w:t>(R</w:t>
            </w:r>
            <w:r w:rsidR="00B311CF">
              <w:rPr>
                <w:sz w:val="18"/>
                <w:szCs w:val="18"/>
              </w:rPr>
              <w:t xml:space="preserve">if. </w:t>
            </w:r>
            <w:r w:rsidR="00B311CF" w:rsidRPr="00B311CF">
              <w:rPr>
                <w:color w:val="2F5496" w:themeColor="accent1" w:themeShade="BF"/>
                <w:sz w:val="18"/>
                <w:szCs w:val="18"/>
                <w:u w:val="double"/>
              </w:rPr>
              <w:fldChar w:fldCharType="begin"/>
            </w:r>
            <w:r w:rsidR="00B311CF" w:rsidRPr="00B311CF">
              <w:rPr>
                <w:color w:val="2F5496" w:themeColor="accent1" w:themeShade="BF"/>
                <w:sz w:val="18"/>
                <w:szCs w:val="18"/>
                <w:u w:val="double"/>
              </w:rPr>
              <w:instrText xml:space="preserve"> REF _Ref144136002 \h </w:instrText>
            </w:r>
            <w:r w:rsidR="00B311CF">
              <w:rPr>
                <w:color w:val="2F5496" w:themeColor="accent1" w:themeShade="BF"/>
                <w:sz w:val="18"/>
                <w:szCs w:val="18"/>
                <w:u w:val="double"/>
              </w:rPr>
              <w:instrText xml:space="preserve"> \* MERGEFORMAT </w:instrText>
            </w:r>
            <w:r w:rsidR="00B311CF" w:rsidRPr="00B311CF">
              <w:rPr>
                <w:color w:val="2F5496" w:themeColor="accent1" w:themeShade="BF"/>
                <w:sz w:val="18"/>
                <w:szCs w:val="18"/>
                <w:u w:val="double"/>
              </w:rPr>
            </w:r>
            <w:r w:rsidR="00B311CF" w:rsidRPr="00B311CF">
              <w:rPr>
                <w:color w:val="2F5496" w:themeColor="accent1" w:themeShade="BF"/>
                <w:sz w:val="18"/>
                <w:szCs w:val="18"/>
                <w:u w:val="double"/>
              </w:rPr>
              <w:fldChar w:fldCharType="separate"/>
            </w:r>
            <w:r w:rsidR="00844694" w:rsidRPr="00FF56F6">
              <w:rPr>
                <w:color w:val="2F5496" w:themeColor="accent1" w:themeShade="BF"/>
                <w:sz w:val="18"/>
                <w:szCs w:val="18"/>
                <w:u w:val="double"/>
              </w:rPr>
              <w:t xml:space="preserve">Schema per utilizzo esclusivo del sistema </w:t>
            </w:r>
            <w:proofErr w:type="spellStart"/>
            <w:r w:rsidR="00844694" w:rsidRPr="00FF56F6">
              <w:rPr>
                <w:color w:val="2F5496" w:themeColor="accent1" w:themeShade="BF"/>
                <w:sz w:val="18"/>
                <w:szCs w:val="18"/>
                <w:u w:val="double"/>
              </w:rPr>
              <w:t>PagoPA</w:t>
            </w:r>
            <w:proofErr w:type="spellEnd"/>
            <w:r w:rsidR="00B311CF" w:rsidRPr="00B311CF">
              <w:rPr>
                <w:color w:val="2F5496" w:themeColor="accent1" w:themeShade="BF"/>
                <w:sz w:val="18"/>
                <w:szCs w:val="18"/>
                <w:u w:val="double"/>
              </w:rPr>
              <w:fldChar w:fldCharType="end"/>
            </w:r>
            <w:r w:rsidR="009A7100">
              <w:rPr>
                <w:sz w:val="18"/>
                <w:szCs w:val="18"/>
              </w:rPr>
              <w:t>)</w:t>
            </w:r>
          </w:p>
        </w:tc>
        <w:tc>
          <w:tcPr>
            <w:tcW w:w="3260" w:type="dxa"/>
          </w:tcPr>
          <w:p w14:paraId="44D980F1" w14:textId="77777777" w:rsidR="00412DE3" w:rsidRPr="00991E5F" w:rsidRDefault="00467C1F" w:rsidP="00991530">
            <w:pPr>
              <w:rPr>
                <w:sz w:val="18"/>
                <w:szCs w:val="18"/>
              </w:rPr>
            </w:pPr>
            <w:r>
              <w:rPr>
                <w:sz w:val="18"/>
                <w:szCs w:val="18"/>
              </w:rPr>
              <w:t>Tempestivo</w:t>
            </w:r>
          </w:p>
        </w:tc>
        <w:tc>
          <w:tcPr>
            <w:tcW w:w="2835" w:type="dxa"/>
          </w:tcPr>
          <w:p w14:paraId="67347930" w14:textId="77777777" w:rsidR="00467C1F" w:rsidRPr="00467C1F" w:rsidRDefault="00467C1F" w:rsidP="00467C1F">
            <w:pPr>
              <w:rPr>
                <w:sz w:val="18"/>
                <w:szCs w:val="18"/>
                <w:lang w:val="de-DE"/>
              </w:rPr>
            </w:pPr>
            <w:r w:rsidRPr="00467C1F">
              <w:rPr>
                <w:sz w:val="18"/>
                <w:szCs w:val="18"/>
                <w:lang w:val="de-DE"/>
              </w:rPr>
              <w:t xml:space="preserve">Art. 36, </w:t>
            </w:r>
            <w:proofErr w:type="spellStart"/>
            <w:r w:rsidRPr="00467C1F">
              <w:rPr>
                <w:sz w:val="18"/>
                <w:szCs w:val="18"/>
                <w:lang w:val="de-DE"/>
              </w:rPr>
              <w:t>d.lgs</w:t>
            </w:r>
            <w:proofErr w:type="spellEnd"/>
            <w:r w:rsidRPr="00467C1F">
              <w:rPr>
                <w:sz w:val="18"/>
                <w:szCs w:val="18"/>
                <w:lang w:val="de-DE"/>
              </w:rPr>
              <w:t>. n. 33/2013</w:t>
            </w:r>
          </w:p>
          <w:p w14:paraId="631A05E5" w14:textId="77777777" w:rsidR="00412DE3" w:rsidRPr="00EC7747" w:rsidRDefault="00467C1F" w:rsidP="00467C1F">
            <w:pPr>
              <w:rPr>
                <w:sz w:val="18"/>
                <w:szCs w:val="18"/>
                <w:lang w:val="de-DE"/>
              </w:rPr>
            </w:pPr>
            <w:r w:rsidRPr="00467C1F">
              <w:rPr>
                <w:sz w:val="18"/>
                <w:szCs w:val="18"/>
                <w:lang w:val="de-DE"/>
              </w:rPr>
              <w:t xml:space="preserve">Art. 5, c. 1, </w:t>
            </w:r>
            <w:proofErr w:type="spellStart"/>
            <w:r w:rsidRPr="00467C1F">
              <w:rPr>
                <w:sz w:val="18"/>
                <w:szCs w:val="18"/>
                <w:lang w:val="de-DE"/>
              </w:rPr>
              <w:t>d.lgs</w:t>
            </w:r>
            <w:proofErr w:type="spellEnd"/>
            <w:r w:rsidRPr="00467C1F">
              <w:rPr>
                <w:sz w:val="18"/>
                <w:szCs w:val="18"/>
                <w:lang w:val="de-DE"/>
              </w:rPr>
              <w:t>. n. 82/2005</w:t>
            </w:r>
          </w:p>
        </w:tc>
      </w:tr>
      <w:tr w:rsidR="00B311CF" w:rsidRPr="00942CB5" w14:paraId="418E0AC3" w14:textId="77777777" w:rsidTr="00963267">
        <w:tc>
          <w:tcPr>
            <w:tcW w:w="3539" w:type="dxa"/>
          </w:tcPr>
          <w:p w14:paraId="3E0D356C" w14:textId="7450980F" w:rsidR="00B311CF" w:rsidRDefault="00B311CF" w:rsidP="00B311CF">
            <w:pPr>
              <w:rPr>
                <w:sz w:val="18"/>
                <w:szCs w:val="18"/>
              </w:rPr>
            </w:pPr>
            <w:r>
              <w:rPr>
                <w:sz w:val="18"/>
                <w:szCs w:val="18"/>
              </w:rPr>
              <w:t xml:space="preserve">Utilizzo NON esclusivo </w:t>
            </w:r>
            <w:proofErr w:type="spellStart"/>
            <w:r>
              <w:rPr>
                <w:sz w:val="18"/>
                <w:szCs w:val="18"/>
              </w:rPr>
              <w:t>PagoPA</w:t>
            </w:r>
            <w:proofErr w:type="spellEnd"/>
            <w:r>
              <w:rPr>
                <w:sz w:val="18"/>
                <w:szCs w:val="18"/>
              </w:rPr>
              <w:t xml:space="preserve"> (Rif.</w:t>
            </w:r>
            <w:r w:rsidR="00864D28">
              <w:rPr>
                <w:sz w:val="18"/>
                <w:szCs w:val="18"/>
              </w:rPr>
              <w:t xml:space="preserve"> </w:t>
            </w:r>
            <w:r w:rsidR="00864D28" w:rsidRPr="00864D28">
              <w:rPr>
                <w:color w:val="2F5496" w:themeColor="accent1" w:themeShade="BF"/>
                <w:sz w:val="18"/>
                <w:szCs w:val="18"/>
                <w:u w:val="double"/>
              </w:rPr>
              <w:fldChar w:fldCharType="begin"/>
            </w:r>
            <w:r w:rsidR="00864D28" w:rsidRPr="00864D28">
              <w:rPr>
                <w:color w:val="2F5496" w:themeColor="accent1" w:themeShade="BF"/>
                <w:sz w:val="18"/>
                <w:szCs w:val="18"/>
                <w:u w:val="double"/>
              </w:rPr>
              <w:instrText xml:space="preserve"> REF _Ref144194806 \h </w:instrText>
            </w:r>
            <w:r w:rsidR="00864D28">
              <w:rPr>
                <w:color w:val="2F5496" w:themeColor="accent1" w:themeShade="BF"/>
                <w:sz w:val="18"/>
                <w:szCs w:val="18"/>
                <w:u w:val="double"/>
              </w:rPr>
              <w:instrText xml:space="preserve"> \* MERGEFORMAT </w:instrText>
            </w:r>
            <w:r w:rsidR="00864D28" w:rsidRPr="00864D28">
              <w:rPr>
                <w:color w:val="2F5496" w:themeColor="accent1" w:themeShade="BF"/>
                <w:sz w:val="18"/>
                <w:szCs w:val="18"/>
                <w:u w:val="double"/>
              </w:rPr>
            </w:r>
            <w:r w:rsidR="00864D28" w:rsidRPr="00864D28">
              <w:rPr>
                <w:color w:val="2F5496" w:themeColor="accent1" w:themeShade="BF"/>
                <w:sz w:val="18"/>
                <w:szCs w:val="18"/>
                <w:u w:val="double"/>
              </w:rPr>
              <w:fldChar w:fldCharType="separate"/>
            </w:r>
            <w:r w:rsidR="00844694" w:rsidRPr="00FF56F6">
              <w:rPr>
                <w:color w:val="2F5496" w:themeColor="accent1" w:themeShade="BF"/>
                <w:sz w:val="18"/>
                <w:szCs w:val="18"/>
                <w:u w:val="double"/>
              </w:rPr>
              <w:t xml:space="preserve">Schema per utilizzo NON esclusivo del sistema </w:t>
            </w:r>
            <w:proofErr w:type="spellStart"/>
            <w:r w:rsidR="00844694" w:rsidRPr="00FF56F6">
              <w:rPr>
                <w:color w:val="2F5496" w:themeColor="accent1" w:themeShade="BF"/>
                <w:sz w:val="18"/>
                <w:szCs w:val="18"/>
                <w:u w:val="double"/>
              </w:rPr>
              <w:t>PagoPA</w:t>
            </w:r>
            <w:proofErr w:type="spellEnd"/>
            <w:r w:rsidR="00864D28" w:rsidRPr="00864D28">
              <w:rPr>
                <w:color w:val="2F5496" w:themeColor="accent1" w:themeShade="BF"/>
                <w:sz w:val="18"/>
                <w:szCs w:val="18"/>
                <w:u w:val="double"/>
              </w:rPr>
              <w:fldChar w:fldCharType="end"/>
            </w:r>
            <w:r>
              <w:rPr>
                <w:sz w:val="18"/>
                <w:szCs w:val="18"/>
              </w:rPr>
              <w:t>)</w:t>
            </w:r>
          </w:p>
        </w:tc>
        <w:tc>
          <w:tcPr>
            <w:tcW w:w="3260" w:type="dxa"/>
          </w:tcPr>
          <w:p w14:paraId="1BC73432" w14:textId="77777777" w:rsidR="00B311CF" w:rsidRDefault="00B311CF" w:rsidP="00B311CF">
            <w:pPr>
              <w:rPr>
                <w:sz w:val="18"/>
                <w:szCs w:val="18"/>
              </w:rPr>
            </w:pPr>
            <w:r>
              <w:rPr>
                <w:sz w:val="18"/>
                <w:szCs w:val="18"/>
              </w:rPr>
              <w:t>Tempestivo</w:t>
            </w:r>
          </w:p>
        </w:tc>
        <w:tc>
          <w:tcPr>
            <w:tcW w:w="2835" w:type="dxa"/>
          </w:tcPr>
          <w:p w14:paraId="442A3256" w14:textId="77777777" w:rsidR="00B311CF" w:rsidRPr="00467C1F" w:rsidRDefault="00B311CF" w:rsidP="00B311CF">
            <w:pPr>
              <w:rPr>
                <w:sz w:val="18"/>
                <w:szCs w:val="18"/>
                <w:lang w:val="de-DE"/>
              </w:rPr>
            </w:pPr>
            <w:r w:rsidRPr="00467C1F">
              <w:rPr>
                <w:sz w:val="18"/>
                <w:szCs w:val="18"/>
                <w:lang w:val="de-DE"/>
              </w:rPr>
              <w:t xml:space="preserve">Art. 36, </w:t>
            </w:r>
            <w:proofErr w:type="spellStart"/>
            <w:r w:rsidRPr="00467C1F">
              <w:rPr>
                <w:sz w:val="18"/>
                <w:szCs w:val="18"/>
                <w:lang w:val="de-DE"/>
              </w:rPr>
              <w:t>d.lgs</w:t>
            </w:r>
            <w:proofErr w:type="spellEnd"/>
            <w:r w:rsidRPr="00467C1F">
              <w:rPr>
                <w:sz w:val="18"/>
                <w:szCs w:val="18"/>
                <w:lang w:val="de-DE"/>
              </w:rPr>
              <w:t>. n. 33/2013</w:t>
            </w:r>
          </w:p>
          <w:p w14:paraId="21D9F4B8" w14:textId="77777777" w:rsidR="00B311CF" w:rsidRPr="00467C1F" w:rsidRDefault="00B311CF" w:rsidP="00B311CF">
            <w:pPr>
              <w:rPr>
                <w:sz w:val="18"/>
                <w:szCs w:val="18"/>
                <w:lang w:val="de-DE"/>
              </w:rPr>
            </w:pPr>
            <w:r w:rsidRPr="00467C1F">
              <w:rPr>
                <w:sz w:val="18"/>
                <w:szCs w:val="18"/>
                <w:lang w:val="de-DE"/>
              </w:rPr>
              <w:t xml:space="preserve">Art. 5, c. 1, </w:t>
            </w:r>
            <w:proofErr w:type="spellStart"/>
            <w:r w:rsidRPr="00467C1F">
              <w:rPr>
                <w:sz w:val="18"/>
                <w:szCs w:val="18"/>
                <w:lang w:val="de-DE"/>
              </w:rPr>
              <w:t>d.lgs</w:t>
            </w:r>
            <w:proofErr w:type="spellEnd"/>
            <w:r w:rsidRPr="00467C1F">
              <w:rPr>
                <w:sz w:val="18"/>
                <w:szCs w:val="18"/>
                <w:lang w:val="de-DE"/>
              </w:rPr>
              <w:t>. n. 82/2005</w:t>
            </w:r>
          </w:p>
        </w:tc>
      </w:tr>
      <w:tr w:rsidR="00B311CF" w:rsidRPr="00942CB5" w14:paraId="523E5391" w14:textId="77777777" w:rsidTr="00963267">
        <w:tc>
          <w:tcPr>
            <w:tcW w:w="3539" w:type="dxa"/>
          </w:tcPr>
          <w:p w14:paraId="013FC578" w14:textId="52E66C1D" w:rsidR="00B311CF" w:rsidRPr="00B311CF" w:rsidRDefault="009A122D" w:rsidP="00B311CF">
            <w:pPr>
              <w:rPr>
                <w:sz w:val="18"/>
                <w:szCs w:val="18"/>
              </w:rPr>
            </w:pPr>
            <w:r>
              <w:rPr>
                <w:sz w:val="18"/>
                <w:szCs w:val="18"/>
              </w:rPr>
              <w:t>Sistema alternativo a</w:t>
            </w:r>
            <w:r w:rsidR="00B311CF">
              <w:rPr>
                <w:sz w:val="18"/>
                <w:szCs w:val="18"/>
              </w:rPr>
              <w:t xml:space="preserve"> </w:t>
            </w:r>
            <w:proofErr w:type="spellStart"/>
            <w:r w:rsidR="00B311CF">
              <w:rPr>
                <w:sz w:val="18"/>
                <w:szCs w:val="18"/>
              </w:rPr>
              <w:t>PagoPA</w:t>
            </w:r>
            <w:proofErr w:type="spellEnd"/>
            <w:r w:rsidR="00B311CF">
              <w:rPr>
                <w:sz w:val="18"/>
                <w:szCs w:val="18"/>
              </w:rPr>
              <w:t xml:space="preserve"> (Rif.</w:t>
            </w:r>
            <w:r w:rsidR="00444049">
              <w:rPr>
                <w:sz w:val="18"/>
                <w:szCs w:val="18"/>
              </w:rPr>
              <w:t xml:space="preserve"> </w:t>
            </w:r>
            <w:r w:rsidR="00444049" w:rsidRPr="00444049">
              <w:rPr>
                <w:color w:val="2F5496" w:themeColor="accent1" w:themeShade="BF"/>
                <w:sz w:val="18"/>
                <w:szCs w:val="18"/>
                <w:u w:val="double"/>
              </w:rPr>
              <w:fldChar w:fldCharType="begin"/>
            </w:r>
            <w:r w:rsidR="00444049" w:rsidRPr="00444049">
              <w:rPr>
                <w:color w:val="2F5496" w:themeColor="accent1" w:themeShade="BF"/>
                <w:sz w:val="18"/>
                <w:szCs w:val="18"/>
                <w:u w:val="double"/>
              </w:rPr>
              <w:instrText xml:space="preserve"> REF _Ref144197461 \h </w:instrText>
            </w:r>
            <w:r w:rsidR="00444049">
              <w:rPr>
                <w:color w:val="2F5496" w:themeColor="accent1" w:themeShade="BF"/>
                <w:sz w:val="18"/>
                <w:szCs w:val="18"/>
                <w:u w:val="double"/>
              </w:rPr>
              <w:instrText xml:space="preserve"> \* MERGEFORMAT </w:instrText>
            </w:r>
            <w:r w:rsidR="00444049" w:rsidRPr="00444049">
              <w:rPr>
                <w:color w:val="2F5496" w:themeColor="accent1" w:themeShade="BF"/>
                <w:sz w:val="18"/>
                <w:szCs w:val="18"/>
                <w:u w:val="double"/>
              </w:rPr>
            </w:r>
            <w:r w:rsidR="00444049" w:rsidRPr="00444049">
              <w:rPr>
                <w:color w:val="2F5496" w:themeColor="accent1" w:themeShade="BF"/>
                <w:sz w:val="18"/>
                <w:szCs w:val="18"/>
                <w:u w:val="double"/>
              </w:rPr>
              <w:fldChar w:fldCharType="separate"/>
            </w:r>
            <w:r w:rsidR="00844694" w:rsidRPr="00FF56F6">
              <w:rPr>
                <w:color w:val="2F5496" w:themeColor="accent1" w:themeShade="BF"/>
                <w:sz w:val="18"/>
                <w:szCs w:val="18"/>
                <w:u w:val="double"/>
              </w:rPr>
              <w:t xml:space="preserve">Schema per soggetti NON tenuti all’utilizzo di </w:t>
            </w:r>
            <w:proofErr w:type="spellStart"/>
            <w:r w:rsidR="00844694" w:rsidRPr="00FF56F6">
              <w:rPr>
                <w:color w:val="2F5496" w:themeColor="accent1" w:themeShade="BF"/>
                <w:sz w:val="18"/>
                <w:szCs w:val="18"/>
                <w:u w:val="double"/>
              </w:rPr>
              <w:t>PagoPA</w:t>
            </w:r>
            <w:proofErr w:type="spellEnd"/>
            <w:r w:rsidR="00444049" w:rsidRPr="00444049">
              <w:rPr>
                <w:color w:val="2F5496" w:themeColor="accent1" w:themeShade="BF"/>
                <w:sz w:val="18"/>
                <w:szCs w:val="18"/>
                <w:u w:val="double"/>
              </w:rPr>
              <w:fldChar w:fldCharType="end"/>
            </w:r>
            <w:r w:rsidR="00B311CF">
              <w:rPr>
                <w:sz w:val="18"/>
                <w:szCs w:val="18"/>
              </w:rPr>
              <w:t>)</w:t>
            </w:r>
          </w:p>
        </w:tc>
        <w:tc>
          <w:tcPr>
            <w:tcW w:w="3260" w:type="dxa"/>
          </w:tcPr>
          <w:p w14:paraId="06872BEB" w14:textId="77777777" w:rsidR="00B311CF" w:rsidRPr="000A41BD" w:rsidRDefault="00B311CF" w:rsidP="00B311CF">
            <w:pPr>
              <w:rPr>
                <w:sz w:val="18"/>
                <w:szCs w:val="18"/>
                <w:lang w:val="de-DE"/>
              </w:rPr>
            </w:pPr>
            <w:r>
              <w:rPr>
                <w:sz w:val="18"/>
                <w:szCs w:val="18"/>
              </w:rPr>
              <w:t>Tempestivo</w:t>
            </w:r>
          </w:p>
        </w:tc>
        <w:tc>
          <w:tcPr>
            <w:tcW w:w="2835" w:type="dxa"/>
          </w:tcPr>
          <w:p w14:paraId="0AAC8701" w14:textId="77777777" w:rsidR="00B311CF" w:rsidRPr="00467C1F" w:rsidRDefault="00B311CF" w:rsidP="00B311CF">
            <w:pPr>
              <w:rPr>
                <w:sz w:val="18"/>
                <w:szCs w:val="18"/>
                <w:lang w:val="de-DE"/>
              </w:rPr>
            </w:pPr>
            <w:r w:rsidRPr="00467C1F">
              <w:rPr>
                <w:sz w:val="18"/>
                <w:szCs w:val="18"/>
                <w:lang w:val="de-DE"/>
              </w:rPr>
              <w:t xml:space="preserve">Art. 36, </w:t>
            </w:r>
            <w:proofErr w:type="spellStart"/>
            <w:r w:rsidRPr="00467C1F">
              <w:rPr>
                <w:sz w:val="18"/>
                <w:szCs w:val="18"/>
                <w:lang w:val="de-DE"/>
              </w:rPr>
              <w:t>d.lgs</w:t>
            </w:r>
            <w:proofErr w:type="spellEnd"/>
            <w:r w:rsidRPr="00467C1F">
              <w:rPr>
                <w:sz w:val="18"/>
                <w:szCs w:val="18"/>
                <w:lang w:val="de-DE"/>
              </w:rPr>
              <w:t>. n. 33/2013</w:t>
            </w:r>
          </w:p>
          <w:p w14:paraId="17C3EBEB" w14:textId="77777777" w:rsidR="00B311CF" w:rsidRPr="00467C1F" w:rsidRDefault="00B311CF" w:rsidP="00B311CF">
            <w:pPr>
              <w:rPr>
                <w:sz w:val="18"/>
                <w:szCs w:val="18"/>
                <w:lang w:val="de-DE"/>
              </w:rPr>
            </w:pPr>
            <w:r w:rsidRPr="00467C1F">
              <w:rPr>
                <w:sz w:val="18"/>
                <w:szCs w:val="18"/>
                <w:lang w:val="de-DE"/>
              </w:rPr>
              <w:t xml:space="preserve">Art. 5, c. 1, </w:t>
            </w:r>
            <w:proofErr w:type="spellStart"/>
            <w:r w:rsidRPr="00467C1F">
              <w:rPr>
                <w:sz w:val="18"/>
                <w:szCs w:val="18"/>
                <w:lang w:val="de-DE"/>
              </w:rPr>
              <w:t>d.lgs</w:t>
            </w:r>
            <w:proofErr w:type="spellEnd"/>
            <w:r w:rsidRPr="00467C1F">
              <w:rPr>
                <w:sz w:val="18"/>
                <w:szCs w:val="18"/>
                <w:lang w:val="de-DE"/>
              </w:rPr>
              <w:t>. n. 82/2005</w:t>
            </w:r>
          </w:p>
        </w:tc>
      </w:tr>
    </w:tbl>
    <w:p w14:paraId="3C18D2B9" w14:textId="77777777" w:rsidR="00995109" w:rsidRDefault="00995109" w:rsidP="00B74D42">
      <w:pPr>
        <w:pBdr>
          <w:bottom w:val="single" w:sz="6" w:space="1" w:color="auto"/>
        </w:pBdr>
        <w:rPr>
          <w:lang w:val="de-DE"/>
        </w:rPr>
      </w:pPr>
    </w:p>
    <w:p w14:paraId="1F58E896" w14:textId="77777777" w:rsidR="00467C1F" w:rsidRPr="00C572C1" w:rsidRDefault="00467C1F" w:rsidP="00B74D42">
      <w:pPr>
        <w:pBdr>
          <w:bottom w:val="single" w:sz="6" w:space="1" w:color="auto"/>
        </w:pBdr>
        <w:rPr>
          <w:lang w:val="de-DE"/>
        </w:rPr>
      </w:pPr>
    </w:p>
    <w:p w14:paraId="30DF931E" w14:textId="77777777" w:rsidR="00760CDE" w:rsidRDefault="00B311CF" w:rsidP="00467C1F">
      <w:pPr>
        <w:pStyle w:val="Titolo3"/>
        <w:ind w:left="720" w:hanging="720"/>
      </w:pPr>
      <w:bookmarkStart w:id="1" w:name="_Ref144136002"/>
      <w:r>
        <w:t xml:space="preserve">Schema per </w:t>
      </w:r>
      <w:r w:rsidR="00467C1F" w:rsidRPr="00467C1F">
        <w:t xml:space="preserve">utilizzo esclusivo del sistema </w:t>
      </w:r>
      <w:proofErr w:type="spellStart"/>
      <w:r w:rsidR="00467C1F" w:rsidRPr="00467C1F">
        <w:t>PagoPA</w:t>
      </w:r>
      <w:bookmarkEnd w:id="1"/>
      <w:proofErr w:type="spellEnd"/>
    </w:p>
    <w:p w14:paraId="0C1BAA76" w14:textId="77777777" w:rsidR="00467C1F" w:rsidRPr="00760CDE" w:rsidRDefault="00467C1F" w:rsidP="00760CDE">
      <w:pPr>
        <w:pStyle w:val="Paragrafoelenco"/>
        <w:spacing w:after="0" w:line="240" w:lineRule="auto"/>
        <w:ind w:left="360"/>
        <w:rPr>
          <w:rFonts w:ascii="Titillium" w:eastAsia="Times New Roman" w:hAnsi="Titillium" w:cs="Calibri"/>
          <w:color w:val="000000"/>
          <w:sz w:val="18"/>
          <w:szCs w:val="18"/>
          <w:lang w:eastAsia="it-IT"/>
        </w:rPr>
      </w:pPr>
    </w:p>
    <w:tbl>
      <w:tblPr>
        <w:tblW w:w="9680" w:type="dxa"/>
        <w:tblCellMar>
          <w:left w:w="70" w:type="dxa"/>
          <w:right w:w="70" w:type="dxa"/>
        </w:tblCellMar>
        <w:tblLook w:val="04A0" w:firstRow="1" w:lastRow="0" w:firstColumn="1" w:lastColumn="0" w:noHBand="0" w:noVBand="1"/>
      </w:tblPr>
      <w:tblGrid>
        <w:gridCol w:w="2263"/>
        <w:gridCol w:w="6237"/>
        <w:gridCol w:w="1180"/>
      </w:tblGrid>
      <w:tr w:rsidR="008B7F99" w:rsidRPr="005705FE" w14:paraId="71DF099F" w14:textId="77777777" w:rsidTr="00CE0928">
        <w:trPr>
          <w:trHeight w:val="660"/>
        </w:trPr>
        <w:tc>
          <w:tcPr>
            <w:tcW w:w="9680"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1C672C10" w14:textId="77777777" w:rsidR="003F67EF" w:rsidRDefault="003F67EF" w:rsidP="003F67EF">
            <w:pPr>
              <w:spacing w:after="0" w:line="240" w:lineRule="auto"/>
              <w:jc w:val="center"/>
              <w:rPr>
                <w:rFonts w:ascii="Titillium" w:eastAsia="Times New Roman" w:hAnsi="Titillium" w:cs="Calibri"/>
                <w:color w:val="FFFFFF" w:themeColor="background1"/>
                <w:sz w:val="18"/>
                <w:szCs w:val="18"/>
                <w:lang w:eastAsia="it-IT"/>
              </w:rPr>
            </w:pPr>
            <w:bookmarkStart w:id="2" w:name="_Hlk144194031"/>
          </w:p>
          <w:p w14:paraId="3D122852" w14:textId="77777777" w:rsidR="0062454E" w:rsidRDefault="00B5799A" w:rsidP="00B5799A">
            <w:pPr>
              <w:spacing w:after="0" w:line="240" w:lineRule="auto"/>
              <w:jc w:val="center"/>
              <w:rPr>
                <w:rFonts w:ascii="Titillium" w:eastAsia="Times New Roman" w:hAnsi="Titillium" w:cs="Calibri"/>
                <w:color w:val="FFFFFF" w:themeColor="background1"/>
                <w:sz w:val="18"/>
                <w:szCs w:val="18"/>
                <w:u w:val="single"/>
                <w:lang w:eastAsia="it-IT"/>
              </w:rPr>
            </w:pPr>
            <w:r w:rsidRPr="00B5799A">
              <w:rPr>
                <w:rFonts w:ascii="Titillium" w:eastAsia="Times New Roman" w:hAnsi="Titillium" w:cs="Calibri"/>
                <w:color w:val="FFFFFF" w:themeColor="background1"/>
                <w:sz w:val="18"/>
                <w:szCs w:val="18"/>
                <w:u w:val="single"/>
                <w:lang w:eastAsia="it-IT"/>
              </w:rPr>
              <w:t xml:space="preserve">Soggetti tenuti all'obbligo di utilizzo esclusivo del sistema </w:t>
            </w:r>
            <w:proofErr w:type="spellStart"/>
            <w:r w:rsidRPr="00B5799A">
              <w:rPr>
                <w:rFonts w:ascii="Titillium" w:eastAsia="Times New Roman" w:hAnsi="Titillium" w:cs="Calibri"/>
                <w:color w:val="FFFFFF" w:themeColor="background1"/>
                <w:sz w:val="18"/>
                <w:szCs w:val="18"/>
                <w:u w:val="single"/>
                <w:lang w:eastAsia="it-IT"/>
              </w:rPr>
              <w:t>PagoPA</w:t>
            </w:r>
            <w:proofErr w:type="spellEnd"/>
            <w:r w:rsidR="00EA3CD7">
              <w:rPr>
                <w:rFonts w:ascii="Titillium" w:eastAsia="Times New Roman" w:hAnsi="Titillium" w:cs="Calibri"/>
                <w:color w:val="FFFFFF" w:themeColor="background1"/>
                <w:sz w:val="18"/>
                <w:szCs w:val="18"/>
                <w:u w:val="single"/>
                <w:lang w:eastAsia="it-IT"/>
              </w:rPr>
              <w:t xml:space="preserve"> </w:t>
            </w:r>
            <w:r w:rsidR="00EA3CD7" w:rsidRPr="00EA3CD7">
              <w:rPr>
                <w:rFonts w:ascii="Titillium" w:eastAsia="Times New Roman" w:hAnsi="Titillium" w:cs="Calibri"/>
                <w:color w:val="FFFFFF" w:themeColor="background1"/>
                <w:sz w:val="18"/>
                <w:szCs w:val="18"/>
                <w:u w:val="single"/>
                <w:lang w:eastAsia="it-IT"/>
              </w:rPr>
              <w:t>di cui all'art. 5 del CAD</w:t>
            </w:r>
            <w:r w:rsidR="0007713D">
              <w:rPr>
                <w:rFonts w:ascii="Titillium" w:eastAsia="Times New Roman" w:hAnsi="Titillium" w:cs="Calibri"/>
                <w:color w:val="FFFFFF" w:themeColor="background1"/>
                <w:sz w:val="18"/>
                <w:szCs w:val="18"/>
                <w:u w:val="single"/>
                <w:lang w:eastAsia="it-IT"/>
              </w:rPr>
              <w:t xml:space="preserve"> (cfr. delibera ANAC n. 77/2022)</w:t>
            </w:r>
          </w:p>
          <w:p w14:paraId="7CA1A8B4" w14:textId="77777777" w:rsidR="003710F7" w:rsidRDefault="003710F7" w:rsidP="00B5799A">
            <w:pPr>
              <w:spacing w:after="0" w:line="240" w:lineRule="auto"/>
              <w:jc w:val="center"/>
              <w:rPr>
                <w:rFonts w:ascii="Titillium" w:eastAsia="Times New Roman" w:hAnsi="Titillium" w:cs="Calibri"/>
                <w:color w:val="FFFFFF" w:themeColor="background1"/>
                <w:sz w:val="18"/>
                <w:szCs w:val="18"/>
                <w:u w:val="single"/>
                <w:lang w:eastAsia="it-IT"/>
              </w:rPr>
            </w:pPr>
          </w:p>
          <w:p w14:paraId="60D1F634" w14:textId="77777777" w:rsidR="00B5799A" w:rsidRPr="0062454E" w:rsidRDefault="00B5799A" w:rsidP="00B5799A">
            <w:pPr>
              <w:spacing w:after="0" w:line="240" w:lineRule="auto"/>
              <w:jc w:val="center"/>
              <w:rPr>
                <w:rFonts w:ascii="Titillium" w:eastAsia="Times New Roman" w:hAnsi="Titillium" w:cs="Calibri"/>
                <w:color w:val="FFFFFF" w:themeColor="background1"/>
                <w:sz w:val="18"/>
                <w:szCs w:val="18"/>
                <w:u w:val="single"/>
                <w:lang w:eastAsia="it-IT"/>
              </w:rPr>
            </w:pPr>
          </w:p>
        </w:tc>
      </w:tr>
      <w:tr w:rsidR="008B7F99" w:rsidRPr="005705FE" w14:paraId="44D092E2" w14:textId="77777777" w:rsidTr="00384926">
        <w:trPr>
          <w:trHeight w:val="382"/>
        </w:trPr>
        <w:tc>
          <w:tcPr>
            <w:tcW w:w="2263" w:type="dxa"/>
            <w:tcBorders>
              <w:top w:val="single" w:sz="4" w:space="0" w:color="auto"/>
              <w:left w:val="single" w:sz="4" w:space="0" w:color="auto"/>
              <w:bottom w:val="single" w:sz="4" w:space="0" w:color="auto"/>
              <w:right w:val="single" w:sz="4" w:space="0" w:color="auto"/>
            </w:tcBorders>
            <w:shd w:val="clear" w:color="auto" w:fill="auto"/>
            <w:noWrap/>
            <w:hideMark/>
          </w:tcPr>
          <w:p w14:paraId="148105B6" w14:textId="77777777" w:rsidR="008B7F99" w:rsidRDefault="008422A1" w:rsidP="00CE0928">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 xml:space="preserve">Ambito soggettivo </w:t>
            </w:r>
          </w:p>
          <w:p w14:paraId="34C4CECA" w14:textId="77777777" w:rsidR="003F67EF" w:rsidRDefault="003F67EF" w:rsidP="00CE0928">
            <w:pPr>
              <w:spacing w:after="0" w:line="240" w:lineRule="auto"/>
              <w:rPr>
                <w:rFonts w:ascii="Titillium" w:eastAsia="Times New Roman" w:hAnsi="Titillium" w:cs="Calibri"/>
                <w:color w:val="000000"/>
                <w:sz w:val="18"/>
                <w:szCs w:val="18"/>
                <w:lang w:eastAsia="it-IT"/>
              </w:rPr>
            </w:pPr>
          </w:p>
          <w:p w14:paraId="7D3DF3A5" w14:textId="77777777" w:rsidR="003F67EF" w:rsidRPr="005705FE" w:rsidRDefault="003F67EF" w:rsidP="00CE0928">
            <w:pPr>
              <w:spacing w:after="0" w:line="240" w:lineRule="auto"/>
              <w:rPr>
                <w:rFonts w:ascii="Titillium" w:eastAsia="Times New Roman" w:hAnsi="Titillium" w:cs="Calibri"/>
                <w:color w:val="000000"/>
                <w:sz w:val="18"/>
                <w:szCs w:val="18"/>
                <w:lang w:eastAsia="it-IT"/>
              </w:rPr>
            </w:pPr>
          </w:p>
        </w:tc>
        <w:tc>
          <w:tcPr>
            <w:tcW w:w="6237" w:type="dxa"/>
            <w:tcBorders>
              <w:top w:val="single" w:sz="4" w:space="0" w:color="auto"/>
              <w:left w:val="nil"/>
              <w:bottom w:val="single" w:sz="4" w:space="0" w:color="auto"/>
              <w:right w:val="single" w:sz="4" w:space="0" w:color="auto"/>
            </w:tcBorders>
            <w:shd w:val="clear" w:color="auto" w:fill="auto"/>
          </w:tcPr>
          <w:p w14:paraId="4CB90018" w14:textId="3B21BD25" w:rsidR="00B5799A" w:rsidRDefault="003F67EF" w:rsidP="006E59E4">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Valori possibil</w:t>
            </w:r>
            <w:r w:rsidR="002F005D">
              <w:rPr>
                <w:rFonts w:ascii="Titillium" w:eastAsia="Times New Roman" w:hAnsi="Titillium" w:cs="Calibri"/>
                <w:color w:val="000000"/>
                <w:sz w:val="18"/>
                <w:szCs w:val="18"/>
                <w:lang w:eastAsia="it-IT"/>
              </w:rPr>
              <w:t>i (menù a tendina)</w:t>
            </w:r>
            <w:r>
              <w:rPr>
                <w:rFonts w:ascii="Titillium" w:eastAsia="Times New Roman" w:hAnsi="Titillium" w:cs="Calibri"/>
                <w:color w:val="000000"/>
                <w:sz w:val="18"/>
                <w:szCs w:val="18"/>
                <w:lang w:eastAsia="it-IT"/>
              </w:rPr>
              <w:t>:</w:t>
            </w:r>
          </w:p>
          <w:p w14:paraId="70457BFF" w14:textId="77777777" w:rsidR="003F67EF" w:rsidRDefault="003F67EF" w:rsidP="006E59E4">
            <w:pPr>
              <w:spacing w:after="0" w:line="240" w:lineRule="auto"/>
              <w:rPr>
                <w:rFonts w:ascii="Titillium" w:eastAsia="Times New Roman" w:hAnsi="Titillium" w:cs="Calibri"/>
                <w:color w:val="000000"/>
                <w:sz w:val="18"/>
                <w:szCs w:val="18"/>
                <w:lang w:eastAsia="it-IT"/>
              </w:rPr>
            </w:pPr>
          </w:p>
          <w:p w14:paraId="34B2D954" w14:textId="77777777" w:rsidR="003F67EF" w:rsidRPr="003F67EF" w:rsidRDefault="003F67EF" w:rsidP="003F67EF">
            <w:pPr>
              <w:spacing w:after="0" w:line="240" w:lineRule="auto"/>
              <w:rPr>
                <w:rFonts w:ascii="Titillium" w:eastAsia="Times New Roman" w:hAnsi="Titillium" w:cs="Calibri"/>
                <w:color w:val="000000"/>
                <w:sz w:val="18"/>
                <w:szCs w:val="18"/>
                <w:lang w:eastAsia="it-IT"/>
              </w:rPr>
            </w:pPr>
            <w:r w:rsidRPr="003F67EF">
              <w:rPr>
                <w:rFonts w:ascii="Titillium" w:eastAsia="Times New Roman" w:hAnsi="Titillium" w:cs="Calibri"/>
                <w:color w:val="000000"/>
                <w:sz w:val="18"/>
                <w:szCs w:val="18"/>
                <w:lang w:eastAsia="it-IT"/>
              </w:rPr>
              <w:lastRenderedPageBreak/>
              <w:t>1) Pubbliche amministrazioni di cui all’art. 1, co. 2 del d.lgs. n. 165/2001 ivi comprese le autorità del sistema portuale, nonché le autorità amministrative indipendenti di garanzia, vigilanza e regolazione.</w:t>
            </w:r>
          </w:p>
          <w:p w14:paraId="4C483060" w14:textId="77777777" w:rsidR="003F67EF" w:rsidRPr="003F67EF" w:rsidRDefault="003F67EF" w:rsidP="003F67EF">
            <w:pPr>
              <w:spacing w:after="0" w:line="240" w:lineRule="auto"/>
              <w:rPr>
                <w:rFonts w:ascii="Titillium" w:eastAsia="Times New Roman" w:hAnsi="Titillium" w:cs="Calibri"/>
                <w:color w:val="000000"/>
                <w:sz w:val="18"/>
                <w:szCs w:val="18"/>
                <w:lang w:eastAsia="it-IT"/>
              </w:rPr>
            </w:pPr>
          </w:p>
          <w:p w14:paraId="0874A9F2" w14:textId="77777777" w:rsidR="003F67EF" w:rsidRPr="003F67EF" w:rsidRDefault="003F67EF" w:rsidP="003F67EF">
            <w:pPr>
              <w:spacing w:after="0" w:line="240" w:lineRule="auto"/>
              <w:rPr>
                <w:rFonts w:ascii="Titillium" w:eastAsia="Times New Roman" w:hAnsi="Titillium" w:cs="Calibri"/>
                <w:color w:val="000000"/>
                <w:sz w:val="18"/>
                <w:szCs w:val="18"/>
                <w:lang w:eastAsia="it-IT"/>
              </w:rPr>
            </w:pPr>
            <w:r w:rsidRPr="003F67EF">
              <w:rPr>
                <w:rFonts w:ascii="Titillium" w:eastAsia="Times New Roman" w:hAnsi="Titillium" w:cs="Calibri"/>
                <w:color w:val="000000"/>
                <w:sz w:val="18"/>
                <w:szCs w:val="18"/>
                <w:lang w:eastAsia="it-IT"/>
              </w:rPr>
              <w:t>2) Ordini professionali in quanto enti pubblici non economici (e quindi riconducibili nell’ambito della pubblica amministrazione ai sensi dell’art. 1, co. 2, del d.lgs. 165/2001).</w:t>
            </w:r>
          </w:p>
          <w:p w14:paraId="7EA85EEF" w14:textId="77777777" w:rsidR="003F67EF" w:rsidRPr="003F67EF" w:rsidRDefault="003F67EF" w:rsidP="003F67EF">
            <w:pPr>
              <w:spacing w:after="0" w:line="240" w:lineRule="auto"/>
              <w:rPr>
                <w:rFonts w:ascii="Titillium" w:eastAsia="Times New Roman" w:hAnsi="Titillium" w:cs="Calibri"/>
                <w:color w:val="000000"/>
                <w:sz w:val="18"/>
                <w:szCs w:val="18"/>
                <w:lang w:eastAsia="it-IT"/>
              </w:rPr>
            </w:pPr>
          </w:p>
          <w:p w14:paraId="1C4EF59B" w14:textId="77777777" w:rsidR="003F67EF" w:rsidRDefault="003F67EF" w:rsidP="003F67EF">
            <w:pPr>
              <w:spacing w:after="0" w:line="240" w:lineRule="auto"/>
              <w:rPr>
                <w:rFonts w:ascii="Titillium" w:eastAsia="Times New Roman" w:hAnsi="Titillium" w:cs="Calibri"/>
                <w:color w:val="000000"/>
                <w:sz w:val="18"/>
                <w:szCs w:val="18"/>
                <w:lang w:eastAsia="it-IT"/>
              </w:rPr>
            </w:pPr>
            <w:r w:rsidRPr="003F67EF">
              <w:rPr>
                <w:rFonts w:ascii="Titillium" w:eastAsia="Times New Roman" w:hAnsi="Titillium" w:cs="Calibri"/>
                <w:color w:val="000000"/>
                <w:sz w:val="18"/>
                <w:szCs w:val="18"/>
                <w:lang w:eastAsia="it-IT"/>
              </w:rPr>
              <w:t>3) Enti pubblici economici solo se inseriti nel conto economico consolidato pubblicato annualmente dall’ISTAT.</w:t>
            </w:r>
          </w:p>
          <w:p w14:paraId="1C30FBAD" w14:textId="77777777" w:rsidR="003F67EF" w:rsidRPr="00261711" w:rsidRDefault="003F67EF" w:rsidP="003F67EF">
            <w:pPr>
              <w:spacing w:after="0" w:line="240" w:lineRule="auto"/>
              <w:rPr>
                <w:rFonts w:ascii="Titillium" w:eastAsia="Times New Roman" w:hAnsi="Titillium" w:cs="Calibri"/>
                <w:color w:val="000000"/>
                <w:sz w:val="18"/>
                <w:szCs w:val="18"/>
                <w:lang w:eastAsia="it-IT"/>
              </w:rPr>
            </w:pPr>
          </w:p>
        </w:tc>
        <w:tc>
          <w:tcPr>
            <w:tcW w:w="1180" w:type="dxa"/>
            <w:tcBorders>
              <w:top w:val="single" w:sz="4" w:space="0" w:color="auto"/>
              <w:left w:val="nil"/>
              <w:bottom w:val="single" w:sz="4" w:space="0" w:color="auto"/>
              <w:right w:val="single" w:sz="4" w:space="0" w:color="auto"/>
            </w:tcBorders>
            <w:shd w:val="clear" w:color="auto" w:fill="auto"/>
            <w:noWrap/>
          </w:tcPr>
          <w:p w14:paraId="1E33D073" w14:textId="77777777" w:rsidR="008B7F99" w:rsidRPr="005705FE" w:rsidRDefault="008B7F99" w:rsidP="002F005D">
            <w:pPr>
              <w:spacing w:after="0" w:line="240" w:lineRule="auto"/>
              <w:jc w:val="center"/>
              <w:rPr>
                <w:rFonts w:ascii="Titillium" w:eastAsia="Times New Roman" w:hAnsi="Titillium" w:cs="Calibri"/>
                <w:color w:val="000000"/>
                <w:sz w:val="18"/>
                <w:szCs w:val="18"/>
                <w:lang w:eastAsia="it-IT"/>
              </w:rPr>
            </w:pPr>
          </w:p>
        </w:tc>
      </w:tr>
      <w:tr w:rsidR="004B4E1A" w:rsidRPr="005705FE" w14:paraId="3DF9FC62" w14:textId="77777777" w:rsidTr="00911182">
        <w:trPr>
          <w:trHeight w:val="4189"/>
        </w:trPr>
        <w:tc>
          <w:tcPr>
            <w:tcW w:w="2263" w:type="dxa"/>
            <w:vMerge w:val="restart"/>
            <w:tcBorders>
              <w:top w:val="single" w:sz="4" w:space="0" w:color="auto"/>
              <w:left w:val="single" w:sz="4" w:space="0" w:color="auto"/>
              <w:right w:val="single" w:sz="4" w:space="0" w:color="auto"/>
            </w:tcBorders>
            <w:shd w:val="clear" w:color="auto" w:fill="auto"/>
            <w:noWrap/>
          </w:tcPr>
          <w:p w14:paraId="109FD068" w14:textId="77777777" w:rsidR="004B4E1A" w:rsidRDefault="004B4E1A" w:rsidP="00CE0928">
            <w:pPr>
              <w:spacing w:after="0" w:line="240" w:lineRule="auto"/>
              <w:rPr>
                <w:rFonts w:ascii="Titillium" w:eastAsia="Times New Roman" w:hAnsi="Titillium" w:cs="Calibri"/>
                <w:color w:val="000000"/>
                <w:sz w:val="18"/>
                <w:szCs w:val="18"/>
                <w:lang w:eastAsia="it-IT"/>
              </w:rPr>
            </w:pPr>
          </w:p>
          <w:p w14:paraId="5E0AD343" w14:textId="77777777" w:rsidR="004B4E1A" w:rsidRDefault="004B4E1A" w:rsidP="00CE0928">
            <w:pPr>
              <w:spacing w:after="0" w:line="240" w:lineRule="auto"/>
              <w:rPr>
                <w:rFonts w:ascii="Titillium" w:eastAsia="Times New Roman" w:hAnsi="Titillium" w:cs="Calibri"/>
                <w:color w:val="000000"/>
                <w:sz w:val="18"/>
                <w:szCs w:val="18"/>
                <w:lang w:eastAsia="it-IT"/>
              </w:rPr>
            </w:pPr>
          </w:p>
          <w:p w14:paraId="605794FE" w14:textId="77777777" w:rsidR="004B4E1A" w:rsidRDefault="004B4E1A" w:rsidP="00CE0928">
            <w:pPr>
              <w:spacing w:after="0" w:line="240" w:lineRule="auto"/>
              <w:rPr>
                <w:rFonts w:ascii="Titillium" w:eastAsia="Times New Roman" w:hAnsi="Titillium" w:cs="Calibri"/>
                <w:color w:val="000000"/>
                <w:sz w:val="18"/>
                <w:szCs w:val="18"/>
                <w:lang w:eastAsia="it-IT"/>
              </w:rPr>
            </w:pPr>
          </w:p>
          <w:p w14:paraId="1AFBC472" w14:textId="77777777" w:rsidR="004B4E1A" w:rsidRDefault="004B4E1A" w:rsidP="00CE0928">
            <w:pPr>
              <w:spacing w:after="0" w:line="240" w:lineRule="auto"/>
              <w:rPr>
                <w:rFonts w:ascii="Titillium" w:eastAsia="Times New Roman" w:hAnsi="Titillium" w:cs="Calibri"/>
                <w:color w:val="000000"/>
                <w:sz w:val="18"/>
                <w:szCs w:val="18"/>
                <w:lang w:eastAsia="it-IT"/>
              </w:rPr>
            </w:pPr>
          </w:p>
          <w:p w14:paraId="47ABF9AB" w14:textId="77777777" w:rsidR="004B4E1A" w:rsidRDefault="004B4E1A" w:rsidP="00CE0928">
            <w:pPr>
              <w:spacing w:after="0" w:line="240" w:lineRule="auto"/>
              <w:rPr>
                <w:rFonts w:ascii="Titillium" w:eastAsia="Times New Roman" w:hAnsi="Titillium" w:cs="Calibri"/>
                <w:color w:val="000000"/>
                <w:sz w:val="18"/>
                <w:szCs w:val="18"/>
                <w:lang w:eastAsia="it-IT"/>
              </w:rPr>
            </w:pPr>
          </w:p>
          <w:p w14:paraId="2B95EE10" w14:textId="77777777" w:rsidR="004B4E1A" w:rsidRDefault="004B4E1A" w:rsidP="00CE0928">
            <w:pPr>
              <w:spacing w:after="0" w:line="240" w:lineRule="auto"/>
              <w:rPr>
                <w:rFonts w:ascii="Titillium" w:eastAsia="Times New Roman" w:hAnsi="Titillium" w:cs="Calibri"/>
                <w:color w:val="000000"/>
                <w:sz w:val="18"/>
                <w:szCs w:val="18"/>
                <w:lang w:eastAsia="it-IT"/>
              </w:rPr>
            </w:pPr>
          </w:p>
          <w:p w14:paraId="31DAA698" w14:textId="77777777" w:rsidR="004B4E1A" w:rsidRDefault="004B4E1A" w:rsidP="00CE0928">
            <w:pPr>
              <w:spacing w:after="0" w:line="240" w:lineRule="auto"/>
              <w:rPr>
                <w:rFonts w:ascii="Titillium" w:eastAsia="Times New Roman" w:hAnsi="Titillium" w:cs="Calibri"/>
                <w:color w:val="000000"/>
                <w:sz w:val="18"/>
                <w:szCs w:val="18"/>
                <w:lang w:eastAsia="it-IT"/>
              </w:rPr>
            </w:pPr>
          </w:p>
          <w:p w14:paraId="2C35D356" w14:textId="77777777" w:rsidR="004B4E1A" w:rsidRDefault="004B4E1A" w:rsidP="00CE0928">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Oggetto della pubblicazione</w:t>
            </w:r>
          </w:p>
          <w:p w14:paraId="27F953F9" w14:textId="77777777" w:rsidR="004B4E1A" w:rsidRDefault="004B4E1A" w:rsidP="00CE0928">
            <w:pPr>
              <w:spacing w:after="0" w:line="240" w:lineRule="auto"/>
              <w:rPr>
                <w:rFonts w:ascii="Titillium" w:eastAsia="Times New Roman" w:hAnsi="Titillium" w:cs="Calibri"/>
                <w:color w:val="000000"/>
                <w:sz w:val="18"/>
                <w:szCs w:val="18"/>
                <w:lang w:eastAsia="it-IT"/>
              </w:rPr>
            </w:pPr>
          </w:p>
          <w:p w14:paraId="2317471C" w14:textId="77777777" w:rsidR="004B4E1A" w:rsidRDefault="004B4E1A" w:rsidP="00CE0928">
            <w:pPr>
              <w:spacing w:after="0" w:line="240" w:lineRule="auto"/>
              <w:rPr>
                <w:rFonts w:ascii="Titillium" w:eastAsia="Times New Roman" w:hAnsi="Titillium" w:cs="Calibri"/>
                <w:color w:val="000000"/>
                <w:sz w:val="18"/>
                <w:szCs w:val="18"/>
                <w:lang w:eastAsia="it-IT"/>
              </w:rPr>
            </w:pPr>
          </w:p>
          <w:p w14:paraId="4F0FB3DE" w14:textId="77777777" w:rsidR="004B4E1A" w:rsidRDefault="004B4E1A" w:rsidP="00CE0928">
            <w:pPr>
              <w:spacing w:after="0" w:line="240" w:lineRule="auto"/>
              <w:rPr>
                <w:rFonts w:ascii="Titillium" w:eastAsia="Times New Roman" w:hAnsi="Titillium" w:cs="Calibri"/>
                <w:color w:val="000000"/>
                <w:sz w:val="18"/>
                <w:szCs w:val="18"/>
                <w:lang w:eastAsia="it-IT"/>
              </w:rPr>
            </w:pPr>
          </w:p>
          <w:p w14:paraId="28743C6B" w14:textId="77777777" w:rsidR="004B4E1A" w:rsidRDefault="004B4E1A" w:rsidP="00CE0928">
            <w:pPr>
              <w:spacing w:after="0" w:line="240" w:lineRule="auto"/>
              <w:rPr>
                <w:rFonts w:ascii="Titillium" w:eastAsia="Times New Roman" w:hAnsi="Titillium" w:cs="Calibri"/>
                <w:color w:val="000000"/>
                <w:sz w:val="18"/>
                <w:szCs w:val="18"/>
                <w:lang w:eastAsia="it-IT"/>
              </w:rPr>
            </w:pPr>
          </w:p>
          <w:p w14:paraId="0E3E9683" w14:textId="77777777" w:rsidR="004B4E1A" w:rsidRDefault="004B4E1A" w:rsidP="00CE0928">
            <w:pPr>
              <w:spacing w:after="0" w:line="240" w:lineRule="auto"/>
              <w:rPr>
                <w:rFonts w:ascii="Titillium" w:eastAsia="Times New Roman" w:hAnsi="Titillium" w:cs="Calibri"/>
                <w:color w:val="000000"/>
                <w:sz w:val="18"/>
                <w:szCs w:val="18"/>
                <w:lang w:eastAsia="it-IT"/>
              </w:rPr>
            </w:pPr>
          </w:p>
          <w:p w14:paraId="1220D790" w14:textId="77777777" w:rsidR="004B4E1A" w:rsidRDefault="004B4E1A" w:rsidP="00CE0928">
            <w:pPr>
              <w:spacing w:after="0" w:line="240" w:lineRule="auto"/>
              <w:rPr>
                <w:rFonts w:ascii="Titillium" w:eastAsia="Times New Roman" w:hAnsi="Titillium" w:cs="Calibri"/>
                <w:color w:val="000000"/>
                <w:sz w:val="18"/>
                <w:szCs w:val="18"/>
                <w:lang w:eastAsia="it-IT"/>
              </w:rPr>
            </w:pPr>
          </w:p>
          <w:p w14:paraId="10FA7D17" w14:textId="77777777" w:rsidR="004B4E1A" w:rsidRDefault="004B4E1A" w:rsidP="00CE0928">
            <w:pPr>
              <w:spacing w:after="0" w:line="240" w:lineRule="auto"/>
              <w:rPr>
                <w:rFonts w:ascii="Titillium" w:eastAsia="Times New Roman" w:hAnsi="Titillium" w:cs="Calibri"/>
                <w:color w:val="000000"/>
                <w:sz w:val="18"/>
                <w:szCs w:val="18"/>
                <w:lang w:eastAsia="it-IT"/>
              </w:rPr>
            </w:pPr>
          </w:p>
        </w:tc>
        <w:tc>
          <w:tcPr>
            <w:tcW w:w="6237" w:type="dxa"/>
            <w:tcBorders>
              <w:top w:val="single" w:sz="4" w:space="0" w:color="auto"/>
              <w:left w:val="nil"/>
              <w:right w:val="single" w:sz="4" w:space="0" w:color="auto"/>
            </w:tcBorders>
            <w:shd w:val="clear" w:color="auto" w:fill="auto"/>
          </w:tcPr>
          <w:p w14:paraId="749DA3A9" w14:textId="77777777" w:rsidR="004B4E1A" w:rsidRDefault="004B4E1A" w:rsidP="00C1690F">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Metodo di pagamento:</w:t>
            </w:r>
          </w:p>
          <w:p w14:paraId="5E9C6F19" w14:textId="77777777" w:rsidR="004B4E1A" w:rsidRPr="00160E9D" w:rsidRDefault="004B4E1A" w:rsidP="00C1690F">
            <w:pPr>
              <w:spacing w:after="0" w:line="240" w:lineRule="auto"/>
              <w:rPr>
                <w:rFonts w:ascii="Titillium" w:eastAsia="Times New Roman" w:hAnsi="Titillium" w:cs="Calibri"/>
                <w:sz w:val="18"/>
                <w:szCs w:val="18"/>
                <w:vertAlign w:val="superscript"/>
                <w:lang w:eastAsia="it-IT"/>
              </w:rPr>
            </w:pPr>
            <w:r>
              <w:rPr>
                <w:rFonts w:ascii="Titillium" w:eastAsia="Times New Roman" w:hAnsi="Titillium" w:cs="Calibri"/>
                <w:color w:val="000000"/>
                <w:sz w:val="18"/>
                <w:szCs w:val="18"/>
                <w:lang w:eastAsia="it-IT"/>
              </w:rPr>
              <w:t>1)</w:t>
            </w:r>
            <w:r w:rsidRPr="00160E9D">
              <w:rPr>
                <w:rFonts w:ascii="Titillium" w:eastAsia="Times New Roman" w:hAnsi="Titillium" w:cs="Calibri"/>
                <w:sz w:val="18"/>
                <w:szCs w:val="18"/>
                <w:lang w:eastAsia="it-IT"/>
              </w:rPr>
              <w:t>Adesione alla piattaforma PagoPA</w:t>
            </w:r>
            <w:r w:rsidRPr="00160E9D">
              <w:rPr>
                <w:rFonts w:ascii="Titillium" w:eastAsia="Times New Roman" w:hAnsi="Titillium" w:cs="Calibri"/>
                <w:sz w:val="18"/>
                <w:szCs w:val="18"/>
                <w:vertAlign w:val="superscript"/>
                <w:lang w:eastAsia="it-IT"/>
              </w:rPr>
              <w:t>1</w:t>
            </w:r>
          </w:p>
          <w:p w14:paraId="325EF0B8" w14:textId="77777777" w:rsidR="004B4E1A" w:rsidRPr="00160E9D" w:rsidRDefault="004B4E1A" w:rsidP="00C1690F">
            <w:pPr>
              <w:spacing w:after="0" w:line="240" w:lineRule="auto"/>
              <w:rPr>
                <w:rFonts w:ascii="Titillium" w:eastAsia="Times New Roman" w:hAnsi="Titillium" w:cs="Calibri"/>
                <w:sz w:val="18"/>
                <w:szCs w:val="18"/>
                <w:lang w:eastAsia="it-IT"/>
              </w:rPr>
            </w:pPr>
          </w:p>
          <w:p w14:paraId="7F458620" w14:textId="77777777" w:rsidR="004B4E1A" w:rsidRPr="00160E9D" w:rsidRDefault="004B4E1A" w:rsidP="00C1690F">
            <w:pPr>
              <w:spacing w:after="0" w:line="240" w:lineRule="auto"/>
              <w:rPr>
                <w:rFonts w:ascii="Titillium" w:eastAsia="Times New Roman" w:hAnsi="Titillium" w:cs="Calibri"/>
                <w:sz w:val="18"/>
                <w:szCs w:val="18"/>
                <w:lang w:eastAsia="it-IT"/>
              </w:rPr>
            </w:pPr>
          </w:p>
          <w:p w14:paraId="29377E2D" w14:textId="77777777" w:rsidR="004B4E1A" w:rsidRDefault="004B4E1A" w:rsidP="00C1690F">
            <w:pPr>
              <w:spacing w:after="0" w:line="240" w:lineRule="auto"/>
              <w:rPr>
                <w:rFonts w:ascii="Titillium" w:eastAsia="Times New Roman" w:hAnsi="Titillium" w:cs="Calibri"/>
                <w:color w:val="000000"/>
                <w:sz w:val="18"/>
                <w:szCs w:val="18"/>
                <w:lang w:eastAsia="it-IT"/>
              </w:rPr>
            </w:pPr>
            <w:r w:rsidRPr="00160E9D">
              <w:rPr>
                <w:rFonts w:ascii="Titillium" w:eastAsia="Times New Roman" w:hAnsi="Titillium" w:cs="Calibri"/>
                <w:sz w:val="18"/>
                <w:szCs w:val="18"/>
                <w:vertAlign w:val="superscript"/>
                <w:lang w:eastAsia="it-IT"/>
              </w:rPr>
              <w:t>1</w:t>
            </w:r>
            <w:r w:rsidRPr="00160E9D">
              <w:rPr>
                <w:rFonts w:ascii="Titillium" w:eastAsia="Times New Roman" w:hAnsi="Titillium" w:cs="Calibri"/>
                <w:sz w:val="18"/>
                <w:szCs w:val="18"/>
                <w:lang w:eastAsia="it-IT"/>
              </w:rPr>
              <w:t xml:space="preserve">va indicata la data di adesione alla piattaforma </w:t>
            </w:r>
            <w:proofErr w:type="spellStart"/>
            <w:r w:rsidRPr="00160E9D">
              <w:rPr>
                <w:rFonts w:ascii="Titillium" w:eastAsia="Times New Roman" w:hAnsi="Titillium" w:cs="Calibri"/>
                <w:sz w:val="18"/>
                <w:szCs w:val="18"/>
                <w:lang w:eastAsia="it-IT"/>
              </w:rPr>
              <w:t>PagoPA</w:t>
            </w:r>
            <w:proofErr w:type="spellEnd"/>
            <w:r w:rsidRPr="00160E9D">
              <w:rPr>
                <w:rFonts w:ascii="Titillium" w:eastAsia="Times New Roman" w:hAnsi="Titillium" w:cs="Calibri"/>
                <w:sz w:val="18"/>
                <w:szCs w:val="18"/>
                <w:lang w:eastAsia="it-IT"/>
              </w:rPr>
              <w:t xml:space="preserve"> secondo la seguente dicitura “Aderente </w:t>
            </w:r>
            <w:r w:rsidRPr="00FF56F6">
              <w:rPr>
                <w:rFonts w:ascii="Titillium" w:eastAsia="Times New Roman" w:hAnsi="Titillium" w:cs="Calibri"/>
                <w:color w:val="000000"/>
                <w:sz w:val="18"/>
                <w:szCs w:val="18"/>
                <w:lang w:eastAsia="it-IT"/>
              </w:rPr>
              <w:t xml:space="preserve">alla piattaforma </w:t>
            </w:r>
            <w:proofErr w:type="spellStart"/>
            <w:r w:rsidRPr="00FF56F6">
              <w:rPr>
                <w:rFonts w:ascii="Titillium" w:eastAsia="Times New Roman" w:hAnsi="Titillium" w:cs="Calibri"/>
                <w:color w:val="000000"/>
                <w:sz w:val="18"/>
                <w:szCs w:val="18"/>
                <w:lang w:eastAsia="it-IT"/>
              </w:rPr>
              <w:t>PagoPA</w:t>
            </w:r>
            <w:proofErr w:type="spellEnd"/>
            <w:r w:rsidRPr="00FF56F6">
              <w:rPr>
                <w:rFonts w:ascii="Titillium" w:eastAsia="Times New Roman" w:hAnsi="Titillium" w:cs="Calibri"/>
                <w:color w:val="000000"/>
                <w:sz w:val="18"/>
                <w:szCs w:val="18"/>
                <w:lang w:eastAsia="it-IT"/>
              </w:rPr>
              <w:t xml:space="preserve"> dal XX.</w:t>
            </w:r>
            <w:proofErr w:type="gramStart"/>
            <w:r w:rsidRPr="00FF56F6">
              <w:rPr>
                <w:rFonts w:ascii="Titillium" w:eastAsia="Times New Roman" w:hAnsi="Titillium" w:cs="Calibri"/>
                <w:color w:val="000000"/>
                <w:sz w:val="18"/>
                <w:szCs w:val="18"/>
                <w:lang w:eastAsia="it-IT"/>
              </w:rPr>
              <w:t>XX.XXXX</w:t>
            </w:r>
            <w:proofErr w:type="gramEnd"/>
            <w:r w:rsidRPr="007308AF">
              <w:rPr>
                <w:rFonts w:ascii="Titillium" w:eastAsia="Times New Roman" w:hAnsi="Titillium" w:cs="Calibri"/>
                <w:color w:val="000000"/>
                <w:sz w:val="18"/>
                <w:szCs w:val="18"/>
                <w:lang w:eastAsia="it-IT"/>
              </w:rPr>
              <w:t>”</w:t>
            </w:r>
          </w:p>
          <w:p w14:paraId="50F04443" w14:textId="77777777" w:rsidR="004B4E1A" w:rsidRDefault="004B4E1A" w:rsidP="00C1690F">
            <w:pPr>
              <w:spacing w:after="0" w:line="240" w:lineRule="auto"/>
              <w:rPr>
                <w:rFonts w:ascii="Titillium" w:eastAsia="Times New Roman" w:hAnsi="Titillium" w:cs="Calibri"/>
                <w:color w:val="000000"/>
                <w:sz w:val="18"/>
                <w:szCs w:val="18"/>
                <w:lang w:eastAsia="it-IT"/>
              </w:rPr>
            </w:pPr>
          </w:p>
          <w:p w14:paraId="2C7795DC" w14:textId="742FEBDE" w:rsidR="004B4E1A" w:rsidRPr="00160E9D" w:rsidRDefault="004B4E1A" w:rsidP="00FF56F6">
            <w:pPr>
              <w:spacing w:after="0" w:line="240" w:lineRule="auto"/>
              <w:jc w:val="both"/>
              <w:rPr>
                <w:rFonts w:ascii="Titillium" w:eastAsia="Times New Roman" w:hAnsi="Titillium" w:cs="Calibri"/>
                <w:sz w:val="18"/>
                <w:szCs w:val="18"/>
                <w:lang w:eastAsia="it-IT"/>
              </w:rPr>
            </w:pPr>
            <w:r w:rsidRPr="00160E9D">
              <w:rPr>
                <w:rFonts w:ascii="Titillium" w:eastAsia="Times New Roman" w:hAnsi="Titillium" w:cs="Calibri"/>
                <w:b/>
                <w:color w:val="000000"/>
                <w:sz w:val="18"/>
                <w:szCs w:val="18"/>
                <w:lang w:eastAsia="it-IT"/>
              </w:rPr>
              <w:t>IN ALTERNATIVA e SOLO TEMPORANEAMENTE</w:t>
            </w:r>
            <w:r>
              <w:rPr>
                <w:rFonts w:ascii="Titillium" w:eastAsia="Times New Roman" w:hAnsi="Titillium" w:cs="Calibri"/>
                <w:color w:val="000000"/>
                <w:sz w:val="18"/>
                <w:szCs w:val="18"/>
                <w:lang w:eastAsia="it-IT"/>
              </w:rPr>
              <w:t xml:space="preserve"> (Laddove non sia ancora avvenuta la completa integrazione centralizzata con il sistema </w:t>
            </w:r>
            <w:proofErr w:type="spellStart"/>
            <w:r>
              <w:rPr>
                <w:rFonts w:ascii="Titillium" w:eastAsia="Times New Roman" w:hAnsi="Titillium" w:cs="Calibri"/>
                <w:color w:val="000000"/>
                <w:sz w:val="18"/>
                <w:szCs w:val="18"/>
                <w:lang w:eastAsia="it-IT"/>
              </w:rPr>
              <w:t>PagoPA</w:t>
            </w:r>
            <w:proofErr w:type="spellEnd"/>
            <w:r>
              <w:rPr>
                <w:rFonts w:ascii="Titillium" w:eastAsia="Times New Roman" w:hAnsi="Titillium" w:cs="Calibri"/>
                <w:color w:val="000000"/>
                <w:sz w:val="18"/>
                <w:szCs w:val="18"/>
                <w:lang w:eastAsia="it-IT"/>
              </w:rPr>
              <w:t xml:space="preserve"> </w:t>
            </w:r>
            <w:proofErr w:type="gramStart"/>
            <w:r>
              <w:rPr>
                <w:rFonts w:ascii="Titillium" w:eastAsia="Times New Roman" w:hAnsi="Titillium" w:cs="Calibri"/>
                <w:color w:val="000000"/>
                <w:sz w:val="18"/>
                <w:szCs w:val="18"/>
                <w:lang w:eastAsia="it-IT"/>
              </w:rPr>
              <w:t>e  fino</w:t>
            </w:r>
            <w:proofErr w:type="gramEnd"/>
            <w:r>
              <w:rPr>
                <w:rFonts w:ascii="Titillium" w:eastAsia="Times New Roman" w:hAnsi="Titillium" w:cs="Calibri"/>
                <w:color w:val="000000"/>
                <w:sz w:val="18"/>
                <w:szCs w:val="18"/>
                <w:lang w:eastAsia="it-IT"/>
              </w:rPr>
              <w:t xml:space="preserve"> alla completa </w:t>
            </w:r>
            <w:r w:rsidRPr="00160E9D">
              <w:rPr>
                <w:rFonts w:ascii="Titillium" w:eastAsia="Times New Roman" w:hAnsi="Titillium" w:cs="Calibri"/>
                <w:sz w:val="18"/>
                <w:szCs w:val="18"/>
                <w:lang w:eastAsia="it-IT"/>
              </w:rPr>
              <w:t xml:space="preserve">integrazione centralizzata con il sistema </w:t>
            </w:r>
            <w:proofErr w:type="spellStart"/>
            <w:r w:rsidRPr="00160E9D">
              <w:rPr>
                <w:rFonts w:ascii="Titillium" w:eastAsia="Times New Roman" w:hAnsi="Titillium" w:cs="Calibri"/>
                <w:sz w:val="18"/>
                <w:szCs w:val="18"/>
                <w:lang w:eastAsia="it-IT"/>
              </w:rPr>
              <w:t>PagoPA</w:t>
            </w:r>
            <w:proofErr w:type="spellEnd"/>
            <w:r>
              <w:rPr>
                <w:rFonts w:ascii="Titillium" w:eastAsia="Times New Roman" w:hAnsi="Titillium" w:cs="Calibri"/>
                <w:sz w:val="18"/>
                <w:szCs w:val="18"/>
                <w:lang w:eastAsia="it-IT"/>
              </w:rPr>
              <w:t>):</w:t>
            </w:r>
          </w:p>
          <w:p w14:paraId="2304A70D" w14:textId="77777777" w:rsidR="004B4E1A" w:rsidRDefault="004B4E1A" w:rsidP="00EF63D1">
            <w:pPr>
              <w:spacing w:after="0" w:line="240" w:lineRule="auto"/>
              <w:rPr>
                <w:rFonts w:ascii="Titillium" w:eastAsia="Times New Roman" w:hAnsi="Titillium" w:cs="Calibri"/>
                <w:sz w:val="18"/>
                <w:szCs w:val="18"/>
                <w:lang w:eastAsia="it-IT"/>
              </w:rPr>
            </w:pPr>
          </w:p>
          <w:p w14:paraId="02BCD265" w14:textId="3068FED7" w:rsidR="004B4E1A" w:rsidRPr="00160E9D" w:rsidRDefault="004B4E1A" w:rsidP="004B4E1A">
            <w:pPr>
              <w:spacing w:after="0" w:line="240" w:lineRule="auto"/>
              <w:jc w:val="center"/>
              <w:rPr>
                <w:rFonts w:ascii="Titillium" w:eastAsia="Times New Roman" w:hAnsi="Titillium" w:cs="Calibri"/>
                <w:sz w:val="18"/>
                <w:szCs w:val="18"/>
                <w:vertAlign w:val="superscript"/>
                <w:lang w:eastAsia="it-IT"/>
              </w:rPr>
            </w:pPr>
            <w:r w:rsidRPr="00160E9D">
              <w:rPr>
                <w:rFonts w:ascii="Titillium" w:eastAsia="Times New Roman" w:hAnsi="Titillium" w:cs="Calibri"/>
                <w:sz w:val="18"/>
                <w:szCs w:val="18"/>
                <w:lang w:eastAsia="it-IT"/>
              </w:rPr>
              <w:t>IBAN del conto corrente per la gestione delle entrate</w:t>
            </w:r>
            <w:r w:rsidRPr="00160E9D">
              <w:rPr>
                <w:rFonts w:ascii="Titillium" w:eastAsia="Times New Roman" w:hAnsi="Titillium" w:cs="Calibri"/>
                <w:sz w:val="18"/>
                <w:szCs w:val="18"/>
                <w:vertAlign w:val="superscript"/>
                <w:lang w:eastAsia="it-IT"/>
              </w:rPr>
              <w:t>2</w:t>
            </w:r>
          </w:p>
          <w:p w14:paraId="20E02C62" w14:textId="77777777" w:rsidR="004B4E1A" w:rsidRPr="00160E9D" w:rsidRDefault="004B4E1A" w:rsidP="00EF63D1">
            <w:pPr>
              <w:spacing w:after="0" w:line="240" w:lineRule="auto"/>
              <w:rPr>
                <w:rFonts w:ascii="Titillium" w:eastAsia="Times New Roman" w:hAnsi="Titillium" w:cs="Calibri"/>
                <w:sz w:val="18"/>
                <w:szCs w:val="18"/>
                <w:lang w:eastAsia="it-IT"/>
              </w:rPr>
            </w:pPr>
            <w:r w:rsidRPr="00160E9D" w:rsidDel="00EF63D1">
              <w:rPr>
                <w:rFonts w:ascii="Titillium" w:eastAsia="Times New Roman" w:hAnsi="Titillium" w:cs="Calibri"/>
                <w:sz w:val="18"/>
                <w:szCs w:val="18"/>
                <w:lang w:eastAsia="it-IT"/>
              </w:rPr>
              <w:t xml:space="preserve"> </w:t>
            </w:r>
          </w:p>
          <w:p w14:paraId="53136E37" w14:textId="77777777" w:rsidR="004B4E1A" w:rsidRPr="00160E9D" w:rsidRDefault="004B4E1A" w:rsidP="003710F7">
            <w:pPr>
              <w:spacing w:after="0" w:line="240" w:lineRule="auto"/>
              <w:rPr>
                <w:rFonts w:ascii="Titillium" w:eastAsia="Times New Roman" w:hAnsi="Titillium" w:cs="Calibri"/>
                <w:sz w:val="18"/>
                <w:szCs w:val="18"/>
                <w:lang w:eastAsia="it-IT"/>
              </w:rPr>
            </w:pPr>
          </w:p>
          <w:p w14:paraId="2B7810D1" w14:textId="77777777" w:rsidR="004B4E1A" w:rsidRDefault="004B4E1A" w:rsidP="00FF56F6">
            <w:pPr>
              <w:spacing w:after="0" w:line="240" w:lineRule="auto"/>
              <w:jc w:val="both"/>
              <w:rPr>
                <w:rFonts w:ascii="Titillium" w:eastAsia="Times New Roman" w:hAnsi="Titillium" w:cs="Calibri"/>
                <w:color w:val="000000"/>
                <w:sz w:val="18"/>
                <w:szCs w:val="18"/>
                <w:lang w:eastAsia="it-IT"/>
              </w:rPr>
            </w:pPr>
            <w:r w:rsidRPr="00160E9D">
              <w:rPr>
                <w:rFonts w:ascii="Titillium" w:eastAsia="Times New Roman" w:hAnsi="Titillium" w:cs="Calibri"/>
                <w:i/>
                <w:iCs/>
                <w:sz w:val="18"/>
                <w:szCs w:val="18"/>
                <w:vertAlign w:val="superscript"/>
                <w:lang w:eastAsia="it-IT"/>
              </w:rPr>
              <w:t>2</w:t>
            </w:r>
            <w:r w:rsidRPr="00160E9D">
              <w:rPr>
                <w:rFonts w:ascii="Titillium" w:eastAsia="Times New Roman" w:hAnsi="Titillium" w:cs="Calibri"/>
                <w:i/>
                <w:iCs/>
                <w:sz w:val="18"/>
                <w:szCs w:val="18"/>
                <w:lang w:eastAsia="it-IT"/>
              </w:rPr>
              <w:t xml:space="preserve"> È consentita la pubblicazione di tale dato solo in via provvisoria e temporanea da parte delle pubbliche amministrazioni che sono in attesa dell’integrazione centralizzata con il sistema </w:t>
            </w:r>
            <w:proofErr w:type="spellStart"/>
            <w:r w:rsidRPr="00160E9D">
              <w:rPr>
                <w:rFonts w:ascii="Titillium" w:eastAsia="Times New Roman" w:hAnsi="Titillium" w:cs="Calibri"/>
                <w:i/>
                <w:iCs/>
                <w:sz w:val="18"/>
                <w:szCs w:val="18"/>
                <w:lang w:eastAsia="it-IT"/>
              </w:rPr>
              <w:t>PagoPA</w:t>
            </w:r>
            <w:proofErr w:type="spellEnd"/>
            <w:r w:rsidRPr="00160E9D">
              <w:rPr>
                <w:rFonts w:ascii="Titillium" w:eastAsia="Times New Roman" w:hAnsi="Titillium" w:cs="Calibri"/>
                <w:i/>
                <w:iCs/>
                <w:sz w:val="18"/>
                <w:szCs w:val="18"/>
                <w:lang w:eastAsia="it-IT"/>
              </w:rPr>
              <w:t xml:space="preserve"> </w:t>
            </w:r>
            <w:r w:rsidRPr="003710F7">
              <w:rPr>
                <w:rFonts w:ascii="Titillium" w:eastAsia="Times New Roman" w:hAnsi="Titillium" w:cs="Calibri"/>
                <w:i/>
                <w:iCs/>
                <w:color w:val="000000"/>
                <w:sz w:val="18"/>
                <w:szCs w:val="18"/>
                <w:lang w:eastAsia="it-IT"/>
              </w:rPr>
              <w:t>attraverso il servizio di tesoreria della Banca d’Italia e la Ragioneria dello Stato</w:t>
            </w:r>
            <w:r>
              <w:rPr>
                <w:rFonts w:ascii="Titillium" w:eastAsia="Times New Roman" w:hAnsi="Titillium" w:cs="Calibri"/>
                <w:i/>
                <w:iCs/>
                <w:color w:val="000000"/>
                <w:sz w:val="18"/>
                <w:szCs w:val="18"/>
                <w:lang w:eastAsia="it-IT"/>
              </w:rPr>
              <w:t>.</w:t>
            </w:r>
            <w:r w:rsidRPr="003710F7">
              <w:rPr>
                <w:rFonts w:ascii="Titillium" w:eastAsia="Times New Roman" w:hAnsi="Titillium" w:cs="Calibri"/>
                <w:i/>
                <w:iCs/>
                <w:color w:val="000000"/>
                <w:sz w:val="18"/>
                <w:szCs w:val="18"/>
                <w:lang w:eastAsia="it-IT"/>
              </w:rPr>
              <w:t xml:space="preserve"> </w:t>
            </w:r>
          </w:p>
        </w:tc>
        <w:tc>
          <w:tcPr>
            <w:tcW w:w="1180" w:type="dxa"/>
            <w:tcBorders>
              <w:top w:val="single" w:sz="4" w:space="0" w:color="auto"/>
              <w:left w:val="nil"/>
              <w:right w:val="single" w:sz="4" w:space="0" w:color="auto"/>
            </w:tcBorders>
            <w:shd w:val="clear" w:color="auto" w:fill="auto"/>
            <w:noWrap/>
          </w:tcPr>
          <w:p w14:paraId="70F36242" w14:textId="77777777" w:rsidR="004B4E1A" w:rsidRDefault="004B4E1A" w:rsidP="00CE0928">
            <w:pPr>
              <w:spacing w:after="0" w:line="240" w:lineRule="auto"/>
              <w:jc w:val="center"/>
              <w:rPr>
                <w:rFonts w:ascii="Titillium" w:eastAsia="Times New Roman" w:hAnsi="Titillium" w:cs="Calibri"/>
                <w:color w:val="000000"/>
                <w:sz w:val="18"/>
                <w:szCs w:val="18"/>
                <w:lang w:eastAsia="it-IT"/>
              </w:rPr>
            </w:pPr>
          </w:p>
          <w:p w14:paraId="4CE0F616" w14:textId="77777777" w:rsidR="004B4E1A" w:rsidRDefault="004B4E1A" w:rsidP="00CE0928">
            <w:pPr>
              <w:spacing w:after="0" w:line="240" w:lineRule="auto"/>
              <w:jc w:val="center"/>
              <w:rPr>
                <w:rFonts w:ascii="Titillium" w:eastAsia="Times New Roman" w:hAnsi="Titillium" w:cs="Calibri"/>
                <w:color w:val="000000"/>
                <w:sz w:val="18"/>
                <w:szCs w:val="18"/>
                <w:lang w:eastAsia="it-IT"/>
              </w:rPr>
            </w:pPr>
          </w:p>
          <w:p w14:paraId="47ED29F0" w14:textId="77777777" w:rsidR="004B4E1A" w:rsidRDefault="004B4E1A" w:rsidP="00CE0928">
            <w:pPr>
              <w:spacing w:after="0" w:line="240" w:lineRule="auto"/>
              <w:jc w:val="center"/>
              <w:rPr>
                <w:rFonts w:ascii="Titillium" w:eastAsia="Times New Roman" w:hAnsi="Titillium" w:cs="Calibri"/>
                <w:color w:val="000000"/>
                <w:sz w:val="18"/>
                <w:szCs w:val="18"/>
                <w:lang w:eastAsia="it-IT"/>
              </w:rPr>
            </w:pPr>
          </w:p>
          <w:p w14:paraId="73D3C0D8" w14:textId="77777777" w:rsidR="004B4E1A" w:rsidRDefault="004B4E1A" w:rsidP="00CE0928">
            <w:pPr>
              <w:spacing w:after="0" w:line="240" w:lineRule="auto"/>
              <w:jc w:val="center"/>
              <w:rPr>
                <w:rFonts w:ascii="Titillium" w:eastAsia="Times New Roman" w:hAnsi="Titillium" w:cs="Calibri"/>
                <w:color w:val="000000"/>
                <w:sz w:val="18"/>
                <w:szCs w:val="18"/>
                <w:lang w:eastAsia="it-IT"/>
              </w:rPr>
            </w:pPr>
          </w:p>
          <w:p w14:paraId="7B0369F6" w14:textId="77777777" w:rsidR="004B4E1A" w:rsidRDefault="004B4E1A" w:rsidP="00CE0928">
            <w:pPr>
              <w:spacing w:after="0" w:line="240" w:lineRule="auto"/>
              <w:jc w:val="center"/>
              <w:rPr>
                <w:rFonts w:ascii="Titillium" w:eastAsia="Times New Roman" w:hAnsi="Titillium" w:cs="Calibri"/>
                <w:color w:val="000000"/>
                <w:sz w:val="18"/>
                <w:szCs w:val="18"/>
                <w:lang w:eastAsia="it-IT"/>
              </w:rPr>
            </w:pPr>
          </w:p>
          <w:p w14:paraId="486D212B" w14:textId="77777777" w:rsidR="004B4E1A" w:rsidRDefault="004B4E1A" w:rsidP="00CE0928">
            <w:pPr>
              <w:spacing w:after="0" w:line="240" w:lineRule="auto"/>
              <w:jc w:val="center"/>
              <w:rPr>
                <w:rFonts w:ascii="Titillium" w:eastAsia="Times New Roman" w:hAnsi="Titillium" w:cs="Calibri"/>
                <w:color w:val="000000"/>
                <w:sz w:val="18"/>
                <w:szCs w:val="18"/>
                <w:lang w:eastAsia="it-IT"/>
              </w:rPr>
            </w:pPr>
          </w:p>
          <w:p w14:paraId="1036CC07" w14:textId="77777777" w:rsidR="004B4E1A" w:rsidRDefault="004B4E1A" w:rsidP="00CE0928">
            <w:pPr>
              <w:spacing w:after="0" w:line="240" w:lineRule="auto"/>
              <w:jc w:val="center"/>
              <w:rPr>
                <w:rFonts w:ascii="Titillium" w:eastAsia="Times New Roman" w:hAnsi="Titillium" w:cs="Calibri"/>
                <w:color w:val="000000"/>
                <w:sz w:val="18"/>
                <w:szCs w:val="18"/>
                <w:lang w:eastAsia="it-IT"/>
              </w:rPr>
            </w:pPr>
          </w:p>
          <w:p w14:paraId="715A766D" w14:textId="77777777" w:rsidR="004B4E1A" w:rsidRDefault="004B4E1A" w:rsidP="00CE0928">
            <w:pPr>
              <w:spacing w:after="0" w:line="240" w:lineRule="auto"/>
              <w:jc w:val="center"/>
              <w:rPr>
                <w:rFonts w:ascii="Titillium" w:eastAsia="Times New Roman" w:hAnsi="Titillium" w:cs="Calibri"/>
                <w:color w:val="000000"/>
                <w:sz w:val="18"/>
                <w:szCs w:val="18"/>
                <w:lang w:eastAsia="it-IT"/>
              </w:rPr>
            </w:pPr>
          </w:p>
          <w:p w14:paraId="3829FDCA" w14:textId="7A1ACDEA" w:rsidR="004B4E1A" w:rsidRDefault="004B4E1A" w:rsidP="00CE0928">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Testo</w:t>
            </w:r>
          </w:p>
        </w:tc>
      </w:tr>
      <w:tr w:rsidR="00EF63D1" w:rsidRPr="005705FE" w14:paraId="69DD8722" w14:textId="77777777" w:rsidTr="003B5EA9">
        <w:trPr>
          <w:trHeight w:val="382"/>
        </w:trPr>
        <w:tc>
          <w:tcPr>
            <w:tcW w:w="2263" w:type="dxa"/>
            <w:vMerge/>
            <w:tcBorders>
              <w:left w:val="single" w:sz="4" w:space="0" w:color="auto"/>
              <w:bottom w:val="single" w:sz="4" w:space="0" w:color="auto"/>
              <w:right w:val="single" w:sz="4" w:space="0" w:color="auto"/>
            </w:tcBorders>
            <w:shd w:val="clear" w:color="auto" w:fill="auto"/>
            <w:noWrap/>
          </w:tcPr>
          <w:p w14:paraId="3C80228F" w14:textId="77777777" w:rsidR="00EF63D1" w:rsidRDefault="00EF63D1" w:rsidP="00CE0928">
            <w:pPr>
              <w:spacing w:after="0" w:line="240" w:lineRule="auto"/>
              <w:rPr>
                <w:rFonts w:ascii="Titillium" w:eastAsia="Times New Roman" w:hAnsi="Titillium" w:cs="Calibri"/>
                <w:color w:val="000000"/>
                <w:sz w:val="18"/>
                <w:szCs w:val="18"/>
                <w:lang w:eastAsia="it-IT"/>
              </w:rPr>
            </w:pPr>
          </w:p>
        </w:tc>
        <w:tc>
          <w:tcPr>
            <w:tcW w:w="6237" w:type="dxa"/>
            <w:tcBorders>
              <w:top w:val="single" w:sz="4" w:space="0" w:color="auto"/>
              <w:left w:val="nil"/>
              <w:bottom w:val="single" w:sz="4" w:space="0" w:color="auto"/>
              <w:right w:val="single" w:sz="4" w:space="0" w:color="auto"/>
            </w:tcBorders>
            <w:shd w:val="clear" w:color="auto" w:fill="auto"/>
          </w:tcPr>
          <w:p w14:paraId="1ABA8D69" w14:textId="77777777" w:rsidR="00190885" w:rsidRPr="00160E9D" w:rsidRDefault="00190885" w:rsidP="00190885">
            <w:pPr>
              <w:spacing w:after="0" w:line="240" w:lineRule="auto"/>
              <w:rPr>
                <w:rFonts w:ascii="Titillium" w:eastAsia="Times New Roman" w:hAnsi="Titillium" w:cs="Calibri"/>
                <w:sz w:val="18"/>
                <w:szCs w:val="18"/>
                <w:vertAlign w:val="superscript"/>
                <w:lang w:eastAsia="it-IT"/>
              </w:rPr>
            </w:pPr>
            <w:r>
              <w:rPr>
                <w:rFonts w:ascii="Titillium" w:eastAsia="Times New Roman" w:hAnsi="Titillium" w:cs="Calibri"/>
                <w:color w:val="000000"/>
                <w:sz w:val="18"/>
                <w:szCs w:val="18"/>
                <w:lang w:eastAsia="it-IT"/>
              </w:rPr>
              <w:t xml:space="preserve">2) </w:t>
            </w:r>
            <w:r w:rsidRPr="00EF63D1">
              <w:rPr>
                <w:rFonts w:ascii="Titillium" w:eastAsia="Times New Roman" w:hAnsi="Titillium" w:cs="Calibri"/>
                <w:color w:val="000000"/>
                <w:sz w:val="18"/>
                <w:szCs w:val="18"/>
                <w:lang w:eastAsia="it-IT"/>
              </w:rPr>
              <w:t xml:space="preserve">Altri metodi di pagamento NON integrati con la piattaforma </w:t>
            </w:r>
            <w:proofErr w:type="spellStart"/>
            <w:r w:rsidRPr="00CD3D94">
              <w:rPr>
                <w:rFonts w:ascii="Titillium" w:eastAsia="Times New Roman" w:hAnsi="Titillium" w:cs="Calibri"/>
                <w:color w:val="000000"/>
                <w:sz w:val="18"/>
                <w:szCs w:val="18"/>
                <w:lang w:eastAsia="it-IT"/>
              </w:rPr>
              <w:t>PagoPA</w:t>
            </w:r>
            <w:proofErr w:type="spellEnd"/>
            <w:r w:rsidRPr="00CD3D94">
              <w:rPr>
                <w:rFonts w:ascii="Titillium" w:eastAsia="Times New Roman" w:hAnsi="Titillium" w:cs="Calibri"/>
                <w:color w:val="000000"/>
                <w:sz w:val="18"/>
                <w:szCs w:val="18"/>
                <w:lang w:eastAsia="it-IT"/>
              </w:rPr>
              <w:t xml:space="preserve"> (laddove utilizzati</w:t>
            </w:r>
            <w:r w:rsidRPr="00160E9D">
              <w:rPr>
                <w:rFonts w:ascii="Titillium" w:eastAsia="Times New Roman" w:hAnsi="Titillium" w:cs="Calibri"/>
                <w:sz w:val="18"/>
                <w:szCs w:val="18"/>
                <w:lang w:eastAsia="it-IT"/>
              </w:rPr>
              <w:t xml:space="preserve">) </w:t>
            </w:r>
            <w:r w:rsidR="00FF56F6" w:rsidRPr="00160E9D">
              <w:rPr>
                <w:rFonts w:ascii="Titillium" w:eastAsia="Times New Roman" w:hAnsi="Titillium" w:cs="Calibri"/>
                <w:sz w:val="18"/>
                <w:szCs w:val="18"/>
                <w:vertAlign w:val="superscript"/>
                <w:lang w:eastAsia="it-IT"/>
              </w:rPr>
              <w:t>1</w:t>
            </w:r>
          </w:p>
          <w:p w14:paraId="01CFB73C" w14:textId="77777777" w:rsidR="00190885" w:rsidRPr="00160E9D" w:rsidRDefault="00190885" w:rsidP="00190885">
            <w:pPr>
              <w:spacing w:after="0" w:line="240" w:lineRule="auto"/>
              <w:rPr>
                <w:rFonts w:ascii="Titillium" w:eastAsia="Times New Roman" w:hAnsi="Titillium" w:cs="Calibri"/>
                <w:sz w:val="18"/>
                <w:szCs w:val="18"/>
                <w:lang w:eastAsia="it-IT"/>
              </w:rPr>
            </w:pPr>
          </w:p>
          <w:p w14:paraId="33729623" w14:textId="6E082032" w:rsidR="00A352D6" w:rsidRPr="00A352D6" w:rsidRDefault="00A352D6" w:rsidP="00A352D6">
            <w:pPr>
              <w:pStyle w:val="Testonotaapidipagina"/>
              <w:jc w:val="both"/>
              <w:rPr>
                <w:rFonts w:ascii="Titillium-Regular" w:hAnsi="Titillium-Regular" w:cs="Titillium-Regular"/>
                <w:i/>
                <w:sz w:val="18"/>
                <w:szCs w:val="18"/>
              </w:rPr>
            </w:pPr>
            <w:r>
              <w:rPr>
                <w:rFonts w:ascii="Titillium" w:eastAsia="Times New Roman" w:hAnsi="Titillium" w:cs="Calibri"/>
                <w:iCs/>
                <w:sz w:val="18"/>
                <w:szCs w:val="18"/>
                <w:vertAlign w:val="superscript"/>
                <w:lang w:eastAsia="it-IT"/>
              </w:rPr>
              <w:t>1</w:t>
            </w:r>
            <w:r w:rsidRPr="00A352D6">
              <w:rPr>
                <w:rFonts w:ascii="Titillium" w:eastAsia="Times New Roman" w:hAnsi="Titillium" w:cs="Calibri"/>
                <w:iCs/>
                <w:sz w:val="18"/>
                <w:szCs w:val="18"/>
                <w:lang w:eastAsia="it-IT"/>
              </w:rPr>
              <w:t>In base al § 5</w:t>
            </w:r>
            <w:r>
              <w:rPr>
                <w:rFonts w:ascii="Titillium" w:eastAsia="Times New Roman" w:hAnsi="Titillium" w:cs="Calibri"/>
                <w:i/>
                <w:iCs/>
                <w:sz w:val="18"/>
                <w:szCs w:val="18"/>
                <w:lang w:eastAsia="it-IT"/>
              </w:rPr>
              <w:t xml:space="preserve"> </w:t>
            </w:r>
            <w:r w:rsidR="00DD64DC">
              <w:rPr>
                <w:rFonts w:ascii="Titillium" w:eastAsia="Times New Roman" w:hAnsi="Titillium" w:cs="Calibri"/>
                <w:i/>
                <w:iCs/>
                <w:sz w:val="18"/>
                <w:szCs w:val="18"/>
                <w:vertAlign w:val="superscript"/>
                <w:lang w:eastAsia="it-IT"/>
              </w:rPr>
              <w:t xml:space="preserve"> </w:t>
            </w:r>
            <w:r>
              <w:rPr>
                <w:rFonts w:ascii="Titillium-Regular" w:hAnsi="Titillium-Regular" w:cs="Titillium-Regular"/>
                <w:sz w:val="18"/>
                <w:szCs w:val="18"/>
              </w:rPr>
              <w:t>delle LLGG AGID del 3 luglio 2018</w:t>
            </w:r>
            <w:hyperlink r:id="rId12" w:history="1">
              <w:r w:rsidRPr="00DD64DC">
                <w:rPr>
                  <w:rFonts w:ascii="Titillium-Regular" w:hAnsi="Titillium-Regular" w:cs="Titillium-Regular"/>
                  <w:i/>
                  <w:sz w:val="18"/>
                  <w:szCs w:val="18"/>
                </w:rPr>
                <w:t>“per l’effettuazione dei pagamenti a favore delle pubbliche amministrazioni e dei gestori di pubblici servizi”</w:t>
              </w:r>
            </w:hyperlink>
            <w:r>
              <w:rPr>
                <w:rFonts w:ascii="Titillium-Regular" w:hAnsi="Titillium-Regular" w:cs="Titillium-Regular"/>
                <w:i/>
                <w:sz w:val="18"/>
                <w:szCs w:val="18"/>
              </w:rPr>
              <w:t xml:space="preserve"> “</w:t>
            </w:r>
            <w:r w:rsidRPr="00A352D6">
              <w:rPr>
                <w:rFonts w:ascii="Titillium-Regular" w:hAnsi="Titillium-Regular" w:cs="Titillium-Regular"/>
                <w:i/>
                <w:sz w:val="18"/>
                <w:szCs w:val="18"/>
              </w:rPr>
              <w:t xml:space="preserve">il Sistema  </w:t>
            </w:r>
            <w:proofErr w:type="spellStart"/>
            <w:r w:rsidRPr="00A352D6">
              <w:rPr>
                <w:rFonts w:ascii="Titillium-Regular" w:hAnsi="Titillium-Regular" w:cs="Titillium-Regular"/>
                <w:i/>
                <w:sz w:val="18"/>
                <w:szCs w:val="18"/>
              </w:rPr>
              <w:t>pagoPA</w:t>
            </w:r>
            <w:proofErr w:type="spellEnd"/>
          </w:p>
          <w:p w14:paraId="494DA1E9" w14:textId="49B5A910" w:rsidR="00A352D6" w:rsidRDefault="00A352D6" w:rsidP="00A352D6">
            <w:pPr>
              <w:pStyle w:val="Testonotaapidipagina"/>
              <w:jc w:val="both"/>
              <w:rPr>
                <w:rFonts w:ascii="Titillium-Regular" w:hAnsi="Titillium-Regular" w:cs="Titillium-Regular"/>
                <w:i/>
                <w:sz w:val="18"/>
                <w:szCs w:val="18"/>
              </w:rPr>
            </w:pPr>
            <w:r w:rsidRPr="00A352D6">
              <w:rPr>
                <w:rFonts w:ascii="Titillium-Regular" w:hAnsi="Titillium-Regular" w:cs="Titillium-Regular"/>
                <w:i/>
                <w:sz w:val="18"/>
                <w:szCs w:val="18"/>
              </w:rPr>
              <w:t>rappresenta il sistema nazional</w:t>
            </w:r>
            <w:r>
              <w:rPr>
                <w:rFonts w:ascii="Titillium-Regular" w:hAnsi="Titillium-Regular" w:cs="Titillium-Regular"/>
                <w:i/>
                <w:sz w:val="18"/>
                <w:szCs w:val="18"/>
              </w:rPr>
              <w:t xml:space="preserve">e dei pagamenti elettronici in </w:t>
            </w:r>
            <w:r w:rsidRPr="00A352D6">
              <w:rPr>
                <w:rFonts w:ascii="Titillium-Regular" w:hAnsi="Titillium-Regular" w:cs="Titillium-Regular"/>
                <w:i/>
                <w:sz w:val="18"/>
                <w:szCs w:val="18"/>
              </w:rPr>
              <w:t>favore</w:t>
            </w:r>
            <w:r>
              <w:rPr>
                <w:rFonts w:ascii="Titillium-Regular" w:hAnsi="Titillium-Regular" w:cs="Titillium-Regular"/>
                <w:i/>
                <w:sz w:val="18"/>
                <w:szCs w:val="18"/>
              </w:rPr>
              <w:t xml:space="preserve"> </w:t>
            </w:r>
            <w:r w:rsidRPr="00A352D6">
              <w:rPr>
                <w:rFonts w:ascii="Titillium-Regular" w:hAnsi="Titillium-Regular" w:cs="Titillium-Regular"/>
                <w:i/>
                <w:sz w:val="18"/>
                <w:szCs w:val="18"/>
              </w:rPr>
              <w:t>delle pub</w:t>
            </w:r>
            <w:r>
              <w:rPr>
                <w:rFonts w:ascii="Titillium-Regular" w:hAnsi="Titillium-Regular" w:cs="Titillium-Regular"/>
                <w:i/>
                <w:sz w:val="18"/>
                <w:szCs w:val="18"/>
              </w:rPr>
              <w:t xml:space="preserve">bliche amministrazioni e degli altri soggetti tenuti </w:t>
            </w:r>
            <w:r w:rsidRPr="00A352D6">
              <w:rPr>
                <w:rFonts w:ascii="Titillium-Regular" w:hAnsi="Titillium-Regular" w:cs="Titillium-Regular"/>
                <w:i/>
                <w:sz w:val="18"/>
                <w:szCs w:val="18"/>
              </w:rPr>
              <w:t>per</w:t>
            </w:r>
            <w:r>
              <w:rPr>
                <w:rFonts w:ascii="Titillium-Regular" w:hAnsi="Titillium-Regular" w:cs="Titillium-Regular"/>
                <w:i/>
                <w:sz w:val="18"/>
                <w:szCs w:val="18"/>
              </w:rPr>
              <w:t xml:space="preserve"> l</w:t>
            </w:r>
            <w:r w:rsidRPr="00A352D6">
              <w:rPr>
                <w:rFonts w:ascii="Titillium-Regular" w:hAnsi="Titillium-Regular" w:cs="Titillium-Regular"/>
                <w:i/>
                <w:sz w:val="18"/>
                <w:szCs w:val="18"/>
              </w:rPr>
              <w:t>egge a</w:t>
            </w:r>
            <w:r>
              <w:rPr>
                <w:rFonts w:ascii="Titillium-Regular" w:hAnsi="Titillium-Regular" w:cs="Titillium-Regular"/>
                <w:i/>
                <w:sz w:val="18"/>
                <w:szCs w:val="18"/>
              </w:rPr>
              <w:t xml:space="preserve">ll'adesione, al quale gli enti creditori possono </w:t>
            </w:r>
            <w:r w:rsidRPr="00A352D6">
              <w:rPr>
                <w:rFonts w:ascii="Titillium-Regular" w:hAnsi="Titillium-Regular" w:cs="Titillium-Regular"/>
                <w:i/>
                <w:sz w:val="18"/>
                <w:szCs w:val="18"/>
              </w:rPr>
              <w:t>affiancare</w:t>
            </w:r>
            <w:r>
              <w:rPr>
                <w:rFonts w:ascii="Titillium-Regular" w:hAnsi="Titillium-Regular" w:cs="Titillium-Regular"/>
                <w:i/>
                <w:sz w:val="18"/>
                <w:szCs w:val="18"/>
              </w:rPr>
              <w:t xml:space="preserve"> </w:t>
            </w:r>
            <w:r w:rsidRPr="00A352D6">
              <w:rPr>
                <w:rFonts w:ascii="Titillium-Regular" w:hAnsi="Titillium-Regular" w:cs="Titillium-Regular"/>
                <w:i/>
                <w:sz w:val="18"/>
                <w:szCs w:val="18"/>
              </w:rPr>
              <w:t>esclusivamente i seguenti metodi di pagamento</w:t>
            </w:r>
            <w:r>
              <w:rPr>
                <w:rFonts w:ascii="Titillium-Regular" w:hAnsi="Titillium-Regular" w:cs="Titillium-Regular"/>
                <w:i/>
                <w:sz w:val="18"/>
                <w:szCs w:val="18"/>
              </w:rPr>
              <w:t>:</w:t>
            </w:r>
          </w:p>
          <w:p w14:paraId="69E96E3E" w14:textId="70627F9D" w:rsidR="00A352D6" w:rsidRPr="00A352D6" w:rsidRDefault="00A352D6" w:rsidP="00A352D6">
            <w:pPr>
              <w:pStyle w:val="Testonotaapidipagina"/>
              <w:jc w:val="both"/>
              <w:rPr>
                <w:i/>
                <w:sz w:val="18"/>
                <w:szCs w:val="18"/>
              </w:rPr>
            </w:pPr>
            <w:r w:rsidRPr="00A352D6">
              <w:rPr>
                <w:rFonts w:ascii="Titillium-Regular" w:hAnsi="Titillium-Regular" w:cs="Titillium-Regular"/>
                <w:i/>
                <w:sz w:val="18"/>
                <w:szCs w:val="18"/>
              </w:rPr>
              <w:t xml:space="preserve"> </w:t>
            </w:r>
            <w:r w:rsidRPr="00A352D6">
              <w:rPr>
                <w:i/>
                <w:sz w:val="18"/>
                <w:szCs w:val="18"/>
              </w:rPr>
              <w:t xml:space="preserve">a) Delega </w:t>
            </w:r>
            <w:r>
              <w:rPr>
                <w:i/>
                <w:sz w:val="18"/>
                <w:szCs w:val="18"/>
              </w:rPr>
              <w:t xml:space="preserve">unica </w:t>
            </w:r>
            <w:r w:rsidRPr="00A352D6">
              <w:rPr>
                <w:i/>
                <w:sz w:val="18"/>
                <w:szCs w:val="18"/>
              </w:rPr>
              <w:t>F2</w:t>
            </w:r>
            <w:r>
              <w:rPr>
                <w:i/>
                <w:sz w:val="18"/>
                <w:szCs w:val="18"/>
              </w:rPr>
              <w:t xml:space="preserve">4» </w:t>
            </w:r>
            <w:r w:rsidRPr="00A352D6">
              <w:rPr>
                <w:i/>
                <w:sz w:val="18"/>
                <w:szCs w:val="18"/>
              </w:rPr>
              <w:t>(c.d.  modello</w:t>
            </w:r>
            <w:r>
              <w:rPr>
                <w:i/>
                <w:sz w:val="18"/>
                <w:szCs w:val="18"/>
              </w:rPr>
              <w:t xml:space="preserve"> F24) fino alla </w:t>
            </w:r>
            <w:r w:rsidRPr="00A352D6">
              <w:rPr>
                <w:i/>
                <w:sz w:val="18"/>
                <w:szCs w:val="18"/>
              </w:rPr>
              <w:t xml:space="preserve">sua integrazione con il Sistema </w:t>
            </w:r>
            <w:proofErr w:type="spellStart"/>
            <w:r w:rsidRPr="00A352D6">
              <w:rPr>
                <w:i/>
                <w:sz w:val="18"/>
                <w:szCs w:val="18"/>
              </w:rPr>
              <w:t>pagoPA</w:t>
            </w:r>
            <w:proofErr w:type="spellEnd"/>
            <w:r w:rsidRPr="00A352D6">
              <w:rPr>
                <w:i/>
                <w:sz w:val="18"/>
                <w:szCs w:val="18"/>
              </w:rPr>
              <w:t xml:space="preserve">; </w:t>
            </w:r>
          </w:p>
          <w:p w14:paraId="3B3742F9" w14:textId="0CEC9823" w:rsidR="00A352D6" w:rsidRPr="00A352D6" w:rsidRDefault="00A352D6" w:rsidP="00A352D6">
            <w:pPr>
              <w:pStyle w:val="Testonotaapidipagina"/>
              <w:jc w:val="both"/>
              <w:rPr>
                <w:i/>
                <w:sz w:val="18"/>
                <w:szCs w:val="18"/>
              </w:rPr>
            </w:pPr>
            <w:r w:rsidRPr="00A352D6">
              <w:rPr>
                <w:i/>
                <w:sz w:val="18"/>
                <w:szCs w:val="18"/>
              </w:rPr>
              <w:t xml:space="preserve"> b) </w:t>
            </w:r>
            <w:proofErr w:type="spellStart"/>
            <w:r w:rsidRPr="00A352D6">
              <w:rPr>
                <w:i/>
                <w:sz w:val="18"/>
                <w:szCs w:val="18"/>
              </w:rPr>
              <w:t>Sepa</w:t>
            </w:r>
            <w:proofErr w:type="spellEnd"/>
            <w:r w:rsidRPr="00A352D6">
              <w:rPr>
                <w:i/>
                <w:sz w:val="18"/>
                <w:szCs w:val="18"/>
              </w:rPr>
              <w:t xml:space="preserve"> Direct </w:t>
            </w:r>
            <w:proofErr w:type="spellStart"/>
            <w:r w:rsidRPr="00A352D6">
              <w:rPr>
                <w:i/>
                <w:sz w:val="18"/>
                <w:szCs w:val="18"/>
              </w:rPr>
              <w:t>Debit</w:t>
            </w:r>
            <w:proofErr w:type="spellEnd"/>
            <w:r w:rsidRPr="00A352D6">
              <w:rPr>
                <w:i/>
                <w:sz w:val="18"/>
                <w:szCs w:val="18"/>
              </w:rPr>
              <w:t xml:space="preserve"> (SDD) fino alla sua </w:t>
            </w:r>
            <w:r>
              <w:rPr>
                <w:i/>
                <w:sz w:val="18"/>
                <w:szCs w:val="18"/>
              </w:rPr>
              <w:t xml:space="preserve">integrazione con </w:t>
            </w:r>
            <w:r w:rsidRPr="00A352D6">
              <w:rPr>
                <w:i/>
                <w:sz w:val="18"/>
                <w:szCs w:val="18"/>
              </w:rPr>
              <w:t xml:space="preserve">il Sistema </w:t>
            </w:r>
            <w:proofErr w:type="spellStart"/>
            <w:r w:rsidRPr="00A352D6">
              <w:rPr>
                <w:i/>
                <w:sz w:val="18"/>
                <w:szCs w:val="18"/>
              </w:rPr>
              <w:t>pagoPA</w:t>
            </w:r>
            <w:proofErr w:type="spellEnd"/>
            <w:r w:rsidRPr="00A352D6">
              <w:rPr>
                <w:i/>
                <w:sz w:val="18"/>
                <w:szCs w:val="18"/>
              </w:rPr>
              <w:t xml:space="preserve">; </w:t>
            </w:r>
          </w:p>
          <w:p w14:paraId="52112D5D" w14:textId="4FA15402" w:rsidR="00A352D6" w:rsidRPr="00A352D6" w:rsidRDefault="00A352D6" w:rsidP="00A352D6">
            <w:pPr>
              <w:pStyle w:val="Testonotaapidipagina"/>
              <w:jc w:val="both"/>
              <w:rPr>
                <w:i/>
                <w:sz w:val="18"/>
                <w:szCs w:val="18"/>
              </w:rPr>
            </w:pPr>
            <w:r w:rsidRPr="00A352D6">
              <w:rPr>
                <w:i/>
                <w:sz w:val="18"/>
                <w:szCs w:val="18"/>
              </w:rPr>
              <w:t xml:space="preserve"> c) eventuali altri servizi di pagamento non ancora integrati con il Sistema </w:t>
            </w:r>
            <w:proofErr w:type="spellStart"/>
            <w:r w:rsidRPr="00A352D6">
              <w:rPr>
                <w:i/>
                <w:sz w:val="18"/>
                <w:szCs w:val="18"/>
              </w:rPr>
              <w:t>pagoPA</w:t>
            </w:r>
            <w:proofErr w:type="spellEnd"/>
            <w:r w:rsidRPr="00A352D6">
              <w:rPr>
                <w:i/>
                <w:sz w:val="18"/>
                <w:szCs w:val="18"/>
              </w:rPr>
              <w:t xml:space="preserve"> e che non risultino</w:t>
            </w:r>
            <w:r>
              <w:rPr>
                <w:i/>
                <w:sz w:val="18"/>
                <w:szCs w:val="18"/>
              </w:rPr>
              <w:t xml:space="preserve"> sostituibili con </w:t>
            </w:r>
            <w:r w:rsidRPr="00A352D6">
              <w:rPr>
                <w:i/>
                <w:sz w:val="18"/>
                <w:szCs w:val="18"/>
              </w:rPr>
              <w:t xml:space="preserve">quelli erogati tramite </w:t>
            </w:r>
            <w:proofErr w:type="spellStart"/>
            <w:r w:rsidRPr="00A352D6">
              <w:rPr>
                <w:i/>
                <w:sz w:val="18"/>
                <w:szCs w:val="18"/>
              </w:rPr>
              <w:t>pagoPA</w:t>
            </w:r>
            <w:proofErr w:type="spellEnd"/>
            <w:r w:rsidRPr="00A352D6">
              <w:rPr>
                <w:i/>
                <w:sz w:val="18"/>
                <w:szCs w:val="18"/>
              </w:rPr>
              <w:t xml:space="preserve"> </w:t>
            </w:r>
            <w:proofErr w:type="spellStart"/>
            <w:r w:rsidRPr="00A352D6">
              <w:rPr>
                <w:i/>
                <w:sz w:val="18"/>
                <w:szCs w:val="18"/>
              </w:rPr>
              <w:t>poich</w:t>
            </w:r>
            <w:r>
              <w:rPr>
                <w:i/>
                <w:sz w:val="18"/>
                <w:szCs w:val="18"/>
              </w:rPr>
              <w:t>e</w:t>
            </w:r>
            <w:proofErr w:type="spellEnd"/>
            <w:r>
              <w:rPr>
                <w:i/>
                <w:sz w:val="18"/>
                <w:szCs w:val="18"/>
              </w:rPr>
              <w:t xml:space="preserve">' una specifica previsione di legge ne impone la messa a disposizione dell'utenza per l'esecuzione </w:t>
            </w:r>
            <w:r w:rsidRPr="00A352D6">
              <w:rPr>
                <w:i/>
                <w:sz w:val="18"/>
                <w:szCs w:val="18"/>
              </w:rPr>
              <w:t xml:space="preserve">del pagamento; </w:t>
            </w:r>
          </w:p>
          <w:p w14:paraId="780619A1" w14:textId="334E8038" w:rsidR="00A352D6" w:rsidRDefault="00A352D6" w:rsidP="00A352D6">
            <w:pPr>
              <w:autoSpaceDE w:val="0"/>
              <w:autoSpaceDN w:val="0"/>
              <w:adjustRightInd w:val="0"/>
              <w:spacing w:after="0" w:line="240" w:lineRule="auto"/>
              <w:rPr>
                <w:rFonts w:ascii="Titillium-Regular" w:hAnsi="Titillium-Regular" w:cs="Titillium-Regular"/>
                <w:sz w:val="18"/>
                <w:szCs w:val="18"/>
              </w:rPr>
            </w:pPr>
            <w:r w:rsidRPr="00A352D6">
              <w:rPr>
                <w:i/>
                <w:sz w:val="18"/>
                <w:szCs w:val="18"/>
              </w:rPr>
              <w:t xml:space="preserve"> d) per cassa, presso il soggetto che per tale ente svolge il servizio di tesoreria o di cassa</w:t>
            </w:r>
            <w:r>
              <w:rPr>
                <w:sz w:val="18"/>
                <w:szCs w:val="18"/>
              </w:rPr>
              <w:t>”.</w:t>
            </w:r>
          </w:p>
          <w:p w14:paraId="4C41C865" w14:textId="2B826424" w:rsidR="00DD64DC" w:rsidRDefault="00A352D6" w:rsidP="00A352D6">
            <w:pPr>
              <w:pStyle w:val="Testonotaapidipagina"/>
              <w:jc w:val="both"/>
              <w:rPr>
                <w:rFonts w:ascii="Titillium-Regular" w:hAnsi="Titillium-Regular" w:cs="Titillium-Regular"/>
                <w:i/>
                <w:sz w:val="18"/>
                <w:szCs w:val="18"/>
              </w:rPr>
            </w:pPr>
            <w:r w:rsidRPr="00A352D6">
              <w:rPr>
                <w:rFonts w:ascii="Titillium-Regular" w:hAnsi="Titillium-Regular" w:cs="Titillium-Regular"/>
                <w:sz w:val="18"/>
                <w:szCs w:val="18"/>
              </w:rPr>
              <w:t>Pertanto</w:t>
            </w:r>
            <w:r>
              <w:rPr>
                <w:rFonts w:ascii="Titillium-Regular" w:hAnsi="Titillium-Regular" w:cs="Titillium-Regular"/>
                <w:i/>
                <w:sz w:val="18"/>
                <w:szCs w:val="18"/>
              </w:rPr>
              <w:t xml:space="preserve"> </w:t>
            </w:r>
            <w:r w:rsidR="00DD64DC">
              <w:rPr>
                <w:rFonts w:ascii="Titillium-Regular" w:hAnsi="Titillium-Regular" w:cs="Titillium-Regular"/>
                <w:sz w:val="18"/>
                <w:szCs w:val="18"/>
              </w:rPr>
              <w:t xml:space="preserve">le pubbliche amministrazioni (come sopra individuate) obbligate all’uso esclusivo del sistema </w:t>
            </w:r>
            <w:proofErr w:type="spellStart"/>
            <w:r w:rsidR="00DD64DC">
              <w:rPr>
                <w:rFonts w:ascii="Titillium-Regular" w:hAnsi="Titillium-Regular" w:cs="Titillium-Regular"/>
                <w:sz w:val="18"/>
                <w:szCs w:val="18"/>
              </w:rPr>
              <w:t>pagoPA</w:t>
            </w:r>
            <w:proofErr w:type="spellEnd"/>
            <w:r w:rsidR="00DD64DC">
              <w:rPr>
                <w:rFonts w:ascii="Titillium-Regular" w:hAnsi="Titillium-Regular" w:cs="Titillium-Regular"/>
                <w:sz w:val="18"/>
                <w:szCs w:val="18"/>
              </w:rPr>
              <w:t xml:space="preserve"> possono utilizzare, in aggiunta, esclusivamente i </w:t>
            </w:r>
            <w:r>
              <w:rPr>
                <w:rFonts w:ascii="Titillium-Regular" w:hAnsi="Titillium-Regular" w:cs="Titillium-Regular"/>
                <w:sz w:val="18"/>
                <w:szCs w:val="18"/>
              </w:rPr>
              <w:t xml:space="preserve">suddetti </w:t>
            </w:r>
            <w:r w:rsidR="00DD64DC">
              <w:rPr>
                <w:rFonts w:ascii="Titillium-Regular" w:hAnsi="Titillium-Regular" w:cs="Titillium-Regular"/>
                <w:sz w:val="18"/>
                <w:szCs w:val="18"/>
              </w:rPr>
              <w:t xml:space="preserve">metodi di pagamento non integrati con il sistema </w:t>
            </w:r>
            <w:proofErr w:type="spellStart"/>
            <w:r>
              <w:rPr>
                <w:rFonts w:ascii="Titillium-Regular" w:hAnsi="Titillium-Regular" w:cs="Titillium-Regular"/>
                <w:sz w:val="18"/>
                <w:szCs w:val="18"/>
              </w:rPr>
              <w:t>PagoPA</w:t>
            </w:r>
            <w:proofErr w:type="spellEnd"/>
            <w:r>
              <w:rPr>
                <w:rFonts w:ascii="Titillium-Regular" w:hAnsi="Titillium-Regular" w:cs="Titillium-Regular"/>
                <w:sz w:val="18"/>
                <w:szCs w:val="18"/>
              </w:rPr>
              <w:t xml:space="preserve">. </w:t>
            </w:r>
          </w:p>
          <w:p w14:paraId="18B53438" w14:textId="7A976954" w:rsidR="00CE0247" w:rsidRPr="00EF63D1" w:rsidRDefault="00CE0247" w:rsidP="00CE0247">
            <w:pPr>
              <w:spacing w:after="0" w:line="240" w:lineRule="auto"/>
              <w:rPr>
                <w:rFonts w:ascii="Titillium" w:eastAsia="Times New Roman" w:hAnsi="Titillium" w:cs="Calibri"/>
                <w:i/>
                <w:iCs/>
                <w:color w:val="000000"/>
                <w:sz w:val="18"/>
                <w:szCs w:val="18"/>
                <w:lang w:eastAsia="it-IT"/>
              </w:rPr>
            </w:pPr>
          </w:p>
          <w:p w14:paraId="7AA0FD64" w14:textId="77777777" w:rsidR="00190885" w:rsidRPr="00EF63D1" w:rsidRDefault="00190885" w:rsidP="00190885">
            <w:pPr>
              <w:spacing w:after="0" w:line="240" w:lineRule="auto"/>
              <w:rPr>
                <w:rFonts w:ascii="Titillium" w:eastAsia="Times New Roman" w:hAnsi="Titillium" w:cs="Calibri"/>
                <w:color w:val="000000"/>
                <w:sz w:val="18"/>
                <w:szCs w:val="18"/>
                <w:u w:val="single"/>
                <w:lang w:eastAsia="it-IT"/>
              </w:rPr>
            </w:pPr>
            <w:r w:rsidRPr="00CD3D94">
              <w:rPr>
                <w:rFonts w:ascii="Titillium" w:eastAsia="Times New Roman" w:hAnsi="Titillium" w:cs="Calibri"/>
                <w:color w:val="000000"/>
                <w:sz w:val="18"/>
                <w:szCs w:val="18"/>
                <w:u w:val="single"/>
                <w:lang w:eastAsia="it-IT"/>
              </w:rPr>
              <w:t>da replicare per ogni metodo utilizzato</w:t>
            </w:r>
          </w:p>
          <w:p w14:paraId="0D25ED40" w14:textId="77777777" w:rsidR="00EF63D1" w:rsidRDefault="00EF63D1" w:rsidP="00190885">
            <w:pPr>
              <w:spacing w:after="0" w:line="240" w:lineRule="auto"/>
              <w:rPr>
                <w:rFonts w:ascii="Titillium" w:eastAsia="Times New Roman" w:hAnsi="Titillium" w:cs="Calibri"/>
                <w:color w:val="000000"/>
                <w:sz w:val="18"/>
                <w:szCs w:val="18"/>
                <w:lang w:eastAsia="it-IT"/>
              </w:rPr>
            </w:pPr>
          </w:p>
        </w:tc>
        <w:tc>
          <w:tcPr>
            <w:tcW w:w="1180" w:type="dxa"/>
            <w:tcBorders>
              <w:top w:val="single" w:sz="4" w:space="0" w:color="auto"/>
              <w:left w:val="nil"/>
              <w:bottom w:val="single" w:sz="4" w:space="0" w:color="auto"/>
              <w:right w:val="single" w:sz="4" w:space="0" w:color="auto"/>
            </w:tcBorders>
            <w:shd w:val="clear" w:color="auto" w:fill="auto"/>
            <w:noWrap/>
          </w:tcPr>
          <w:p w14:paraId="030B76E9" w14:textId="77777777" w:rsidR="00EF63D1" w:rsidRDefault="00190885" w:rsidP="00CE0928">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testo</w:t>
            </w:r>
          </w:p>
        </w:tc>
      </w:tr>
      <w:bookmarkEnd w:id="2"/>
    </w:tbl>
    <w:p w14:paraId="72960FEC" w14:textId="77777777" w:rsidR="00851488" w:rsidRDefault="00851488" w:rsidP="008067D6">
      <w:pPr>
        <w:pBdr>
          <w:bottom w:val="single" w:sz="6" w:space="1" w:color="auto"/>
        </w:pBdr>
      </w:pPr>
    </w:p>
    <w:p w14:paraId="01EDC926" w14:textId="77777777" w:rsidR="001177FC" w:rsidRDefault="001177FC" w:rsidP="008067D6">
      <w:pPr>
        <w:pBdr>
          <w:bottom w:val="single" w:sz="6" w:space="1" w:color="auto"/>
        </w:pBdr>
      </w:pPr>
    </w:p>
    <w:p w14:paraId="1A4A6663" w14:textId="77777777" w:rsidR="003B4B6D" w:rsidRPr="003B4B6D" w:rsidRDefault="003B4B6D" w:rsidP="003B4B6D">
      <w:pPr>
        <w:pStyle w:val="Titolo3"/>
        <w:ind w:left="720" w:hanging="720"/>
      </w:pPr>
      <w:bookmarkStart w:id="3" w:name="_Ref144194806"/>
      <w:r>
        <w:t xml:space="preserve">Schema per </w:t>
      </w:r>
      <w:r w:rsidRPr="00467C1F">
        <w:t xml:space="preserve">utilizzo </w:t>
      </w:r>
      <w:r>
        <w:t xml:space="preserve">NON </w:t>
      </w:r>
      <w:r w:rsidRPr="00467C1F">
        <w:t xml:space="preserve">esclusivo del sistema </w:t>
      </w:r>
      <w:proofErr w:type="spellStart"/>
      <w:r w:rsidRPr="00467C1F">
        <w:t>PagoPA</w:t>
      </w:r>
      <w:bookmarkEnd w:id="3"/>
      <w:proofErr w:type="spellEnd"/>
    </w:p>
    <w:p w14:paraId="3346A48E" w14:textId="77777777" w:rsidR="003B4B6D" w:rsidRPr="00760CDE" w:rsidRDefault="003B4B6D" w:rsidP="003B4B6D">
      <w:pPr>
        <w:pStyle w:val="Paragrafoelenco"/>
        <w:spacing w:after="0" w:line="240" w:lineRule="auto"/>
        <w:ind w:left="360"/>
        <w:rPr>
          <w:rFonts w:ascii="Titillium" w:eastAsia="Times New Roman" w:hAnsi="Titillium" w:cs="Calibri"/>
          <w:color w:val="000000"/>
          <w:sz w:val="18"/>
          <w:szCs w:val="18"/>
          <w:lang w:eastAsia="it-IT"/>
        </w:rPr>
      </w:pPr>
    </w:p>
    <w:tbl>
      <w:tblPr>
        <w:tblW w:w="9680" w:type="dxa"/>
        <w:tblCellMar>
          <w:left w:w="70" w:type="dxa"/>
          <w:right w:w="70" w:type="dxa"/>
        </w:tblCellMar>
        <w:tblLook w:val="04A0" w:firstRow="1" w:lastRow="0" w:firstColumn="1" w:lastColumn="0" w:noHBand="0" w:noVBand="1"/>
      </w:tblPr>
      <w:tblGrid>
        <w:gridCol w:w="2547"/>
        <w:gridCol w:w="5953"/>
        <w:gridCol w:w="1180"/>
      </w:tblGrid>
      <w:tr w:rsidR="003B4B6D" w:rsidRPr="005705FE" w14:paraId="384A3997" w14:textId="77777777" w:rsidTr="00C429D7">
        <w:trPr>
          <w:trHeight w:val="660"/>
        </w:trPr>
        <w:tc>
          <w:tcPr>
            <w:tcW w:w="9680"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3823BC18" w14:textId="77777777" w:rsidR="003B4B6D" w:rsidRDefault="003B4B6D" w:rsidP="00C429D7">
            <w:pPr>
              <w:spacing w:after="0" w:line="240" w:lineRule="auto"/>
              <w:jc w:val="center"/>
              <w:rPr>
                <w:rFonts w:ascii="Titillium" w:eastAsia="Times New Roman" w:hAnsi="Titillium" w:cs="Calibri"/>
                <w:color w:val="FFFFFF" w:themeColor="background1"/>
                <w:sz w:val="18"/>
                <w:szCs w:val="18"/>
                <w:lang w:eastAsia="it-IT"/>
              </w:rPr>
            </w:pPr>
          </w:p>
          <w:p w14:paraId="4DF3BCC2" w14:textId="77777777" w:rsidR="003B4B6D" w:rsidRDefault="003B4B6D" w:rsidP="00C429D7">
            <w:pPr>
              <w:spacing w:after="0" w:line="240" w:lineRule="auto"/>
              <w:jc w:val="center"/>
              <w:rPr>
                <w:rFonts w:ascii="Titillium" w:eastAsia="Times New Roman" w:hAnsi="Titillium" w:cs="Calibri"/>
                <w:color w:val="FFFFFF" w:themeColor="background1"/>
                <w:sz w:val="18"/>
                <w:szCs w:val="18"/>
                <w:lang w:eastAsia="it-IT"/>
              </w:rPr>
            </w:pPr>
            <w:r w:rsidRPr="00B5799A">
              <w:rPr>
                <w:rFonts w:ascii="Titillium" w:eastAsia="Times New Roman" w:hAnsi="Titillium" w:cs="Calibri"/>
                <w:color w:val="FFFFFF" w:themeColor="background1"/>
                <w:sz w:val="18"/>
                <w:szCs w:val="18"/>
                <w:lang w:eastAsia="it-IT"/>
              </w:rPr>
              <w:t>Pubblicazione delle informazioni</w:t>
            </w:r>
            <w:r>
              <w:rPr>
                <w:rFonts w:ascii="Titillium" w:eastAsia="Times New Roman" w:hAnsi="Titillium" w:cs="Calibri"/>
                <w:color w:val="FFFFFF" w:themeColor="background1"/>
                <w:sz w:val="18"/>
                <w:szCs w:val="18"/>
                <w:lang w:eastAsia="it-IT"/>
              </w:rPr>
              <w:t xml:space="preserve"> </w:t>
            </w:r>
            <w:r w:rsidRPr="00B5799A">
              <w:rPr>
                <w:rFonts w:ascii="Titillium" w:eastAsia="Times New Roman" w:hAnsi="Titillium" w:cs="Calibri"/>
                <w:color w:val="FFFFFF" w:themeColor="background1"/>
                <w:sz w:val="18"/>
                <w:szCs w:val="18"/>
                <w:lang w:eastAsia="it-IT"/>
              </w:rPr>
              <w:t>necessarie per l’effettuazione di pagamenti informatici</w:t>
            </w:r>
          </w:p>
          <w:p w14:paraId="1A9D48BA" w14:textId="77777777" w:rsidR="003B4B6D" w:rsidRDefault="003B4B6D" w:rsidP="00C429D7">
            <w:pPr>
              <w:spacing w:after="0" w:line="240" w:lineRule="auto"/>
              <w:jc w:val="center"/>
              <w:rPr>
                <w:rFonts w:ascii="Titillium" w:eastAsia="Times New Roman" w:hAnsi="Titillium" w:cs="Calibri"/>
                <w:color w:val="FFFFFF" w:themeColor="background1"/>
                <w:sz w:val="18"/>
                <w:szCs w:val="18"/>
                <w:u w:val="single"/>
                <w:lang w:eastAsia="it-IT"/>
              </w:rPr>
            </w:pPr>
            <w:r w:rsidRPr="00B5799A">
              <w:rPr>
                <w:rFonts w:ascii="Titillium" w:eastAsia="Times New Roman" w:hAnsi="Titillium" w:cs="Calibri"/>
                <w:color w:val="FFFFFF" w:themeColor="background1"/>
                <w:sz w:val="18"/>
                <w:szCs w:val="18"/>
                <w:u w:val="single"/>
                <w:lang w:eastAsia="it-IT"/>
              </w:rPr>
              <w:t xml:space="preserve">Soggetti </w:t>
            </w:r>
            <w:r>
              <w:rPr>
                <w:rFonts w:ascii="Titillium" w:eastAsia="Times New Roman" w:hAnsi="Titillium" w:cs="Calibri"/>
                <w:color w:val="FFFFFF" w:themeColor="background1"/>
                <w:sz w:val="18"/>
                <w:szCs w:val="18"/>
                <w:u w:val="single"/>
                <w:lang w:eastAsia="it-IT"/>
              </w:rPr>
              <w:t xml:space="preserve">NON </w:t>
            </w:r>
            <w:r w:rsidRPr="00B5799A">
              <w:rPr>
                <w:rFonts w:ascii="Titillium" w:eastAsia="Times New Roman" w:hAnsi="Titillium" w:cs="Calibri"/>
                <w:color w:val="FFFFFF" w:themeColor="background1"/>
                <w:sz w:val="18"/>
                <w:szCs w:val="18"/>
                <w:u w:val="single"/>
                <w:lang w:eastAsia="it-IT"/>
              </w:rPr>
              <w:t xml:space="preserve">tenuti all'obbligo di utilizzo esclusivo del sistema </w:t>
            </w:r>
            <w:proofErr w:type="spellStart"/>
            <w:r w:rsidRPr="00B5799A">
              <w:rPr>
                <w:rFonts w:ascii="Titillium" w:eastAsia="Times New Roman" w:hAnsi="Titillium" w:cs="Calibri"/>
                <w:color w:val="FFFFFF" w:themeColor="background1"/>
                <w:sz w:val="18"/>
                <w:szCs w:val="18"/>
                <w:u w:val="single"/>
                <w:lang w:eastAsia="it-IT"/>
              </w:rPr>
              <w:t>PagoPA</w:t>
            </w:r>
            <w:proofErr w:type="spellEnd"/>
            <w:r w:rsidR="00EA3CD7">
              <w:rPr>
                <w:rFonts w:ascii="Titillium" w:eastAsia="Times New Roman" w:hAnsi="Titillium" w:cs="Calibri"/>
                <w:color w:val="FFFFFF" w:themeColor="background1"/>
                <w:sz w:val="18"/>
                <w:szCs w:val="18"/>
                <w:u w:val="single"/>
                <w:lang w:eastAsia="it-IT"/>
              </w:rPr>
              <w:t xml:space="preserve"> </w:t>
            </w:r>
            <w:r w:rsidR="00EA3CD7" w:rsidRPr="00EA3CD7">
              <w:rPr>
                <w:rFonts w:ascii="Titillium" w:eastAsia="Times New Roman" w:hAnsi="Titillium" w:cs="Calibri"/>
                <w:color w:val="FFFFFF" w:themeColor="background1"/>
                <w:sz w:val="18"/>
                <w:szCs w:val="18"/>
                <w:u w:val="single"/>
                <w:lang w:eastAsia="it-IT"/>
              </w:rPr>
              <w:t>di cui all'art. 5 del CAD</w:t>
            </w:r>
            <w:r w:rsidR="0007713D">
              <w:rPr>
                <w:rFonts w:ascii="Titillium" w:eastAsia="Times New Roman" w:hAnsi="Titillium" w:cs="Calibri"/>
                <w:color w:val="FFFFFF" w:themeColor="background1"/>
                <w:sz w:val="18"/>
                <w:szCs w:val="18"/>
                <w:u w:val="single"/>
                <w:lang w:eastAsia="it-IT"/>
              </w:rPr>
              <w:t xml:space="preserve"> (cfr. delibera ANAC n. 77/2022)</w:t>
            </w:r>
          </w:p>
          <w:p w14:paraId="1EFBD0C7" w14:textId="77777777" w:rsidR="003B4B6D" w:rsidRDefault="003B4B6D" w:rsidP="00C429D7">
            <w:pPr>
              <w:spacing w:after="0" w:line="240" w:lineRule="auto"/>
              <w:jc w:val="center"/>
              <w:rPr>
                <w:rFonts w:ascii="Titillium" w:eastAsia="Times New Roman" w:hAnsi="Titillium" w:cs="Calibri"/>
                <w:color w:val="FFFFFF" w:themeColor="background1"/>
                <w:sz w:val="18"/>
                <w:szCs w:val="18"/>
                <w:u w:val="single"/>
                <w:lang w:eastAsia="it-IT"/>
              </w:rPr>
            </w:pPr>
          </w:p>
          <w:p w14:paraId="3D852787" w14:textId="77777777" w:rsidR="003B4B6D" w:rsidRPr="0062454E" w:rsidRDefault="003B4B6D" w:rsidP="00C429D7">
            <w:pPr>
              <w:spacing w:after="0" w:line="240" w:lineRule="auto"/>
              <w:jc w:val="center"/>
              <w:rPr>
                <w:rFonts w:ascii="Titillium" w:eastAsia="Times New Roman" w:hAnsi="Titillium" w:cs="Calibri"/>
                <w:color w:val="FFFFFF" w:themeColor="background1"/>
                <w:sz w:val="18"/>
                <w:szCs w:val="18"/>
                <w:u w:val="single"/>
                <w:lang w:eastAsia="it-IT"/>
              </w:rPr>
            </w:pPr>
          </w:p>
        </w:tc>
      </w:tr>
      <w:tr w:rsidR="003B4B6D" w:rsidRPr="005705FE" w14:paraId="4164F654" w14:textId="77777777" w:rsidTr="00160E9D">
        <w:trPr>
          <w:trHeight w:val="382"/>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14:paraId="12901DA4" w14:textId="77777777" w:rsidR="00190885" w:rsidRDefault="00190885" w:rsidP="00C429D7">
            <w:pPr>
              <w:spacing w:after="0" w:line="240" w:lineRule="auto"/>
              <w:rPr>
                <w:rFonts w:ascii="Titillium" w:eastAsia="Times New Roman" w:hAnsi="Titillium" w:cs="Calibri"/>
                <w:color w:val="000000"/>
                <w:sz w:val="18"/>
                <w:szCs w:val="18"/>
                <w:lang w:eastAsia="it-IT"/>
              </w:rPr>
            </w:pPr>
          </w:p>
          <w:p w14:paraId="3DCDD081" w14:textId="77777777" w:rsidR="00160E9D" w:rsidRDefault="00160E9D" w:rsidP="00C429D7">
            <w:pPr>
              <w:spacing w:after="0" w:line="240" w:lineRule="auto"/>
              <w:rPr>
                <w:rFonts w:ascii="Titillium" w:eastAsia="Times New Roman" w:hAnsi="Titillium" w:cs="Calibri"/>
                <w:color w:val="000000"/>
                <w:sz w:val="18"/>
                <w:szCs w:val="18"/>
                <w:lang w:eastAsia="it-IT"/>
              </w:rPr>
            </w:pPr>
          </w:p>
          <w:p w14:paraId="1BC4B9FC" w14:textId="77777777" w:rsidR="00160E9D" w:rsidRDefault="00160E9D" w:rsidP="00C429D7">
            <w:pPr>
              <w:spacing w:after="0" w:line="240" w:lineRule="auto"/>
              <w:rPr>
                <w:rFonts w:ascii="Titillium" w:eastAsia="Times New Roman" w:hAnsi="Titillium" w:cs="Calibri"/>
                <w:color w:val="000000"/>
                <w:sz w:val="18"/>
                <w:szCs w:val="18"/>
                <w:lang w:eastAsia="it-IT"/>
              </w:rPr>
            </w:pPr>
          </w:p>
          <w:p w14:paraId="651FB935" w14:textId="77777777" w:rsidR="00160E9D" w:rsidRDefault="00160E9D" w:rsidP="00C429D7">
            <w:pPr>
              <w:spacing w:after="0" w:line="240" w:lineRule="auto"/>
              <w:rPr>
                <w:rFonts w:ascii="Titillium" w:eastAsia="Times New Roman" w:hAnsi="Titillium" w:cs="Calibri"/>
                <w:color w:val="000000"/>
                <w:sz w:val="18"/>
                <w:szCs w:val="18"/>
                <w:lang w:eastAsia="it-IT"/>
              </w:rPr>
            </w:pPr>
          </w:p>
          <w:p w14:paraId="0D111D18" w14:textId="77777777" w:rsidR="00160E9D" w:rsidRDefault="00160E9D" w:rsidP="00C429D7">
            <w:pPr>
              <w:spacing w:after="0" w:line="240" w:lineRule="auto"/>
              <w:rPr>
                <w:rFonts w:ascii="Titillium" w:eastAsia="Times New Roman" w:hAnsi="Titillium" w:cs="Calibri"/>
                <w:color w:val="000000"/>
                <w:sz w:val="18"/>
                <w:szCs w:val="18"/>
                <w:lang w:eastAsia="it-IT"/>
              </w:rPr>
            </w:pPr>
          </w:p>
          <w:p w14:paraId="6495D857" w14:textId="77777777" w:rsidR="003B4B6D" w:rsidRDefault="008422A1" w:rsidP="00C429D7">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 xml:space="preserve">Ambito soggettivo </w:t>
            </w:r>
          </w:p>
          <w:p w14:paraId="63996B67" w14:textId="77777777" w:rsidR="003B4B6D" w:rsidRDefault="003B4B6D" w:rsidP="00C429D7">
            <w:pPr>
              <w:spacing w:after="0" w:line="240" w:lineRule="auto"/>
              <w:rPr>
                <w:rFonts w:ascii="Titillium" w:eastAsia="Times New Roman" w:hAnsi="Titillium" w:cs="Calibri"/>
                <w:color w:val="000000"/>
                <w:sz w:val="18"/>
                <w:szCs w:val="18"/>
                <w:lang w:eastAsia="it-IT"/>
              </w:rPr>
            </w:pPr>
          </w:p>
          <w:p w14:paraId="0FBA3A8B" w14:textId="77777777" w:rsidR="003B4B6D" w:rsidRPr="005705FE" w:rsidRDefault="003B4B6D" w:rsidP="00C429D7">
            <w:pPr>
              <w:spacing w:after="0" w:line="240" w:lineRule="auto"/>
              <w:rPr>
                <w:rFonts w:ascii="Titillium" w:eastAsia="Times New Roman" w:hAnsi="Titillium" w:cs="Calibri"/>
                <w:color w:val="000000"/>
                <w:sz w:val="18"/>
                <w:szCs w:val="18"/>
                <w:lang w:eastAsia="it-IT"/>
              </w:rPr>
            </w:pPr>
          </w:p>
        </w:tc>
        <w:tc>
          <w:tcPr>
            <w:tcW w:w="5953" w:type="dxa"/>
            <w:tcBorders>
              <w:top w:val="single" w:sz="4" w:space="0" w:color="auto"/>
              <w:left w:val="nil"/>
              <w:bottom w:val="single" w:sz="4" w:space="0" w:color="auto"/>
              <w:right w:val="single" w:sz="4" w:space="0" w:color="auto"/>
            </w:tcBorders>
            <w:shd w:val="clear" w:color="auto" w:fill="auto"/>
          </w:tcPr>
          <w:p w14:paraId="76649E17" w14:textId="77777777" w:rsidR="003B4B6D" w:rsidRDefault="003B4B6D" w:rsidP="00C429D7">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Valori possibili</w:t>
            </w:r>
            <w:r w:rsidR="0007713D">
              <w:rPr>
                <w:rFonts w:ascii="Titillium" w:eastAsia="Times New Roman" w:hAnsi="Titillium" w:cs="Calibri"/>
                <w:color w:val="000000"/>
                <w:sz w:val="18"/>
                <w:szCs w:val="18"/>
                <w:lang w:eastAsia="it-IT"/>
              </w:rPr>
              <w:t xml:space="preserve"> (</w:t>
            </w:r>
            <w:r w:rsidR="002F005D">
              <w:rPr>
                <w:rFonts w:ascii="Titillium" w:eastAsia="Times New Roman" w:hAnsi="Titillium" w:cs="Calibri"/>
                <w:color w:val="000000"/>
                <w:sz w:val="18"/>
                <w:szCs w:val="18"/>
                <w:lang w:eastAsia="it-IT"/>
              </w:rPr>
              <w:t>menù a tendina)</w:t>
            </w:r>
            <w:r>
              <w:rPr>
                <w:rFonts w:ascii="Titillium" w:eastAsia="Times New Roman" w:hAnsi="Titillium" w:cs="Calibri"/>
                <w:color w:val="000000"/>
                <w:sz w:val="18"/>
                <w:szCs w:val="18"/>
                <w:lang w:eastAsia="it-IT"/>
              </w:rPr>
              <w:t>:</w:t>
            </w:r>
          </w:p>
          <w:p w14:paraId="0D11D005" w14:textId="77777777" w:rsidR="003B4B6D" w:rsidRDefault="003B4B6D" w:rsidP="00C429D7">
            <w:pPr>
              <w:spacing w:after="0" w:line="240" w:lineRule="auto"/>
              <w:rPr>
                <w:rFonts w:ascii="Titillium" w:eastAsia="Times New Roman" w:hAnsi="Titillium" w:cs="Calibri"/>
                <w:color w:val="000000"/>
                <w:sz w:val="18"/>
                <w:szCs w:val="18"/>
                <w:lang w:eastAsia="it-IT"/>
              </w:rPr>
            </w:pPr>
          </w:p>
          <w:p w14:paraId="7F660670" w14:textId="77777777" w:rsidR="003B4B6D" w:rsidRPr="003B4B6D" w:rsidRDefault="003B4B6D" w:rsidP="003B4B6D">
            <w:pPr>
              <w:spacing w:after="0" w:line="240" w:lineRule="auto"/>
              <w:rPr>
                <w:rFonts w:ascii="Titillium" w:eastAsia="Times New Roman" w:hAnsi="Titillium" w:cs="Calibri"/>
                <w:color w:val="000000"/>
                <w:sz w:val="18"/>
                <w:szCs w:val="18"/>
                <w:lang w:eastAsia="it-IT"/>
              </w:rPr>
            </w:pPr>
            <w:r w:rsidRPr="003B4B6D">
              <w:rPr>
                <w:rFonts w:ascii="Titillium" w:eastAsia="Times New Roman" w:hAnsi="Titillium" w:cs="Calibri"/>
                <w:color w:val="000000"/>
                <w:sz w:val="18"/>
                <w:szCs w:val="18"/>
                <w:lang w:eastAsia="it-IT"/>
              </w:rPr>
              <w:t>1) Società in controllo pubblico di cui al d.lgs. n. 19 agosto 2016, n. 175 (TUSP), escluse le società quotate di cui all'art. 2, co. 1, lett. p) del medesimo decreto;</w:t>
            </w:r>
          </w:p>
          <w:p w14:paraId="0811E07D" w14:textId="77777777" w:rsidR="003B4B6D" w:rsidRPr="003B4B6D" w:rsidRDefault="003B4B6D" w:rsidP="003B4B6D">
            <w:pPr>
              <w:spacing w:after="0" w:line="240" w:lineRule="auto"/>
              <w:rPr>
                <w:rFonts w:ascii="Titillium" w:eastAsia="Times New Roman" w:hAnsi="Titillium" w:cs="Calibri"/>
                <w:color w:val="000000"/>
                <w:sz w:val="18"/>
                <w:szCs w:val="18"/>
                <w:lang w:eastAsia="it-IT"/>
              </w:rPr>
            </w:pPr>
          </w:p>
          <w:p w14:paraId="30DDE12B" w14:textId="77777777" w:rsidR="003B4B6D" w:rsidRPr="003B4B6D" w:rsidRDefault="003B4B6D" w:rsidP="003B4B6D">
            <w:pPr>
              <w:spacing w:after="0" w:line="240" w:lineRule="auto"/>
              <w:rPr>
                <w:rFonts w:ascii="Titillium" w:eastAsia="Times New Roman" w:hAnsi="Titillium" w:cs="Calibri"/>
                <w:color w:val="000000"/>
                <w:sz w:val="18"/>
                <w:szCs w:val="18"/>
                <w:lang w:eastAsia="it-IT"/>
              </w:rPr>
            </w:pPr>
            <w:r w:rsidRPr="003B4B6D">
              <w:rPr>
                <w:rFonts w:ascii="Titillium" w:eastAsia="Times New Roman" w:hAnsi="Titillium" w:cs="Calibri"/>
                <w:color w:val="000000"/>
                <w:sz w:val="18"/>
                <w:szCs w:val="18"/>
                <w:lang w:eastAsia="it-IT"/>
              </w:rPr>
              <w:t xml:space="preserve">2) enti di diritto privato di cui all’art. 2bis, co. 2, lett. c), d.lgs. 33/2013; che sono gestori di servizi pubblici;                                                               </w:t>
            </w:r>
          </w:p>
          <w:p w14:paraId="4B140C95" w14:textId="77777777" w:rsidR="003B4B6D" w:rsidRPr="003B4B6D" w:rsidRDefault="003B4B6D" w:rsidP="003B4B6D">
            <w:pPr>
              <w:spacing w:after="0" w:line="240" w:lineRule="auto"/>
              <w:rPr>
                <w:rFonts w:ascii="Titillium" w:eastAsia="Times New Roman" w:hAnsi="Titillium" w:cs="Calibri"/>
                <w:color w:val="000000"/>
                <w:sz w:val="18"/>
                <w:szCs w:val="18"/>
                <w:lang w:eastAsia="it-IT"/>
              </w:rPr>
            </w:pPr>
          </w:p>
          <w:p w14:paraId="5B33816D" w14:textId="77777777" w:rsidR="003B4B6D" w:rsidRDefault="003B4B6D" w:rsidP="003B4B6D">
            <w:pPr>
              <w:spacing w:after="0" w:line="240" w:lineRule="auto"/>
              <w:rPr>
                <w:rFonts w:ascii="Titillium" w:eastAsia="Times New Roman" w:hAnsi="Titillium" w:cs="Calibri"/>
                <w:color w:val="000000"/>
                <w:sz w:val="18"/>
                <w:szCs w:val="18"/>
                <w:lang w:eastAsia="it-IT"/>
              </w:rPr>
            </w:pPr>
            <w:r w:rsidRPr="003B4B6D">
              <w:rPr>
                <w:rFonts w:ascii="Titillium" w:eastAsia="Times New Roman" w:hAnsi="Titillium" w:cs="Calibri"/>
                <w:color w:val="000000"/>
                <w:sz w:val="18"/>
                <w:szCs w:val="18"/>
                <w:lang w:eastAsia="it-IT"/>
              </w:rPr>
              <w:t xml:space="preserve">3) società in partecipazione pubblica e altri enti di diritto privato di cui all'art. 2bis, co. 3, d.lgs. 33/2013 che sono gestori di servizi pubblici             </w:t>
            </w:r>
          </w:p>
          <w:p w14:paraId="61F90F82" w14:textId="77777777" w:rsidR="003B4B6D" w:rsidRPr="00261711" w:rsidRDefault="003B4B6D" w:rsidP="003B4B6D">
            <w:pPr>
              <w:spacing w:after="0" w:line="240" w:lineRule="auto"/>
              <w:rPr>
                <w:rFonts w:ascii="Titillium" w:eastAsia="Times New Roman" w:hAnsi="Titillium" w:cs="Calibri"/>
                <w:color w:val="000000"/>
                <w:sz w:val="18"/>
                <w:szCs w:val="18"/>
                <w:lang w:eastAsia="it-IT"/>
              </w:rPr>
            </w:pPr>
          </w:p>
        </w:tc>
        <w:tc>
          <w:tcPr>
            <w:tcW w:w="1180" w:type="dxa"/>
            <w:tcBorders>
              <w:top w:val="single" w:sz="4" w:space="0" w:color="auto"/>
              <w:left w:val="nil"/>
              <w:bottom w:val="single" w:sz="4" w:space="0" w:color="auto"/>
              <w:right w:val="single" w:sz="4" w:space="0" w:color="auto"/>
            </w:tcBorders>
            <w:shd w:val="clear" w:color="auto" w:fill="auto"/>
            <w:noWrap/>
          </w:tcPr>
          <w:p w14:paraId="2AD4D10F" w14:textId="77777777" w:rsidR="003B4B6D" w:rsidRPr="005705FE" w:rsidRDefault="003B4B6D" w:rsidP="00C429D7">
            <w:pPr>
              <w:spacing w:after="0" w:line="240" w:lineRule="auto"/>
              <w:jc w:val="center"/>
              <w:rPr>
                <w:rFonts w:ascii="Titillium" w:eastAsia="Times New Roman" w:hAnsi="Titillium" w:cs="Calibri"/>
                <w:color w:val="000000"/>
                <w:sz w:val="18"/>
                <w:szCs w:val="18"/>
                <w:lang w:eastAsia="it-IT"/>
              </w:rPr>
            </w:pPr>
          </w:p>
        </w:tc>
      </w:tr>
      <w:tr w:rsidR="00190885" w:rsidRPr="005705FE" w14:paraId="32A45440" w14:textId="77777777" w:rsidTr="00160E9D">
        <w:trPr>
          <w:trHeight w:val="382"/>
        </w:trPr>
        <w:tc>
          <w:tcPr>
            <w:tcW w:w="2547" w:type="dxa"/>
            <w:vMerge w:val="restart"/>
            <w:tcBorders>
              <w:top w:val="single" w:sz="4" w:space="0" w:color="auto"/>
              <w:left w:val="single" w:sz="4" w:space="0" w:color="auto"/>
              <w:right w:val="single" w:sz="4" w:space="0" w:color="auto"/>
            </w:tcBorders>
            <w:shd w:val="clear" w:color="auto" w:fill="auto"/>
            <w:noWrap/>
          </w:tcPr>
          <w:p w14:paraId="594AD21A" w14:textId="77777777" w:rsidR="00160E9D" w:rsidRDefault="00160E9D" w:rsidP="008422A1">
            <w:pPr>
              <w:spacing w:after="0" w:line="240" w:lineRule="auto"/>
              <w:rPr>
                <w:rFonts w:ascii="Titillium" w:eastAsia="Times New Roman" w:hAnsi="Titillium" w:cs="Calibri"/>
                <w:color w:val="000000"/>
                <w:sz w:val="18"/>
                <w:szCs w:val="18"/>
                <w:lang w:eastAsia="it-IT"/>
              </w:rPr>
            </w:pPr>
          </w:p>
          <w:p w14:paraId="266B0444" w14:textId="77777777" w:rsidR="00160E9D" w:rsidRDefault="00160E9D" w:rsidP="008422A1">
            <w:pPr>
              <w:spacing w:after="0" w:line="240" w:lineRule="auto"/>
              <w:rPr>
                <w:rFonts w:ascii="Titillium" w:eastAsia="Times New Roman" w:hAnsi="Titillium" w:cs="Calibri"/>
                <w:color w:val="000000"/>
                <w:sz w:val="18"/>
                <w:szCs w:val="18"/>
                <w:lang w:eastAsia="it-IT"/>
              </w:rPr>
            </w:pPr>
          </w:p>
          <w:p w14:paraId="728F6FDA" w14:textId="77777777" w:rsidR="00160E9D" w:rsidRDefault="00160E9D" w:rsidP="008422A1">
            <w:pPr>
              <w:spacing w:after="0" w:line="240" w:lineRule="auto"/>
              <w:rPr>
                <w:rFonts w:ascii="Titillium" w:eastAsia="Times New Roman" w:hAnsi="Titillium" w:cs="Calibri"/>
                <w:color w:val="000000"/>
                <w:sz w:val="18"/>
                <w:szCs w:val="18"/>
                <w:lang w:eastAsia="it-IT"/>
              </w:rPr>
            </w:pPr>
          </w:p>
          <w:p w14:paraId="03C30585" w14:textId="77777777" w:rsidR="00160E9D" w:rsidRDefault="00160E9D" w:rsidP="008422A1">
            <w:pPr>
              <w:spacing w:after="0" w:line="240" w:lineRule="auto"/>
              <w:rPr>
                <w:rFonts w:ascii="Titillium" w:eastAsia="Times New Roman" w:hAnsi="Titillium" w:cs="Calibri"/>
                <w:color w:val="000000"/>
                <w:sz w:val="18"/>
                <w:szCs w:val="18"/>
                <w:lang w:eastAsia="it-IT"/>
              </w:rPr>
            </w:pPr>
          </w:p>
          <w:p w14:paraId="6BB77497" w14:textId="77777777" w:rsidR="00160E9D" w:rsidRDefault="00160E9D" w:rsidP="008422A1">
            <w:pPr>
              <w:spacing w:after="0" w:line="240" w:lineRule="auto"/>
              <w:rPr>
                <w:rFonts w:ascii="Titillium" w:eastAsia="Times New Roman" w:hAnsi="Titillium" w:cs="Calibri"/>
                <w:color w:val="000000"/>
                <w:sz w:val="18"/>
                <w:szCs w:val="18"/>
                <w:lang w:eastAsia="it-IT"/>
              </w:rPr>
            </w:pPr>
          </w:p>
          <w:p w14:paraId="7800A450" w14:textId="77777777" w:rsidR="00160E9D" w:rsidRDefault="00160E9D" w:rsidP="008422A1">
            <w:pPr>
              <w:spacing w:after="0" w:line="240" w:lineRule="auto"/>
              <w:rPr>
                <w:rFonts w:ascii="Titillium" w:eastAsia="Times New Roman" w:hAnsi="Titillium" w:cs="Calibri"/>
                <w:color w:val="000000"/>
                <w:sz w:val="18"/>
                <w:szCs w:val="18"/>
                <w:lang w:eastAsia="it-IT"/>
              </w:rPr>
            </w:pPr>
          </w:p>
          <w:p w14:paraId="4BAC7AC9" w14:textId="77777777" w:rsidR="00160E9D" w:rsidRDefault="00160E9D" w:rsidP="008422A1">
            <w:pPr>
              <w:spacing w:after="0" w:line="240" w:lineRule="auto"/>
              <w:rPr>
                <w:rFonts w:ascii="Titillium" w:eastAsia="Times New Roman" w:hAnsi="Titillium" w:cs="Calibri"/>
                <w:color w:val="000000"/>
                <w:sz w:val="18"/>
                <w:szCs w:val="18"/>
                <w:lang w:eastAsia="it-IT"/>
              </w:rPr>
            </w:pPr>
          </w:p>
          <w:p w14:paraId="32EF5640" w14:textId="77777777" w:rsidR="00160E9D" w:rsidRDefault="00160E9D" w:rsidP="008422A1">
            <w:pPr>
              <w:spacing w:after="0" w:line="240" w:lineRule="auto"/>
              <w:rPr>
                <w:rFonts w:ascii="Titillium" w:eastAsia="Times New Roman" w:hAnsi="Titillium" w:cs="Calibri"/>
                <w:color w:val="000000"/>
                <w:sz w:val="18"/>
                <w:szCs w:val="18"/>
                <w:lang w:eastAsia="it-IT"/>
              </w:rPr>
            </w:pPr>
          </w:p>
          <w:p w14:paraId="22CC97F0" w14:textId="77777777" w:rsidR="00160E9D" w:rsidRPr="00160E9D" w:rsidRDefault="00160E9D" w:rsidP="008422A1">
            <w:pPr>
              <w:spacing w:after="0" w:line="240" w:lineRule="auto"/>
              <w:rPr>
                <w:rFonts w:ascii="Titillium" w:eastAsia="Times New Roman" w:hAnsi="Titillium" w:cs="Calibri"/>
                <w:b/>
                <w:color w:val="000000"/>
                <w:sz w:val="18"/>
                <w:szCs w:val="18"/>
                <w:lang w:eastAsia="it-IT"/>
              </w:rPr>
            </w:pPr>
          </w:p>
          <w:p w14:paraId="1DED9EFE" w14:textId="77777777" w:rsidR="00190885" w:rsidRPr="00160E9D" w:rsidRDefault="00190885" w:rsidP="008422A1">
            <w:pPr>
              <w:spacing w:after="0" w:line="240" w:lineRule="auto"/>
              <w:rPr>
                <w:rFonts w:ascii="Titillium" w:eastAsia="Times New Roman" w:hAnsi="Titillium" w:cs="Calibri"/>
                <w:color w:val="000000"/>
                <w:sz w:val="18"/>
                <w:szCs w:val="18"/>
                <w:lang w:eastAsia="it-IT"/>
              </w:rPr>
            </w:pPr>
            <w:r w:rsidRPr="00160E9D">
              <w:rPr>
                <w:rFonts w:ascii="Titillium" w:eastAsia="Times New Roman" w:hAnsi="Titillium" w:cs="Calibri"/>
                <w:color w:val="000000"/>
                <w:sz w:val="18"/>
                <w:szCs w:val="18"/>
                <w:lang w:eastAsia="it-IT"/>
              </w:rPr>
              <w:t xml:space="preserve">Oggetto della pubblicazione </w:t>
            </w:r>
          </w:p>
        </w:tc>
        <w:tc>
          <w:tcPr>
            <w:tcW w:w="5953" w:type="dxa"/>
            <w:tcBorders>
              <w:top w:val="single" w:sz="4" w:space="0" w:color="auto"/>
              <w:left w:val="nil"/>
              <w:bottom w:val="single" w:sz="4" w:space="0" w:color="auto"/>
              <w:right w:val="single" w:sz="4" w:space="0" w:color="auto"/>
            </w:tcBorders>
            <w:shd w:val="clear" w:color="auto" w:fill="auto"/>
          </w:tcPr>
          <w:p w14:paraId="3FF930B8" w14:textId="77777777" w:rsidR="008B3E6B" w:rsidRPr="00160E9D" w:rsidRDefault="008B3E6B" w:rsidP="00160E9D">
            <w:pPr>
              <w:spacing w:after="0" w:line="240" w:lineRule="auto"/>
              <w:jc w:val="both"/>
              <w:rPr>
                <w:rFonts w:ascii="Titillium" w:eastAsia="Times New Roman" w:hAnsi="Titillium" w:cs="Calibri"/>
                <w:sz w:val="18"/>
                <w:szCs w:val="18"/>
                <w:lang w:eastAsia="it-IT"/>
              </w:rPr>
            </w:pPr>
            <w:r>
              <w:rPr>
                <w:rFonts w:ascii="Titillium" w:eastAsia="Times New Roman" w:hAnsi="Titillium" w:cs="Calibri"/>
                <w:sz w:val="18"/>
                <w:szCs w:val="18"/>
                <w:lang w:eastAsia="it-IT"/>
              </w:rPr>
              <w:t>Metodo di pagamento:</w:t>
            </w:r>
          </w:p>
          <w:p w14:paraId="55CED065" w14:textId="77777777" w:rsidR="00190885" w:rsidRPr="00160E9D" w:rsidRDefault="00190885" w:rsidP="00160E9D">
            <w:pPr>
              <w:pStyle w:val="Paragrafoelenco"/>
              <w:numPr>
                <w:ilvl w:val="0"/>
                <w:numId w:val="46"/>
              </w:numPr>
              <w:spacing w:after="0" w:line="240" w:lineRule="auto"/>
              <w:jc w:val="both"/>
              <w:rPr>
                <w:rFonts w:ascii="Titillium" w:eastAsia="Times New Roman" w:hAnsi="Titillium" w:cs="Calibri"/>
                <w:sz w:val="18"/>
                <w:szCs w:val="18"/>
                <w:lang w:eastAsia="it-IT"/>
              </w:rPr>
            </w:pPr>
            <w:r w:rsidRPr="00160E9D">
              <w:rPr>
                <w:rFonts w:ascii="Titillium" w:eastAsia="Times New Roman" w:hAnsi="Titillium" w:cs="Calibri"/>
                <w:color w:val="000000"/>
                <w:sz w:val="18"/>
                <w:szCs w:val="18"/>
                <w:lang w:eastAsia="it-IT"/>
              </w:rPr>
              <w:t>Adesione</w:t>
            </w:r>
            <w:r w:rsidR="00160E9D">
              <w:rPr>
                <w:rFonts w:ascii="Titillium" w:eastAsia="Times New Roman" w:hAnsi="Titillium" w:cs="Calibri"/>
                <w:color w:val="000000"/>
                <w:sz w:val="18"/>
                <w:szCs w:val="18"/>
                <w:lang w:eastAsia="it-IT"/>
              </w:rPr>
              <w:t xml:space="preserve"> </w:t>
            </w:r>
            <w:r w:rsidRPr="00160E9D">
              <w:rPr>
                <w:rFonts w:ascii="Titillium" w:eastAsia="Times New Roman" w:hAnsi="Titillium" w:cs="Calibri"/>
                <w:color w:val="000000"/>
                <w:sz w:val="18"/>
                <w:szCs w:val="18"/>
                <w:lang w:eastAsia="it-IT"/>
              </w:rPr>
              <w:t xml:space="preserve">alla piattaforma </w:t>
            </w:r>
            <w:proofErr w:type="spellStart"/>
            <w:r w:rsidRPr="00160E9D">
              <w:rPr>
                <w:rFonts w:ascii="Titillium" w:eastAsia="Times New Roman" w:hAnsi="Titillium" w:cs="Calibri"/>
                <w:color w:val="000000"/>
                <w:sz w:val="18"/>
                <w:szCs w:val="18"/>
                <w:lang w:eastAsia="it-IT"/>
              </w:rPr>
              <w:t>PagoPA</w:t>
            </w:r>
            <w:proofErr w:type="spellEnd"/>
            <w:r w:rsidRPr="00160E9D">
              <w:rPr>
                <w:rFonts w:ascii="Titillium" w:eastAsia="Times New Roman" w:hAnsi="Titillium" w:cs="Calibri"/>
                <w:color w:val="000000"/>
                <w:sz w:val="18"/>
                <w:szCs w:val="18"/>
                <w:lang w:eastAsia="it-IT"/>
              </w:rPr>
              <w:t xml:space="preserve"> dal XX.</w:t>
            </w:r>
            <w:proofErr w:type="gramStart"/>
            <w:r w:rsidRPr="00160E9D">
              <w:rPr>
                <w:rFonts w:ascii="Titillium" w:eastAsia="Times New Roman" w:hAnsi="Titillium" w:cs="Calibri"/>
                <w:color w:val="000000"/>
                <w:sz w:val="18"/>
                <w:szCs w:val="18"/>
                <w:lang w:eastAsia="it-IT"/>
              </w:rPr>
              <w:t>XX.XXXX</w:t>
            </w:r>
            <w:proofErr w:type="gramEnd"/>
            <w:r w:rsidR="00160E9D">
              <w:rPr>
                <w:rFonts w:ascii="Titillium" w:eastAsia="Times New Roman" w:hAnsi="Titillium" w:cs="Calibri"/>
                <w:color w:val="000000"/>
                <w:sz w:val="18"/>
                <w:szCs w:val="18"/>
                <w:lang w:eastAsia="it-IT"/>
              </w:rPr>
              <w:t xml:space="preserve"> </w:t>
            </w:r>
            <w:r w:rsidR="00160E9D">
              <w:rPr>
                <w:rFonts w:ascii="Titillium" w:eastAsia="Times New Roman" w:hAnsi="Titillium" w:cs="Calibri"/>
                <w:sz w:val="18"/>
                <w:szCs w:val="18"/>
                <w:vertAlign w:val="superscript"/>
                <w:lang w:eastAsia="it-IT"/>
              </w:rPr>
              <w:t>1</w:t>
            </w:r>
          </w:p>
          <w:p w14:paraId="7A1D8C74" w14:textId="77777777" w:rsidR="00190885" w:rsidRDefault="00190885" w:rsidP="00160E9D">
            <w:pPr>
              <w:spacing w:after="0" w:line="240" w:lineRule="auto"/>
              <w:jc w:val="both"/>
              <w:rPr>
                <w:rFonts w:ascii="Titillium" w:eastAsia="Times New Roman" w:hAnsi="Titillium" w:cs="Calibri"/>
                <w:sz w:val="18"/>
                <w:szCs w:val="18"/>
                <w:lang w:eastAsia="it-IT"/>
              </w:rPr>
            </w:pPr>
          </w:p>
          <w:p w14:paraId="5AA22F35" w14:textId="77777777" w:rsidR="00190885" w:rsidRDefault="00160E9D" w:rsidP="00160E9D">
            <w:pPr>
              <w:spacing w:after="0" w:line="240" w:lineRule="auto"/>
              <w:jc w:val="both"/>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vertAlign w:val="superscript"/>
                <w:lang w:eastAsia="it-IT"/>
              </w:rPr>
              <w:t>1</w:t>
            </w:r>
            <w:r w:rsidR="00190885">
              <w:rPr>
                <w:rFonts w:ascii="Titillium" w:eastAsia="Times New Roman" w:hAnsi="Titillium" w:cs="Calibri"/>
                <w:color w:val="000000"/>
                <w:sz w:val="18"/>
                <w:szCs w:val="18"/>
                <w:lang w:eastAsia="it-IT"/>
              </w:rPr>
              <w:t>va indicata</w:t>
            </w:r>
            <w:r w:rsidR="00190885" w:rsidRPr="003B4B6D">
              <w:rPr>
                <w:rFonts w:ascii="Titillium" w:eastAsia="Times New Roman" w:hAnsi="Titillium" w:cs="Calibri"/>
                <w:color w:val="000000"/>
                <w:sz w:val="18"/>
                <w:szCs w:val="18"/>
                <w:lang w:eastAsia="it-IT"/>
              </w:rPr>
              <w:t xml:space="preserve"> la data di adesione alla piattaforma </w:t>
            </w:r>
            <w:proofErr w:type="spellStart"/>
            <w:r w:rsidR="00190885">
              <w:rPr>
                <w:rFonts w:ascii="Titillium" w:eastAsia="Times New Roman" w:hAnsi="Titillium" w:cs="Calibri"/>
                <w:color w:val="000000"/>
                <w:sz w:val="18"/>
                <w:szCs w:val="18"/>
                <w:lang w:eastAsia="it-IT"/>
              </w:rPr>
              <w:t>P</w:t>
            </w:r>
            <w:r w:rsidR="00190885" w:rsidRPr="003B4B6D">
              <w:rPr>
                <w:rFonts w:ascii="Titillium" w:eastAsia="Times New Roman" w:hAnsi="Titillium" w:cs="Calibri"/>
                <w:color w:val="000000"/>
                <w:sz w:val="18"/>
                <w:szCs w:val="18"/>
                <w:lang w:eastAsia="it-IT"/>
              </w:rPr>
              <w:t>agoPA</w:t>
            </w:r>
            <w:proofErr w:type="spellEnd"/>
            <w:r w:rsidR="00190885" w:rsidRPr="003B4B6D">
              <w:rPr>
                <w:rFonts w:ascii="Titillium" w:eastAsia="Times New Roman" w:hAnsi="Titillium" w:cs="Calibri"/>
                <w:color w:val="000000"/>
                <w:sz w:val="18"/>
                <w:szCs w:val="18"/>
                <w:lang w:eastAsia="it-IT"/>
              </w:rPr>
              <w:t xml:space="preserve"> secondo la seguente dicitura “Aderente alla piattaforma </w:t>
            </w:r>
            <w:proofErr w:type="spellStart"/>
            <w:r w:rsidR="00190885">
              <w:rPr>
                <w:rFonts w:ascii="Titillium" w:eastAsia="Times New Roman" w:hAnsi="Titillium" w:cs="Calibri"/>
                <w:color w:val="000000"/>
                <w:sz w:val="18"/>
                <w:szCs w:val="18"/>
                <w:lang w:eastAsia="it-IT"/>
              </w:rPr>
              <w:t>P</w:t>
            </w:r>
            <w:r w:rsidR="00190885" w:rsidRPr="003B4B6D">
              <w:rPr>
                <w:rFonts w:ascii="Titillium" w:eastAsia="Times New Roman" w:hAnsi="Titillium" w:cs="Calibri"/>
                <w:color w:val="000000"/>
                <w:sz w:val="18"/>
                <w:szCs w:val="18"/>
                <w:lang w:eastAsia="it-IT"/>
              </w:rPr>
              <w:t>agoPA</w:t>
            </w:r>
            <w:proofErr w:type="spellEnd"/>
            <w:r w:rsidR="00190885" w:rsidRPr="003B4B6D">
              <w:rPr>
                <w:rFonts w:ascii="Titillium" w:eastAsia="Times New Roman" w:hAnsi="Titillium" w:cs="Calibri"/>
                <w:color w:val="000000"/>
                <w:sz w:val="18"/>
                <w:szCs w:val="18"/>
                <w:lang w:eastAsia="it-IT"/>
              </w:rPr>
              <w:t xml:space="preserve"> dal XX.</w:t>
            </w:r>
            <w:proofErr w:type="gramStart"/>
            <w:r w:rsidR="00190885" w:rsidRPr="003B4B6D">
              <w:rPr>
                <w:rFonts w:ascii="Titillium" w:eastAsia="Times New Roman" w:hAnsi="Titillium" w:cs="Calibri"/>
                <w:color w:val="000000"/>
                <w:sz w:val="18"/>
                <w:szCs w:val="18"/>
                <w:lang w:eastAsia="it-IT"/>
              </w:rPr>
              <w:t>XX.XXXX</w:t>
            </w:r>
            <w:proofErr w:type="gramEnd"/>
            <w:r w:rsidR="00190885">
              <w:rPr>
                <w:rFonts w:ascii="Titillium" w:eastAsia="Times New Roman" w:hAnsi="Titillium" w:cs="Calibri"/>
                <w:color w:val="000000"/>
                <w:sz w:val="18"/>
                <w:szCs w:val="18"/>
                <w:lang w:eastAsia="it-IT"/>
              </w:rPr>
              <w:t>”</w:t>
            </w:r>
          </w:p>
          <w:p w14:paraId="1AF9E1D8" w14:textId="77777777" w:rsidR="00190885" w:rsidRPr="003B4B6D" w:rsidRDefault="00190885" w:rsidP="00160E9D">
            <w:pPr>
              <w:spacing w:after="0" w:line="240" w:lineRule="auto"/>
              <w:jc w:val="both"/>
              <w:rPr>
                <w:rFonts w:ascii="Titillium" w:eastAsia="Times New Roman" w:hAnsi="Titillium" w:cs="Calibri"/>
                <w:color w:val="000000"/>
                <w:sz w:val="18"/>
                <w:szCs w:val="18"/>
                <w:lang w:eastAsia="it-IT"/>
              </w:rPr>
            </w:pPr>
          </w:p>
        </w:tc>
        <w:tc>
          <w:tcPr>
            <w:tcW w:w="1180" w:type="dxa"/>
            <w:tcBorders>
              <w:top w:val="single" w:sz="4" w:space="0" w:color="auto"/>
              <w:left w:val="nil"/>
              <w:bottom w:val="single" w:sz="4" w:space="0" w:color="auto"/>
              <w:right w:val="single" w:sz="4" w:space="0" w:color="auto"/>
            </w:tcBorders>
            <w:shd w:val="clear" w:color="auto" w:fill="auto"/>
            <w:noWrap/>
          </w:tcPr>
          <w:p w14:paraId="7F59C9EC" w14:textId="77777777" w:rsidR="00190885" w:rsidRDefault="00190885" w:rsidP="00C429D7">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testo</w:t>
            </w:r>
          </w:p>
        </w:tc>
      </w:tr>
      <w:tr w:rsidR="00190885" w:rsidRPr="005705FE" w14:paraId="0B857C7C" w14:textId="77777777" w:rsidTr="00160E9D">
        <w:trPr>
          <w:trHeight w:val="382"/>
        </w:trPr>
        <w:tc>
          <w:tcPr>
            <w:tcW w:w="2547" w:type="dxa"/>
            <w:vMerge/>
            <w:tcBorders>
              <w:left w:val="single" w:sz="4" w:space="0" w:color="auto"/>
              <w:bottom w:val="single" w:sz="4" w:space="0" w:color="auto"/>
              <w:right w:val="single" w:sz="4" w:space="0" w:color="auto"/>
            </w:tcBorders>
            <w:shd w:val="clear" w:color="auto" w:fill="auto"/>
            <w:noWrap/>
          </w:tcPr>
          <w:p w14:paraId="6540FC48" w14:textId="77777777" w:rsidR="00190885" w:rsidRDefault="00190885" w:rsidP="00190885">
            <w:pPr>
              <w:spacing w:after="0" w:line="240" w:lineRule="auto"/>
              <w:rPr>
                <w:rFonts w:ascii="Titillium" w:eastAsia="Times New Roman" w:hAnsi="Titillium" w:cs="Calibri"/>
                <w:color w:val="000000"/>
                <w:sz w:val="18"/>
                <w:szCs w:val="18"/>
                <w:lang w:eastAsia="it-IT"/>
              </w:rPr>
            </w:pPr>
          </w:p>
        </w:tc>
        <w:tc>
          <w:tcPr>
            <w:tcW w:w="5953" w:type="dxa"/>
            <w:tcBorders>
              <w:top w:val="single" w:sz="4" w:space="0" w:color="auto"/>
              <w:left w:val="nil"/>
              <w:bottom w:val="single" w:sz="4" w:space="0" w:color="auto"/>
              <w:right w:val="single" w:sz="4" w:space="0" w:color="auto"/>
            </w:tcBorders>
            <w:shd w:val="clear" w:color="auto" w:fill="auto"/>
          </w:tcPr>
          <w:p w14:paraId="091B389E" w14:textId="77777777" w:rsidR="00190885" w:rsidRPr="00160E9D" w:rsidRDefault="00190885" w:rsidP="00160E9D">
            <w:pPr>
              <w:pStyle w:val="Paragrafoelenco"/>
              <w:numPr>
                <w:ilvl w:val="0"/>
                <w:numId w:val="46"/>
              </w:numPr>
              <w:spacing w:after="0" w:line="240" w:lineRule="auto"/>
              <w:jc w:val="both"/>
              <w:rPr>
                <w:rFonts w:ascii="Titillium" w:eastAsia="Times New Roman" w:hAnsi="Titillium" w:cs="Calibri"/>
                <w:sz w:val="18"/>
                <w:szCs w:val="18"/>
                <w:lang w:eastAsia="it-IT"/>
              </w:rPr>
            </w:pPr>
            <w:r w:rsidRPr="00160E9D">
              <w:rPr>
                <w:rFonts w:ascii="Titillium" w:eastAsia="Times New Roman" w:hAnsi="Titillium" w:cs="Calibri"/>
                <w:sz w:val="18"/>
                <w:szCs w:val="18"/>
                <w:lang w:eastAsia="it-IT"/>
              </w:rPr>
              <w:t>Altri metodi di pagamento NON integrati con la piattafor</w:t>
            </w:r>
            <w:r w:rsidR="00160E9D">
              <w:rPr>
                <w:rFonts w:ascii="Titillium" w:eastAsia="Times New Roman" w:hAnsi="Titillium" w:cs="Calibri"/>
                <w:sz w:val="18"/>
                <w:szCs w:val="18"/>
                <w:lang w:eastAsia="it-IT"/>
              </w:rPr>
              <w:t xml:space="preserve">ma </w:t>
            </w:r>
            <w:proofErr w:type="spellStart"/>
            <w:r w:rsidR="00160E9D">
              <w:rPr>
                <w:rFonts w:ascii="Titillium" w:eastAsia="Times New Roman" w:hAnsi="Titillium" w:cs="Calibri"/>
                <w:sz w:val="18"/>
                <w:szCs w:val="18"/>
                <w:lang w:eastAsia="it-IT"/>
              </w:rPr>
              <w:t>PagoPA</w:t>
            </w:r>
            <w:proofErr w:type="spellEnd"/>
            <w:r w:rsidR="00160E9D">
              <w:rPr>
                <w:rFonts w:ascii="Titillium" w:eastAsia="Times New Roman" w:hAnsi="Titillium" w:cs="Calibri"/>
                <w:sz w:val="18"/>
                <w:szCs w:val="18"/>
                <w:lang w:eastAsia="it-IT"/>
              </w:rPr>
              <w:t xml:space="preserve"> (laddove utilizzati) </w:t>
            </w:r>
            <w:r w:rsidR="00160E9D">
              <w:rPr>
                <w:rFonts w:ascii="Titillium" w:eastAsia="Times New Roman" w:hAnsi="Titillium" w:cs="Calibri"/>
                <w:sz w:val="18"/>
                <w:szCs w:val="18"/>
                <w:vertAlign w:val="superscript"/>
                <w:lang w:eastAsia="it-IT"/>
              </w:rPr>
              <w:t>2</w:t>
            </w:r>
          </w:p>
          <w:p w14:paraId="7457AC6F" w14:textId="77777777" w:rsidR="00190885" w:rsidRPr="00160E9D" w:rsidRDefault="00190885" w:rsidP="00160E9D">
            <w:pPr>
              <w:spacing w:after="0" w:line="240" w:lineRule="auto"/>
              <w:jc w:val="both"/>
              <w:rPr>
                <w:rFonts w:ascii="Titillium" w:eastAsia="Times New Roman" w:hAnsi="Titillium" w:cs="Calibri"/>
                <w:sz w:val="18"/>
                <w:szCs w:val="18"/>
                <w:lang w:eastAsia="it-IT"/>
              </w:rPr>
            </w:pPr>
          </w:p>
          <w:p w14:paraId="627F1083" w14:textId="77777777" w:rsidR="00190885" w:rsidRPr="00160E9D" w:rsidRDefault="00160E9D" w:rsidP="00160E9D">
            <w:pPr>
              <w:spacing w:after="0" w:line="240" w:lineRule="auto"/>
              <w:jc w:val="both"/>
              <w:rPr>
                <w:rFonts w:ascii="Titillium" w:eastAsia="Times New Roman" w:hAnsi="Titillium" w:cs="Calibri"/>
                <w:i/>
                <w:iCs/>
                <w:sz w:val="18"/>
                <w:szCs w:val="18"/>
                <w:lang w:eastAsia="it-IT"/>
              </w:rPr>
            </w:pPr>
            <w:r>
              <w:rPr>
                <w:rFonts w:ascii="Titillium" w:eastAsia="Times New Roman" w:hAnsi="Titillium" w:cs="Calibri"/>
                <w:i/>
                <w:iCs/>
                <w:sz w:val="18"/>
                <w:szCs w:val="18"/>
                <w:vertAlign w:val="superscript"/>
                <w:lang w:eastAsia="it-IT"/>
              </w:rPr>
              <w:t>2</w:t>
            </w:r>
            <w:r w:rsidR="00190885" w:rsidRPr="00160E9D">
              <w:rPr>
                <w:rFonts w:ascii="Titillium" w:eastAsia="Times New Roman" w:hAnsi="Titillium" w:cs="Calibri"/>
                <w:i/>
                <w:iCs/>
                <w:sz w:val="18"/>
                <w:szCs w:val="18"/>
                <w:lang w:eastAsia="it-IT"/>
              </w:rPr>
              <w:t xml:space="preserve">questi soggetti devono aderire alla piattaforma </w:t>
            </w:r>
            <w:proofErr w:type="spellStart"/>
            <w:r w:rsidR="00190885" w:rsidRPr="00160E9D">
              <w:rPr>
                <w:rFonts w:ascii="Titillium" w:eastAsia="Times New Roman" w:hAnsi="Titillium" w:cs="Calibri"/>
                <w:i/>
                <w:iCs/>
                <w:sz w:val="18"/>
                <w:szCs w:val="18"/>
                <w:lang w:eastAsia="it-IT"/>
              </w:rPr>
              <w:t>PagoPA</w:t>
            </w:r>
            <w:proofErr w:type="spellEnd"/>
            <w:r w:rsidR="00190885" w:rsidRPr="00160E9D">
              <w:rPr>
                <w:rFonts w:ascii="Titillium" w:eastAsia="Times New Roman" w:hAnsi="Titillium" w:cs="Calibri"/>
                <w:i/>
                <w:iCs/>
                <w:sz w:val="18"/>
                <w:szCs w:val="18"/>
                <w:lang w:eastAsia="it-IT"/>
              </w:rPr>
              <w:t xml:space="preserve">, ma tale obbligo non determina l’uso esclusivo dei servizi di pagamento della piattaforma stessa, potendo tali soggetti decidere di mantenere o meno - in parallelo al sistema </w:t>
            </w:r>
            <w:proofErr w:type="spellStart"/>
            <w:r w:rsidR="00190885" w:rsidRPr="00160E9D">
              <w:rPr>
                <w:rFonts w:ascii="Titillium" w:eastAsia="Times New Roman" w:hAnsi="Titillium" w:cs="Calibri"/>
                <w:i/>
                <w:iCs/>
                <w:sz w:val="18"/>
                <w:szCs w:val="18"/>
                <w:lang w:eastAsia="it-IT"/>
              </w:rPr>
              <w:t>pagoPA</w:t>
            </w:r>
            <w:proofErr w:type="spellEnd"/>
            <w:r w:rsidR="00190885" w:rsidRPr="00160E9D">
              <w:rPr>
                <w:rFonts w:ascii="Titillium" w:eastAsia="Times New Roman" w:hAnsi="Titillium" w:cs="Calibri"/>
                <w:i/>
                <w:iCs/>
                <w:sz w:val="18"/>
                <w:szCs w:val="18"/>
                <w:lang w:eastAsia="it-IT"/>
              </w:rPr>
              <w:t xml:space="preserve"> - anche ogni altra modalità di pagamento</w:t>
            </w:r>
            <w:r w:rsidR="00190885" w:rsidRPr="00160E9D">
              <w:rPr>
                <w:rStyle w:val="Rimandonotaapidipagina"/>
                <w:rFonts w:ascii="Titillium" w:eastAsia="Times New Roman" w:hAnsi="Titillium" w:cs="Calibri"/>
                <w:i/>
                <w:iCs/>
                <w:sz w:val="18"/>
                <w:szCs w:val="18"/>
                <w:lang w:eastAsia="it-IT"/>
              </w:rPr>
              <w:footnoteReference w:id="2"/>
            </w:r>
            <w:r w:rsidR="00190885" w:rsidRPr="00160E9D">
              <w:rPr>
                <w:rFonts w:ascii="Titillium" w:eastAsia="Times New Roman" w:hAnsi="Titillium" w:cs="Calibri"/>
                <w:i/>
                <w:iCs/>
                <w:sz w:val="18"/>
                <w:szCs w:val="18"/>
                <w:lang w:eastAsia="it-IT"/>
              </w:rPr>
              <w:t xml:space="preserve">. Sarà quindi facoltà dell’utente che effettua il pagamento (Utente pagatore) decidere se utilizzare i servizi di pagamento offerti da </w:t>
            </w:r>
            <w:proofErr w:type="spellStart"/>
            <w:r w:rsidR="00190885" w:rsidRPr="00160E9D">
              <w:rPr>
                <w:rFonts w:ascii="Titillium" w:eastAsia="Times New Roman" w:hAnsi="Titillium" w:cs="Calibri"/>
                <w:i/>
                <w:iCs/>
                <w:sz w:val="18"/>
                <w:szCs w:val="18"/>
                <w:lang w:eastAsia="it-IT"/>
              </w:rPr>
              <w:t>PagoPA</w:t>
            </w:r>
            <w:proofErr w:type="spellEnd"/>
            <w:r w:rsidR="00190885" w:rsidRPr="00160E9D">
              <w:rPr>
                <w:rFonts w:ascii="Titillium" w:eastAsia="Times New Roman" w:hAnsi="Titillium" w:cs="Calibri"/>
                <w:i/>
                <w:iCs/>
                <w:sz w:val="18"/>
                <w:szCs w:val="18"/>
                <w:lang w:eastAsia="it-IT"/>
              </w:rPr>
              <w:t xml:space="preserve"> o gli altri offerti direttamente dal beneficiario (cfr. delibera ANAC n. 77 del 16 febbraio 2022)</w:t>
            </w:r>
          </w:p>
          <w:p w14:paraId="3FA96AE6" w14:textId="77777777" w:rsidR="00190885" w:rsidRPr="00160E9D" w:rsidRDefault="00190885" w:rsidP="00160E9D">
            <w:pPr>
              <w:spacing w:after="0" w:line="240" w:lineRule="auto"/>
              <w:jc w:val="both"/>
              <w:rPr>
                <w:rFonts w:ascii="Titillium" w:eastAsia="Times New Roman" w:hAnsi="Titillium" w:cs="Calibri"/>
                <w:i/>
                <w:iCs/>
                <w:sz w:val="18"/>
                <w:szCs w:val="18"/>
                <w:lang w:eastAsia="it-IT"/>
              </w:rPr>
            </w:pPr>
          </w:p>
          <w:p w14:paraId="6176D650" w14:textId="77777777" w:rsidR="00190885" w:rsidRPr="00160E9D" w:rsidRDefault="00190885" w:rsidP="00160E9D">
            <w:pPr>
              <w:spacing w:after="0" w:line="240" w:lineRule="auto"/>
              <w:jc w:val="both"/>
              <w:rPr>
                <w:rFonts w:ascii="Titillium" w:eastAsia="Times New Roman" w:hAnsi="Titillium" w:cs="Calibri"/>
                <w:sz w:val="18"/>
                <w:szCs w:val="18"/>
                <w:u w:val="single"/>
                <w:lang w:eastAsia="it-IT"/>
              </w:rPr>
            </w:pPr>
            <w:r w:rsidRPr="00160E9D">
              <w:rPr>
                <w:rFonts w:ascii="Titillium" w:eastAsia="Times New Roman" w:hAnsi="Titillium" w:cs="Calibri"/>
                <w:sz w:val="18"/>
                <w:szCs w:val="18"/>
                <w:u w:val="single"/>
                <w:lang w:eastAsia="it-IT"/>
              </w:rPr>
              <w:t>da replicare per ogni metodo utilizzato</w:t>
            </w:r>
          </w:p>
          <w:p w14:paraId="2708B652" w14:textId="77777777" w:rsidR="00190885" w:rsidRPr="00160E9D" w:rsidRDefault="00190885" w:rsidP="00160E9D">
            <w:pPr>
              <w:spacing w:after="0" w:line="240" w:lineRule="auto"/>
              <w:jc w:val="both"/>
              <w:rPr>
                <w:rFonts w:ascii="Titillium" w:eastAsia="Times New Roman" w:hAnsi="Titillium" w:cs="Calibri"/>
                <w:color w:val="000000"/>
                <w:sz w:val="18"/>
                <w:szCs w:val="18"/>
                <w:lang w:eastAsia="it-IT"/>
              </w:rPr>
            </w:pPr>
          </w:p>
        </w:tc>
        <w:tc>
          <w:tcPr>
            <w:tcW w:w="1180" w:type="dxa"/>
            <w:tcBorders>
              <w:top w:val="single" w:sz="4" w:space="0" w:color="auto"/>
              <w:left w:val="nil"/>
              <w:bottom w:val="single" w:sz="4" w:space="0" w:color="auto"/>
              <w:right w:val="single" w:sz="4" w:space="0" w:color="auto"/>
            </w:tcBorders>
            <w:shd w:val="clear" w:color="auto" w:fill="auto"/>
            <w:noWrap/>
          </w:tcPr>
          <w:p w14:paraId="144739EA" w14:textId="77777777" w:rsidR="00190885" w:rsidRDefault="00190885" w:rsidP="00190885">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testo</w:t>
            </w:r>
          </w:p>
        </w:tc>
      </w:tr>
    </w:tbl>
    <w:p w14:paraId="1B05568C" w14:textId="77777777" w:rsidR="003B4B6D" w:rsidRDefault="003B4B6D" w:rsidP="003B4B6D">
      <w:pPr>
        <w:pBdr>
          <w:bottom w:val="single" w:sz="6" w:space="0" w:color="auto"/>
        </w:pBdr>
      </w:pPr>
    </w:p>
    <w:p w14:paraId="36D606DC" w14:textId="77777777" w:rsidR="003B4B6D" w:rsidRDefault="003B4B6D" w:rsidP="003B4B6D">
      <w:pPr>
        <w:pBdr>
          <w:bottom w:val="single" w:sz="6" w:space="0" w:color="auto"/>
        </w:pBdr>
      </w:pPr>
    </w:p>
    <w:p w14:paraId="4BD20322" w14:textId="77777777" w:rsidR="00864D28" w:rsidRPr="003B4B6D" w:rsidRDefault="00864D28" w:rsidP="00864D28">
      <w:pPr>
        <w:pStyle w:val="Titolo3"/>
        <w:ind w:left="720" w:hanging="720"/>
      </w:pPr>
      <w:bookmarkStart w:id="4" w:name="_Ref144197461"/>
      <w:r>
        <w:t>Schema per soggetti</w:t>
      </w:r>
      <w:r w:rsidRPr="00467C1F">
        <w:t xml:space="preserve"> </w:t>
      </w:r>
      <w:r>
        <w:t>NON tenuti</w:t>
      </w:r>
      <w:r w:rsidRPr="00467C1F">
        <w:t xml:space="preserve"> </w:t>
      </w:r>
      <w:r>
        <w:t>all’utilizzo di</w:t>
      </w:r>
      <w:r w:rsidRPr="00467C1F">
        <w:t xml:space="preserve"> </w:t>
      </w:r>
      <w:proofErr w:type="spellStart"/>
      <w:r w:rsidRPr="00467C1F">
        <w:t>PagoPA</w:t>
      </w:r>
      <w:bookmarkEnd w:id="4"/>
      <w:proofErr w:type="spellEnd"/>
    </w:p>
    <w:p w14:paraId="52CF07B1" w14:textId="77777777" w:rsidR="00EA3CD7" w:rsidRPr="00676631" w:rsidRDefault="00EA3CD7" w:rsidP="00676631">
      <w:pPr>
        <w:spacing w:after="0" w:line="240" w:lineRule="auto"/>
        <w:rPr>
          <w:rFonts w:ascii="Titillium" w:eastAsia="Times New Roman" w:hAnsi="Titillium" w:cs="Calibri"/>
          <w:color w:val="000000"/>
          <w:sz w:val="18"/>
          <w:szCs w:val="18"/>
          <w:lang w:eastAsia="it-IT"/>
        </w:rPr>
      </w:pPr>
    </w:p>
    <w:tbl>
      <w:tblPr>
        <w:tblW w:w="9680" w:type="dxa"/>
        <w:tblCellMar>
          <w:left w:w="70" w:type="dxa"/>
          <w:right w:w="70" w:type="dxa"/>
        </w:tblCellMar>
        <w:tblLook w:val="04A0" w:firstRow="1" w:lastRow="0" w:firstColumn="1" w:lastColumn="0" w:noHBand="0" w:noVBand="1"/>
      </w:tblPr>
      <w:tblGrid>
        <w:gridCol w:w="2263"/>
        <w:gridCol w:w="6237"/>
        <w:gridCol w:w="1180"/>
      </w:tblGrid>
      <w:tr w:rsidR="00EA3CD7" w:rsidRPr="005705FE" w14:paraId="31A50B25" w14:textId="77777777" w:rsidTr="00C429D7">
        <w:trPr>
          <w:trHeight w:val="660"/>
        </w:trPr>
        <w:tc>
          <w:tcPr>
            <w:tcW w:w="9680"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6B66F10F" w14:textId="77777777" w:rsidR="00EA3CD7" w:rsidRDefault="00EA3CD7" w:rsidP="00C429D7">
            <w:pPr>
              <w:spacing w:after="0" w:line="240" w:lineRule="auto"/>
              <w:jc w:val="center"/>
              <w:rPr>
                <w:rFonts w:ascii="Titillium" w:eastAsia="Times New Roman" w:hAnsi="Titillium" w:cs="Calibri"/>
                <w:color w:val="FFFFFF" w:themeColor="background1"/>
                <w:sz w:val="18"/>
                <w:szCs w:val="18"/>
                <w:lang w:eastAsia="it-IT"/>
              </w:rPr>
            </w:pPr>
          </w:p>
          <w:p w14:paraId="673AAB88" w14:textId="77777777" w:rsidR="00EA3CD7" w:rsidRDefault="00EA3CD7" w:rsidP="00C429D7">
            <w:pPr>
              <w:spacing w:after="0" w:line="240" w:lineRule="auto"/>
              <w:jc w:val="center"/>
              <w:rPr>
                <w:rFonts w:ascii="Titillium" w:eastAsia="Times New Roman" w:hAnsi="Titillium" w:cs="Calibri"/>
                <w:color w:val="FFFFFF" w:themeColor="background1"/>
                <w:sz w:val="18"/>
                <w:szCs w:val="18"/>
                <w:lang w:eastAsia="it-IT"/>
              </w:rPr>
            </w:pPr>
            <w:r w:rsidRPr="00B5799A">
              <w:rPr>
                <w:rFonts w:ascii="Titillium" w:eastAsia="Times New Roman" w:hAnsi="Titillium" w:cs="Calibri"/>
                <w:color w:val="FFFFFF" w:themeColor="background1"/>
                <w:sz w:val="18"/>
                <w:szCs w:val="18"/>
                <w:lang w:eastAsia="it-IT"/>
              </w:rPr>
              <w:t>Pubblicazione delle informazioni</w:t>
            </w:r>
            <w:r>
              <w:rPr>
                <w:rFonts w:ascii="Titillium" w:eastAsia="Times New Roman" w:hAnsi="Titillium" w:cs="Calibri"/>
                <w:color w:val="FFFFFF" w:themeColor="background1"/>
                <w:sz w:val="18"/>
                <w:szCs w:val="18"/>
                <w:lang w:eastAsia="it-IT"/>
              </w:rPr>
              <w:t xml:space="preserve"> </w:t>
            </w:r>
            <w:r w:rsidRPr="00B5799A">
              <w:rPr>
                <w:rFonts w:ascii="Titillium" w:eastAsia="Times New Roman" w:hAnsi="Titillium" w:cs="Calibri"/>
                <w:color w:val="FFFFFF" w:themeColor="background1"/>
                <w:sz w:val="18"/>
                <w:szCs w:val="18"/>
                <w:lang w:eastAsia="it-IT"/>
              </w:rPr>
              <w:t>necessarie per l’effettuazione di pagamenti informatici</w:t>
            </w:r>
          </w:p>
          <w:p w14:paraId="50D36D93" w14:textId="77777777" w:rsidR="00EA3CD7" w:rsidRPr="00EA3CD7" w:rsidRDefault="00EA3CD7" w:rsidP="00C429D7">
            <w:pPr>
              <w:spacing w:after="0" w:line="240" w:lineRule="auto"/>
              <w:jc w:val="center"/>
            </w:pPr>
            <w:r w:rsidRPr="00B5799A">
              <w:rPr>
                <w:rFonts w:ascii="Titillium" w:eastAsia="Times New Roman" w:hAnsi="Titillium" w:cs="Calibri"/>
                <w:color w:val="FFFFFF" w:themeColor="background1"/>
                <w:sz w:val="18"/>
                <w:szCs w:val="18"/>
                <w:u w:val="single"/>
                <w:lang w:eastAsia="it-IT"/>
              </w:rPr>
              <w:t xml:space="preserve">Soggetti </w:t>
            </w:r>
            <w:r>
              <w:rPr>
                <w:rFonts w:ascii="Titillium" w:eastAsia="Times New Roman" w:hAnsi="Titillium" w:cs="Calibri"/>
                <w:color w:val="FFFFFF" w:themeColor="background1"/>
                <w:sz w:val="18"/>
                <w:szCs w:val="18"/>
                <w:u w:val="single"/>
                <w:lang w:eastAsia="it-IT"/>
              </w:rPr>
              <w:t xml:space="preserve">NON </w:t>
            </w:r>
            <w:r w:rsidRPr="00B5799A">
              <w:rPr>
                <w:rFonts w:ascii="Titillium" w:eastAsia="Times New Roman" w:hAnsi="Titillium" w:cs="Calibri"/>
                <w:color w:val="FFFFFF" w:themeColor="background1"/>
                <w:sz w:val="18"/>
                <w:szCs w:val="18"/>
                <w:u w:val="single"/>
                <w:lang w:eastAsia="it-IT"/>
              </w:rPr>
              <w:t xml:space="preserve">tenuti all'obbligo di utilizzo del sistema </w:t>
            </w:r>
            <w:proofErr w:type="spellStart"/>
            <w:r w:rsidRPr="00B5799A">
              <w:rPr>
                <w:rFonts w:ascii="Titillium" w:eastAsia="Times New Roman" w:hAnsi="Titillium" w:cs="Calibri"/>
                <w:color w:val="FFFFFF" w:themeColor="background1"/>
                <w:sz w:val="18"/>
                <w:szCs w:val="18"/>
                <w:u w:val="single"/>
                <w:lang w:eastAsia="it-IT"/>
              </w:rPr>
              <w:t>PagoPA</w:t>
            </w:r>
            <w:r w:rsidRPr="00EA3CD7">
              <w:rPr>
                <w:rFonts w:ascii="Titillium" w:eastAsia="Times New Roman" w:hAnsi="Titillium" w:cs="Calibri"/>
                <w:color w:val="FFFFFF" w:themeColor="background1"/>
                <w:sz w:val="18"/>
                <w:szCs w:val="18"/>
                <w:u w:val="single"/>
                <w:lang w:eastAsia="it-IT"/>
              </w:rPr>
              <w:t>di</w:t>
            </w:r>
            <w:proofErr w:type="spellEnd"/>
            <w:r w:rsidRPr="00EA3CD7">
              <w:rPr>
                <w:rFonts w:ascii="Titillium" w:eastAsia="Times New Roman" w:hAnsi="Titillium" w:cs="Calibri"/>
                <w:color w:val="FFFFFF" w:themeColor="background1"/>
                <w:sz w:val="18"/>
                <w:szCs w:val="18"/>
                <w:u w:val="single"/>
                <w:lang w:eastAsia="it-IT"/>
              </w:rPr>
              <w:t xml:space="preserve"> cui all'art. 5 del CAD</w:t>
            </w:r>
            <w:r w:rsidR="0007713D">
              <w:rPr>
                <w:rFonts w:ascii="Titillium" w:eastAsia="Times New Roman" w:hAnsi="Titillium" w:cs="Calibri"/>
                <w:color w:val="FFFFFF" w:themeColor="background1"/>
                <w:sz w:val="18"/>
                <w:szCs w:val="18"/>
                <w:u w:val="single"/>
                <w:lang w:eastAsia="it-IT"/>
              </w:rPr>
              <w:t xml:space="preserve"> (cfr. delibere ANAC n. 77/2022 e 1134/2017)</w:t>
            </w:r>
          </w:p>
          <w:p w14:paraId="5A1F9331" w14:textId="77777777" w:rsidR="00EA3CD7" w:rsidRDefault="00EA3CD7" w:rsidP="00C429D7">
            <w:pPr>
              <w:spacing w:after="0" w:line="240" w:lineRule="auto"/>
              <w:jc w:val="center"/>
              <w:rPr>
                <w:rFonts w:ascii="Titillium" w:eastAsia="Times New Roman" w:hAnsi="Titillium" w:cs="Calibri"/>
                <w:color w:val="FFFFFF" w:themeColor="background1"/>
                <w:sz w:val="18"/>
                <w:szCs w:val="18"/>
                <w:u w:val="single"/>
                <w:lang w:eastAsia="it-IT"/>
              </w:rPr>
            </w:pPr>
          </w:p>
          <w:p w14:paraId="085EA322" w14:textId="77777777" w:rsidR="00EA3CD7" w:rsidRPr="0062454E" w:rsidRDefault="00EA3CD7" w:rsidP="00C429D7">
            <w:pPr>
              <w:spacing w:after="0" w:line="240" w:lineRule="auto"/>
              <w:jc w:val="center"/>
              <w:rPr>
                <w:rFonts w:ascii="Titillium" w:eastAsia="Times New Roman" w:hAnsi="Titillium" w:cs="Calibri"/>
                <w:color w:val="FFFFFF" w:themeColor="background1"/>
                <w:sz w:val="18"/>
                <w:szCs w:val="18"/>
                <w:u w:val="single"/>
                <w:lang w:eastAsia="it-IT"/>
              </w:rPr>
            </w:pPr>
          </w:p>
        </w:tc>
      </w:tr>
      <w:tr w:rsidR="00EA3CD7" w:rsidRPr="005705FE" w14:paraId="45003AAB" w14:textId="77777777" w:rsidTr="00C429D7">
        <w:trPr>
          <w:trHeight w:val="382"/>
        </w:trPr>
        <w:tc>
          <w:tcPr>
            <w:tcW w:w="2263" w:type="dxa"/>
            <w:tcBorders>
              <w:top w:val="single" w:sz="4" w:space="0" w:color="auto"/>
              <w:left w:val="single" w:sz="4" w:space="0" w:color="auto"/>
              <w:bottom w:val="single" w:sz="4" w:space="0" w:color="auto"/>
              <w:right w:val="single" w:sz="4" w:space="0" w:color="auto"/>
            </w:tcBorders>
            <w:shd w:val="clear" w:color="auto" w:fill="auto"/>
            <w:noWrap/>
            <w:hideMark/>
          </w:tcPr>
          <w:p w14:paraId="23A96256" w14:textId="77777777" w:rsidR="00EA3CD7" w:rsidRDefault="00C8738D" w:rsidP="00C429D7">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lastRenderedPageBreak/>
              <w:t>A</w:t>
            </w:r>
            <w:r w:rsidR="008422A1">
              <w:rPr>
                <w:rFonts w:ascii="Titillium" w:eastAsia="Times New Roman" w:hAnsi="Titillium" w:cs="Calibri"/>
                <w:color w:val="000000"/>
                <w:sz w:val="18"/>
                <w:szCs w:val="18"/>
                <w:lang w:eastAsia="it-IT"/>
              </w:rPr>
              <w:t xml:space="preserve">mbito soggettivo </w:t>
            </w:r>
          </w:p>
          <w:p w14:paraId="342E3331" w14:textId="77777777" w:rsidR="00EA3CD7" w:rsidRDefault="00EA3CD7" w:rsidP="00C429D7">
            <w:pPr>
              <w:spacing w:after="0" w:line="240" w:lineRule="auto"/>
              <w:rPr>
                <w:rFonts w:ascii="Titillium" w:eastAsia="Times New Roman" w:hAnsi="Titillium" w:cs="Calibri"/>
                <w:color w:val="000000"/>
                <w:sz w:val="18"/>
                <w:szCs w:val="18"/>
                <w:lang w:eastAsia="it-IT"/>
              </w:rPr>
            </w:pPr>
          </w:p>
          <w:p w14:paraId="6B6EB03F" w14:textId="77777777" w:rsidR="00EA3CD7" w:rsidRPr="005705FE" w:rsidRDefault="00EA3CD7" w:rsidP="00C429D7">
            <w:pPr>
              <w:spacing w:after="0" w:line="240" w:lineRule="auto"/>
              <w:rPr>
                <w:rFonts w:ascii="Titillium" w:eastAsia="Times New Roman" w:hAnsi="Titillium" w:cs="Calibri"/>
                <w:color w:val="000000"/>
                <w:sz w:val="18"/>
                <w:szCs w:val="18"/>
                <w:lang w:eastAsia="it-IT"/>
              </w:rPr>
            </w:pPr>
          </w:p>
        </w:tc>
        <w:tc>
          <w:tcPr>
            <w:tcW w:w="6237" w:type="dxa"/>
            <w:tcBorders>
              <w:top w:val="single" w:sz="4" w:space="0" w:color="auto"/>
              <w:left w:val="nil"/>
              <w:bottom w:val="single" w:sz="4" w:space="0" w:color="auto"/>
              <w:right w:val="single" w:sz="4" w:space="0" w:color="auto"/>
            </w:tcBorders>
            <w:shd w:val="clear" w:color="auto" w:fill="auto"/>
          </w:tcPr>
          <w:p w14:paraId="106C4BBD" w14:textId="77777777" w:rsidR="00EA3CD7" w:rsidRDefault="00EA3CD7" w:rsidP="00C429D7">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Valori possibili</w:t>
            </w:r>
            <w:r w:rsidR="0007713D">
              <w:rPr>
                <w:rFonts w:ascii="Titillium" w:eastAsia="Times New Roman" w:hAnsi="Titillium" w:cs="Calibri"/>
                <w:color w:val="000000"/>
                <w:sz w:val="18"/>
                <w:szCs w:val="18"/>
                <w:lang w:eastAsia="it-IT"/>
              </w:rPr>
              <w:t xml:space="preserve"> (</w:t>
            </w:r>
            <w:r w:rsidR="002F005D">
              <w:rPr>
                <w:rFonts w:ascii="Titillium" w:eastAsia="Times New Roman" w:hAnsi="Titillium" w:cs="Calibri"/>
                <w:color w:val="000000"/>
                <w:sz w:val="18"/>
                <w:szCs w:val="18"/>
                <w:lang w:eastAsia="it-IT"/>
              </w:rPr>
              <w:t>menù a tendina)</w:t>
            </w:r>
            <w:r>
              <w:rPr>
                <w:rFonts w:ascii="Titillium" w:eastAsia="Times New Roman" w:hAnsi="Titillium" w:cs="Calibri"/>
                <w:color w:val="000000"/>
                <w:sz w:val="18"/>
                <w:szCs w:val="18"/>
                <w:lang w:eastAsia="it-IT"/>
              </w:rPr>
              <w:t>:</w:t>
            </w:r>
          </w:p>
          <w:p w14:paraId="25A24609" w14:textId="77777777" w:rsidR="00190885" w:rsidRDefault="00190885" w:rsidP="00160E9D">
            <w:pPr>
              <w:pStyle w:val="Paragrafoelenco"/>
              <w:numPr>
                <w:ilvl w:val="0"/>
                <w:numId w:val="47"/>
              </w:numPr>
              <w:jc w:val="both"/>
              <w:rPr>
                <w:rFonts w:ascii="Titillium" w:hAnsi="Titillium"/>
                <w:sz w:val="18"/>
                <w:szCs w:val="18"/>
              </w:rPr>
            </w:pPr>
            <w:r>
              <w:rPr>
                <w:rFonts w:ascii="Titillium" w:hAnsi="Titillium"/>
                <w:sz w:val="18"/>
                <w:szCs w:val="18"/>
              </w:rPr>
              <w:t>G</w:t>
            </w:r>
            <w:r w:rsidRPr="00346F9B">
              <w:rPr>
                <w:rFonts w:ascii="Titillium" w:hAnsi="Titillium"/>
                <w:sz w:val="18"/>
                <w:szCs w:val="18"/>
              </w:rPr>
              <w:t>li enti pubblici economici di cui alla lett. a) del comma 2 dell’art. 2bis del d.lgs. 33/2013 non inclusi nell’elenco ISTAT</w:t>
            </w:r>
            <w:r>
              <w:rPr>
                <w:rFonts w:ascii="Titillium" w:hAnsi="Titillium"/>
                <w:sz w:val="18"/>
                <w:szCs w:val="18"/>
              </w:rPr>
              <w:t>;</w:t>
            </w:r>
            <w:r w:rsidRPr="00346F9B">
              <w:rPr>
                <w:rFonts w:ascii="Titillium" w:hAnsi="Titillium"/>
                <w:sz w:val="18"/>
                <w:szCs w:val="18"/>
              </w:rPr>
              <w:t xml:space="preserve"> </w:t>
            </w:r>
          </w:p>
          <w:p w14:paraId="5D659FD5" w14:textId="77777777" w:rsidR="00190885" w:rsidRDefault="00190885" w:rsidP="00190885">
            <w:pPr>
              <w:pStyle w:val="Paragrafoelenco"/>
              <w:ind w:left="0"/>
              <w:jc w:val="both"/>
              <w:rPr>
                <w:rFonts w:ascii="Titillium" w:hAnsi="Titillium"/>
                <w:sz w:val="18"/>
                <w:szCs w:val="18"/>
              </w:rPr>
            </w:pPr>
          </w:p>
          <w:p w14:paraId="1EB1A30B" w14:textId="77777777" w:rsidR="00EA3CD7" w:rsidRDefault="00190885" w:rsidP="00190885">
            <w:pPr>
              <w:spacing w:after="0" w:line="240" w:lineRule="auto"/>
              <w:rPr>
                <w:rFonts w:ascii="Titillium" w:eastAsia="Times New Roman" w:hAnsi="Titillium" w:cs="Calibri"/>
                <w:color w:val="000000"/>
                <w:sz w:val="18"/>
                <w:szCs w:val="18"/>
                <w:lang w:eastAsia="it-IT"/>
              </w:rPr>
            </w:pPr>
            <w:r>
              <w:rPr>
                <w:rFonts w:ascii="Titillium" w:hAnsi="Titillium"/>
                <w:sz w:val="18"/>
                <w:szCs w:val="18"/>
              </w:rPr>
              <w:t xml:space="preserve">2) </w:t>
            </w:r>
            <w:r w:rsidRPr="00346F9B">
              <w:rPr>
                <w:rFonts w:ascii="Titillium" w:hAnsi="Titillium"/>
                <w:sz w:val="18"/>
                <w:szCs w:val="18"/>
              </w:rPr>
              <w:t xml:space="preserve">le società a partecipazione pubblica e gli altri enti di diritto privato di cui all’art. 2bis, co. 2 lett. c) e 3, d.lgs. 33/2013 </w:t>
            </w:r>
            <w:r w:rsidRPr="00BD7C0B">
              <w:rPr>
                <w:rFonts w:ascii="Titillium" w:hAnsi="Titillium"/>
                <w:sz w:val="18"/>
                <w:szCs w:val="18"/>
                <w:u w:val="single"/>
              </w:rPr>
              <w:t>che non sono gestori di servizi pubblici.</w:t>
            </w:r>
          </w:p>
          <w:p w14:paraId="1FC8AFB8" w14:textId="77777777" w:rsidR="006701E8" w:rsidRPr="006701E8" w:rsidRDefault="006701E8" w:rsidP="006701E8">
            <w:pPr>
              <w:spacing w:after="0" w:line="240" w:lineRule="auto"/>
              <w:rPr>
                <w:rFonts w:ascii="Titillium" w:eastAsia="Times New Roman" w:hAnsi="Titillium" w:cs="Calibri"/>
                <w:color w:val="000000"/>
                <w:sz w:val="18"/>
                <w:szCs w:val="18"/>
                <w:lang w:eastAsia="it-IT"/>
              </w:rPr>
            </w:pPr>
          </w:p>
          <w:p w14:paraId="7109EDB3" w14:textId="77777777" w:rsidR="006701E8" w:rsidRPr="00261711" w:rsidRDefault="006701E8" w:rsidP="00190885">
            <w:pPr>
              <w:spacing w:after="0" w:line="240" w:lineRule="auto"/>
              <w:rPr>
                <w:rFonts w:ascii="Titillium" w:eastAsia="Times New Roman" w:hAnsi="Titillium" w:cs="Calibri"/>
                <w:color w:val="000000"/>
                <w:sz w:val="18"/>
                <w:szCs w:val="18"/>
                <w:lang w:eastAsia="it-IT"/>
              </w:rPr>
            </w:pPr>
          </w:p>
        </w:tc>
        <w:tc>
          <w:tcPr>
            <w:tcW w:w="1180" w:type="dxa"/>
            <w:tcBorders>
              <w:top w:val="single" w:sz="4" w:space="0" w:color="auto"/>
              <w:left w:val="nil"/>
              <w:bottom w:val="single" w:sz="4" w:space="0" w:color="auto"/>
              <w:right w:val="single" w:sz="4" w:space="0" w:color="auto"/>
            </w:tcBorders>
            <w:shd w:val="clear" w:color="auto" w:fill="auto"/>
            <w:noWrap/>
          </w:tcPr>
          <w:p w14:paraId="24F0CD49" w14:textId="77777777" w:rsidR="00EA3CD7" w:rsidRPr="005705FE" w:rsidRDefault="00EA3CD7" w:rsidP="00C429D7">
            <w:pPr>
              <w:spacing w:after="0" w:line="240" w:lineRule="auto"/>
              <w:jc w:val="center"/>
              <w:rPr>
                <w:rFonts w:ascii="Titillium" w:eastAsia="Times New Roman" w:hAnsi="Titillium" w:cs="Calibri"/>
                <w:color w:val="000000"/>
                <w:sz w:val="18"/>
                <w:szCs w:val="18"/>
                <w:lang w:eastAsia="it-IT"/>
              </w:rPr>
            </w:pPr>
          </w:p>
        </w:tc>
      </w:tr>
      <w:tr w:rsidR="00EA3CD7" w:rsidRPr="005705FE" w14:paraId="57B397E4" w14:textId="77777777" w:rsidTr="00C429D7">
        <w:trPr>
          <w:trHeight w:val="382"/>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34D78119" w14:textId="77777777" w:rsidR="008B3E6B" w:rsidRDefault="008B3E6B" w:rsidP="00C429D7">
            <w:pPr>
              <w:spacing w:after="0" w:line="240" w:lineRule="auto"/>
              <w:rPr>
                <w:rFonts w:ascii="Titillium" w:eastAsia="Times New Roman" w:hAnsi="Titillium" w:cs="Calibri"/>
                <w:color w:val="000000"/>
                <w:sz w:val="18"/>
                <w:szCs w:val="18"/>
                <w:lang w:eastAsia="it-IT"/>
              </w:rPr>
            </w:pPr>
          </w:p>
          <w:p w14:paraId="4A8060CA" w14:textId="77777777" w:rsidR="008B3E6B" w:rsidRDefault="008B3E6B" w:rsidP="00C429D7">
            <w:pPr>
              <w:spacing w:after="0" w:line="240" w:lineRule="auto"/>
              <w:rPr>
                <w:rFonts w:ascii="Titillium" w:eastAsia="Times New Roman" w:hAnsi="Titillium" w:cs="Calibri"/>
                <w:color w:val="000000"/>
                <w:sz w:val="18"/>
                <w:szCs w:val="18"/>
                <w:lang w:eastAsia="it-IT"/>
              </w:rPr>
            </w:pPr>
          </w:p>
          <w:p w14:paraId="3A0E14E0" w14:textId="77777777" w:rsidR="008B3E6B" w:rsidRDefault="008B3E6B" w:rsidP="00C429D7">
            <w:pPr>
              <w:spacing w:after="0" w:line="240" w:lineRule="auto"/>
              <w:rPr>
                <w:rFonts w:ascii="Titillium" w:eastAsia="Times New Roman" w:hAnsi="Titillium" w:cs="Calibri"/>
                <w:color w:val="000000"/>
                <w:sz w:val="18"/>
                <w:szCs w:val="18"/>
                <w:lang w:eastAsia="it-IT"/>
              </w:rPr>
            </w:pPr>
          </w:p>
          <w:p w14:paraId="4943BA01" w14:textId="77777777" w:rsidR="008B3E6B" w:rsidRDefault="008B3E6B" w:rsidP="00C429D7">
            <w:pPr>
              <w:spacing w:after="0" w:line="240" w:lineRule="auto"/>
              <w:rPr>
                <w:rFonts w:ascii="Titillium" w:eastAsia="Times New Roman" w:hAnsi="Titillium" w:cs="Calibri"/>
                <w:color w:val="000000"/>
                <w:sz w:val="18"/>
                <w:szCs w:val="18"/>
                <w:lang w:eastAsia="it-IT"/>
              </w:rPr>
            </w:pPr>
          </w:p>
          <w:p w14:paraId="46439008" w14:textId="77777777" w:rsidR="008B3E6B" w:rsidRDefault="008B3E6B" w:rsidP="00C429D7">
            <w:pPr>
              <w:spacing w:after="0" w:line="240" w:lineRule="auto"/>
              <w:rPr>
                <w:rFonts w:ascii="Titillium" w:eastAsia="Times New Roman" w:hAnsi="Titillium" w:cs="Calibri"/>
                <w:color w:val="000000"/>
                <w:sz w:val="18"/>
                <w:szCs w:val="18"/>
                <w:lang w:eastAsia="it-IT"/>
              </w:rPr>
            </w:pPr>
          </w:p>
          <w:p w14:paraId="28F94A51" w14:textId="77777777" w:rsidR="008B3E6B" w:rsidRDefault="008B3E6B" w:rsidP="00C429D7">
            <w:pPr>
              <w:spacing w:after="0" w:line="240" w:lineRule="auto"/>
              <w:rPr>
                <w:rFonts w:ascii="Titillium" w:eastAsia="Times New Roman" w:hAnsi="Titillium" w:cs="Calibri"/>
                <w:color w:val="000000"/>
                <w:sz w:val="18"/>
                <w:szCs w:val="18"/>
                <w:lang w:eastAsia="it-IT"/>
              </w:rPr>
            </w:pPr>
          </w:p>
          <w:p w14:paraId="7EA4BCDF" w14:textId="77777777" w:rsidR="008B3E6B" w:rsidRDefault="008B3E6B" w:rsidP="00C429D7">
            <w:pPr>
              <w:spacing w:after="0" w:line="240" w:lineRule="auto"/>
              <w:rPr>
                <w:rFonts w:ascii="Titillium" w:eastAsia="Times New Roman" w:hAnsi="Titillium" w:cs="Calibri"/>
                <w:color w:val="000000"/>
                <w:sz w:val="18"/>
                <w:szCs w:val="18"/>
                <w:lang w:eastAsia="it-IT"/>
              </w:rPr>
            </w:pPr>
          </w:p>
          <w:p w14:paraId="10EEA0BD" w14:textId="77777777" w:rsidR="00EA3CD7" w:rsidRDefault="008B3E6B" w:rsidP="00C429D7">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 xml:space="preserve">Oggetto della pubblicazione </w:t>
            </w:r>
          </w:p>
        </w:tc>
        <w:tc>
          <w:tcPr>
            <w:tcW w:w="6237" w:type="dxa"/>
            <w:tcBorders>
              <w:top w:val="single" w:sz="4" w:space="0" w:color="auto"/>
              <w:left w:val="nil"/>
              <w:bottom w:val="single" w:sz="4" w:space="0" w:color="auto"/>
              <w:right w:val="single" w:sz="4" w:space="0" w:color="auto"/>
            </w:tcBorders>
            <w:shd w:val="clear" w:color="auto" w:fill="auto"/>
          </w:tcPr>
          <w:p w14:paraId="2D993187" w14:textId="77777777" w:rsidR="008B3E6B" w:rsidRPr="00160E9D" w:rsidRDefault="008B3E6B" w:rsidP="006701E8">
            <w:pPr>
              <w:spacing w:after="0" w:line="240" w:lineRule="auto"/>
              <w:rPr>
                <w:rFonts w:ascii="Titillium" w:eastAsia="Times New Roman" w:hAnsi="Titillium" w:cs="Calibri"/>
                <w:color w:val="000000"/>
                <w:sz w:val="18"/>
                <w:szCs w:val="18"/>
                <w:vertAlign w:val="superscript"/>
                <w:lang w:eastAsia="it-IT"/>
              </w:rPr>
            </w:pPr>
            <w:r>
              <w:rPr>
                <w:rFonts w:ascii="Titillium" w:eastAsia="Times New Roman" w:hAnsi="Titillium" w:cs="Calibri"/>
                <w:color w:val="000000"/>
                <w:sz w:val="18"/>
                <w:szCs w:val="18"/>
                <w:lang w:eastAsia="it-IT"/>
              </w:rPr>
              <w:t>Metodo di pagamento</w:t>
            </w:r>
            <w:r w:rsidR="00160E9D">
              <w:rPr>
                <w:rFonts w:ascii="Titillium" w:eastAsia="Times New Roman" w:hAnsi="Titillium" w:cs="Calibri"/>
                <w:color w:val="000000"/>
                <w:sz w:val="18"/>
                <w:szCs w:val="18"/>
                <w:vertAlign w:val="superscript"/>
                <w:lang w:eastAsia="it-IT"/>
              </w:rPr>
              <w:t>1</w:t>
            </w:r>
          </w:p>
          <w:p w14:paraId="690DCABA" w14:textId="77777777" w:rsidR="006701E8" w:rsidRDefault="006701E8" w:rsidP="006701E8">
            <w:pPr>
              <w:spacing w:after="0" w:line="240" w:lineRule="auto"/>
              <w:rPr>
                <w:rFonts w:ascii="Titillium" w:eastAsia="Times New Roman" w:hAnsi="Titillium" w:cs="Calibri"/>
                <w:color w:val="000000"/>
                <w:sz w:val="18"/>
                <w:szCs w:val="18"/>
                <w:lang w:eastAsia="it-IT"/>
              </w:rPr>
            </w:pPr>
            <w:r w:rsidRPr="00ED5596">
              <w:rPr>
                <w:rFonts w:ascii="Titillium" w:eastAsia="Times New Roman" w:hAnsi="Titillium" w:cs="Calibri"/>
                <w:color w:val="000000"/>
                <w:sz w:val="18"/>
                <w:szCs w:val="18"/>
                <w:lang w:eastAsia="it-IT"/>
              </w:rPr>
              <w:t>Valori possibili:</w:t>
            </w:r>
          </w:p>
          <w:p w14:paraId="512734BC" w14:textId="77777777" w:rsidR="008B3E6B" w:rsidRPr="00ED5596" w:rsidRDefault="008B3E6B" w:rsidP="006701E8">
            <w:pPr>
              <w:spacing w:after="0" w:line="240" w:lineRule="auto"/>
              <w:rPr>
                <w:rFonts w:ascii="Titillium" w:eastAsia="Times New Roman" w:hAnsi="Titillium" w:cs="Calibri"/>
                <w:color w:val="000000"/>
                <w:sz w:val="18"/>
                <w:szCs w:val="18"/>
                <w:lang w:eastAsia="it-IT"/>
              </w:rPr>
            </w:pPr>
          </w:p>
          <w:p w14:paraId="681EF11A" w14:textId="77777777" w:rsidR="008B3E6B" w:rsidRDefault="008B3E6B" w:rsidP="008B3E6B">
            <w:pPr>
              <w:pStyle w:val="Paragrafoelenco"/>
              <w:ind w:left="0"/>
              <w:jc w:val="both"/>
              <w:rPr>
                <w:rFonts w:ascii="Titillium" w:hAnsi="Titillium"/>
                <w:b/>
                <w:sz w:val="18"/>
                <w:szCs w:val="18"/>
              </w:rPr>
            </w:pPr>
            <w:r>
              <w:rPr>
                <w:rFonts w:ascii="Titillium" w:hAnsi="Titillium"/>
                <w:b/>
                <w:sz w:val="18"/>
                <w:szCs w:val="18"/>
              </w:rPr>
              <w:t>a)</w:t>
            </w:r>
            <w:r w:rsidRPr="00D25B13">
              <w:rPr>
                <w:rFonts w:ascii="Titillium" w:hAnsi="Titillium"/>
                <w:sz w:val="18"/>
                <w:szCs w:val="18"/>
              </w:rPr>
              <w:t xml:space="preserve"> </w:t>
            </w:r>
            <w:r w:rsidRPr="00651CE1">
              <w:rPr>
                <w:rFonts w:ascii="Titillium" w:hAnsi="Titillium"/>
                <w:b/>
                <w:sz w:val="18"/>
                <w:szCs w:val="18"/>
              </w:rPr>
              <w:t xml:space="preserve">i </w:t>
            </w:r>
            <w:r w:rsidRPr="00D25B13">
              <w:rPr>
                <w:rFonts w:ascii="Titillium" w:hAnsi="Titillium"/>
                <w:b/>
                <w:sz w:val="18"/>
                <w:szCs w:val="18"/>
              </w:rPr>
              <w:t xml:space="preserve">codici IBAN </w:t>
            </w:r>
            <w:r w:rsidRPr="00544EE5">
              <w:rPr>
                <w:rFonts w:ascii="Titillium" w:hAnsi="Titillium"/>
                <w:b/>
                <w:sz w:val="18"/>
                <w:szCs w:val="18"/>
              </w:rPr>
              <w:t>identi</w:t>
            </w:r>
            <w:r>
              <w:rPr>
                <w:rFonts w:ascii="Titillium" w:hAnsi="Titillium"/>
                <w:b/>
                <w:sz w:val="18"/>
                <w:szCs w:val="18"/>
              </w:rPr>
              <w:t>ficativi del conto di pagamento</w:t>
            </w:r>
            <w:r w:rsidRPr="00544EE5">
              <w:rPr>
                <w:rFonts w:ascii="Titillium" w:hAnsi="Titillium"/>
                <w:b/>
                <w:sz w:val="18"/>
                <w:szCs w:val="18"/>
              </w:rPr>
              <w:t xml:space="preserve"> ovvero dell'imputazi</w:t>
            </w:r>
            <w:r>
              <w:rPr>
                <w:rFonts w:ascii="Titillium" w:hAnsi="Titillium"/>
                <w:b/>
                <w:sz w:val="18"/>
                <w:szCs w:val="18"/>
              </w:rPr>
              <w:t>one del versamento in Tesoreria oppure</w:t>
            </w:r>
          </w:p>
          <w:p w14:paraId="0614665D" w14:textId="77777777" w:rsidR="008B3E6B" w:rsidRDefault="008B3E6B" w:rsidP="008B3E6B">
            <w:pPr>
              <w:pStyle w:val="Paragrafoelenco"/>
              <w:ind w:left="0"/>
              <w:jc w:val="both"/>
              <w:rPr>
                <w:rFonts w:ascii="Titillium" w:hAnsi="Titillium"/>
                <w:b/>
                <w:sz w:val="18"/>
                <w:szCs w:val="18"/>
              </w:rPr>
            </w:pPr>
            <w:r w:rsidRPr="00651CE1">
              <w:rPr>
                <w:rFonts w:ascii="Titillium" w:hAnsi="Titillium"/>
                <w:b/>
                <w:sz w:val="18"/>
                <w:szCs w:val="18"/>
              </w:rPr>
              <w:t xml:space="preserve">b) </w:t>
            </w:r>
            <w:r>
              <w:rPr>
                <w:rFonts w:ascii="Titillium" w:hAnsi="Titillium"/>
                <w:b/>
                <w:sz w:val="18"/>
                <w:szCs w:val="18"/>
              </w:rPr>
              <w:t xml:space="preserve"> </w:t>
            </w:r>
            <w:r w:rsidRPr="00651CE1">
              <w:rPr>
                <w:rFonts w:ascii="Titillium" w:hAnsi="Titillium"/>
                <w:b/>
                <w:sz w:val="18"/>
                <w:szCs w:val="18"/>
              </w:rPr>
              <w:t>i codici</w:t>
            </w:r>
            <w:r>
              <w:rPr>
                <w:rFonts w:ascii="Titillium" w:hAnsi="Titillium"/>
                <w:b/>
                <w:sz w:val="18"/>
                <w:szCs w:val="18"/>
              </w:rPr>
              <w:t xml:space="preserve"> </w:t>
            </w:r>
            <w:r w:rsidRPr="00D25B13">
              <w:rPr>
                <w:rFonts w:ascii="Titillium" w:hAnsi="Titillium"/>
                <w:b/>
                <w:sz w:val="18"/>
                <w:szCs w:val="18"/>
              </w:rPr>
              <w:t>identifica</w:t>
            </w:r>
            <w:r>
              <w:rPr>
                <w:rFonts w:ascii="Titillium" w:hAnsi="Titillium"/>
                <w:b/>
                <w:sz w:val="18"/>
                <w:szCs w:val="18"/>
              </w:rPr>
              <w:t xml:space="preserve">tivi del conto corrente postale; </w:t>
            </w:r>
          </w:p>
          <w:p w14:paraId="57A7B12F" w14:textId="77777777" w:rsidR="006701E8" w:rsidRPr="00ED5596" w:rsidRDefault="008B3E6B" w:rsidP="008B3E6B">
            <w:pPr>
              <w:spacing w:after="0" w:line="240" w:lineRule="auto"/>
              <w:rPr>
                <w:rFonts w:ascii="Titillium" w:eastAsia="Times New Roman" w:hAnsi="Titillium" w:cs="Calibri"/>
                <w:color w:val="000000"/>
                <w:sz w:val="18"/>
                <w:szCs w:val="18"/>
                <w:lang w:eastAsia="it-IT"/>
              </w:rPr>
            </w:pPr>
            <w:r>
              <w:rPr>
                <w:rFonts w:ascii="Titillium" w:hAnsi="Titillium"/>
                <w:b/>
                <w:sz w:val="18"/>
                <w:szCs w:val="18"/>
              </w:rPr>
              <w:t xml:space="preserve">c) i </w:t>
            </w:r>
            <w:r w:rsidRPr="00D25B13">
              <w:rPr>
                <w:rFonts w:ascii="Titillium" w:hAnsi="Titillium"/>
                <w:b/>
                <w:sz w:val="18"/>
                <w:szCs w:val="18"/>
              </w:rPr>
              <w:t>codici identificativi del pagamento da indicare obbligatoriamente per il versamento</w:t>
            </w:r>
            <w:r w:rsidRPr="00D25B13">
              <w:rPr>
                <w:rFonts w:ascii="Titillium" w:hAnsi="Titillium"/>
                <w:sz w:val="18"/>
                <w:szCs w:val="18"/>
              </w:rPr>
              <w:t>.</w:t>
            </w:r>
          </w:p>
          <w:p w14:paraId="57454924" w14:textId="77777777" w:rsidR="008B3E6B" w:rsidRDefault="008B3E6B" w:rsidP="006701E8">
            <w:pPr>
              <w:spacing w:after="0" w:line="240" w:lineRule="auto"/>
              <w:rPr>
                <w:rFonts w:ascii="Titillium" w:eastAsia="Times New Roman" w:hAnsi="Titillium" w:cs="Calibri"/>
                <w:color w:val="000000"/>
                <w:sz w:val="18"/>
                <w:szCs w:val="18"/>
                <w:lang w:eastAsia="it-IT"/>
              </w:rPr>
            </w:pPr>
          </w:p>
          <w:p w14:paraId="1813C797" w14:textId="77777777" w:rsidR="008B3E6B" w:rsidRPr="00160E9D" w:rsidRDefault="008B3E6B" w:rsidP="006701E8">
            <w:pPr>
              <w:spacing w:after="0" w:line="240" w:lineRule="auto"/>
              <w:rPr>
                <w:rFonts w:ascii="Titillium" w:eastAsia="Times New Roman" w:hAnsi="Titillium" w:cs="Calibri"/>
                <w:sz w:val="18"/>
                <w:szCs w:val="18"/>
                <w:lang w:eastAsia="it-IT"/>
              </w:rPr>
            </w:pPr>
          </w:p>
          <w:p w14:paraId="49DCB9B5" w14:textId="77777777" w:rsidR="008B3E6B" w:rsidRPr="00160E9D" w:rsidRDefault="00160E9D" w:rsidP="008B3E6B">
            <w:pPr>
              <w:spacing w:after="0" w:line="240" w:lineRule="auto"/>
              <w:jc w:val="both"/>
              <w:rPr>
                <w:rFonts w:ascii="Titillium" w:eastAsia="Times New Roman" w:hAnsi="Titillium" w:cs="Calibri"/>
                <w:i/>
                <w:iCs/>
                <w:sz w:val="18"/>
                <w:szCs w:val="18"/>
                <w:lang w:eastAsia="it-IT"/>
              </w:rPr>
            </w:pPr>
            <w:r>
              <w:rPr>
                <w:rFonts w:ascii="Titillium" w:eastAsia="Times New Roman" w:hAnsi="Titillium" w:cs="Calibri"/>
                <w:i/>
                <w:iCs/>
                <w:sz w:val="18"/>
                <w:szCs w:val="18"/>
                <w:vertAlign w:val="superscript"/>
                <w:lang w:eastAsia="it-IT"/>
              </w:rPr>
              <w:t>1</w:t>
            </w:r>
            <w:r w:rsidR="008B3E6B" w:rsidRPr="00160E9D">
              <w:rPr>
                <w:rFonts w:ascii="Titillium" w:eastAsia="Times New Roman" w:hAnsi="Titillium" w:cs="Calibri"/>
                <w:i/>
                <w:iCs/>
                <w:sz w:val="18"/>
                <w:szCs w:val="18"/>
                <w:lang w:eastAsia="it-IT"/>
              </w:rPr>
              <w:t>cfr delibere ANAC n. 77/2022 e n. 1134/2017</w:t>
            </w:r>
          </w:p>
          <w:p w14:paraId="33CD2407" w14:textId="77777777" w:rsidR="008B3E6B" w:rsidRPr="00ED5596" w:rsidRDefault="008B3E6B" w:rsidP="006701E8">
            <w:pPr>
              <w:spacing w:after="0" w:line="240" w:lineRule="auto"/>
              <w:rPr>
                <w:rFonts w:ascii="Titillium" w:eastAsia="Times New Roman" w:hAnsi="Titillium" w:cs="Calibri"/>
                <w:color w:val="000000"/>
                <w:sz w:val="18"/>
                <w:szCs w:val="18"/>
                <w:lang w:eastAsia="it-IT"/>
              </w:rPr>
            </w:pPr>
          </w:p>
          <w:p w14:paraId="5FEC0120" w14:textId="77777777" w:rsidR="008B3E6B" w:rsidRDefault="008B3E6B" w:rsidP="008B3E6B">
            <w:pPr>
              <w:spacing w:after="0" w:line="240" w:lineRule="auto"/>
              <w:jc w:val="center"/>
              <w:rPr>
                <w:rFonts w:ascii="Titillium" w:eastAsia="Times New Roman" w:hAnsi="Titillium" w:cs="Calibri"/>
                <w:color w:val="FFFFFF" w:themeColor="background1"/>
                <w:sz w:val="18"/>
                <w:szCs w:val="18"/>
                <w:u w:val="single"/>
                <w:lang w:eastAsia="it-IT"/>
              </w:rPr>
            </w:pPr>
            <w:r w:rsidRPr="005B12F8">
              <w:rPr>
                <w:rFonts w:ascii="Titillium" w:eastAsia="Times New Roman" w:hAnsi="Titillium" w:cs="Calibri"/>
                <w:color w:val="FFFFFF" w:themeColor="background1"/>
                <w:sz w:val="18"/>
                <w:szCs w:val="18"/>
                <w:u w:val="single"/>
                <w:lang w:eastAsia="it-IT"/>
              </w:rPr>
              <w:t xml:space="preserve">da replicare per ogni </w:t>
            </w:r>
            <w:r>
              <w:rPr>
                <w:rFonts w:ascii="Titillium" w:eastAsia="Times New Roman" w:hAnsi="Titillium" w:cs="Calibri"/>
                <w:color w:val="FFFFFF" w:themeColor="background1"/>
                <w:sz w:val="18"/>
                <w:szCs w:val="18"/>
                <w:u w:val="single"/>
                <w:lang w:eastAsia="it-IT"/>
              </w:rPr>
              <w:t>metodo utilizzato</w:t>
            </w:r>
          </w:p>
          <w:p w14:paraId="7BF407A1" w14:textId="77777777" w:rsidR="006701E8" w:rsidRPr="00ED5596" w:rsidRDefault="006701E8" w:rsidP="006701E8">
            <w:pPr>
              <w:spacing w:after="0" w:line="240" w:lineRule="auto"/>
              <w:rPr>
                <w:rFonts w:ascii="Titillium" w:eastAsia="Times New Roman" w:hAnsi="Titillium" w:cs="Calibri"/>
                <w:color w:val="000000"/>
                <w:sz w:val="18"/>
                <w:szCs w:val="18"/>
                <w:lang w:eastAsia="it-IT"/>
              </w:rPr>
            </w:pPr>
          </w:p>
        </w:tc>
        <w:tc>
          <w:tcPr>
            <w:tcW w:w="1180" w:type="dxa"/>
            <w:tcBorders>
              <w:top w:val="single" w:sz="4" w:space="0" w:color="auto"/>
              <w:left w:val="nil"/>
              <w:bottom w:val="single" w:sz="4" w:space="0" w:color="auto"/>
              <w:right w:val="single" w:sz="4" w:space="0" w:color="auto"/>
            </w:tcBorders>
            <w:shd w:val="clear" w:color="auto" w:fill="auto"/>
            <w:noWrap/>
          </w:tcPr>
          <w:p w14:paraId="5BD5B7FA" w14:textId="77777777" w:rsidR="008B3E6B" w:rsidRDefault="008B3E6B" w:rsidP="00C429D7">
            <w:pPr>
              <w:spacing w:after="0" w:line="240" w:lineRule="auto"/>
              <w:jc w:val="center"/>
              <w:rPr>
                <w:rFonts w:ascii="Titillium" w:eastAsia="Times New Roman" w:hAnsi="Titillium" w:cs="Calibri"/>
                <w:color w:val="000000"/>
                <w:sz w:val="18"/>
                <w:szCs w:val="18"/>
                <w:lang w:eastAsia="it-IT"/>
              </w:rPr>
            </w:pPr>
          </w:p>
          <w:p w14:paraId="30FFE1D7" w14:textId="77777777" w:rsidR="008B3E6B" w:rsidRDefault="008B3E6B" w:rsidP="00C429D7">
            <w:pPr>
              <w:spacing w:after="0" w:line="240" w:lineRule="auto"/>
              <w:jc w:val="center"/>
              <w:rPr>
                <w:rFonts w:ascii="Titillium" w:eastAsia="Times New Roman" w:hAnsi="Titillium" w:cs="Calibri"/>
                <w:color w:val="000000"/>
                <w:sz w:val="18"/>
                <w:szCs w:val="18"/>
                <w:lang w:eastAsia="it-IT"/>
              </w:rPr>
            </w:pPr>
          </w:p>
          <w:p w14:paraId="6387BDC9" w14:textId="77777777" w:rsidR="008B3E6B" w:rsidRDefault="008B3E6B" w:rsidP="00C429D7">
            <w:pPr>
              <w:spacing w:after="0" w:line="240" w:lineRule="auto"/>
              <w:jc w:val="center"/>
              <w:rPr>
                <w:rFonts w:ascii="Titillium" w:eastAsia="Times New Roman" w:hAnsi="Titillium" w:cs="Calibri"/>
                <w:color w:val="000000"/>
                <w:sz w:val="18"/>
                <w:szCs w:val="18"/>
                <w:lang w:eastAsia="it-IT"/>
              </w:rPr>
            </w:pPr>
          </w:p>
          <w:p w14:paraId="6988A933" w14:textId="77777777" w:rsidR="008B3E6B" w:rsidRDefault="008B3E6B" w:rsidP="00C429D7">
            <w:pPr>
              <w:spacing w:after="0" w:line="240" w:lineRule="auto"/>
              <w:jc w:val="center"/>
              <w:rPr>
                <w:rFonts w:ascii="Titillium" w:eastAsia="Times New Roman" w:hAnsi="Titillium" w:cs="Calibri"/>
                <w:color w:val="000000"/>
                <w:sz w:val="18"/>
                <w:szCs w:val="18"/>
                <w:lang w:eastAsia="it-IT"/>
              </w:rPr>
            </w:pPr>
          </w:p>
          <w:p w14:paraId="3ACFF9EC" w14:textId="77777777" w:rsidR="00EA3CD7" w:rsidRDefault="002F005D" w:rsidP="00C429D7">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valore</w:t>
            </w:r>
          </w:p>
        </w:tc>
      </w:tr>
    </w:tbl>
    <w:p w14:paraId="1FD6F8C5" w14:textId="77777777" w:rsidR="00EA3CD7" w:rsidRDefault="00EA3CD7" w:rsidP="003B4B6D">
      <w:pPr>
        <w:pBdr>
          <w:bottom w:val="single" w:sz="6" w:space="0" w:color="auto"/>
        </w:pBdr>
      </w:pPr>
    </w:p>
    <w:p w14:paraId="15126979" w14:textId="77777777" w:rsidR="00EA3CD7" w:rsidRDefault="00EA3CD7" w:rsidP="003B4B6D">
      <w:pPr>
        <w:pBdr>
          <w:bottom w:val="single" w:sz="6" w:space="0" w:color="auto"/>
        </w:pBdr>
      </w:pPr>
    </w:p>
    <w:p w14:paraId="7E64FA81" w14:textId="77777777" w:rsidR="00EA3CD7" w:rsidRDefault="00EA3CD7" w:rsidP="003B4B6D">
      <w:pPr>
        <w:pBdr>
          <w:bottom w:val="single" w:sz="6" w:space="0" w:color="auto"/>
        </w:pBdr>
      </w:pPr>
    </w:p>
    <w:sectPr w:rsidR="00EA3CD7">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1CDE2" w14:textId="77777777" w:rsidR="0069394D" w:rsidRDefault="0069394D" w:rsidP="006D27D9">
      <w:pPr>
        <w:spacing w:after="0" w:line="240" w:lineRule="auto"/>
      </w:pPr>
      <w:r>
        <w:separator/>
      </w:r>
    </w:p>
  </w:endnote>
  <w:endnote w:type="continuationSeparator" w:id="0">
    <w:p w14:paraId="751B7B53" w14:textId="77777777" w:rsidR="0069394D" w:rsidRDefault="0069394D" w:rsidP="006D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w:panose1 w:val="000005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tillium-Regular">
    <w:panose1 w:val="000005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996190"/>
      <w:docPartObj>
        <w:docPartGallery w:val="Page Numbers (Bottom of Page)"/>
        <w:docPartUnique/>
      </w:docPartObj>
    </w:sdtPr>
    <w:sdtEndPr/>
    <w:sdtContent>
      <w:p w14:paraId="5EC29F3A" w14:textId="24F90887" w:rsidR="00896A7C" w:rsidRDefault="00896A7C">
        <w:pPr>
          <w:pStyle w:val="Pidipagina"/>
          <w:jc w:val="right"/>
        </w:pPr>
        <w:r>
          <w:fldChar w:fldCharType="begin"/>
        </w:r>
        <w:r>
          <w:instrText>PAGE   \* MERGEFORMAT</w:instrText>
        </w:r>
        <w:r>
          <w:fldChar w:fldCharType="separate"/>
        </w:r>
        <w:r w:rsidR="00D20205">
          <w:rPr>
            <w:noProof/>
          </w:rPr>
          <w:t>4</w:t>
        </w:r>
        <w:r>
          <w:fldChar w:fldCharType="end"/>
        </w:r>
      </w:p>
    </w:sdtContent>
  </w:sdt>
  <w:p w14:paraId="6B6359AC" w14:textId="77777777" w:rsidR="00896A7C" w:rsidRDefault="00896A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7D095" w14:textId="77777777" w:rsidR="0069394D" w:rsidRDefault="0069394D" w:rsidP="006D27D9">
      <w:pPr>
        <w:spacing w:after="0" w:line="240" w:lineRule="auto"/>
      </w:pPr>
      <w:r>
        <w:separator/>
      </w:r>
    </w:p>
  </w:footnote>
  <w:footnote w:type="continuationSeparator" w:id="0">
    <w:p w14:paraId="3A155403" w14:textId="77777777" w:rsidR="0069394D" w:rsidRDefault="0069394D" w:rsidP="006D27D9">
      <w:pPr>
        <w:spacing w:after="0" w:line="240" w:lineRule="auto"/>
      </w:pPr>
      <w:r>
        <w:continuationSeparator/>
      </w:r>
    </w:p>
  </w:footnote>
  <w:footnote w:id="1">
    <w:p w14:paraId="2CD6D8DB" w14:textId="41920E9D" w:rsidR="007308AF" w:rsidRDefault="00BB1A00" w:rsidP="00BB1A00">
      <w:pPr>
        <w:pStyle w:val="Testonotaapidipagina"/>
        <w:jc w:val="both"/>
        <w:rPr>
          <w:sz w:val="16"/>
          <w:szCs w:val="16"/>
        </w:rPr>
      </w:pPr>
      <w:r>
        <w:rPr>
          <w:rStyle w:val="Rimandonotaapidipagina"/>
        </w:rPr>
        <w:footnoteRef/>
      </w:r>
      <w:r>
        <w:t xml:space="preserve"> </w:t>
      </w:r>
      <w:r w:rsidRPr="00BB1A00">
        <w:rPr>
          <w:sz w:val="16"/>
          <w:szCs w:val="16"/>
        </w:rPr>
        <w:t>Art. 5 “</w:t>
      </w:r>
      <w:r w:rsidRPr="00BB1A00">
        <w:rPr>
          <w:i/>
          <w:sz w:val="16"/>
          <w:szCs w:val="16"/>
        </w:rPr>
        <w:t xml:space="preserve">Effettuazione di pagamenti con </w:t>
      </w:r>
      <w:r w:rsidR="00AB38BD" w:rsidRPr="00BB1A00">
        <w:rPr>
          <w:i/>
          <w:sz w:val="16"/>
          <w:szCs w:val="16"/>
        </w:rPr>
        <w:t>modalità</w:t>
      </w:r>
      <w:r w:rsidRPr="00BB1A00">
        <w:rPr>
          <w:i/>
          <w:sz w:val="16"/>
          <w:szCs w:val="16"/>
        </w:rPr>
        <w:t xml:space="preserve"> informatiche</w:t>
      </w:r>
      <w:r w:rsidRPr="00BB1A00">
        <w:rPr>
          <w:sz w:val="16"/>
          <w:szCs w:val="16"/>
        </w:rPr>
        <w:t xml:space="preserve">”: </w:t>
      </w:r>
    </w:p>
    <w:p w14:paraId="494A27BE" w14:textId="16D2F0F4" w:rsidR="00BB1A00" w:rsidRPr="00FF56F6" w:rsidRDefault="00BB1A00" w:rsidP="00BB1A00">
      <w:pPr>
        <w:pStyle w:val="Testonotaapidipagina"/>
        <w:jc w:val="both"/>
        <w:rPr>
          <w:i/>
          <w:sz w:val="16"/>
          <w:szCs w:val="16"/>
        </w:rPr>
      </w:pPr>
      <w:r w:rsidRPr="00BB1A00">
        <w:rPr>
          <w:sz w:val="16"/>
          <w:szCs w:val="16"/>
        </w:rPr>
        <w:t>“</w:t>
      </w:r>
      <w:r w:rsidRPr="00FF56F6">
        <w:rPr>
          <w:i/>
          <w:sz w:val="16"/>
          <w:szCs w:val="16"/>
        </w:rPr>
        <w:t xml:space="preserve">1. I soggetti di cui all'articolo 2, </w:t>
      </w:r>
      <w:proofErr w:type="gramStart"/>
      <w:r w:rsidRPr="00FF56F6">
        <w:rPr>
          <w:i/>
          <w:sz w:val="16"/>
          <w:szCs w:val="16"/>
        </w:rPr>
        <w:t>comma  2</w:t>
      </w:r>
      <w:proofErr w:type="gramEnd"/>
      <w:r w:rsidRPr="00FF56F6">
        <w:rPr>
          <w:i/>
          <w:sz w:val="16"/>
          <w:szCs w:val="16"/>
        </w:rPr>
        <w:t xml:space="preserve">,  sono  obbligati  ad accettare, tramite la piattaforma di cui  al  comma  2,  i  pagamenti spettanti  a  qualsiasi  titolo  attraverso  sistemi   di   pagamento elettronico,  ivi  inclusi,  per  i  micro-pagamenti,  quelli  basati sull'uso del credito telefonico. Tramite la  piattaforma  elettronica di cui al comma 2, resta ferma la  </w:t>
      </w:r>
      <w:r w:rsidR="00AB38BD" w:rsidRPr="00FF56F6">
        <w:rPr>
          <w:i/>
          <w:sz w:val="16"/>
          <w:szCs w:val="16"/>
        </w:rPr>
        <w:t>possibilità</w:t>
      </w:r>
      <w:r w:rsidRPr="00FF56F6">
        <w:rPr>
          <w:i/>
          <w:sz w:val="16"/>
          <w:szCs w:val="16"/>
        </w:rPr>
        <w:t xml:space="preserve">  di  accettare  anche altre  forme  di  pagamento  elettronico,  senza  discriminazione  in relazione allo schema di pagamento abilitato per  ciascuna  tipologia di  strumento  di  pagamento  elettronico  come  definita  ai   sensi dell'articolo 2, punti 33), 34) e 35) del </w:t>
      </w:r>
      <w:hyperlink r:id="rId1" w:tgtFrame="_blank" w:history="1">
        <w:r w:rsidRPr="00FF56F6">
          <w:rPr>
            <w:rStyle w:val="Collegamentoipertestuale"/>
            <w:i/>
            <w:sz w:val="16"/>
            <w:szCs w:val="16"/>
          </w:rPr>
          <w:t>regolamento UE 2015/751 del</w:t>
        </w:r>
        <w:r w:rsidRPr="00FF56F6">
          <w:rPr>
            <w:rStyle w:val="Collegamentoipertestuale"/>
            <w:i/>
            <w:color w:val="auto"/>
            <w:sz w:val="16"/>
            <w:szCs w:val="16"/>
            <w:u w:val="none"/>
          </w:rPr>
          <w:t xml:space="preserve"> </w:t>
        </w:r>
        <w:r w:rsidRPr="00FF56F6">
          <w:rPr>
            <w:rStyle w:val="Collegamentoipertestuale"/>
            <w:i/>
            <w:sz w:val="16"/>
            <w:szCs w:val="16"/>
          </w:rPr>
          <w:t>Parlamento europeo e del Consiglio del 29 aprile 2015</w:t>
        </w:r>
      </w:hyperlink>
      <w:r w:rsidRPr="00FF56F6">
        <w:rPr>
          <w:i/>
          <w:sz w:val="16"/>
          <w:szCs w:val="16"/>
        </w:rPr>
        <w:t xml:space="preserve">  relativo  alle commissioni interbancarie sulle operazioni  di  pagamento  basate  su carta.  2. Al fine di  dare attuazione  al  comma  1,  la  Presidenza  del Consiglio dei ministri mette a disposizione,  attraverso  il  Sistema</w:t>
      </w:r>
      <w:r w:rsidR="00BD0AA6" w:rsidRPr="00FF56F6">
        <w:rPr>
          <w:i/>
          <w:sz w:val="16"/>
          <w:szCs w:val="16"/>
        </w:rPr>
        <w:t xml:space="preserve"> </w:t>
      </w:r>
      <w:r w:rsidRPr="00FF56F6">
        <w:rPr>
          <w:i/>
          <w:sz w:val="16"/>
          <w:szCs w:val="16"/>
        </w:rPr>
        <w:t xml:space="preserve">pubblico  di   </w:t>
      </w:r>
      <w:r w:rsidR="00AB38BD" w:rsidRPr="00FF56F6">
        <w:rPr>
          <w:i/>
          <w:sz w:val="16"/>
          <w:szCs w:val="16"/>
        </w:rPr>
        <w:t>connettività</w:t>
      </w:r>
      <w:r w:rsidRPr="00FF56F6">
        <w:rPr>
          <w:i/>
          <w:sz w:val="16"/>
          <w:szCs w:val="16"/>
        </w:rPr>
        <w:t xml:space="preserve">,   una   piattaforma   tecnologica   per l'interconnessione   e   </w:t>
      </w:r>
      <w:r w:rsidR="00AB38BD" w:rsidRPr="00FF56F6">
        <w:rPr>
          <w:i/>
          <w:sz w:val="16"/>
          <w:szCs w:val="16"/>
        </w:rPr>
        <w:t>l’interoperabilità</w:t>
      </w:r>
      <w:r w:rsidRPr="00FF56F6">
        <w:rPr>
          <w:i/>
          <w:sz w:val="16"/>
          <w:szCs w:val="16"/>
        </w:rPr>
        <w:t xml:space="preserve">   tra    le    pubbliche amministrazioni e i prestatori di servizi di pagamento abilitati,  al fine di assicurare, attraverso gli strumenti di cui all'articolo  64, l'autenticazione dei soggetti interessati all'operazione in tutta  la gestione del processo di pagamento.  </w:t>
      </w:r>
    </w:p>
    <w:p w14:paraId="3CE38A3A" w14:textId="77777777" w:rsidR="00BB1A00" w:rsidRPr="00FF56F6" w:rsidRDefault="007308AF" w:rsidP="00BB1A00">
      <w:pPr>
        <w:pStyle w:val="Testonotaapidipagina"/>
        <w:jc w:val="both"/>
        <w:rPr>
          <w:i/>
          <w:sz w:val="16"/>
          <w:szCs w:val="16"/>
        </w:rPr>
      </w:pPr>
      <w:r w:rsidRPr="00FF56F6">
        <w:rPr>
          <w:i/>
          <w:sz w:val="16"/>
          <w:szCs w:val="16"/>
        </w:rPr>
        <w:t>[…]</w:t>
      </w:r>
    </w:p>
    <w:p w14:paraId="003AA39F" w14:textId="1B84E5D3" w:rsidR="007308AF" w:rsidRPr="00FF56F6" w:rsidRDefault="00BB1A00" w:rsidP="00BB1A00">
      <w:pPr>
        <w:pStyle w:val="Testonotaapidipagina"/>
        <w:jc w:val="both"/>
        <w:rPr>
          <w:i/>
          <w:sz w:val="16"/>
          <w:szCs w:val="16"/>
        </w:rPr>
      </w:pPr>
      <w:r w:rsidRPr="00FF56F6">
        <w:rPr>
          <w:i/>
          <w:sz w:val="16"/>
          <w:szCs w:val="16"/>
        </w:rPr>
        <w:t xml:space="preserve">4. L'Agenzia per l'Italia digitale, sentita la Banca </w:t>
      </w:r>
      <w:r w:rsidR="00BD0AA6" w:rsidRPr="00FF56F6">
        <w:rPr>
          <w:i/>
          <w:sz w:val="16"/>
          <w:szCs w:val="16"/>
        </w:rPr>
        <w:t xml:space="preserve">d'Italia, </w:t>
      </w:r>
      <w:r w:rsidRPr="00FF56F6">
        <w:rPr>
          <w:i/>
          <w:sz w:val="16"/>
          <w:szCs w:val="16"/>
        </w:rPr>
        <w:t>definisce linee guida per l</w:t>
      </w:r>
      <w:r w:rsidRPr="00FF56F6">
        <w:rPr>
          <w:bCs/>
          <w:i/>
          <w:iCs/>
          <w:sz w:val="16"/>
          <w:szCs w:val="16"/>
        </w:rPr>
        <w:t xml:space="preserve">'attuazione del presente articolo e per </w:t>
      </w:r>
      <w:r w:rsidRPr="00FF56F6">
        <w:rPr>
          <w:i/>
          <w:sz w:val="16"/>
          <w:szCs w:val="16"/>
        </w:rPr>
        <w:t>la specifica dei codici identificativi del pagamento di cui al</w:t>
      </w:r>
      <w:r w:rsidRPr="007308AF">
        <w:rPr>
          <w:b/>
          <w:bCs/>
          <w:i/>
          <w:iCs/>
          <w:sz w:val="16"/>
          <w:szCs w:val="16"/>
        </w:rPr>
        <w:t xml:space="preserve"> </w:t>
      </w:r>
      <w:r w:rsidRPr="00FF56F6">
        <w:rPr>
          <w:i/>
          <w:sz w:val="16"/>
          <w:szCs w:val="16"/>
        </w:rPr>
        <w:t xml:space="preserve">comma 1 e le </w:t>
      </w:r>
      <w:r w:rsidR="00AB38BD" w:rsidRPr="00FF56F6">
        <w:rPr>
          <w:i/>
          <w:sz w:val="16"/>
          <w:szCs w:val="16"/>
        </w:rPr>
        <w:t>modalità</w:t>
      </w:r>
      <w:r w:rsidRPr="00FF56F6">
        <w:rPr>
          <w:i/>
          <w:sz w:val="16"/>
          <w:szCs w:val="16"/>
        </w:rPr>
        <w:t xml:space="preserve"> attraverso le quali il prestatore dei servizi</w:t>
      </w:r>
      <w:r w:rsidRPr="007308AF">
        <w:rPr>
          <w:b/>
          <w:bCs/>
          <w:i/>
          <w:iCs/>
          <w:sz w:val="16"/>
          <w:szCs w:val="16"/>
        </w:rPr>
        <w:t xml:space="preserve"> </w:t>
      </w:r>
      <w:r w:rsidRPr="00FF56F6">
        <w:rPr>
          <w:i/>
          <w:sz w:val="16"/>
          <w:szCs w:val="16"/>
        </w:rPr>
        <w:t>di pagamento mette a disposizione dell'ente le informazioni  relative</w:t>
      </w:r>
      <w:r w:rsidRPr="007308AF">
        <w:rPr>
          <w:b/>
          <w:bCs/>
          <w:i/>
          <w:iCs/>
          <w:sz w:val="16"/>
          <w:szCs w:val="16"/>
        </w:rPr>
        <w:t xml:space="preserve"> </w:t>
      </w:r>
      <w:r w:rsidR="007308AF" w:rsidRPr="00FF56F6">
        <w:rPr>
          <w:i/>
          <w:sz w:val="16"/>
          <w:szCs w:val="16"/>
        </w:rPr>
        <w:t>al pagamento medesimo.</w:t>
      </w:r>
    </w:p>
    <w:p w14:paraId="64A3C85A" w14:textId="77777777" w:rsidR="00BB1A00" w:rsidRPr="00FF56F6" w:rsidRDefault="007308AF" w:rsidP="00BB1A00">
      <w:pPr>
        <w:pStyle w:val="Testonotaapidipagina"/>
        <w:jc w:val="both"/>
        <w:rPr>
          <w:i/>
          <w:sz w:val="16"/>
          <w:szCs w:val="16"/>
        </w:rPr>
      </w:pPr>
      <w:r w:rsidRPr="00FF56F6">
        <w:rPr>
          <w:i/>
          <w:sz w:val="16"/>
          <w:szCs w:val="16"/>
        </w:rPr>
        <w:t>[…]</w:t>
      </w:r>
      <w:r w:rsidR="00C8738D" w:rsidRPr="00FF56F6">
        <w:rPr>
          <w:i/>
          <w:sz w:val="16"/>
          <w:szCs w:val="16"/>
        </w:rPr>
        <w:t>”</w:t>
      </w:r>
      <w:r w:rsidR="00BB1A00" w:rsidRPr="00FF56F6">
        <w:rPr>
          <w:i/>
          <w:sz w:val="16"/>
          <w:szCs w:val="16"/>
        </w:rPr>
        <w:t xml:space="preserve">. </w:t>
      </w:r>
    </w:p>
    <w:p w14:paraId="7A4A0A5F" w14:textId="77777777" w:rsidR="00BB1A00" w:rsidRDefault="00BB1A00">
      <w:pPr>
        <w:pStyle w:val="Testonotaapidipagina"/>
      </w:pPr>
    </w:p>
  </w:footnote>
  <w:footnote w:id="2">
    <w:p w14:paraId="688CD9EF" w14:textId="77777777" w:rsidR="00190885" w:rsidRDefault="00190885" w:rsidP="00566616">
      <w:pPr>
        <w:pStyle w:val="Testonotaapidipagina"/>
        <w:jc w:val="both"/>
      </w:pPr>
      <w:r>
        <w:rPr>
          <w:rStyle w:val="Rimandonotaapidipagina"/>
        </w:rPr>
        <w:footnoteRef/>
      </w:r>
      <w:r>
        <w:t xml:space="preserve"> </w:t>
      </w:r>
      <w:r w:rsidRPr="00566616">
        <w:rPr>
          <w:sz w:val="16"/>
          <w:szCs w:val="16"/>
        </w:rPr>
        <w:t xml:space="preserve">Si precisa che può trattarsi di strumenti di pagamento non integrati </w:t>
      </w:r>
      <w:r w:rsidR="002F005D">
        <w:rPr>
          <w:sz w:val="16"/>
          <w:szCs w:val="16"/>
        </w:rPr>
        <w:t xml:space="preserve">con la piattaforma </w:t>
      </w:r>
      <w:proofErr w:type="spellStart"/>
      <w:r w:rsidR="002F005D">
        <w:rPr>
          <w:sz w:val="16"/>
          <w:szCs w:val="16"/>
        </w:rPr>
        <w:t>Pagopa</w:t>
      </w:r>
      <w:proofErr w:type="spellEnd"/>
      <w:r w:rsidR="002F005D">
        <w:rPr>
          <w:sz w:val="16"/>
          <w:szCs w:val="16"/>
        </w:rPr>
        <w:t xml:space="preserve"> </w:t>
      </w:r>
      <w:r w:rsidRPr="00566616">
        <w:rPr>
          <w:sz w:val="16"/>
          <w:szCs w:val="16"/>
        </w:rPr>
        <w:t xml:space="preserve">anche diversi e/o ulteriori rispetto a quelli indicati al § 5 delle LLGG </w:t>
      </w:r>
      <w:proofErr w:type="spellStart"/>
      <w:r w:rsidRPr="00566616">
        <w:rPr>
          <w:sz w:val="16"/>
          <w:szCs w:val="16"/>
        </w:rPr>
        <w:t>AgId</w:t>
      </w:r>
      <w:proofErr w:type="spellEnd"/>
      <w:r w:rsidRPr="00566616">
        <w:rPr>
          <w:sz w:val="16"/>
          <w:szCs w:val="16"/>
        </w:rPr>
        <w:t xml:space="preserv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54B46" w14:textId="2055B76D" w:rsidR="00C06F63" w:rsidRDefault="00C06F63">
    <w:pPr>
      <w:pStyle w:val="Intestazion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629A7"/>
    <w:multiLevelType w:val="hybridMultilevel"/>
    <w:tmpl w:val="3F8E9FF8"/>
    <w:lvl w:ilvl="0" w:tplc="971CA0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952AE8"/>
    <w:multiLevelType w:val="hybridMultilevel"/>
    <w:tmpl w:val="1A5461B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D19769A"/>
    <w:multiLevelType w:val="hybridMultilevel"/>
    <w:tmpl w:val="875C6DA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F302B00"/>
    <w:multiLevelType w:val="hybridMultilevel"/>
    <w:tmpl w:val="F6F005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9A14D6"/>
    <w:multiLevelType w:val="hybridMultilevel"/>
    <w:tmpl w:val="AE2C40A8"/>
    <w:lvl w:ilvl="0" w:tplc="6C74379C">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0377266"/>
    <w:multiLevelType w:val="hybridMultilevel"/>
    <w:tmpl w:val="11B47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88063B"/>
    <w:multiLevelType w:val="hybridMultilevel"/>
    <w:tmpl w:val="DE18EC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FC1E73"/>
    <w:multiLevelType w:val="hybridMultilevel"/>
    <w:tmpl w:val="CCAA0BE2"/>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45132A26"/>
    <w:multiLevelType w:val="hybridMultilevel"/>
    <w:tmpl w:val="D46A8E3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9" w15:restartNumberingAfterBreak="0">
    <w:nsid w:val="46765A20"/>
    <w:multiLevelType w:val="hybridMultilevel"/>
    <w:tmpl w:val="A5C022D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B4900A4"/>
    <w:multiLevelType w:val="hybridMultilevel"/>
    <w:tmpl w:val="977E6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D4B7AAC"/>
    <w:multiLevelType w:val="multilevel"/>
    <w:tmpl w:val="23F4AB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72F4A99"/>
    <w:multiLevelType w:val="hybridMultilevel"/>
    <w:tmpl w:val="7AC07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9E94D58"/>
    <w:multiLevelType w:val="hybridMultilevel"/>
    <w:tmpl w:val="E2F20FD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6E1601CE"/>
    <w:multiLevelType w:val="hybridMultilevel"/>
    <w:tmpl w:val="D982EE36"/>
    <w:lvl w:ilvl="0" w:tplc="0C7A1F2A">
      <w:start w:val="3"/>
      <w:numFmt w:val="bullet"/>
      <w:lvlText w:val=""/>
      <w:lvlJc w:val="left"/>
      <w:pPr>
        <w:ind w:left="720" w:hanging="360"/>
      </w:pPr>
      <w:rPr>
        <w:rFonts w:ascii="Symbol" w:eastAsia="Times New Roman" w:hAnsi="Symbol" w:cs="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E1C6563"/>
    <w:multiLevelType w:val="hybridMultilevel"/>
    <w:tmpl w:val="1A78B0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0A53C39"/>
    <w:multiLevelType w:val="hybridMultilevel"/>
    <w:tmpl w:val="79727D08"/>
    <w:lvl w:ilvl="0" w:tplc="BEBE179E">
      <w:start w:val="1"/>
      <w:numFmt w:val="lowerLetter"/>
      <w:lvlText w:val="%1)"/>
      <w:lvlJc w:val="left"/>
      <w:pPr>
        <w:ind w:left="720" w:hanging="360"/>
      </w:pPr>
      <w:rPr>
        <w:rFonts w:ascii="Titillium" w:hAnsi="Titillium" w:hint="default"/>
        <w:color w:val="auto"/>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2225E15"/>
    <w:multiLevelType w:val="hybridMultilevel"/>
    <w:tmpl w:val="CAF6D35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3C815CD"/>
    <w:multiLevelType w:val="hybridMultilevel"/>
    <w:tmpl w:val="14B01F0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8"/>
  </w:num>
  <w:num w:numId="31">
    <w:abstractNumId w:val="13"/>
  </w:num>
  <w:num w:numId="32">
    <w:abstractNumId w:val="10"/>
  </w:num>
  <w:num w:numId="33">
    <w:abstractNumId w:val="0"/>
  </w:num>
  <w:num w:numId="34">
    <w:abstractNumId w:val="2"/>
  </w:num>
  <w:num w:numId="35">
    <w:abstractNumId w:val="18"/>
  </w:num>
  <w:num w:numId="36">
    <w:abstractNumId w:val="15"/>
  </w:num>
  <w:num w:numId="37">
    <w:abstractNumId w:val="17"/>
  </w:num>
  <w:num w:numId="38">
    <w:abstractNumId w:val="1"/>
  </w:num>
  <w:num w:numId="39">
    <w:abstractNumId w:val="7"/>
  </w:num>
  <w:num w:numId="40">
    <w:abstractNumId w:val="3"/>
  </w:num>
  <w:num w:numId="41">
    <w:abstractNumId w:val="5"/>
  </w:num>
  <w:num w:numId="42">
    <w:abstractNumId w:val="9"/>
  </w:num>
  <w:num w:numId="43">
    <w:abstractNumId w:val="14"/>
  </w:num>
  <w:num w:numId="44">
    <w:abstractNumId w:val="12"/>
  </w:num>
  <w:num w:numId="45">
    <w:abstractNumId w:val="16"/>
  </w:num>
  <w:num w:numId="46">
    <w:abstractNumId w:val="4"/>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D21"/>
    <w:rsid w:val="00001E4D"/>
    <w:rsid w:val="00003E1F"/>
    <w:rsid w:val="00006BCB"/>
    <w:rsid w:val="0001247F"/>
    <w:rsid w:val="00012A9C"/>
    <w:rsid w:val="00014EF9"/>
    <w:rsid w:val="0002566F"/>
    <w:rsid w:val="00033DD9"/>
    <w:rsid w:val="000370FC"/>
    <w:rsid w:val="000401BE"/>
    <w:rsid w:val="00041B99"/>
    <w:rsid w:val="0004219C"/>
    <w:rsid w:val="00051378"/>
    <w:rsid w:val="0005170F"/>
    <w:rsid w:val="00057FF5"/>
    <w:rsid w:val="00070240"/>
    <w:rsid w:val="0007713D"/>
    <w:rsid w:val="0008099F"/>
    <w:rsid w:val="00083C44"/>
    <w:rsid w:val="0008466A"/>
    <w:rsid w:val="00086F34"/>
    <w:rsid w:val="00092C68"/>
    <w:rsid w:val="00093B97"/>
    <w:rsid w:val="000A00EF"/>
    <w:rsid w:val="000A41BD"/>
    <w:rsid w:val="000A6BDC"/>
    <w:rsid w:val="000B39B6"/>
    <w:rsid w:val="000C2558"/>
    <w:rsid w:val="000C2A7C"/>
    <w:rsid w:val="000C4A83"/>
    <w:rsid w:val="000C741E"/>
    <w:rsid w:val="000C76CF"/>
    <w:rsid w:val="000D479E"/>
    <w:rsid w:val="000D4F9B"/>
    <w:rsid w:val="000F420E"/>
    <w:rsid w:val="000F5405"/>
    <w:rsid w:val="000F556F"/>
    <w:rsid w:val="0010524E"/>
    <w:rsid w:val="00110CAC"/>
    <w:rsid w:val="00112A17"/>
    <w:rsid w:val="0011529B"/>
    <w:rsid w:val="001177FC"/>
    <w:rsid w:val="00122AC5"/>
    <w:rsid w:val="0013223C"/>
    <w:rsid w:val="001327D8"/>
    <w:rsid w:val="00150592"/>
    <w:rsid w:val="00152408"/>
    <w:rsid w:val="00155A57"/>
    <w:rsid w:val="00160E9D"/>
    <w:rsid w:val="0016267F"/>
    <w:rsid w:val="00166E4B"/>
    <w:rsid w:val="001714FD"/>
    <w:rsid w:val="00171B79"/>
    <w:rsid w:val="00176941"/>
    <w:rsid w:val="001804D0"/>
    <w:rsid w:val="00182193"/>
    <w:rsid w:val="00185BAE"/>
    <w:rsid w:val="00190885"/>
    <w:rsid w:val="00191229"/>
    <w:rsid w:val="0019283B"/>
    <w:rsid w:val="00194E0A"/>
    <w:rsid w:val="00195CED"/>
    <w:rsid w:val="001B4D42"/>
    <w:rsid w:val="001C0B01"/>
    <w:rsid w:val="001C5185"/>
    <w:rsid w:val="001D434E"/>
    <w:rsid w:val="001E4B28"/>
    <w:rsid w:val="001E5BFA"/>
    <w:rsid w:val="001F06EE"/>
    <w:rsid w:val="001F2E07"/>
    <w:rsid w:val="001F5052"/>
    <w:rsid w:val="002032AD"/>
    <w:rsid w:val="00206C33"/>
    <w:rsid w:val="00206D1D"/>
    <w:rsid w:val="002176CC"/>
    <w:rsid w:val="00223C4A"/>
    <w:rsid w:val="00227578"/>
    <w:rsid w:val="002301BF"/>
    <w:rsid w:val="00236C3B"/>
    <w:rsid w:val="00237DBB"/>
    <w:rsid w:val="00247F3C"/>
    <w:rsid w:val="00250D7F"/>
    <w:rsid w:val="00256BC9"/>
    <w:rsid w:val="00261711"/>
    <w:rsid w:val="00261CB0"/>
    <w:rsid w:val="00265840"/>
    <w:rsid w:val="00284A02"/>
    <w:rsid w:val="00292C7E"/>
    <w:rsid w:val="00292D3D"/>
    <w:rsid w:val="00293C4A"/>
    <w:rsid w:val="002A75D0"/>
    <w:rsid w:val="002B25C7"/>
    <w:rsid w:val="002C291B"/>
    <w:rsid w:val="002C3C73"/>
    <w:rsid w:val="002D150A"/>
    <w:rsid w:val="002D44ED"/>
    <w:rsid w:val="002D6BA3"/>
    <w:rsid w:val="002E1C85"/>
    <w:rsid w:val="002E1C87"/>
    <w:rsid w:val="002F005D"/>
    <w:rsid w:val="002F5B5D"/>
    <w:rsid w:val="002F6C1C"/>
    <w:rsid w:val="00303430"/>
    <w:rsid w:val="00315662"/>
    <w:rsid w:val="0032531D"/>
    <w:rsid w:val="00342974"/>
    <w:rsid w:val="00352421"/>
    <w:rsid w:val="0036022C"/>
    <w:rsid w:val="003661E7"/>
    <w:rsid w:val="003710F7"/>
    <w:rsid w:val="00374AD7"/>
    <w:rsid w:val="003774E0"/>
    <w:rsid w:val="00377F2D"/>
    <w:rsid w:val="00381E40"/>
    <w:rsid w:val="00384926"/>
    <w:rsid w:val="0039122B"/>
    <w:rsid w:val="003922B2"/>
    <w:rsid w:val="00394CAF"/>
    <w:rsid w:val="003A0797"/>
    <w:rsid w:val="003A0FA3"/>
    <w:rsid w:val="003A1D82"/>
    <w:rsid w:val="003B4B6D"/>
    <w:rsid w:val="003C16B1"/>
    <w:rsid w:val="003C1C81"/>
    <w:rsid w:val="003C58DD"/>
    <w:rsid w:val="003C5B7D"/>
    <w:rsid w:val="003D245E"/>
    <w:rsid w:val="003D48F8"/>
    <w:rsid w:val="003D64C6"/>
    <w:rsid w:val="003E0238"/>
    <w:rsid w:val="003E03EE"/>
    <w:rsid w:val="003E2537"/>
    <w:rsid w:val="003E381A"/>
    <w:rsid w:val="003E4E0C"/>
    <w:rsid w:val="003F35A4"/>
    <w:rsid w:val="003F67EF"/>
    <w:rsid w:val="003F7CD7"/>
    <w:rsid w:val="0040254A"/>
    <w:rsid w:val="00404829"/>
    <w:rsid w:val="004051EB"/>
    <w:rsid w:val="00412DE3"/>
    <w:rsid w:val="004158B8"/>
    <w:rsid w:val="00420632"/>
    <w:rsid w:val="00420E4C"/>
    <w:rsid w:val="00421192"/>
    <w:rsid w:val="00426762"/>
    <w:rsid w:val="004360A3"/>
    <w:rsid w:val="00436F35"/>
    <w:rsid w:val="004422B6"/>
    <w:rsid w:val="00444049"/>
    <w:rsid w:val="00453796"/>
    <w:rsid w:val="004556E5"/>
    <w:rsid w:val="00460BA1"/>
    <w:rsid w:val="00465114"/>
    <w:rsid w:val="00467C1F"/>
    <w:rsid w:val="0047097C"/>
    <w:rsid w:val="00492239"/>
    <w:rsid w:val="00497791"/>
    <w:rsid w:val="004A1004"/>
    <w:rsid w:val="004A175B"/>
    <w:rsid w:val="004A601D"/>
    <w:rsid w:val="004B4E1A"/>
    <w:rsid w:val="004C1DB4"/>
    <w:rsid w:val="004C7660"/>
    <w:rsid w:val="004D149A"/>
    <w:rsid w:val="004D51F8"/>
    <w:rsid w:val="004D6D95"/>
    <w:rsid w:val="004E33E0"/>
    <w:rsid w:val="004F310D"/>
    <w:rsid w:val="004F7C1A"/>
    <w:rsid w:val="005069D8"/>
    <w:rsid w:val="00510544"/>
    <w:rsid w:val="00526060"/>
    <w:rsid w:val="005400AD"/>
    <w:rsid w:val="0054130D"/>
    <w:rsid w:val="00542A80"/>
    <w:rsid w:val="005468AB"/>
    <w:rsid w:val="0055312B"/>
    <w:rsid w:val="00553DF0"/>
    <w:rsid w:val="0055765B"/>
    <w:rsid w:val="005619D9"/>
    <w:rsid w:val="005639BF"/>
    <w:rsid w:val="00564CD0"/>
    <w:rsid w:val="005654C6"/>
    <w:rsid w:val="0056657B"/>
    <w:rsid w:val="00566616"/>
    <w:rsid w:val="0057044F"/>
    <w:rsid w:val="005705FE"/>
    <w:rsid w:val="005837EF"/>
    <w:rsid w:val="005A2196"/>
    <w:rsid w:val="005A5DEB"/>
    <w:rsid w:val="005B12F8"/>
    <w:rsid w:val="005B2F4C"/>
    <w:rsid w:val="005B340A"/>
    <w:rsid w:val="005B3D21"/>
    <w:rsid w:val="005C4D05"/>
    <w:rsid w:val="005C73E4"/>
    <w:rsid w:val="005D1DB4"/>
    <w:rsid w:val="005E0A21"/>
    <w:rsid w:val="005E1C5B"/>
    <w:rsid w:val="005E1E31"/>
    <w:rsid w:val="005E24EB"/>
    <w:rsid w:val="005F1B1A"/>
    <w:rsid w:val="005F42B3"/>
    <w:rsid w:val="006108A5"/>
    <w:rsid w:val="00615387"/>
    <w:rsid w:val="0062454E"/>
    <w:rsid w:val="00653155"/>
    <w:rsid w:val="006534D5"/>
    <w:rsid w:val="00665680"/>
    <w:rsid w:val="006701E8"/>
    <w:rsid w:val="00676631"/>
    <w:rsid w:val="006770A2"/>
    <w:rsid w:val="00680081"/>
    <w:rsid w:val="00686CB3"/>
    <w:rsid w:val="0069394D"/>
    <w:rsid w:val="00696A79"/>
    <w:rsid w:val="006A6BDA"/>
    <w:rsid w:val="006A7073"/>
    <w:rsid w:val="006B1AB8"/>
    <w:rsid w:val="006B25AC"/>
    <w:rsid w:val="006B3941"/>
    <w:rsid w:val="006C0B7B"/>
    <w:rsid w:val="006C1DD6"/>
    <w:rsid w:val="006C7E15"/>
    <w:rsid w:val="006D1178"/>
    <w:rsid w:val="006D27D9"/>
    <w:rsid w:val="006D30F9"/>
    <w:rsid w:val="006D33C6"/>
    <w:rsid w:val="006D4C0C"/>
    <w:rsid w:val="006E1D51"/>
    <w:rsid w:val="006E3061"/>
    <w:rsid w:val="006E59E4"/>
    <w:rsid w:val="006E5EBD"/>
    <w:rsid w:val="006F081D"/>
    <w:rsid w:val="006F1362"/>
    <w:rsid w:val="006F2CD9"/>
    <w:rsid w:val="006F2E70"/>
    <w:rsid w:val="006F4A7E"/>
    <w:rsid w:val="006F7358"/>
    <w:rsid w:val="00704F53"/>
    <w:rsid w:val="00712A9D"/>
    <w:rsid w:val="007164F5"/>
    <w:rsid w:val="00717483"/>
    <w:rsid w:val="00723989"/>
    <w:rsid w:val="00724ACA"/>
    <w:rsid w:val="007308AF"/>
    <w:rsid w:val="00732743"/>
    <w:rsid w:val="00734F62"/>
    <w:rsid w:val="00735197"/>
    <w:rsid w:val="0074307C"/>
    <w:rsid w:val="007535E8"/>
    <w:rsid w:val="00754052"/>
    <w:rsid w:val="00760CDE"/>
    <w:rsid w:val="00764E72"/>
    <w:rsid w:val="00766133"/>
    <w:rsid w:val="007670C3"/>
    <w:rsid w:val="0077364E"/>
    <w:rsid w:val="00775EC4"/>
    <w:rsid w:val="00792BC6"/>
    <w:rsid w:val="007930FB"/>
    <w:rsid w:val="007945C9"/>
    <w:rsid w:val="007954ED"/>
    <w:rsid w:val="007A16FA"/>
    <w:rsid w:val="007A5058"/>
    <w:rsid w:val="007A728B"/>
    <w:rsid w:val="007B0AE9"/>
    <w:rsid w:val="007C1E62"/>
    <w:rsid w:val="007D6DC1"/>
    <w:rsid w:val="007F5C9E"/>
    <w:rsid w:val="007F732F"/>
    <w:rsid w:val="007F7ABA"/>
    <w:rsid w:val="00800465"/>
    <w:rsid w:val="00801087"/>
    <w:rsid w:val="00803A7B"/>
    <w:rsid w:val="008058B3"/>
    <w:rsid w:val="008067D6"/>
    <w:rsid w:val="00813139"/>
    <w:rsid w:val="00820F83"/>
    <w:rsid w:val="008244A3"/>
    <w:rsid w:val="00825603"/>
    <w:rsid w:val="00833FB2"/>
    <w:rsid w:val="00835800"/>
    <w:rsid w:val="00836641"/>
    <w:rsid w:val="0083669B"/>
    <w:rsid w:val="008373C5"/>
    <w:rsid w:val="00840D21"/>
    <w:rsid w:val="0084199F"/>
    <w:rsid w:val="008422A1"/>
    <w:rsid w:val="0084379F"/>
    <w:rsid w:val="00844694"/>
    <w:rsid w:val="00851488"/>
    <w:rsid w:val="008614C9"/>
    <w:rsid w:val="00863C25"/>
    <w:rsid w:val="00864D28"/>
    <w:rsid w:val="008656D3"/>
    <w:rsid w:val="00870D24"/>
    <w:rsid w:val="00877092"/>
    <w:rsid w:val="00896A7C"/>
    <w:rsid w:val="00897BBF"/>
    <w:rsid w:val="008A489E"/>
    <w:rsid w:val="008B11FF"/>
    <w:rsid w:val="008B1767"/>
    <w:rsid w:val="008B3E6B"/>
    <w:rsid w:val="008B7F99"/>
    <w:rsid w:val="008C2AC3"/>
    <w:rsid w:val="008C6A61"/>
    <w:rsid w:val="008C6E97"/>
    <w:rsid w:val="008D1149"/>
    <w:rsid w:val="008D531E"/>
    <w:rsid w:val="008D7FB8"/>
    <w:rsid w:val="008E02FC"/>
    <w:rsid w:val="008E0344"/>
    <w:rsid w:val="008E4BD4"/>
    <w:rsid w:val="008E76D5"/>
    <w:rsid w:val="008F0AA6"/>
    <w:rsid w:val="008F21CA"/>
    <w:rsid w:val="00911E91"/>
    <w:rsid w:val="00912C2A"/>
    <w:rsid w:val="00915D04"/>
    <w:rsid w:val="00916FC8"/>
    <w:rsid w:val="00932314"/>
    <w:rsid w:val="00932A24"/>
    <w:rsid w:val="00934631"/>
    <w:rsid w:val="00934EE7"/>
    <w:rsid w:val="00942CB5"/>
    <w:rsid w:val="009447C4"/>
    <w:rsid w:val="00944A4C"/>
    <w:rsid w:val="00946224"/>
    <w:rsid w:val="00960324"/>
    <w:rsid w:val="00962ADB"/>
    <w:rsid w:val="00963267"/>
    <w:rsid w:val="00970845"/>
    <w:rsid w:val="0098552E"/>
    <w:rsid w:val="00991530"/>
    <w:rsid w:val="00991E5F"/>
    <w:rsid w:val="00992C10"/>
    <w:rsid w:val="00995109"/>
    <w:rsid w:val="009A0CC8"/>
    <w:rsid w:val="009A122D"/>
    <w:rsid w:val="009A5173"/>
    <w:rsid w:val="009A7100"/>
    <w:rsid w:val="009B2D8C"/>
    <w:rsid w:val="009C0F75"/>
    <w:rsid w:val="009C406B"/>
    <w:rsid w:val="009C5B9C"/>
    <w:rsid w:val="009D1E04"/>
    <w:rsid w:val="009E285A"/>
    <w:rsid w:val="009F2820"/>
    <w:rsid w:val="00A00C17"/>
    <w:rsid w:val="00A12468"/>
    <w:rsid w:val="00A13D38"/>
    <w:rsid w:val="00A340F3"/>
    <w:rsid w:val="00A352D6"/>
    <w:rsid w:val="00A3642E"/>
    <w:rsid w:val="00A427AE"/>
    <w:rsid w:val="00A42EA0"/>
    <w:rsid w:val="00A4441B"/>
    <w:rsid w:val="00A4549A"/>
    <w:rsid w:val="00A47820"/>
    <w:rsid w:val="00A62AE3"/>
    <w:rsid w:val="00A70260"/>
    <w:rsid w:val="00A72FFA"/>
    <w:rsid w:val="00A8027E"/>
    <w:rsid w:val="00A85F19"/>
    <w:rsid w:val="00A8603B"/>
    <w:rsid w:val="00A950CA"/>
    <w:rsid w:val="00A95D79"/>
    <w:rsid w:val="00A96EE5"/>
    <w:rsid w:val="00AB1618"/>
    <w:rsid w:val="00AB3654"/>
    <w:rsid w:val="00AB38BD"/>
    <w:rsid w:val="00AB6259"/>
    <w:rsid w:val="00AB6E99"/>
    <w:rsid w:val="00AB752E"/>
    <w:rsid w:val="00AC11CF"/>
    <w:rsid w:val="00AC60FA"/>
    <w:rsid w:val="00AE64BB"/>
    <w:rsid w:val="00AF5F9A"/>
    <w:rsid w:val="00B0062B"/>
    <w:rsid w:val="00B0487D"/>
    <w:rsid w:val="00B11198"/>
    <w:rsid w:val="00B13442"/>
    <w:rsid w:val="00B247CD"/>
    <w:rsid w:val="00B311CF"/>
    <w:rsid w:val="00B31BC3"/>
    <w:rsid w:val="00B34C87"/>
    <w:rsid w:val="00B5799A"/>
    <w:rsid w:val="00B65C4E"/>
    <w:rsid w:val="00B65E8F"/>
    <w:rsid w:val="00B66C01"/>
    <w:rsid w:val="00B67066"/>
    <w:rsid w:val="00B67448"/>
    <w:rsid w:val="00B702ED"/>
    <w:rsid w:val="00B74D42"/>
    <w:rsid w:val="00B76F20"/>
    <w:rsid w:val="00B87140"/>
    <w:rsid w:val="00B87A82"/>
    <w:rsid w:val="00BA08E5"/>
    <w:rsid w:val="00BA3675"/>
    <w:rsid w:val="00BA790C"/>
    <w:rsid w:val="00BB1A00"/>
    <w:rsid w:val="00BB229D"/>
    <w:rsid w:val="00BB30A0"/>
    <w:rsid w:val="00BB4492"/>
    <w:rsid w:val="00BB57DB"/>
    <w:rsid w:val="00BB692E"/>
    <w:rsid w:val="00BC0608"/>
    <w:rsid w:val="00BC13A4"/>
    <w:rsid w:val="00BC5ED5"/>
    <w:rsid w:val="00BD0AA6"/>
    <w:rsid w:val="00BD0D19"/>
    <w:rsid w:val="00BD2F1D"/>
    <w:rsid w:val="00BD6C47"/>
    <w:rsid w:val="00BE6528"/>
    <w:rsid w:val="00BF5628"/>
    <w:rsid w:val="00C06F63"/>
    <w:rsid w:val="00C1060F"/>
    <w:rsid w:val="00C1210D"/>
    <w:rsid w:val="00C13CC6"/>
    <w:rsid w:val="00C15C40"/>
    <w:rsid w:val="00C1690F"/>
    <w:rsid w:val="00C246A0"/>
    <w:rsid w:val="00C26FEF"/>
    <w:rsid w:val="00C3291F"/>
    <w:rsid w:val="00C35300"/>
    <w:rsid w:val="00C366E8"/>
    <w:rsid w:val="00C42209"/>
    <w:rsid w:val="00C5418C"/>
    <w:rsid w:val="00C572C1"/>
    <w:rsid w:val="00C57DCF"/>
    <w:rsid w:val="00C63E37"/>
    <w:rsid w:val="00C74257"/>
    <w:rsid w:val="00C74FA8"/>
    <w:rsid w:val="00C75F5E"/>
    <w:rsid w:val="00C779A9"/>
    <w:rsid w:val="00C80416"/>
    <w:rsid w:val="00C835B7"/>
    <w:rsid w:val="00C8738D"/>
    <w:rsid w:val="00C93854"/>
    <w:rsid w:val="00C943DF"/>
    <w:rsid w:val="00CA2F5A"/>
    <w:rsid w:val="00CB1F27"/>
    <w:rsid w:val="00CB6900"/>
    <w:rsid w:val="00CC4733"/>
    <w:rsid w:val="00CC6C2E"/>
    <w:rsid w:val="00CC73CE"/>
    <w:rsid w:val="00CD01E9"/>
    <w:rsid w:val="00CD2E2E"/>
    <w:rsid w:val="00CE0247"/>
    <w:rsid w:val="00CF0040"/>
    <w:rsid w:val="00CF33A8"/>
    <w:rsid w:val="00CF3D24"/>
    <w:rsid w:val="00D01BA1"/>
    <w:rsid w:val="00D03691"/>
    <w:rsid w:val="00D04844"/>
    <w:rsid w:val="00D108C3"/>
    <w:rsid w:val="00D20205"/>
    <w:rsid w:val="00D31CB2"/>
    <w:rsid w:val="00D33EC9"/>
    <w:rsid w:val="00D347FA"/>
    <w:rsid w:val="00D36B0B"/>
    <w:rsid w:val="00D41829"/>
    <w:rsid w:val="00D5494A"/>
    <w:rsid w:val="00D61553"/>
    <w:rsid w:val="00D6315C"/>
    <w:rsid w:val="00D63E28"/>
    <w:rsid w:val="00D64BFE"/>
    <w:rsid w:val="00D658A8"/>
    <w:rsid w:val="00D66B3D"/>
    <w:rsid w:val="00D6774A"/>
    <w:rsid w:val="00D71900"/>
    <w:rsid w:val="00D73D81"/>
    <w:rsid w:val="00D80D27"/>
    <w:rsid w:val="00D85559"/>
    <w:rsid w:val="00D92993"/>
    <w:rsid w:val="00DA74BC"/>
    <w:rsid w:val="00DB2486"/>
    <w:rsid w:val="00DB6CB3"/>
    <w:rsid w:val="00DC7B34"/>
    <w:rsid w:val="00DD5B7D"/>
    <w:rsid w:val="00DD64DC"/>
    <w:rsid w:val="00DE2322"/>
    <w:rsid w:val="00DE472E"/>
    <w:rsid w:val="00DE6128"/>
    <w:rsid w:val="00DF3095"/>
    <w:rsid w:val="00E13C5B"/>
    <w:rsid w:val="00E1790E"/>
    <w:rsid w:val="00E20A2B"/>
    <w:rsid w:val="00E24229"/>
    <w:rsid w:val="00E2426D"/>
    <w:rsid w:val="00E25022"/>
    <w:rsid w:val="00E3540A"/>
    <w:rsid w:val="00E37C66"/>
    <w:rsid w:val="00E41EEF"/>
    <w:rsid w:val="00E44B03"/>
    <w:rsid w:val="00E5429B"/>
    <w:rsid w:val="00E5494E"/>
    <w:rsid w:val="00E574FE"/>
    <w:rsid w:val="00E64497"/>
    <w:rsid w:val="00E71F54"/>
    <w:rsid w:val="00E72CD5"/>
    <w:rsid w:val="00E7362E"/>
    <w:rsid w:val="00E82437"/>
    <w:rsid w:val="00E91AD5"/>
    <w:rsid w:val="00E95744"/>
    <w:rsid w:val="00EA16FF"/>
    <w:rsid w:val="00EA3CD7"/>
    <w:rsid w:val="00EB58E9"/>
    <w:rsid w:val="00EB5B06"/>
    <w:rsid w:val="00EB7D98"/>
    <w:rsid w:val="00EC1A17"/>
    <w:rsid w:val="00EC577C"/>
    <w:rsid w:val="00EC6C8A"/>
    <w:rsid w:val="00EC73B3"/>
    <w:rsid w:val="00EC7747"/>
    <w:rsid w:val="00ED2DE9"/>
    <w:rsid w:val="00ED5596"/>
    <w:rsid w:val="00EF3C2F"/>
    <w:rsid w:val="00EF4169"/>
    <w:rsid w:val="00EF51F7"/>
    <w:rsid w:val="00EF53D4"/>
    <w:rsid w:val="00EF63D1"/>
    <w:rsid w:val="00EF6675"/>
    <w:rsid w:val="00F00B00"/>
    <w:rsid w:val="00F04810"/>
    <w:rsid w:val="00F16936"/>
    <w:rsid w:val="00F210D5"/>
    <w:rsid w:val="00F214C5"/>
    <w:rsid w:val="00F2430B"/>
    <w:rsid w:val="00F3093E"/>
    <w:rsid w:val="00F54D7F"/>
    <w:rsid w:val="00F553A9"/>
    <w:rsid w:val="00F57201"/>
    <w:rsid w:val="00F63F31"/>
    <w:rsid w:val="00F71FE5"/>
    <w:rsid w:val="00F7217B"/>
    <w:rsid w:val="00F76A73"/>
    <w:rsid w:val="00F80B3F"/>
    <w:rsid w:val="00F84672"/>
    <w:rsid w:val="00FA05F2"/>
    <w:rsid w:val="00FA59E1"/>
    <w:rsid w:val="00FB4C66"/>
    <w:rsid w:val="00FB76FF"/>
    <w:rsid w:val="00FC19C8"/>
    <w:rsid w:val="00FC2C90"/>
    <w:rsid w:val="00FD1790"/>
    <w:rsid w:val="00FD6485"/>
    <w:rsid w:val="00FE54AC"/>
    <w:rsid w:val="00FF56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BCC3"/>
  <w15:chartTrackingRefBased/>
  <w15:docId w15:val="{CCB80C3C-F6D1-41A1-936F-1B35CE6B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E0247"/>
  </w:style>
  <w:style w:type="paragraph" w:styleId="Titolo1">
    <w:name w:val="heading 1"/>
    <w:basedOn w:val="Normale"/>
    <w:next w:val="Normale"/>
    <w:link w:val="Titolo1Carattere"/>
    <w:uiPriority w:val="9"/>
    <w:qFormat/>
    <w:rsid w:val="00CE0247"/>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itolo2">
    <w:name w:val="heading 2"/>
    <w:basedOn w:val="Normale"/>
    <w:next w:val="Normale"/>
    <w:link w:val="Titolo2Carattere"/>
    <w:uiPriority w:val="9"/>
    <w:unhideWhenUsed/>
    <w:qFormat/>
    <w:rsid w:val="00CE0247"/>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CE0247"/>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CE0247"/>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itolo5">
    <w:name w:val="heading 5"/>
    <w:basedOn w:val="Normale"/>
    <w:next w:val="Normale"/>
    <w:link w:val="Titolo5Carattere"/>
    <w:uiPriority w:val="9"/>
    <w:unhideWhenUsed/>
    <w:qFormat/>
    <w:rsid w:val="00CE0247"/>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itolo6">
    <w:name w:val="heading 6"/>
    <w:basedOn w:val="Normale"/>
    <w:next w:val="Normale"/>
    <w:link w:val="Titolo6Carattere"/>
    <w:uiPriority w:val="9"/>
    <w:semiHidden/>
    <w:unhideWhenUsed/>
    <w:qFormat/>
    <w:rsid w:val="00CE0247"/>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itolo7">
    <w:name w:val="heading 7"/>
    <w:basedOn w:val="Normale"/>
    <w:next w:val="Normale"/>
    <w:link w:val="Titolo7Carattere"/>
    <w:uiPriority w:val="9"/>
    <w:semiHidden/>
    <w:unhideWhenUsed/>
    <w:qFormat/>
    <w:rsid w:val="00CE0247"/>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itolo8">
    <w:name w:val="heading 8"/>
    <w:basedOn w:val="Normale"/>
    <w:next w:val="Normale"/>
    <w:link w:val="Titolo8Carattere"/>
    <w:uiPriority w:val="9"/>
    <w:semiHidden/>
    <w:unhideWhenUsed/>
    <w:qFormat/>
    <w:rsid w:val="00CE0247"/>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itolo9">
    <w:name w:val="heading 9"/>
    <w:basedOn w:val="Normale"/>
    <w:next w:val="Normale"/>
    <w:link w:val="Titolo9Carattere"/>
    <w:uiPriority w:val="9"/>
    <w:semiHidden/>
    <w:unhideWhenUsed/>
    <w:qFormat/>
    <w:rsid w:val="00CE0247"/>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E0247"/>
    <w:rPr>
      <w:rFonts w:asciiTheme="majorHAnsi" w:eastAsiaTheme="majorEastAsia" w:hAnsiTheme="majorHAnsi" w:cstheme="majorBidi"/>
      <w:color w:val="1F3864" w:themeColor="accent1" w:themeShade="80"/>
      <w:sz w:val="36"/>
      <w:szCs w:val="36"/>
    </w:rPr>
  </w:style>
  <w:style w:type="character" w:customStyle="1" w:styleId="Titolo2Carattere">
    <w:name w:val="Titolo 2 Carattere"/>
    <w:basedOn w:val="Carpredefinitoparagrafo"/>
    <w:link w:val="Titolo2"/>
    <w:uiPriority w:val="9"/>
    <w:rsid w:val="00CE024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CE0247"/>
    <w:rPr>
      <w:rFonts w:asciiTheme="majorHAnsi" w:eastAsiaTheme="majorEastAsia" w:hAnsiTheme="majorHAnsi" w:cstheme="majorBidi"/>
      <w:color w:val="2F5496" w:themeColor="accent1" w:themeShade="BF"/>
      <w:sz w:val="28"/>
      <w:szCs w:val="28"/>
    </w:rPr>
  </w:style>
  <w:style w:type="character" w:customStyle="1" w:styleId="Titolo4Carattere">
    <w:name w:val="Titolo 4 Carattere"/>
    <w:basedOn w:val="Carpredefinitoparagrafo"/>
    <w:link w:val="Titolo4"/>
    <w:uiPriority w:val="9"/>
    <w:rsid w:val="00CE0247"/>
    <w:rPr>
      <w:rFonts w:asciiTheme="majorHAnsi" w:eastAsiaTheme="majorEastAsia" w:hAnsiTheme="majorHAnsi" w:cstheme="majorBidi"/>
      <w:color w:val="2F5496" w:themeColor="accent1" w:themeShade="BF"/>
      <w:sz w:val="24"/>
      <w:szCs w:val="24"/>
    </w:rPr>
  </w:style>
  <w:style w:type="character" w:customStyle="1" w:styleId="Titolo5Carattere">
    <w:name w:val="Titolo 5 Carattere"/>
    <w:basedOn w:val="Carpredefinitoparagrafo"/>
    <w:link w:val="Titolo5"/>
    <w:uiPriority w:val="9"/>
    <w:rsid w:val="00CE0247"/>
    <w:rPr>
      <w:rFonts w:asciiTheme="majorHAnsi" w:eastAsiaTheme="majorEastAsia" w:hAnsiTheme="majorHAnsi" w:cstheme="majorBidi"/>
      <w:caps/>
      <w:color w:val="2F5496" w:themeColor="accent1" w:themeShade="BF"/>
    </w:rPr>
  </w:style>
  <w:style w:type="character" w:customStyle="1" w:styleId="Titolo6Carattere">
    <w:name w:val="Titolo 6 Carattere"/>
    <w:basedOn w:val="Carpredefinitoparagrafo"/>
    <w:link w:val="Titolo6"/>
    <w:uiPriority w:val="9"/>
    <w:semiHidden/>
    <w:rsid w:val="00CE0247"/>
    <w:rPr>
      <w:rFonts w:asciiTheme="majorHAnsi" w:eastAsiaTheme="majorEastAsia" w:hAnsiTheme="majorHAnsi" w:cstheme="majorBidi"/>
      <w:i/>
      <w:iCs/>
      <w:caps/>
      <w:color w:val="1F3864" w:themeColor="accent1" w:themeShade="80"/>
    </w:rPr>
  </w:style>
  <w:style w:type="character" w:customStyle="1" w:styleId="Titolo7Carattere">
    <w:name w:val="Titolo 7 Carattere"/>
    <w:basedOn w:val="Carpredefinitoparagrafo"/>
    <w:link w:val="Titolo7"/>
    <w:uiPriority w:val="9"/>
    <w:semiHidden/>
    <w:rsid w:val="00CE0247"/>
    <w:rPr>
      <w:rFonts w:asciiTheme="majorHAnsi" w:eastAsiaTheme="majorEastAsia" w:hAnsiTheme="majorHAnsi" w:cstheme="majorBidi"/>
      <w:b/>
      <w:bCs/>
      <w:color w:val="1F3864" w:themeColor="accent1" w:themeShade="80"/>
    </w:rPr>
  </w:style>
  <w:style w:type="character" w:customStyle="1" w:styleId="Titolo8Carattere">
    <w:name w:val="Titolo 8 Carattere"/>
    <w:basedOn w:val="Carpredefinitoparagrafo"/>
    <w:link w:val="Titolo8"/>
    <w:uiPriority w:val="9"/>
    <w:semiHidden/>
    <w:rsid w:val="00CE0247"/>
    <w:rPr>
      <w:rFonts w:asciiTheme="majorHAnsi" w:eastAsiaTheme="majorEastAsia" w:hAnsiTheme="majorHAnsi" w:cstheme="majorBidi"/>
      <w:b/>
      <w:bCs/>
      <w:i/>
      <w:iCs/>
      <w:color w:val="1F3864" w:themeColor="accent1" w:themeShade="80"/>
    </w:rPr>
  </w:style>
  <w:style w:type="character" w:customStyle="1" w:styleId="Titolo9Carattere">
    <w:name w:val="Titolo 9 Carattere"/>
    <w:basedOn w:val="Carpredefinitoparagrafo"/>
    <w:link w:val="Titolo9"/>
    <w:uiPriority w:val="9"/>
    <w:semiHidden/>
    <w:rsid w:val="00CE0247"/>
    <w:rPr>
      <w:rFonts w:asciiTheme="majorHAnsi" w:eastAsiaTheme="majorEastAsia" w:hAnsiTheme="majorHAnsi" w:cstheme="majorBidi"/>
      <w:i/>
      <w:iCs/>
      <w:color w:val="1F3864" w:themeColor="accent1" w:themeShade="80"/>
    </w:rPr>
  </w:style>
  <w:style w:type="paragraph" w:styleId="Titolo">
    <w:name w:val="Title"/>
    <w:basedOn w:val="Normale"/>
    <w:next w:val="Normale"/>
    <w:link w:val="TitoloCarattere"/>
    <w:uiPriority w:val="10"/>
    <w:qFormat/>
    <w:rsid w:val="00CE024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oloCarattere">
    <w:name w:val="Titolo Carattere"/>
    <w:basedOn w:val="Carpredefinitoparagrafo"/>
    <w:link w:val="Titolo"/>
    <w:uiPriority w:val="10"/>
    <w:rsid w:val="00CE0247"/>
    <w:rPr>
      <w:rFonts w:asciiTheme="majorHAnsi" w:eastAsiaTheme="majorEastAsia" w:hAnsiTheme="majorHAnsi" w:cstheme="majorBidi"/>
      <w:caps/>
      <w:color w:val="44546A" w:themeColor="text2"/>
      <w:spacing w:val="-15"/>
      <w:sz w:val="72"/>
      <w:szCs w:val="72"/>
    </w:rPr>
  </w:style>
  <w:style w:type="paragraph" w:styleId="Sottotitolo">
    <w:name w:val="Subtitle"/>
    <w:basedOn w:val="Normale"/>
    <w:next w:val="Normale"/>
    <w:link w:val="SottotitoloCarattere"/>
    <w:uiPriority w:val="11"/>
    <w:qFormat/>
    <w:rsid w:val="00CE0247"/>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ottotitoloCarattere">
    <w:name w:val="Sottotitolo Carattere"/>
    <w:basedOn w:val="Carpredefinitoparagrafo"/>
    <w:link w:val="Sottotitolo"/>
    <w:uiPriority w:val="11"/>
    <w:rsid w:val="00CE0247"/>
    <w:rPr>
      <w:rFonts w:asciiTheme="majorHAnsi" w:eastAsiaTheme="majorEastAsia" w:hAnsiTheme="majorHAnsi" w:cstheme="majorBidi"/>
      <w:color w:val="4472C4" w:themeColor="accent1"/>
      <w:sz w:val="28"/>
      <w:szCs w:val="28"/>
    </w:rPr>
  </w:style>
  <w:style w:type="character" w:styleId="Enfasicorsivo">
    <w:name w:val="Emphasis"/>
    <w:basedOn w:val="Carpredefinitoparagrafo"/>
    <w:uiPriority w:val="20"/>
    <w:qFormat/>
    <w:rsid w:val="00CE0247"/>
    <w:rPr>
      <w:i/>
      <w:iCs/>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p1"/>
    <w:basedOn w:val="Normale"/>
    <w:link w:val="ParagrafoelencoCarattere"/>
    <w:uiPriority w:val="34"/>
    <w:qFormat/>
    <w:rsid w:val="00F2430B"/>
    <w:pPr>
      <w:ind w:left="720"/>
      <w:contextualSpacing/>
    </w:pPr>
  </w:style>
  <w:style w:type="character" w:styleId="Riferimentodelicato">
    <w:name w:val="Subtle Reference"/>
    <w:basedOn w:val="Carpredefinitoparagrafo"/>
    <w:uiPriority w:val="31"/>
    <w:qFormat/>
    <w:rsid w:val="00CE0247"/>
    <w:rPr>
      <w:smallCaps/>
      <w:color w:val="595959" w:themeColor="text1" w:themeTint="A6"/>
      <w:u w:val="none" w:color="7F7F7F" w:themeColor="text1" w:themeTint="80"/>
      <w:bdr w:val="none" w:sz="0" w:space="0" w:color="auto"/>
    </w:rPr>
  </w:style>
  <w:style w:type="character" w:styleId="Riferimentointenso">
    <w:name w:val="Intense Reference"/>
    <w:basedOn w:val="Carpredefinitoparagrafo"/>
    <w:uiPriority w:val="32"/>
    <w:qFormat/>
    <w:rsid w:val="00CE0247"/>
    <w:rPr>
      <w:b/>
      <w:bCs/>
      <w:smallCaps/>
      <w:color w:val="44546A" w:themeColor="text2"/>
      <w:u w:val="single"/>
    </w:rPr>
  </w:style>
  <w:style w:type="paragraph" w:styleId="Titolosommario">
    <w:name w:val="TOC Heading"/>
    <w:basedOn w:val="Titolo1"/>
    <w:next w:val="Normale"/>
    <w:uiPriority w:val="39"/>
    <w:unhideWhenUsed/>
    <w:qFormat/>
    <w:rsid w:val="00CE0247"/>
    <w:pPr>
      <w:outlineLvl w:val="9"/>
    </w:pPr>
  </w:style>
  <w:style w:type="character" w:styleId="Collegamentoipertestuale">
    <w:name w:val="Hyperlink"/>
    <w:basedOn w:val="Carpredefinitoparagrafo"/>
    <w:uiPriority w:val="99"/>
    <w:unhideWhenUsed/>
    <w:rsid w:val="00426762"/>
    <w:rPr>
      <w:color w:val="0563C1" w:themeColor="hyperlink"/>
      <w:u w:val="single"/>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lp1 Carattere"/>
    <w:link w:val="Paragrafoelenco"/>
    <w:uiPriority w:val="34"/>
    <w:locked/>
    <w:rsid w:val="00426762"/>
  </w:style>
  <w:style w:type="paragraph" w:styleId="NormaleWeb">
    <w:name w:val="Normal (Web)"/>
    <w:basedOn w:val="Normale"/>
    <w:uiPriority w:val="99"/>
    <w:unhideWhenUsed/>
    <w:rsid w:val="003E03EE"/>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3E0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intensa">
    <w:name w:val="Intense Quote"/>
    <w:basedOn w:val="Normale"/>
    <w:next w:val="Normale"/>
    <w:link w:val="CitazioneintensaCarattere"/>
    <w:uiPriority w:val="30"/>
    <w:qFormat/>
    <w:rsid w:val="00CE024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zioneintensaCarattere">
    <w:name w:val="Citazione intensa Carattere"/>
    <w:basedOn w:val="Carpredefinitoparagrafo"/>
    <w:link w:val="Citazioneintensa"/>
    <w:uiPriority w:val="30"/>
    <w:rsid w:val="00CE0247"/>
    <w:rPr>
      <w:rFonts w:asciiTheme="majorHAnsi" w:eastAsiaTheme="majorEastAsia" w:hAnsiTheme="majorHAnsi" w:cstheme="majorBidi"/>
      <w:color w:val="44546A" w:themeColor="text2"/>
      <w:spacing w:val="-6"/>
      <w:sz w:val="32"/>
      <w:szCs w:val="32"/>
    </w:rPr>
  </w:style>
  <w:style w:type="character" w:customStyle="1" w:styleId="Menzionenonrisolta1">
    <w:name w:val="Menzione non risolta1"/>
    <w:basedOn w:val="Carpredefinitoparagrafo"/>
    <w:uiPriority w:val="99"/>
    <w:semiHidden/>
    <w:unhideWhenUsed/>
    <w:rsid w:val="00991E5F"/>
    <w:rPr>
      <w:color w:val="605E5C"/>
      <w:shd w:val="clear" w:color="auto" w:fill="E1DFDD"/>
    </w:rPr>
  </w:style>
  <w:style w:type="character" w:styleId="Collegamentovisitato">
    <w:name w:val="FollowedHyperlink"/>
    <w:basedOn w:val="Carpredefinitoparagrafo"/>
    <w:uiPriority w:val="99"/>
    <w:semiHidden/>
    <w:unhideWhenUsed/>
    <w:rsid w:val="00991E5F"/>
    <w:rPr>
      <w:color w:val="954F72" w:themeColor="followedHyperlink"/>
      <w:u w:val="single"/>
    </w:rPr>
  </w:style>
  <w:style w:type="paragraph" w:styleId="Testonotaapidipagina">
    <w:name w:val="footnote text"/>
    <w:basedOn w:val="Normale"/>
    <w:link w:val="TestonotaapidipaginaCarattere"/>
    <w:uiPriority w:val="99"/>
    <w:semiHidden/>
    <w:unhideWhenUsed/>
    <w:rsid w:val="006D27D9"/>
    <w:pPr>
      <w:spacing w:after="0" w:line="240" w:lineRule="auto"/>
    </w:pPr>
  </w:style>
  <w:style w:type="character" w:customStyle="1" w:styleId="TestonotaapidipaginaCarattere">
    <w:name w:val="Testo nota a piè di pagina Carattere"/>
    <w:basedOn w:val="Carpredefinitoparagrafo"/>
    <w:link w:val="Testonotaapidipagina"/>
    <w:uiPriority w:val="99"/>
    <w:semiHidden/>
    <w:rsid w:val="006D27D9"/>
    <w:rPr>
      <w:kern w:val="0"/>
      <w14:ligatures w14:val="none"/>
    </w:rPr>
  </w:style>
  <w:style w:type="character" w:styleId="Rimandonotaapidipagina">
    <w:name w:val="footnote reference"/>
    <w:basedOn w:val="Carpredefinitoparagrafo"/>
    <w:uiPriority w:val="99"/>
    <w:semiHidden/>
    <w:unhideWhenUsed/>
    <w:rsid w:val="006D27D9"/>
    <w:rPr>
      <w:vertAlign w:val="superscript"/>
    </w:rPr>
  </w:style>
  <w:style w:type="paragraph" w:styleId="Intestazione">
    <w:name w:val="header"/>
    <w:basedOn w:val="Normale"/>
    <w:link w:val="IntestazioneCarattere"/>
    <w:uiPriority w:val="99"/>
    <w:unhideWhenUsed/>
    <w:rsid w:val="00896A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96A7C"/>
    <w:rPr>
      <w:kern w:val="0"/>
      <w14:ligatures w14:val="none"/>
    </w:rPr>
  </w:style>
  <w:style w:type="paragraph" w:styleId="Pidipagina">
    <w:name w:val="footer"/>
    <w:basedOn w:val="Normale"/>
    <w:link w:val="PidipaginaCarattere"/>
    <w:uiPriority w:val="99"/>
    <w:unhideWhenUsed/>
    <w:rsid w:val="00896A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96A7C"/>
    <w:rPr>
      <w:kern w:val="0"/>
      <w14:ligatures w14:val="none"/>
    </w:rPr>
  </w:style>
  <w:style w:type="character" w:styleId="Rimandocommento">
    <w:name w:val="annotation reference"/>
    <w:basedOn w:val="Carpredefinitoparagrafo"/>
    <w:uiPriority w:val="99"/>
    <w:semiHidden/>
    <w:unhideWhenUsed/>
    <w:rsid w:val="008422A1"/>
    <w:rPr>
      <w:sz w:val="16"/>
      <w:szCs w:val="16"/>
    </w:rPr>
  </w:style>
  <w:style w:type="paragraph" w:styleId="Testocommento">
    <w:name w:val="annotation text"/>
    <w:basedOn w:val="Normale"/>
    <w:link w:val="TestocommentoCarattere"/>
    <w:uiPriority w:val="99"/>
    <w:semiHidden/>
    <w:unhideWhenUsed/>
    <w:rsid w:val="008422A1"/>
    <w:pPr>
      <w:spacing w:line="240" w:lineRule="auto"/>
    </w:pPr>
  </w:style>
  <w:style w:type="character" w:customStyle="1" w:styleId="TestocommentoCarattere">
    <w:name w:val="Testo commento Carattere"/>
    <w:basedOn w:val="Carpredefinitoparagrafo"/>
    <w:link w:val="Testocommento"/>
    <w:uiPriority w:val="99"/>
    <w:semiHidden/>
    <w:rsid w:val="008422A1"/>
    <w:rPr>
      <w:kern w:val="0"/>
      <w14:ligatures w14:val="none"/>
    </w:rPr>
  </w:style>
  <w:style w:type="paragraph" w:styleId="Soggettocommento">
    <w:name w:val="annotation subject"/>
    <w:basedOn w:val="Testocommento"/>
    <w:next w:val="Testocommento"/>
    <w:link w:val="SoggettocommentoCarattere"/>
    <w:uiPriority w:val="99"/>
    <w:semiHidden/>
    <w:unhideWhenUsed/>
    <w:rsid w:val="008422A1"/>
    <w:rPr>
      <w:b/>
      <w:bCs/>
    </w:rPr>
  </w:style>
  <w:style w:type="character" w:customStyle="1" w:styleId="SoggettocommentoCarattere">
    <w:name w:val="Soggetto commento Carattere"/>
    <w:basedOn w:val="TestocommentoCarattere"/>
    <w:link w:val="Soggettocommento"/>
    <w:uiPriority w:val="99"/>
    <w:semiHidden/>
    <w:rsid w:val="008422A1"/>
    <w:rPr>
      <w:b/>
      <w:bCs/>
      <w:kern w:val="0"/>
      <w14:ligatures w14:val="none"/>
    </w:rPr>
  </w:style>
  <w:style w:type="paragraph" w:styleId="Testofumetto">
    <w:name w:val="Balloon Text"/>
    <w:basedOn w:val="Normale"/>
    <w:link w:val="TestofumettoCarattere"/>
    <w:uiPriority w:val="99"/>
    <w:semiHidden/>
    <w:unhideWhenUsed/>
    <w:rsid w:val="008422A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22A1"/>
    <w:rPr>
      <w:rFonts w:ascii="Segoe UI" w:hAnsi="Segoe UI" w:cs="Segoe UI"/>
      <w:kern w:val="0"/>
      <w:sz w:val="18"/>
      <w:szCs w:val="18"/>
      <w14:ligatures w14:val="none"/>
    </w:rPr>
  </w:style>
  <w:style w:type="paragraph" w:styleId="PreformattatoHTML">
    <w:name w:val="HTML Preformatted"/>
    <w:basedOn w:val="Normale"/>
    <w:link w:val="PreformattatoHTMLCarattere"/>
    <w:uiPriority w:val="99"/>
    <w:semiHidden/>
    <w:unhideWhenUsed/>
    <w:rsid w:val="00BB1A00"/>
    <w:pPr>
      <w:spacing w:after="0" w:line="240" w:lineRule="auto"/>
    </w:pPr>
    <w:rPr>
      <w:rFonts w:ascii="Consolas" w:hAnsi="Consolas"/>
    </w:rPr>
  </w:style>
  <w:style w:type="character" w:customStyle="1" w:styleId="PreformattatoHTMLCarattere">
    <w:name w:val="Preformattato HTML Carattere"/>
    <w:basedOn w:val="Carpredefinitoparagrafo"/>
    <w:link w:val="PreformattatoHTML"/>
    <w:uiPriority w:val="99"/>
    <w:semiHidden/>
    <w:rsid w:val="00BB1A00"/>
    <w:rPr>
      <w:rFonts w:ascii="Consolas" w:hAnsi="Consolas"/>
      <w:kern w:val="0"/>
      <w14:ligatures w14:val="none"/>
    </w:rPr>
  </w:style>
  <w:style w:type="paragraph" w:styleId="Revisione">
    <w:name w:val="Revision"/>
    <w:hidden/>
    <w:uiPriority w:val="99"/>
    <w:semiHidden/>
    <w:rsid w:val="00BB1A00"/>
    <w:pPr>
      <w:spacing w:after="0" w:line="240" w:lineRule="auto"/>
    </w:pPr>
  </w:style>
  <w:style w:type="paragraph" w:styleId="Didascalia">
    <w:name w:val="caption"/>
    <w:basedOn w:val="Normale"/>
    <w:next w:val="Normale"/>
    <w:uiPriority w:val="35"/>
    <w:semiHidden/>
    <w:unhideWhenUsed/>
    <w:qFormat/>
    <w:rsid w:val="00CE0247"/>
    <w:pPr>
      <w:spacing w:line="240" w:lineRule="auto"/>
    </w:pPr>
    <w:rPr>
      <w:b/>
      <w:bCs/>
      <w:smallCaps/>
      <w:color w:val="44546A" w:themeColor="text2"/>
    </w:rPr>
  </w:style>
  <w:style w:type="character" w:styleId="Enfasigrassetto">
    <w:name w:val="Strong"/>
    <w:basedOn w:val="Carpredefinitoparagrafo"/>
    <w:uiPriority w:val="22"/>
    <w:qFormat/>
    <w:rsid w:val="00CE0247"/>
    <w:rPr>
      <w:b/>
      <w:bCs/>
    </w:rPr>
  </w:style>
  <w:style w:type="paragraph" w:styleId="Nessunaspaziatura">
    <w:name w:val="No Spacing"/>
    <w:uiPriority w:val="1"/>
    <w:qFormat/>
    <w:rsid w:val="00CE0247"/>
    <w:pPr>
      <w:spacing w:after="0" w:line="240" w:lineRule="auto"/>
    </w:pPr>
  </w:style>
  <w:style w:type="paragraph" w:styleId="Citazione">
    <w:name w:val="Quote"/>
    <w:basedOn w:val="Normale"/>
    <w:next w:val="Normale"/>
    <w:link w:val="CitazioneCarattere"/>
    <w:uiPriority w:val="29"/>
    <w:qFormat/>
    <w:rsid w:val="00CE0247"/>
    <w:pPr>
      <w:spacing w:before="120" w:after="120"/>
      <w:ind w:left="720"/>
    </w:pPr>
    <w:rPr>
      <w:color w:val="44546A" w:themeColor="text2"/>
      <w:sz w:val="24"/>
      <w:szCs w:val="24"/>
    </w:rPr>
  </w:style>
  <w:style w:type="character" w:customStyle="1" w:styleId="CitazioneCarattere">
    <w:name w:val="Citazione Carattere"/>
    <w:basedOn w:val="Carpredefinitoparagrafo"/>
    <w:link w:val="Citazione"/>
    <w:uiPriority w:val="29"/>
    <w:rsid w:val="00CE0247"/>
    <w:rPr>
      <w:color w:val="44546A" w:themeColor="text2"/>
      <w:sz w:val="24"/>
      <w:szCs w:val="24"/>
    </w:rPr>
  </w:style>
  <w:style w:type="character" w:styleId="Enfasidelicata">
    <w:name w:val="Subtle Emphasis"/>
    <w:basedOn w:val="Carpredefinitoparagrafo"/>
    <w:uiPriority w:val="19"/>
    <w:qFormat/>
    <w:rsid w:val="00CE0247"/>
    <w:rPr>
      <w:i/>
      <w:iCs/>
      <w:color w:val="595959" w:themeColor="text1" w:themeTint="A6"/>
    </w:rPr>
  </w:style>
  <w:style w:type="character" w:styleId="Enfasiintensa">
    <w:name w:val="Intense Emphasis"/>
    <w:basedOn w:val="Carpredefinitoparagrafo"/>
    <w:uiPriority w:val="21"/>
    <w:qFormat/>
    <w:rsid w:val="00CE0247"/>
    <w:rPr>
      <w:b/>
      <w:bCs/>
      <w:i/>
      <w:iCs/>
    </w:rPr>
  </w:style>
  <w:style w:type="character" w:styleId="Titolodellibro">
    <w:name w:val="Book Title"/>
    <w:basedOn w:val="Carpredefinitoparagrafo"/>
    <w:uiPriority w:val="33"/>
    <w:qFormat/>
    <w:rsid w:val="00CE0247"/>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55702">
      <w:bodyDiv w:val="1"/>
      <w:marLeft w:val="0"/>
      <w:marRight w:val="0"/>
      <w:marTop w:val="0"/>
      <w:marBottom w:val="0"/>
      <w:divBdr>
        <w:top w:val="none" w:sz="0" w:space="0" w:color="auto"/>
        <w:left w:val="none" w:sz="0" w:space="0" w:color="auto"/>
        <w:bottom w:val="none" w:sz="0" w:space="0" w:color="auto"/>
        <w:right w:val="none" w:sz="0" w:space="0" w:color="auto"/>
      </w:divBdr>
    </w:div>
    <w:div w:id="266736826">
      <w:bodyDiv w:val="1"/>
      <w:marLeft w:val="0"/>
      <w:marRight w:val="0"/>
      <w:marTop w:val="0"/>
      <w:marBottom w:val="0"/>
      <w:divBdr>
        <w:top w:val="none" w:sz="0" w:space="0" w:color="auto"/>
        <w:left w:val="none" w:sz="0" w:space="0" w:color="auto"/>
        <w:bottom w:val="none" w:sz="0" w:space="0" w:color="auto"/>
        <w:right w:val="none" w:sz="0" w:space="0" w:color="auto"/>
      </w:divBdr>
    </w:div>
    <w:div w:id="295140730">
      <w:bodyDiv w:val="1"/>
      <w:marLeft w:val="0"/>
      <w:marRight w:val="0"/>
      <w:marTop w:val="0"/>
      <w:marBottom w:val="0"/>
      <w:divBdr>
        <w:top w:val="none" w:sz="0" w:space="0" w:color="auto"/>
        <w:left w:val="none" w:sz="0" w:space="0" w:color="auto"/>
        <w:bottom w:val="none" w:sz="0" w:space="0" w:color="auto"/>
        <w:right w:val="none" w:sz="0" w:space="0" w:color="auto"/>
      </w:divBdr>
    </w:div>
    <w:div w:id="298926791">
      <w:bodyDiv w:val="1"/>
      <w:marLeft w:val="0"/>
      <w:marRight w:val="0"/>
      <w:marTop w:val="0"/>
      <w:marBottom w:val="0"/>
      <w:divBdr>
        <w:top w:val="none" w:sz="0" w:space="0" w:color="auto"/>
        <w:left w:val="none" w:sz="0" w:space="0" w:color="auto"/>
        <w:bottom w:val="none" w:sz="0" w:space="0" w:color="auto"/>
        <w:right w:val="none" w:sz="0" w:space="0" w:color="auto"/>
      </w:divBdr>
    </w:div>
    <w:div w:id="323822271">
      <w:bodyDiv w:val="1"/>
      <w:marLeft w:val="0"/>
      <w:marRight w:val="0"/>
      <w:marTop w:val="0"/>
      <w:marBottom w:val="0"/>
      <w:divBdr>
        <w:top w:val="none" w:sz="0" w:space="0" w:color="auto"/>
        <w:left w:val="none" w:sz="0" w:space="0" w:color="auto"/>
        <w:bottom w:val="none" w:sz="0" w:space="0" w:color="auto"/>
        <w:right w:val="none" w:sz="0" w:space="0" w:color="auto"/>
      </w:divBdr>
      <w:divsChild>
        <w:div w:id="1253468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728959">
      <w:bodyDiv w:val="1"/>
      <w:marLeft w:val="0"/>
      <w:marRight w:val="0"/>
      <w:marTop w:val="0"/>
      <w:marBottom w:val="0"/>
      <w:divBdr>
        <w:top w:val="none" w:sz="0" w:space="0" w:color="auto"/>
        <w:left w:val="none" w:sz="0" w:space="0" w:color="auto"/>
        <w:bottom w:val="none" w:sz="0" w:space="0" w:color="auto"/>
        <w:right w:val="none" w:sz="0" w:space="0" w:color="auto"/>
      </w:divBdr>
    </w:div>
    <w:div w:id="750466578">
      <w:bodyDiv w:val="1"/>
      <w:marLeft w:val="0"/>
      <w:marRight w:val="0"/>
      <w:marTop w:val="0"/>
      <w:marBottom w:val="0"/>
      <w:divBdr>
        <w:top w:val="none" w:sz="0" w:space="0" w:color="auto"/>
        <w:left w:val="none" w:sz="0" w:space="0" w:color="auto"/>
        <w:bottom w:val="none" w:sz="0" w:space="0" w:color="auto"/>
        <w:right w:val="none" w:sz="0" w:space="0" w:color="auto"/>
      </w:divBdr>
    </w:div>
    <w:div w:id="942146398">
      <w:bodyDiv w:val="1"/>
      <w:marLeft w:val="0"/>
      <w:marRight w:val="0"/>
      <w:marTop w:val="0"/>
      <w:marBottom w:val="0"/>
      <w:divBdr>
        <w:top w:val="none" w:sz="0" w:space="0" w:color="auto"/>
        <w:left w:val="none" w:sz="0" w:space="0" w:color="auto"/>
        <w:bottom w:val="none" w:sz="0" w:space="0" w:color="auto"/>
        <w:right w:val="none" w:sz="0" w:space="0" w:color="auto"/>
      </w:divBdr>
    </w:div>
    <w:div w:id="981542137">
      <w:bodyDiv w:val="1"/>
      <w:marLeft w:val="0"/>
      <w:marRight w:val="0"/>
      <w:marTop w:val="0"/>
      <w:marBottom w:val="0"/>
      <w:divBdr>
        <w:top w:val="none" w:sz="0" w:space="0" w:color="auto"/>
        <w:left w:val="none" w:sz="0" w:space="0" w:color="auto"/>
        <w:bottom w:val="none" w:sz="0" w:space="0" w:color="auto"/>
        <w:right w:val="none" w:sz="0" w:space="0" w:color="auto"/>
      </w:divBdr>
    </w:div>
    <w:div w:id="995643285">
      <w:bodyDiv w:val="1"/>
      <w:marLeft w:val="0"/>
      <w:marRight w:val="0"/>
      <w:marTop w:val="0"/>
      <w:marBottom w:val="0"/>
      <w:divBdr>
        <w:top w:val="none" w:sz="0" w:space="0" w:color="auto"/>
        <w:left w:val="none" w:sz="0" w:space="0" w:color="auto"/>
        <w:bottom w:val="none" w:sz="0" w:space="0" w:color="auto"/>
        <w:right w:val="none" w:sz="0" w:space="0" w:color="auto"/>
      </w:divBdr>
      <w:divsChild>
        <w:div w:id="881937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22544">
      <w:bodyDiv w:val="1"/>
      <w:marLeft w:val="0"/>
      <w:marRight w:val="0"/>
      <w:marTop w:val="0"/>
      <w:marBottom w:val="0"/>
      <w:divBdr>
        <w:top w:val="none" w:sz="0" w:space="0" w:color="auto"/>
        <w:left w:val="none" w:sz="0" w:space="0" w:color="auto"/>
        <w:bottom w:val="none" w:sz="0" w:space="0" w:color="auto"/>
        <w:right w:val="none" w:sz="0" w:space="0" w:color="auto"/>
      </w:divBdr>
    </w:div>
    <w:div w:id="1130517106">
      <w:bodyDiv w:val="1"/>
      <w:marLeft w:val="0"/>
      <w:marRight w:val="0"/>
      <w:marTop w:val="0"/>
      <w:marBottom w:val="0"/>
      <w:divBdr>
        <w:top w:val="none" w:sz="0" w:space="0" w:color="auto"/>
        <w:left w:val="none" w:sz="0" w:space="0" w:color="auto"/>
        <w:bottom w:val="none" w:sz="0" w:space="0" w:color="auto"/>
        <w:right w:val="none" w:sz="0" w:space="0" w:color="auto"/>
      </w:divBdr>
    </w:div>
    <w:div w:id="1144468088">
      <w:bodyDiv w:val="1"/>
      <w:marLeft w:val="0"/>
      <w:marRight w:val="0"/>
      <w:marTop w:val="0"/>
      <w:marBottom w:val="0"/>
      <w:divBdr>
        <w:top w:val="none" w:sz="0" w:space="0" w:color="auto"/>
        <w:left w:val="none" w:sz="0" w:space="0" w:color="auto"/>
        <w:bottom w:val="none" w:sz="0" w:space="0" w:color="auto"/>
        <w:right w:val="none" w:sz="0" w:space="0" w:color="auto"/>
      </w:divBdr>
    </w:div>
    <w:div w:id="1217545066">
      <w:bodyDiv w:val="1"/>
      <w:marLeft w:val="0"/>
      <w:marRight w:val="0"/>
      <w:marTop w:val="0"/>
      <w:marBottom w:val="0"/>
      <w:divBdr>
        <w:top w:val="none" w:sz="0" w:space="0" w:color="auto"/>
        <w:left w:val="none" w:sz="0" w:space="0" w:color="auto"/>
        <w:bottom w:val="none" w:sz="0" w:space="0" w:color="auto"/>
        <w:right w:val="none" w:sz="0" w:space="0" w:color="auto"/>
      </w:divBdr>
    </w:div>
    <w:div w:id="1334334951">
      <w:bodyDiv w:val="1"/>
      <w:marLeft w:val="0"/>
      <w:marRight w:val="0"/>
      <w:marTop w:val="0"/>
      <w:marBottom w:val="0"/>
      <w:divBdr>
        <w:top w:val="none" w:sz="0" w:space="0" w:color="auto"/>
        <w:left w:val="none" w:sz="0" w:space="0" w:color="auto"/>
        <w:bottom w:val="none" w:sz="0" w:space="0" w:color="auto"/>
        <w:right w:val="none" w:sz="0" w:space="0" w:color="auto"/>
      </w:divBdr>
    </w:div>
    <w:div w:id="1424229227">
      <w:bodyDiv w:val="1"/>
      <w:marLeft w:val="0"/>
      <w:marRight w:val="0"/>
      <w:marTop w:val="0"/>
      <w:marBottom w:val="0"/>
      <w:divBdr>
        <w:top w:val="none" w:sz="0" w:space="0" w:color="auto"/>
        <w:left w:val="none" w:sz="0" w:space="0" w:color="auto"/>
        <w:bottom w:val="none" w:sz="0" w:space="0" w:color="auto"/>
        <w:right w:val="none" w:sz="0" w:space="0" w:color="auto"/>
      </w:divBdr>
    </w:div>
    <w:div w:id="1515072930">
      <w:bodyDiv w:val="1"/>
      <w:marLeft w:val="0"/>
      <w:marRight w:val="0"/>
      <w:marTop w:val="0"/>
      <w:marBottom w:val="0"/>
      <w:divBdr>
        <w:top w:val="none" w:sz="0" w:space="0" w:color="auto"/>
        <w:left w:val="none" w:sz="0" w:space="0" w:color="auto"/>
        <w:bottom w:val="none" w:sz="0" w:space="0" w:color="auto"/>
        <w:right w:val="none" w:sz="0" w:space="0" w:color="auto"/>
      </w:divBdr>
    </w:div>
    <w:div w:id="1558273900">
      <w:bodyDiv w:val="1"/>
      <w:marLeft w:val="0"/>
      <w:marRight w:val="0"/>
      <w:marTop w:val="0"/>
      <w:marBottom w:val="0"/>
      <w:divBdr>
        <w:top w:val="none" w:sz="0" w:space="0" w:color="auto"/>
        <w:left w:val="none" w:sz="0" w:space="0" w:color="auto"/>
        <w:bottom w:val="none" w:sz="0" w:space="0" w:color="auto"/>
        <w:right w:val="none" w:sz="0" w:space="0" w:color="auto"/>
      </w:divBdr>
    </w:div>
    <w:div w:id="1659461856">
      <w:bodyDiv w:val="1"/>
      <w:marLeft w:val="0"/>
      <w:marRight w:val="0"/>
      <w:marTop w:val="0"/>
      <w:marBottom w:val="0"/>
      <w:divBdr>
        <w:top w:val="none" w:sz="0" w:space="0" w:color="auto"/>
        <w:left w:val="none" w:sz="0" w:space="0" w:color="auto"/>
        <w:bottom w:val="none" w:sz="0" w:space="0" w:color="auto"/>
        <w:right w:val="none" w:sz="0" w:space="0" w:color="auto"/>
      </w:divBdr>
    </w:div>
    <w:div w:id="1677532521">
      <w:bodyDiv w:val="1"/>
      <w:marLeft w:val="0"/>
      <w:marRight w:val="0"/>
      <w:marTop w:val="0"/>
      <w:marBottom w:val="0"/>
      <w:divBdr>
        <w:top w:val="none" w:sz="0" w:space="0" w:color="auto"/>
        <w:left w:val="none" w:sz="0" w:space="0" w:color="auto"/>
        <w:bottom w:val="none" w:sz="0" w:space="0" w:color="auto"/>
        <w:right w:val="none" w:sz="0" w:space="0" w:color="auto"/>
      </w:divBdr>
      <w:divsChild>
        <w:div w:id="107629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249887">
      <w:bodyDiv w:val="1"/>
      <w:marLeft w:val="0"/>
      <w:marRight w:val="0"/>
      <w:marTop w:val="0"/>
      <w:marBottom w:val="0"/>
      <w:divBdr>
        <w:top w:val="none" w:sz="0" w:space="0" w:color="auto"/>
        <w:left w:val="none" w:sz="0" w:space="0" w:color="auto"/>
        <w:bottom w:val="none" w:sz="0" w:space="0" w:color="auto"/>
        <w:right w:val="none" w:sz="0" w:space="0" w:color="auto"/>
      </w:divBdr>
      <w:divsChild>
        <w:div w:id="1660964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5688368">
      <w:bodyDiv w:val="1"/>
      <w:marLeft w:val="0"/>
      <w:marRight w:val="0"/>
      <w:marTop w:val="0"/>
      <w:marBottom w:val="0"/>
      <w:divBdr>
        <w:top w:val="none" w:sz="0" w:space="0" w:color="auto"/>
        <w:left w:val="none" w:sz="0" w:space="0" w:color="auto"/>
        <w:bottom w:val="none" w:sz="0" w:space="0" w:color="auto"/>
        <w:right w:val="none" w:sz="0" w:space="0" w:color="auto"/>
      </w:divBdr>
    </w:div>
    <w:div w:id="1750496707">
      <w:bodyDiv w:val="1"/>
      <w:marLeft w:val="0"/>
      <w:marRight w:val="0"/>
      <w:marTop w:val="0"/>
      <w:marBottom w:val="0"/>
      <w:divBdr>
        <w:top w:val="none" w:sz="0" w:space="0" w:color="auto"/>
        <w:left w:val="none" w:sz="0" w:space="0" w:color="auto"/>
        <w:bottom w:val="none" w:sz="0" w:space="0" w:color="auto"/>
        <w:right w:val="none" w:sz="0" w:space="0" w:color="auto"/>
      </w:divBdr>
    </w:div>
    <w:div w:id="1903632453">
      <w:bodyDiv w:val="1"/>
      <w:marLeft w:val="0"/>
      <w:marRight w:val="0"/>
      <w:marTop w:val="0"/>
      <w:marBottom w:val="0"/>
      <w:divBdr>
        <w:top w:val="none" w:sz="0" w:space="0" w:color="auto"/>
        <w:left w:val="none" w:sz="0" w:space="0" w:color="auto"/>
        <w:bottom w:val="none" w:sz="0" w:space="0" w:color="auto"/>
        <w:right w:val="none" w:sz="0" w:space="0" w:color="auto"/>
      </w:divBdr>
    </w:div>
    <w:div w:id="198627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azzettaufficiale.it/eli/id/2018/07/03/18A04494/s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settiegatti.eu/info/norme/statali/2005_0082.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IT/TXT/?uri=CELEX:32015R075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fault">
      <a:majorFont>
        <a:latin typeface="Titillium"/>
        <a:ea typeface=""/>
        <a:cs typeface=""/>
      </a:majorFont>
      <a:minorFont>
        <a:latin typeface="Titill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E79EE748F646E46829F6A48E9573011" ma:contentTypeVersion="5" ma:contentTypeDescription="Creare un nuovo documento." ma:contentTypeScope="" ma:versionID="432181acaf3a672e5212376fa53104f5">
  <xsd:schema xmlns:xsd="http://www.w3.org/2001/XMLSchema" xmlns:xs="http://www.w3.org/2001/XMLSchema" xmlns:p="http://schemas.microsoft.com/office/2006/metadata/properties" xmlns:ns2="993ad101-62d6-4fad-9ff5-ffd0120f2b0b" targetNamespace="http://schemas.microsoft.com/office/2006/metadata/properties" ma:root="true" ma:fieldsID="63a29daf04d3675a68e2d5903ecec45f" ns2:_="">
    <xsd:import namespace="993ad101-62d6-4fad-9ff5-ffd0120f2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ad101-62d6-4fad-9ff5-ffd0120f2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53D73-F479-41F1-B9C0-8400BA9FEBE6}">
  <ds:schemaRefs>
    <ds:schemaRef ds:uri="http://schemas.microsoft.com/sharepoint/v3/contenttype/forms"/>
  </ds:schemaRefs>
</ds:datastoreItem>
</file>

<file path=customXml/itemProps2.xml><?xml version="1.0" encoding="utf-8"?>
<ds:datastoreItem xmlns:ds="http://schemas.openxmlformats.org/officeDocument/2006/customXml" ds:itemID="{D0280FA7-57B9-445C-907B-616336B1E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ad101-62d6-4fad-9ff5-ffd0120f2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ADE2E-E1C3-48A3-A18A-E02649871F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3A0DC1-720F-4D95-8D01-F599EA2E4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Pages>
  <Words>1065</Words>
  <Characters>6077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Bocchetti Enrico</dc:creator>
  <cp:keywords/>
  <dc:description/>
  <cp:lastModifiedBy>URAC</cp:lastModifiedBy>
  <cp:revision>488</cp:revision>
  <cp:lastPrinted>2023-09-14T10:16:00Z</cp:lastPrinted>
  <dcterms:created xsi:type="dcterms:W3CDTF">2023-04-05T09:23:00Z</dcterms:created>
  <dcterms:modified xsi:type="dcterms:W3CDTF">2023-11-22T08:31:00Z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0x010100DE79EE748F646E46829F6A48E9573011</vt:lpwstr>
  </property>
</Properties>
</file>