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264F9" w14:textId="77777777" w:rsidR="00934EE7" w:rsidRDefault="00292D3D" w:rsidP="00A00C17">
      <w:pPr>
        <w:pStyle w:val="Titolo1"/>
        <w:numPr>
          <w:ilvl w:val="0"/>
          <w:numId w:val="0"/>
        </w:numPr>
        <w:rPr>
          <w:sz w:val="24"/>
          <w:szCs w:val="24"/>
        </w:rPr>
      </w:pPr>
      <w:r w:rsidRPr="00292D3D">
        <w:rPr>
          <w:sz w:val="24"/>
          <w:szCs w:val="24"/>
        </w:rPr>
        <w:t>Trasparenza nell'utilizzo delle risorse pubbliche</w:t>
      </w:r>
    </w:p>
    <w:p w14:paraId="38089201" w14:textId="77777777" w:rsidR="00A00C17" w:rsidRPr="00A00C17" w:rsidRDefault="00A00C17" w:rsidP="00A00C17"/>
    <w:p w14:paraId="3BD5F96B" w14:textId="77777777" w:rsidR="00426762" w:rsidRPr="00381E40" w:rsidRDefault="007670C3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14:paraId="1ACE5B89" w14:textId="77777777" w:rsidR="00250D7F" w:rsidRPr="00250D7F" w:rsidRDefault="00250D7F" w:rsidP="00FA4638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250D7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L'Agenzia per l'Italia digitale, d'intesa con il Ministero dell'economia e delle finanze, al fine di promuovere l'accesso e migliorare la comprensione dei dati relativi all'utilizzo delle risorse pubbliche, gestisce il sito internet denominato "Soldi pubblici" che consente l'accesso ai dati dei pagamenti delle pubbliche amministrazioni e ne permette la consultazione in relazione alla tipologia di spesa sostenuta e alle amministrazioni che l'hanno effettuata, nonché all'ambito temporale di riferimento.</w:t>
      </w:r>
    </w:p>
    <w:p w14:paraId="799A4C31" w14:textId="77777777" w:rsidR="00250D7F" w:rsidRPr="00250D7F" w:rsidRDefault="00250D7F" w:rsidP="00FA4638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250D7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2. Ciascuna amministrazione pubblica sul proprio sito istituzionale, in una parte chiaramente identificabile della sezione "Amministrazione trasparente", i dati sui propri pagamenti e ne permette la consultazione in relazione alla tipologia di spesa sostenuta, all'ambito temporale di riferimento e ai beneficiari.</w:t>
      </w:r>
    </w:p>
    <w:p w14:paraId="2F69E133" w14:textId="77777777" w:rsidR="00250D7F" w:rsidRPr="00250D7F" w:rsidRDefault="00250D7F" w:rsidP="00FA4638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250D7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3. Per le spese in materia di personale si applica quanto previsto dagli</w:t>
      </w:r>
      <w:r w:rsidRPr="00250D7F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hyperlink r:id="rId11" w:anchor="15" w:history="1">
        <w:r w:rsidRPr="00250D7F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articoli da 15 a 20</w:t>
        </w:r>
      </w:hyperlink>
      <w:r w:rsidRPr="00250D7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.</w:t>
      </w:r>
    </w:p>
    <w:p w14:paraId="0BF11C80" w14:textId="77777777" w:rsidR="00250D7F" w:rsidRDefault="00250D7F" w:rsidP="00FA4638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250D7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4. Dalle disposizioni di cui ai commi 1 e 2 non devono derivare nuovi o maggiori oneri a carico della finanza pubblica. Le amministrazioni interessate provvedono ai relativi adempimenti nell'ambito delle risorse umane, strumentali e finanziarie disponibili a legislazione vigente.</w:t>
      </w:r>
    </w:p>
    <w:p w14:paraId="3BDF0C1A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76E024B9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FEDC0E6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2F0DFC6A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46994593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10EF4CB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5D1C1CD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4B0495D6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9F5192C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1AD36C14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BE5EC7E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7EAE8492" w14:textId="77777777" w:rsidR="00460BA1" w:rsidRDefault="00460BA1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820DD56" w14:textId="77777777" w:rsidR="00C943DF" w:rsidRPr="00250D7F" w:rsidRDefault="00C943DF" w:rsidP="00250D7F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6FD7EF4D" w14:textId="77777777" w:rsidR="003E03EE" w:rsidRPr="00381E40" w:rsidRDefault="003E03EE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381E40">
        <w:rPr>
          <w:rStyle w:val="Riferimentodelicato"/>
          <w:smallCaps w:val="0"/>
          <w:color w:val="2F5496" w:themeColor="accent1" w:themeShade="BF"/>
          <w:sz w:val="24"/>
          <w:szCs w:val="24"/>
        </w:rPr>
        <w:lastRenderedPageBreak/>
        <w:t>Schemi di pubblicazione</w:t>
      </w:r>
    </w:p>
    <w:p w14:paraId="4A044C9E" w14:textId="77777777" w:rsidR="00E5494E" w:rsidRPr="00877092" w:rsidRDefault="00E5494E" w:rsidP="003E03EE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  <w:r>
        <w:rPr>
          <w:rFonts w:ascii="Titillium" w:eastAsiaTheme="minorHAnsi" w:hAnsi="Titillium" w:cstheme="minorBidi"/>
          <w:sz w:val="20"/>
          <w:szCs w:val="20"/>
          <w:lang w:eastAsia="en-US"/>
        </w:rPr>
        <w:t>G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li schemi rappresentano informazioni da pubblicare ex-novo nella Sezione “Amministrazione Trasparente” del sito istituzionale dell’amministrazione, sotto-sezione di </w:t>
      </w:r>
      <w:r w:rsidR="0040254A">
        <w:rPr>
          <w:rFonts w:ascii="Titillium" w:eastAsiaTheme="minorHAnsi" w:hAnsi="Titillium" w:cstheme="minorBidi"/>
          <w:sz w:val="20"/>
          <w:szCs w:val="20"/>
          <w:lang w:eastAsia="en-US"/>
        </w:rPr>
        <w:t>primo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livello “</w:t>
      </w:r>
      <w:r w:rsidR="00A8603B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Pagamenti </w:t>
      </w:r>
      <w:r w:rsidR="00001E4D">
        <w:rPr>
          <w:rFonts w:ascii="Titillium" w:eastAsiaTheme="minorHAnsi" w:hAnsi="Titillium" w:cstheme="minorBidi"/>
          <w:sz w:val="20"/>
          <w:szCs w:val="20"/>
          <w:lang w:eastAsia="en-US"/>
        </w:rPr>
        <w:t>dell’amministrazione</w:t>
      </w:r>
      <w:r w:rsidR="005A2196">
        <w:rPr>
          <w:rFonts w:ascii="Titillium" w:eastAsiaTheme="minorHAnsi" w:hAnsi="Titillium" w:cstheme="minorBidi"/>
          <w:sz w:val="20"/>
          <w:szCs w:val="20"/>
          <w:lang w:eastAsia="en-US"/>
        </w:rPr>
        <w:t>”</w:t>
      </w:r>
      <w:r w:rsidR="00877092"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 e </w:t>
      </w:r>
      <w:r w:rsidR="00877092"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sotto-sezione di </w:t>
      </w:r>
      <w:r w:rsidR="00877092">
        <w:rPr>
          <w:rFonts w:ascii="Titillium" w:eastAsiaTheme="minorHAnsi" w:hAnsi="Titillium" w:cstheme="minorBidi"/>
          <w:sz w:val="20"/>
          <w:szCs w:val="20"/>
          <w:lang w:eastAsia="en-US"/>
        </w:rPr>
        <w:t>secondo</w:t>
      </w:r>
      <w:r w:rsidR="00877092"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livello “</w:t>
      </w:r>
      <w:r w:rsidR="00877092">
        <w:rPr>
          <w:rFonts w:ascii="Titillium" w:eastAsiaTheme="minorHAnsi" w:hAnsi="Titillium" w:cstheme="minorBidi"/>
          <w:sz w:val="20"/>
          <w:szCs w:val="20"/>
          <w:lang w:eastAsia="en-US"/>
        </w:rPr>
        <w:t>Dati sui pagamenti”.</w:t>
      </w:r>
    </w:p>
    <w:p w14:paraId="21FC15C1" w14:textId="77777777" w:rsidR="00CC332F" w:rsidRDefault="00CC332F" w:rsidP="00CC332F">
      <w:pPr>
        <w:pStyle w:val="Titolo3"/>
        <w:numPr>
          <w:ilvl w:val="0"/>
          <w:numId w:val="0"/>
        </w:numPr>
        <w:ind w:left="720" w:hanging="720"/>
      </w:pPr>
    </w:p>
    <w:p w14:paraId="5EDB441C" w14:textId="77777777" w:rsidR="00CC332F" w:rsidRPr="00FA26C4" w:rsidRDefault="001A3EFD" w:rsidP="00CC332F">
      <w:pPr>
        <w:pStyle w:val="Titolo3"/>
        <w:numPr>
          <w:ilvl w:val="0"/>
          <w:numId w:val="0"/>
        </w:numPr>
        <w:ind w:left="720" w:hanging="720"/>
      </w:pPr>
      <w:r w:rsidRPr="00FA26C4">
        <w:t>Ambito soggettivo di applicazione:</w:t>
      </w:r>
    </w:p>
    <w:p w14:paraId="1CD0CC74" w14:textId="77777777" w:rsidR="001A3EFD" w:rsidRPr="00FA26C4" w:rsidRDefault="001A3EFD" w:rsidP="00F25E86">
      <w:pPr>
        <w:spacing w:after="0" w:line="240" w:lineRule="auto"/>
        <w:rPr>
          <w:rFonts w:asciiTheme="majorHAnsi" w:hAnsiTheme="majorHAnsi"/>
        </w:rPr>
      </w:pPr>
      <w:r w:rsidRPr="00FA26C4">
        <w:rPr>
          <w:rFonts w:asciiTheme="majorHAnsi" w:hAnsiTheme="majorHAnsi"/>
        </w:rPr>
        <w:t>- soggetti di cui all’art. 2-bis, co. 1 (pubbliche amministrazioni di cui all’art. 1, co. 2 dlgs 165/2001)</w:t>
      </w:r>
    </w:p>
    <w:p w14:paraId="11402F4C" w14:textId="77777777" w:rsidR="001A3EFD" w:rsidRPr="00C271D5" w:rsidRDefault="001A3EFD" w:rsidP="00B33841">
      <w:pPr>
        <w:spacing w:after="0" w:line="240" w:lineRule="auto"/>
        <w:rPr>
          <w:rFonts w:asciiTheme="majorHAnsi" w:hAnsiTheme="majorHAnsi"/>
        </w:rPr>
      </w:pPr>
      <w:r w:rsidRPr="00FA26C4">
        <w:rPr>
          <w:rFonts w:asciiTheme="majorHAnsi" w:hAnsiTheme="majorHAnsi"/>
        </w:rPr>
        <w:t>- soggetti di cui all’art. 2-bis, co. 2 (vale a dire enti pubblici economici, ordini professionali, società in controllo, associazioni, fondazioni ed enti di diritto privato comunque denominati in controllo pubblico)</w:t>
      </w:r>
    </w:p>
    <w:p w14:paraId="66633014" w14:textId="77777777" w:rsidR="001A3EFD" w:rsidRPr="00C271D5" w:rsidRDefault="001A3EFD" w:rsidP="00B67066">
      <w:pPr>
        <w:rPr>
          <w:rFonts w:asciiTheme="majorHAnsi" w:hAnsiTheme="majorHAnsi"/>
        </w:rPr>
      </w:pPr>
    </w:p>
    <w:p w14:paraId="06385552" w14:textId="77777777" w:rsidR="001A3EFD" w:rsidRPr="00B67066" w:rsidRDefault="001A3EFD" w:rsidP="00B67066">
      <w:pPr>
        <w:rPr>
          <w:rFonts w:asciiTheme="majorHAnsi" w:hAnsiTheme="majorHAnsi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412DE3" w:rsidRPr="00991E5F" w14:paraId="4AFAFBE3" w14:textId="77777777" w:rsidTr="00963267">
        <w:tc>
          <w:tcPr>
            <w:tcW w:w="3539" w:type="dxa"/>
            <w:shd w:val="clear" w:color="auto" w:fill="1F3864" w:themeFill="accent1" w:themeFillShade="80"/>
          </w:tcPr>
          <w:p w14:paraId="3A2DED67" w14:textId="77777777"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 w:rsidRPr="00991E5F">
              <w:rPr>
                <w:sz w:val="18"/>
                <w:szCs w:val="18"/>
              </w:rPr>
              <w:t>SEZIONE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0EF94E41" w14:textId="77777777"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</w:t>
            </w:r>
          </w:p>
        </w:tc>
        <w:tc>
          <w:tcPr>
            <w:tcW w:w="2835" w:type="dxa"/>
            <w:shd w:val="clear" w:color="auto" w:fill="1F3864" w:themeFill="accent1" w:themeFillShade="80"/>
          </w:tcPr>
          <w:p w14:paraId="0D3BD22F" w14:textId="77777777" w:rsidR="00412DE3" w:rsidRPr="00991E5F" w:rsidRDefault="00412DE3" w:rsidP="004A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Rif. NORMATIVI</w:t>
            </w:r>
          </w:p>
        </w:tc>
      </w:tr>
      <w:tr w:rsidR="00412DE3" w:rsidRPr="003B7065" w14:paraId="735E4059" w14:textId="77777777" w:rsidTr="00963267">
        <w:tc>
          <w:tcPr>
            <w:tcW w:w="3539" w:type="dxa"/>
          </w:tcPr>
          <w:p w14:paraId="199E10C1" w14:textId="77777777" w:rsidR="00412DE3" w:rsidRPr="004F7C1A" w:rsidRDefault="00EC7747" w:rsidP="006B2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Dati sui pagamenti</w:t>
            </w:r>
            <w:r w:rsidR="009A7100">
              <w:rPr>
                <w:sz w:val="18"/>
                <w:szCs w:val="18"/>
              </w:rPr>
              <w:t xml:space="preserve"> (Rif. </w:t>
            </w:r>
            <w:r w:rsidR="006B25AC" w:rsidRPr="006B25A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6B25AC" w:rsidRPr="006B25AC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_Ref134626277 \h </w:instrText>
            </w:r>
            <w:r w:rsidR="006B25AC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\* MERGEFORMAT </w:instrText>
            </w:r>
            <w:r w:rsidR="006B25AC" w:rsidRPr="006B25AC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6B25AC" w:rsidRPr="006B25A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6B25AC" w:rsidRPr="006B25AC">
              <w:rPr>
                <w:color w:val="2F5496" w:themeColor="accent1" w:themeShade="BF"/>
                <w:sz w:val="18"/>
                <w:szCs w:val="18"/>
                <w:u w:val="double"/>
              </w:rPr>
              <w:t>Dati identificativi del pagamento</w:t>
            </w:r>
            <w:r w:rsidR="006B25AC" w:rsidRPr="006B25A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9A7100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5FF5750F" w14:textId="77777777" w:rsidR="00991530" w:rsidRPr="00991530" w:rsidRDefault="00991530" w:rsidP="00991530">
            <w:pPr>
              <w:rPr>
                <w:sz w:val="18"/>
                <w:szCs w:val="18"/>
              </w:rPr>
            </w:pPr>
            <w:r w:rsidRPr="00991530">
              <w:rPr>
                <w:sz w:val="18"/>
                <w:szCs w:val="18"/>
              </w:rPr>
              <w:t xml:space="preserve">Trimestrale </w:t>
            </w:r>
          </w:p>
          <w:p w14:paraId="66989C16" w14:textId="77777777" w:rsidR="00412DE3" w:rsidRPr="00991E5F" w:rsidRDefault="00412DE3" w:rsidP="00B81A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7A8D774" w14:textId="77777777" w:rsidR="00412DE3" w:rsidRPr="00EC7747" w:rsidRDefault="00EC7747" w:rsidP="004A3C57">
            <w:pPr>
              <w:rPr>
                <w:sz w:val="18"/>
                <w:szCs w:val="18"/>
                <w:lang w:val="de-DE"/>
              </w:rPr>
            </w:pPr>
            <w:r w:rsidRPr="00EC7747">
              <w:rPr>
                <w:sz w:val="18"/>
                <w:szCs w:val="18"/>
                <w:lang w:val="de-DE"/>
              </w:rPr>
              <w:t>Art. 4-bis, c. 2, d</w:t>
            </w:r>
            <w:r>
              <w:rPr>
                <w:sz w:val="18"/>
                <w:szCs w:val="18"/>
                <w:lang w:val="de-DE"/>
              </w:rPr>
              <w:t xml:space="preserve">. </w:t>
            </w:r>
            <w:r w:rsidRPr="00EC7747">
              <w:rPr>
                <w:sz w:val="18"/>
                <w:szCs w:val="18"/>
                <w:lang w:val="de-DE"/>
              </w:rPr>
              <w:t>lgs n. 33/2013</w:t>
            </w:r>
          </w:p>
        </w:tc>
      </w:tr>
    </w:tbl>
    <w:p w14:paraId="01D793EA" w14:textId="77777777" w:rsidR="00995109" w:rsidRPr="00C572C1" w:rsidRDefault="00995109" w:rsidP="00B74D42">
      <w:pPr>
        <w:pBdr>
          <w:bottom w:val="single" w:sz="6" w:space="1" w:color="auto"/>
        </w:pBdr>
        <w:rPr>
          <w:lang w:val="de-DE"/>
        </w:rPr>
      </w:pPr>
    </w:p>
    <w:p w14:paraId="46523BF8" w14:textId="77777777" w:rsidR="00995109" w:rsidRPr="00C572C1" w:rsidRDefault="00995109" w:rsidP="00B74D42">
      <w:pPr>
        <w:pBdr>
          <w:bottom w:val="single" w:sz="6" w:space="1" w:color="auto"/>
        </w:pBdr>
        <w:rPr>
          <w:lang w:val="de-DE"/>
        </w:rPr>
      </w:pPr>
    </w:p>
    <w:p w14:paraId="5BD36945" w14:textId="77777777" w:rsidR="00E64497" w:rsidRDefault="00083C44" w:rsidP="00083C44">
      <w:pPr>
        <w:pStyle w:val="Titolo3"/>
        <w:numPr>
          <w:ilvl w:val="0"/>
          <w:numId w:val="0"/>
        </w:numPr>
        <w:ind w:left="720" w:hanging="720"/>
      </w:pPr>
      <w:bookmarkStart w:id="0" w:name="_Ref134619761"/>
      <w:bookmarkStart w:id="1" w:name="_Ref134626277"/>
      <w:r>
        <w:t xml:space="preserve">Dati identificativi del </w:t>
      </w:r>
      <w:bookmarkEnd w:id="0"/>
      <w:r w:rsidR="0062454E">
        <w:t>pagamento</w:t>
      </w:r>
      <w:bookmarkEnd w:id="1"/>
    </w:p>
    <w:p w14:paraId="587A542E" w14:textId="77777777" w:rsidR="00760CDE" w:rsidRPr="00760CDE" w:rsidRDefault="00760CDE" w:rsidP="00760CDE">
      <w:pPr>
        <w:pStyle w:val="Paragrafoelenco"/>
        <w:spacing w:after="0" w:line="240" w:lineRule="auto"/>
        <w:ind w:left="360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237"/>
        <w:gridCol w:w="1180"/>
      </w:tblGrid>
      <w:tr w:rsidR="008B7F99" w:rsidRPr="005705FE" w14:paraId="7F0C4FDE" w14:textId="77777777" w:rsidTr="00CE0928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7FC59ED" w14:textId="77777777" w:rsidR="008B7F99" w:rsidRDefault="00696A79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Dati </w:t>
            </w:r>
            <w:r w:rsidR="00B31BC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identificativi del </w:t>
            </w:r>
            <w:r w:rsidR="00EC774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pagamento</w:t>
            </w:r>
          </w:p>
          <w:p w14:paraId="6A25B7FE" w14:textId="77777777" w:rsidR="008C5DBE" w:rsidRDefault="008C5DBE" w:rsidP="00FA26C4">
            <w:pPr>
              <w:spacing w:after="0" w:line="240" w:lineRule="auto"/>
              <w:rPr>
                <w:i/>
              </w:rPr>
            </w:pPr>
          </w:p>
          <w:p w14:paraId="060AF479" w14:textId="04311600" w:rsidR="00FA26C4" w:rsidRPr="008C5DBE" w:rsidRDefault="00FA26C4" w:rsidP="00FA26C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C5DBE">
              <w:rPr>
                <w:i/>
                <w:sz w:val="16"/>
                <w:szCs w:val="16"/>
              </w:rPr>
              <w:t>N.B. Nota 1.</w:t>
            </w:r>
          </w:p>
          <w:p w14:paraId="283CA86D" w14:textId="6A7B9790" w:rsidR="001A3EFD" w:rsidRPr="008C5DBE" w:rsidRDefault="008C5DBE" w:rsidP="008C5DBE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6"/>
                <w:szCs w:val="16"/>
                <w:lang w:eastAsia="it-IT"/>
              </w:rPr>
            </w:pPr>
            <w:r w:rsidRPr="008C5DBE">
              <w:rPr>
                <w:i/>
                <w:sz w:val="16"/>
                <w:szCs w:val="16"/>
              </w:rPr>
              <w:t>N</w:t>
            </w:r>
            <w:r w:rsidR="00FA26C4" w:rsidRPr="008C5DBE">
              <w:rPr>
                <w:i/>
                <w:sz w:val="16"/>
                <w:szCs w:val="16"/>
              </w:rPr>
              <w:t>on sono oggetto di pubblicazione i pagamenti effettuati per sovvenzioni, contributi, sussidi, ausili finanziari e vantaggi economici pubblicati ai sensi degli artt. 26 e 27 del d.lgs. 33/2013. Si ricorda che per tali vantaggi economici sono esclusi quelli di importo inferiore a 1000 euro nell’anno solare.</w:t>
            </w:r>
          </w:p>
          <w:p w14:paraId="3A162814" w14:textId="77777777" w:rsidR="001A3EFD" w:rsidRPr="0062454E" w:rsidRDefault="001A3EFD" w:rsidP="00940810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021979" w:rsidRPr="00E83E02" w14:paraId="4CC3A40C" w14:textId="77777777" w:rsidTr="00384926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333B" w14:textId="1A87C129" w:rsidR="00021979" w:rsidRPr="00E83E02" w:rsidRDefault="00021979" w:rsidP="00CE0928">
            <w:pPr>
              <w:spacing w:after="0" w:line="240" w:lineRule="auto"/>
              <w:rPr>
                <w:rFonts w:ascii="Titillium" w:eastAsia="Times New Roman" w:hAnsi="Titillium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Ambito temporale di riferimento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2E88" w14:textId="520C5C67" w:rsidR="00021979" w:rsidRPr="00E83E02" w:rsidRDefault="00021979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Trimestre (I, II, III e IV trimestre per ogni anno)</w:t>
            </w: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ab/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0F7EA" w14:textId="018D7561" w:rsidR="00021979" w:rsidRPr="00E83E02" w:rsidRDefault="00021979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del trimestre</w:t>
            </w:r>
          </w:p>
        </w:tc>
      </w:tr>
      <w:tr w:rsidR="00AF0A3D" w:rsidRPr="00E83E02" w14:paraId="0EF2A6C1" w14:textId="77777777" w:rsidTr="00384926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9C73" w14:textId="77777777" w:rsidR="009F7D94" w:rsidRPr="00E83E02" w:rsidRDefault="009F7D94" w:rsidP="00CE0928">
            <w:pPr>
              <w:spacing w:after="0" w:line="240" w:lineRule="auto"/>
              <w:rPr>
                <w:rFonts w:ascii="Titillium" w:eastAsia="Times New Roman" w:hAnsi="Titillium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  <w:p w14:paraId="79527574" w14:textId="186FEDCD" w:rsidR="00AF0A3D" w:rsidRPr="00E83E02" w:rsidRDefault="00CD1E8A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Macro - </w:t>
            </w:r>
            <w:r w:rsidR="00AF0A3D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Tipologia di spesa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F7AB" w14:textId="66A8EA28" w:rsidR="009F7D94" w:rsidRPr="003B7065" w:rsidRDefault="00E83E02" w:rsidP="00AF0A3D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</w:pPr>
            <w:r w:rsidRPr="003B7065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  <w:t>PRIMA PROPOSTA</w:t>
            </w:r>
          </w:p>
          <w:p w14:paraId="0D631DB8" w14:textId="0103C985" w:rsidR="00E505C4" w:rsidRPr="00E83E02" w:rsidRDefault="00AF0A3D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Valori possibili</w:t>
            </w:r>
            <w:r w:rsidR="00E505C4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: menù a tendina</w:t>
            </w:r>
          </w:p>
          <w:p w14:paraId="30C6131D" w14:textId="04D6C805" w:rsidR="00AF0A3D" w:rsidRPr="00E83E02" w:rsidRDefault="00AF0A3D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b/>
                <w:bCs/>
                <w:color w:val="000000"/>
                <w:sz w:val="18"/>
                <w:szCs w:val="18"/>
                <w:lang w:eastAsia="it-IT"/>
              </w:rPr>
              <w:t>uscite correnti</w:t>
            </w: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:</w:t>
            </w:r>
          </w:p>
          <w:p w14:paraId="53920214" w14:textId="77777777" w:rsidR="009F7D94" w:rsidRPr="00E83E02" w:rsidRDefault="009F7D94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39D7FA0E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Acquisto di beni e di servizi</w:t>
            </w:r>
          </w:p>
          <w:p w14:paraId="2DA0BF9B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Contributi in conto esercizio</w:t>
            </w:r>
          </w:p>
          <w:p w14:paraId="0AE372F5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Interessi passivi</w:t>
            </w:r>
          </w:p>
          <w:p w14:paraId="52BDC5B8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Altre spese per attività finanziarie</w:t>
            </w:r>
          </w:p>
          <w:p w14:paraId="5556FDD5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Altre spese correnti</w:t>
            </w:r>
          </w:p>
          <w:p w14:paraId="0554B3FE" w14:textId="77777777" w:rsidR="00AF0A3D" w:rsidRPr="00E83E02" w:rsidRDefault="00AF0A3D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1D89C20F" w14:textId="65641335" w:rsidR="00AF0A3D" w:rsidRPr="00E83E02" w:rsidRDefault="00AF0A3D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uscite in </w:t>
            </w:r>
            <w:r w:rsidRPr="00E83E02">
              <w:rPr>
                <w:rFonts w:ascii="Titillium" w:eastAsia="Times New Roman" w:hAnsi="Titillium" w:cs="Calibri"/>
                <w:b/>
                <w:bCs/>
                <w:color w:val="000000"/>
                <w:sz w:val="18"/>
                <w:szCs w:val="18"/>
                <w:lang w:eastAsia="it-IT"/>
              </w:rPr>
              <w:t>conto capitale</w:t>
            </w: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:</w:t>
            </w:r>
          </w:p>
          <w:p w14:paraId="48E6886C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Investimenti in beni materiali</w:t>
            </w:r>
          </w:p>
          <w:p w14:paraId="4F0C824E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Investimenti in beni immateriali</w:t>
            </w:r>
          </w:p>
          <w:p w14:paraId="2DEFD9D5" w14:textId="77777777" w:rsidR="00AF0A3D" w:rsidRPr="00E83E02" w:rsidRDefault="00AF0A3D" w:rsidP="00AF0A3D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Investimenti in attività finanziarie</w:t>
            </w:r>
          </w:p>
          <w:p w14:paraId="564C296E" w14:textId="77777777" w:rsidR="00B33841" w:rsidRPr="00E83E02" w:rsidRDefault="00AF0A3D" w:rsidP="00B33841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Contributi in conto capitale</w:t>
            </w:r>
          </w:p>
          <w:p w14:paraId="780CD39F" w14:textId="5BB1FD38" w:rsidR="00AF0A3D" w:rsidRPr="00E83E02" w:rsidRDefault="00AF0A3D" w:rsidP="00B33841">
            <w:pPr>
              <w:pStyle w:val="Paragrafoelenco"/>
              <w:numPr>
                <w:ilvl w:val="0"/>
                <w:numId w:val="42"/>
              </w:num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Altre spese in conto capitale</w:t>
            </w:r>
          </w:p>
          <w:p w14:paraId="3E553D40" w14:textId="77777777" w:rsidR="009F7D94" w:rsidRPr="00E83E02" w:rsidRDefault="009F7D94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7EB23A8B" w14:textId="1F359364" w:rsidR="009F7D94" w:rsidRPr="003B7065" w:rsidRDefault="00E83E02" w:rsidP="00AF0A3D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</w:pPr>
            <w:r w:rsidRPr="003B7065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  <w:t>SECONDA PROPOSTA</w:t>
            </w:r>
          </w:p>
          <w:p w14:paraId="416CC3AC" w14:textId="77777777" w:rsidR="009F7D94" w:rsidRPr="00E83E02" w:rsidRDefault="009F7D94" w:rsidP="009F7D9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Possibili valori (menù a tendina)</w:t>
            </w:r>
          </w:p>
          <w:p w14:paraId="19A6D449" w14:textId="1342ADD9" w:rsidR="009F7D94" w:rsidRPr="00E83E02" w:rsidRDefault="009F7D94" w:rsidP="009F7D9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•</w:t>
            </w: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ab/>
              <w:t>Lavoro</w:t>
            </w:r>
          </w:p>
          <w:p w14:paraId="41D2633A" w14:textId="00140D44" w:rsidR="009F7D94" w:rsidRPr="00E83E02" w:rsidRDefault="009F7D94" w:rsidP="009F7D9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•</w:t>
            </w: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ab/>
              <w:t xml:space="preserve">Bene </w:t>
            </w:r>
          </w:p>
          <w:p w14:paraId="6B70EE81" w14:textId="1C4D9C5B" w:rsidR="009F7D94" w:rsidRPr="00E83E02" w:rsidRDefault="009F7D94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•</w:t>
            </w: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ab/>
              <w:t>Servizio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C55E" w14:textId="43BF7DD2" w:rsidR="00AF0A3D" w:rsidRPr="00E83E02" w:rsidRDefault="00E505C4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Valore selezionato del menù a tendina</w:t>
            </w:r>
          </w:p>
        </w:tc>
      </w:tr>
      <w:tr w:rsidR="00237DBB" w:rsidRPr="005705FE" w14:paraId="2CF94C47" w14:textId="77777777" w:rsidTr="00384926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9C87F" w14:textId="77777777" w:rsidR="00237DBB" w:rsidRDefault="00F04810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CC42" w14:textId="32F1FE43" w:rsidR="00886466" w:rsidRPr="003B7065" w:rsidRDefault="00E83E02" w:rsidP="00F04810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</w:pPr>
            <w:r w:rsidRPr="003B7065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  <w:t>PRIMA PROPOSTA</w:t>
            </w:r>
          </w:p>
          <w:p w14:paraId="54026038" w14:textId="296F21D4" w:rsidR="00886466" w:rsidRPr="00E83E02" w:rsidRDefault="00886466" w:rsidP="00691291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Importo del singolo pagamento per il trimestre di riferimento</w:t>
            </w:r>
            <w:r w:rsidR="00694B53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per singolo beneficiario </w:t>
            </w:r>
          </w:p>
          <w:p w14:paraId="19151A84" w14:textId="77777777" w:rsidR="00694B53" w:rsidRPr="00E83E02" w:rsidRDefault="00694B53" w:rsidP="00F0481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08D80AD9" w14:textId="00F21E7E" w:rsidR="00694B53" w:rsidRPr="003B7065" w:rsidRDefault="00E83E02" w:rsidP="00F04810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</w:pPr>
            <w:r w:rsidRPr="003B7065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  <w:t>SECONDA PROPOSTA</w:t>
            </w:r>
          </w:p>
          <w:p w14:paraId="591D9E48" w14:textId="58D2B5DB" w:rsidR="00BE6528" w:rsidRPr="00F04810" w:rsidRDefault="00F04810" w:rsidP="00691291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Importo </w:t>
            </w:r>
            <w:r w:rsidR="005A1F16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dei pagamenti</w:t>
            </w:r>
            <w:r w:rsidR="006E59E4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effettuat</w:t>
            </w:r>
            <w:r w:rsidR="005A1F16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</w:t>
            </w:r>
            <w:r w:rsidR="00021979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nel trimestre di riferimento</w:t>
            </w:r>
            <w:r w:rsidR="0088111A" w:rsidRPr="00E83E0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per ogni settore di beneficiario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0A98" w14:textId="77777777" w:rsidR="00237DBB" w:rsidRDefault="00946224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AF0A3D" w:rsidRPr="005705FE" w14:paraId="62FC693B" w14:textId="77777777" w:rsidTr="00384926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EDAC6" w14:textId="65ED39CC" w:rsidR="00AF0A3D" w:rsidRDefault="00AF0A3D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B</w:t>
            </w:r>
            <w:r w:rsidRPr="000C25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eneficiario</w:t>
            </w:r>
            <w:r w:rsidR="00F1564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804A" w14:textId="77777777" w:rsidR="00E83E02" w:rsidRPr="003B7065" w:rsidRDefault="00E83E02" w:rsidP="00E83E02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</w:pPr>
            <w:r w:rsidRPr="003B7065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  <w:t>PRIMA PROPOSTA</w:t>
            </w:r>
          </w:p>
          <w:p w14:paraId="5EB7E726" w14:textId="4FC46586" w:rsidR="00F15645" w:rsidRPr="003B7065" w:rsidRDefault="00AF0A3D" w:rsidP="00AF0A3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B706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Nominativo del beneficiario del pagamento (nome e cognome o denominazione sociale)</w:t>
            </w:r>
          </w:p>
          <w:p w14:paraId="14AC4124" w14:textId="4CD51961" w:rsidR="00F15645" w:rsidRPr="003B7065" w:rsidRDefault="00F15645" w:rsidP="00EC6E75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4"/>
                <w:szCs w:val="14"/>
                <w:lang w:eastAsia="it-IT"/>
              </w:rPr>
            </w:pPr>
            <w:r w:rsidRPr="003B7065">
              <w:rPr>
                <w:rFonts w:ascii="Titillium" w:eastAsia="Times New Roman" w:hAnsi="Titillium" w:cs="Calibri"/>
                <w:color w:val="000000"/>
                <w:sz w:val="14"/>
                <w:szCs w:val="14"/>
                <w:lang w:eastAsia="it-IT"/>
              </w:rPr>
              <w:t>N.B: E’ esclusa la pubblicazione dei dati identificativi delle persone fisiche destinatarie dei pagamenti, qualora sia possibile ricavare informazioni relative allo stato di salute ovvero alla situazione di disagio economico-sociale degli interessati.</w:t>
            </w:r>
          </w:p>
          <w:p w14:paraId="72B945F7" w14:textId="77777777" w:rsidR="005E765C" w:rsidRPr="00E83E02" w:rsidRDefault="005E765C" w:rsidP="00EC6E75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4"/>
                <w:szCs w:val="14"/>
                <w:lang w:eastAsia="it-IT"/>
              </w:rPr>
            </w:pPr>
          </w:p>
          <w:p w14:paraId="5B49E6CB" w14:textId="77777777" w:rsidR="00E83E02" w:rsidRPr="003B7065" w:rsidRDefault="00E83E02" w:rsidP="00E83E02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</w:pPr>
            <w:bookmarkStart w:id="2" w:name="_GoBack"/>
            <w:r w:rsidRPr="003B7065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u w:val="single"/>
                <w:lang w:eastAsia="it-IT"/>
              </w:rPr>
              <w:t>SECONDA PROPOSTA</w:t>
            </w:r>
          </w:p>
          <w:bookmarkEnd w:id="2"/>
          <w:p w14:paraId="61EC74A1" w14:textId="77777777" w:rsidR="005E765C" w:rsidRPr="00E83E02" w:rsidRDefault="005E765C" w:rsidP="005E765C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Tipologia di beneficiari.</w:t>
            </w:r>
          </w:p>
          <w:p w14:paraId="47433DF2" w14:textId="77777777" w:rsidR="005E765C" w:rsidRPr="00E83E02" w:rsidRDefault="005E765C" w:rsidP="005E765C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Una delle seguenti opzioni (menù a tendina):</w:t>
            </w:r>
          </w:p>
          <w:p w14:paraId="2038FEEC" w14:textId="77777777" w:rsidR="00B33841" w:rsidRPr="00E83E02" w:rsidRDefault="005E765C" w:rsidP="00B33841">
            <w:pPr>
              <w:pStyle w:val="Paragrafoelenco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Settore pubblico</w:t>
            </w:r>
          </w:p>
          <w:p w14:paraId="669BCB2C" w14:textId="7BC69384" w:rsidR="00AF0A3D" w:rsidRPr="00691291" w:rsidRDefault="005E765C" w:rsidP="00691291">
            <w:pPr>
              <w:pStyle w:val="Paragrafoelenco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E83E02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Settore privato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F13AE" w14:textId="49B4C86C" w:rsidR="00AF0A3D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AF0A3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  <w:p w14:paraId="51BC00E3" w14:textId="77777777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6716FA5F" w14:textId="77777777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68360654" w14:textId="77777777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6CADAE3D" w14:textId="77777777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1B8AF0F3" w14:textId="77777777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09B5555E" w14:textId="77777777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56B9FA99" w14:textId="77777777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01CE50BF" w14:textId="74680BD4" w:rsidR="0096398C" w:rsidRDefault="0096398C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Menù a tendina</w:t>
            </w:r>
          </w:p>
        </w:tc>
      </w:tr>
    </w:tbl>
    <w:p w14:paraId="4B45D4B8" w14:textId="77777777" w:rsidR="00B97D61" w:rsidRDefault="00B97D61" w:rsidP="008067D6">
      <w:pPr>
        <w:pBdr>
          <w:bottom w:val="single" w:sz="6" w:space="1" w:color="auto"/>
        </w:pBdr>
      </w:pPr>
    </w:p>
    <w:sectPr w:rsidR="00B97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264B8" w16cid:durableId="28D8E9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47D3" w14:textId="77777777" w:rsidR="00594DD7" w:rsidRDefault="00594DD7" w:rsidP="006D27D9">
      <w:pPr>
        <w:spacing w:after="0" w:line="240" w:lineRule="auto"/>
      </w:pPr>
      <w:r>
        <w:separator/>
      </w:r>
    </w:p>
  </w:endnote>
  <w:endnote w:type="continuationSeparator" w:id="0">
    <w:p w14:paraId="4E532873" w14:textId="77777777" w:rsidR="00594DD7" w:rsidRDefault="00594DD7" w:rsidP="006D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C82C6" w14:textId="77777777" w:rsidR="00594DD7" w:rsidRDefault="00594DD7" w:rsidP="006D27D9">
      <w:pPr>
        <w:spacing w:after="0" w:line="240" w:lineRule="auto"/>
      </w:pPr>
      <w:r>
        <w:separator/>
      </w:r>
    </w:p>
  </w:footnote>
  <w:footnote w:type="continuationSeparator" w:id="0">
    <w:p w14:paraId="27B3D44B" w14:textId="77777777" w:rsidR="00594DD7" w:rsidRDefault="00594DD7" w:rsidP="006D2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9A7"/>
    <w:multiLevelType w:val="hybridMultilevel"/>
    <w:tmpl w:val="3F8E9FF8"/>
    <w:lvl w:ilvl="0" w:tplc="971CA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2AE8"/>
    <w:multiLevelType w:val="hybridMultilevel"/>
    <w:tmpl w:val="1A546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9769A"/>
    <w:multiLevelType w:val="hybridMultilevel"/>
    <w:tmpl w:val="875C6D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02B00"/>
    <w:multiLevelType w:val="hybridMultilevel"/>
    <w:tmpl w:val="F6F00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5982"/>
    <w:multiLevelType w:val="hybridMultilevel"/>
    <w:tmpl w:val="CF463A8C"/>
    <w:lvl w:ilvl="0" w:tplc="046A8F02"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7266"/>
    <w:multiLevelType w:val="hybridMultilevel"/>
    <w:tmpl w:val="11B47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1E73"/>
    <w:multiLevelType w:val="hybridMultilevel"/>
    <w:tmpl w:val="CCAA0B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765A20"/>
    <w:multiLevelType w:val="hybridMultilevel"/>
    <w:tmpl w:val="A5C0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900A4"/>
    <w:multiLevelType w:val="hybridMultilevel"/>
    <w:tmpl w:val="977E6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36E418B"/>
    <w:multiLevelType w:val="hybridMultilevel"/>
    <w:tmpl w:val="2424E29A"/>
    <w:lvl w:ilvl="0" w:tplc="A06CD0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65A3"/>
    <w:multiLevelType w:val="hybridMultilevel"/>
    <w:tmpl w:val="49AA738A"/>
    <w:lvl w:ilvl="0" w:tplc="D7E4F494">
      <w:start w:val="14"/>
      <w:numFmt w:val="bullet"/>
      <w:lvlText w:val="-"/>
      <w:lvlJc w:val="left"/>
      <w:pPr>
        <w:ind w:left="1080" w:hanging="360"/>
      </w:pPr>
      <w:rPr>
        <w:rFonts w:ascii="Titillium" w:eastAsia="Times New Roman" w:hAnsi="Titillium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C6563"/>
    <w:multiLevelType w:val="hybridMultilevel"/>
    <w:tmpl w:val="1A78B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25E15"/>
    <w:multiLevelType w:val="hybridMultilevel"/>
    <w:tmpl w:val="CAF6D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C815CD"/>
    <w:multiLevelType w:val="hybridMultilevel"/>
    <w:tmpl w:val="14B01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13"/>
  </w:num>
  <w:num w:numId="32">
    <w:abstractNumId w:val="9"/>
  </w:num>
  <w:num w:numId="33">
    <w:abstractNumId w:val="0"/>
  </w:num>
  <w:num w:numId="34">
    <w:abstractNumId w:val="2"/>
  </w:num>
  <w:num w:numId="35">
    <w:abstractNumId w:val="16"/>
  </w:num>
  <w:num w:numId="36">
    <w:abstractNumId w:val="14"/>
  </w:num>
  <w:num w:numId="37">
    <w:abstractNumId w:val="15"/>
  </w:num>
  <w:num w:numId="38">
    <w:abstractNumId w:val="1"/>
  </w:num>
  <w:num w:numId="39">
    <w:abstractNumId w:val="6"/>
  </w:num>
  <w:num w:numId="40">
    <w:abstractNumId w:val="3"/>
  </w:num>
  <w:num w:numId="41">
    <w:abstractNumId w:val="5"/>
  </w:num>
  <w:num w:numId="42">
    <w:abstractNumId w:val="8"/>
  </w:num>
  <w:num w:numId="43">
    <w:abstractNumId w:val="4"/>
  </w:num>
  <w:num w:numId="44">
    <w:abstractNumId w:val="10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1E4D"/>
    <w:rsid w:val="000022ED"/>
    <w:rsid w:val="00003E1F"/>
    <w:rsid w:val="00006BCB"/>
    <w:rsid w:val="0001247F"/>
    <w:rsid w:val="00012A9C"/>
    <w:rsid w:val="00014EF9"/>
    <w:rsid w:val="00021979"/>
    <w:rsid w:val="0002566F"/>
    <w:rsid w:val="00033DD9"/>
    <w:rsid w:val="000370FC"/>
    <w:rsid w:val="000401BE"/>
    <w:rsid w:val="00041B99"/>
    <w:rsid w:val="0004219C"/>
    <w:rsid w:val="00051378"/>
    <w:rsid w:val="0005170F"/>
    <w:rsid w:val="00057FF5"/>
    <w:rsid w:val="00070240"/>
    <w:rsid w:val="0008099F"/>
    <w:rsid w:val="00083C44"/>
    <w:rsid w:val="0008466A"/>
    <w:rsid w:val="00092C68"/>
    <w:rsid w:val="00093B97"/>
    <w:rsid w:val="000A00EF"/>
    <w:rsid w:val="000A6BDC"/>
    <w:rsid w:val="000B39B6"/>
    <w:rsid w:val="000C2558"/>
    <w:rsid w:val="000C2A7C"/>
    <w:rsid w:val="000C4A83"/>
    <w:rsid w:val="000C741E"/>
    <w:rsid w:val="000C76CF"/>
    <w:rsid w:val="000D479E"/>
    <w:rsid w:val="000D4F9B"/>
    <w:rsid w:val="000E6B34"/>
    <w:rsid w:val="000F420E"/>
    <w:rsid w:val="000F5405"/>
    <w:rsid w:val="000F556F"/>
    <w:rsid w:val="0010524E"/>
    <w:rsid w:val="00110CAC"/>
    <w:rsid w:val="00112A17"/>
    <w:rsid w:val="0011529B"/>
    <w:rsid w:val="001177FC"/>
    <w:rsid w:val="0013223C"/>
    <w:rsid w:val="001327D8"/>
    <w:rsid w:val="00150592"/>
    <w:rsid w:val="00152408"/>
    <w:rsid w:val="00155A57"/>
    <w:rsid w:val="0016267F"/>
    <w:rsid w:val="00166E4B"/>
    <w:rsid w:val="001714FD"/>
    <w:rsid w:val="00171B79"/>
    <w:rsid w:val="00176941"/>
    <w:rsid w:val="001804D0"/>
    <w:rsid w:val="00182193"/>
    <w:rsid w:val="00185BAE"/>
    <w:rsid w:val="00190EC9"/>
    <w:rsid w:val="00191229"/>
    <w:rsid w:val="0019283B"/>
    <w:rsid w:val="00194E0A"/>
    <w:rsid w:val="00195CED"/>
    <w:rsid w:val="001A3EFD"/>
    <w:rsid w:val="001B4D42"/>
    <w:rsid w:val="001C0B01"/>
    <w:rsid w:val="001C5185"/>
    <w:rsid w:val="001D434E"/>
    <w:rsid w:val="001E5BFA"/>
    <w:rsid w:val="001F06EE"/>
    <w:rsid w:val="001F2E07"/>
    <w:rsid w:val="001F5052"/>
    <w:rsid w:val="002032AD"/>
    <w:rsid w:val="00206C33"/>
    <w:rsid w:val="00206D1D"/>
    <w:rsid w:val="002176CC"/>
    <w:rsid w:val="00223C4A"/>
    <w:rsid w:val="00227578"/>
    <w:rsid w:val="002301BF"/>
    <w:rsid w:val="00236C3B"/>
    <w:rsid w:val="00237DBB"/>
    <w:rsid w:val="00247F3C"/>
    <w:rsid w:val="00250D7F"/>
    <w:rsid w:val="00256BC9"/>
    <w:rsid w:val="00261711"/>
    <w:rsid w:val="00261CB0"/>
    <w:rsid w:val="00265840"/>
    <w:rsid w:val="00284A02"/>
    <w:rsid w:val="00292C7E"/>
    <w:rsid w:val="00292D3D"/>
    <w:rsid w:val="00293C4A"/>
    <w:rsid w:val="002A1FD4"/>
    <w:rsid w:val="002A75D0"/>
    <w:rsid w:val="002B25C7"/>
    <w:rsid w:val="002C291B"/>
    <w:rsid w:val="002C3C73"/>
    <w:rsid w:val="002D150A"/>
    <w:rsid w:val="002D44ED"/>
    <w:rsid w:val="002D6BA3"/>
    <w:rsid w:val="002E1C85"/>
    <w:rsid w:val="002E1C87"/>
    <w:rsid w:val="002F5B5D"/>
    <w:rsid w:val="002F6C1C"/>
    <w:rsid w:val="00303430"/>
    <w:rsid w:val="003034D5"/>
    <w:rsid w:val="00315662"/>
    <w:rsid w:val="0032531D"/>
    <w:rsid w:val="00352421"/>
    <w:rsid w:val="0036022C"/>
    <w:rsid w:val="003661E7"/>
    <w:rsid w:val="00374AD7"/>
    <w:rsid w:val="003774E0"/>
    <w:rsid w:val="00377F2D"/>
    <w:rsid w:val="00381E40"/>
    <w:rsid w:val="00384926"/>
    <w:rsid w:val="003922B2"/>
    <w:rsid w:val="00394983"/>
    <w:rsid w:val="00394CAF"/>
    <w:rsid w:val="003A0797"/>
    <w:rsid w:val="003A0FA3"/>
    <w:rsid w:val="003A1D82"/>
    <w:rsid w:val="003B7065"/>
    <w:rsid w:val="003C16B1"/>
    <w:rsid w:val="003C1C81"/>
    <w:rsid w:val="003C58DD"/>
    <w:rsid w:val="003C5B7D"/>
    <w:rsid w:val="003D245E"/>
    <w:rsid w:val="003D48F8"/>
    <w:rsid w:val="003D64C6"/>
    <w:rsid w:val="003E0238"/>
    <w:rsid w:val="003E03EE"/>
    <w:rsid w:val="003E2537"/>
    <w:rsid w:val="003E381A"/>
    <w:rsid w:val="003E4E0C"/>
    <w:rsid w:val="003F7CD7"/>
    <w:rsid w:val="0040254A"/>
    <w:rsid w:val="00404829"/>
    <w:rsid w:val="004051EB"/>
    <w:rsid w:val="00405F35"/>
    <w:rsid w:val="00412DE3"/>
    <w:rsid w:val="004158B8"/>
    <w:rsid w:val="00420632"/>
    <w:rsid w:val="00421192"/>
    <w:rsid w:val="00426762"/>
    <w:rsid w:val="004360A3"/>
    <w:rsid w:val="00436F35"/>
    <w:rsid w:val="004422B6"/>
    <w:rsid w:val="00445B8B"/>
    <w:rsid w:val="00453796"/>
    <w:rsid w:val="004556E5"/>
    <w:rsid w:val="00460BA1"/>
    <w:rsid w:val="00465114"/>
    <w:rsid w:val="0047097C"/>
    <w:rsid w:val="00492239"/>
    <w:rsid w:val="00497791"/>
    <w:rsid w:val="004A1004"/>
    <w:rsid w:val="004A175B"/>
    <w:rsid w:val="004A601D"/>
    <w:rsid w:val="004C1DB4"/>
    <w:rsid w:val="004C7660"/>
    <w:rsid w:val="004D149A"/>
    <w:rsid w:val="004D51F8"/>
    <w:rsid w:val="004D6D95"/>
    <w:rsid w:val="004E33E0"/>
    <w:rsid w:val="004F310D"/>
    <w:rsid w:val="004F7C1A"/>
    <w:rsid w:val="00510544"/>
    <w:rsid w:val="00526060"/>
    <w:rsid w:val="0054130D"/>
    <w:rsid w:val="00542A80"/>
    <w:rsid w:val="005468AB"/>
    <w:rsid w:val="00551EF0"/>
    <w:rsid w:val="0055312B"/>
    <w:rsid w:val="00553DF0"/>
    <w:rsid w:val="0055765B"/>
    <w:rsid w:val="005619D9"/>
    <w:rsid w:val="005639BF"/>
    <w:rsid w:val="00564CD0"/>
    <w:rsid w:val="005654C6"/>
    <w:rsid w:val="0056657B"/>
    <w:rsid w:val="0057044F"/>
    <w:rsid w:val="005705FE"/>
    <w:rsid w:val="005837EF"/>
    <w:rsid w:val="00594DD7"/>
    <w:rsid w:val="005958FC"/>
    <w:rsid w:val="005A1F16"/>
    <w:rsid w:val="005A2196"/>
    <w:rsid w:val="005A5DEB"/>
    <w:rsid w:val="005B12F8"/>
    <w:rsid w:val="005B2F4C"/>
    <w:rsid w:val="005B340A"/>
    <w:rsid w:val="005B3D21"/>
    <w:rsid w:val="005C4D05"/>
    <w:rsid w:val="005C73E4"/>
    <w:rsid w:val="005D1DB4"/>
    <w:rsid w:val="005D681A"/>
    <w:rsid w:val="005E0A21"/>
    <w:rsid w:val="005E1C5B"/>
    <w:rsid w:val="005E1E31"/>
    <w:rsid w:val="005E24EB"/>
    <w:rsid w:val="005E765C"/>
    <w:rsid w:val="005F1B1A"/>
    <w:rsid w:val="005F42B3"/>
    <w:rsid w:val="006108A5"/>
    <w:rsid w:val="00615387"/>
    <w:rsid w:val="0062454E"/>
    <w:rsid w:val="006436D8"/>
    <w:rsid w:val="00645AE2"/>
    <w:rsid w:val="00653155"/>
    <w:rsid w:val="00665680"/>
    <w:rsid w:val="006770A2"/>
    <w:rsid w:val="00680081"/>
    <w:rsid w:val="00686CB3"/>
    <w:rsid w:val="00691291"/>
    <w:rsid w:val="00694B53"/>
    <w:rsid w:val="00696A79"/>
    <w:rsid w:val="00697BD2"/>
    <w:rsid w:val="006A6BDA"/>
    <w:rsid w:val="006A7073"/>
    <w:rsid w:val="006B1AB8"/>
    <w:rsid w:val="006B25AC"/>
    <w:rsid w:val="006B3941"/>
    <w:rsid w:val="006C0B7B"/>
    <w:rsid w:val="006C1DD6"/>
    <w:rsid w:val="006C7E15"/>
    <w:rsid w:val="006D09D8"/>
    <w:rsid w:val="006D1178"/>
    <w:rsid w:val="006D27D9"/>
    <w:rsid w:val="006D30F9"/>
    <w:rsid w:val="006D33C6"/>
    <w:rsid w:val="006D4C0C"/>
    <w:rsid w:val="006E1D51"/>
    <w:rsid w:val="006E3061"/>
    <w:rsid w:val="006E59E4"/>
    <w:rsid w:val="006E5EBD"/>
    <w:rsid w:val="006F081D"/>
    <w:rsid w:val="006F1362"/>
    <w:rsid w:val="006F2CD9"/>
    <w:rsid w:val="006F2E70"/>
    <w:rsid w:val="006F4A7E"/>
    <w:rsid w:val="006F7358"/>
    <w:rsid w:val="00704F53"/>
    <w:rsid w:val="00712A9D"/>
    <w:rsid w:val="007164F5"/>
    <w:rsid w:val="00717483"/>
    <w:rsid w:val="00723989"/>
    <w:rsid w:val="00724ACA"/>
    <w:rsid w:val="00732743"/>
    <w:rsid w:val="00734F62"/>
    <w:rsid w:val="00735197"/>
    <w:rsid w:val="0074307C"/>
    <w:rsid w:val="007535E8"/>
    <w:rsid w:val="00754052"/>
    <w:rsid w:val="00760CDE"/>
    <w:rsid w:val="00766133"/>
    <w:rsid w:val="007670C3"/>
    <w:rsid w:val="0077364E"/>
    <w:rsid w:val="00775EC4"/>
    <w:rsid w:val="007806D1"/>
    <w:rsid w:val="00792BC6"/>
    <w:rsid w:val="007930FB"/>
    <w:rsid w:val="007954ED"/>
    <w:rsid w:val="007A16FA"/>
    <w:rsid w:val="007A5058"/>
    <w:rsid w:val="007A728B"/>
    <w:rsid w:val="007B0AE9"/>
    <w:rsid w:val="007C1E62"/>
    <w:rsid w:val="007C2451"/>
    <w:rsid w:val="007D6DC1"/>
    <w:rsid w:val="007E6448"/>
    <w:rsid w:val="007F5C9E"/>
    <w:rsid w:val="007F7ABA"/>
    <w:rsid w:val="00800465"/>
    <w:rsid w:val="00801087"/>
    <w:rsid w:val="00803A7B"/>
    <w:rsid w:val="008058B3"/>
    <w:rsid w:val="008067D6"/>
    <w:rsid w:val="00813139"/>
    <w:rsid w:val="00820F83"/>
    <w:rsid w:val="008244A3"/>
    <w:rsid w:val="00825603"/>
    <w:rsid w:val="00833FB2"/>
    <w:rsid w:val="00835800"/>
    <w:rsid w:val="00836641"/>
    <w:rsid w:val="0083669B"/>
    <w:rsid w:val="008373C5"/>
    <w:rsid w:val="00840D21"/>
    <w:rsid w:val="0084199F"/>
    <w:rsid w:val="00851488"/>
    <w:rsid w:val="008614C9"/>
    <w:rsid w:val="00863C25"/>
    <w:rsid w:val="008656D3"/>
    <w:rsid w:val="00870D24"/>
    <w:rsid w:val="00877092"/>
    <w:rsid w:val="0088111A"/>
    <w:rsid w:val="00886466"/>
    <w:rsid w:val="00887F3A"/>
    <w:rsid w:val="0089102E"/>
    <w:rsid w:val="00897BBF"/>
    <w:rsid w:val="008A489E"/>
    <w:rsid w:val="008B11FF"/>
    <w:rsid w:val="008B1767"/>
    <w:rsid w:val="008B7F99"/>
    <w:rsid w:val="008C2AC3"/>
    <w:rsid w:val="008C5DBE"/>
    <w:rsid w:val="008C6A61"/>
    <w:rsid w:val="008C6E97"/>
    <w:rsid w:val="008C70AD"/>
    <w:rsid w:val="008D1149"/>
    <w:rsid w:val="008E02FC"/>
    <w:rsid w:val="008E0344"/>
    <w:rsid w:val="008E4BD4"/>
    <w:rsid w:val="008E76D5"/>
    <w:rsid w:val="008F0AA6"/>
    <w:rsid w:val="008F635D"/>
    <w:rsid w:val="00905A3D"/>
    <w:rsid w:val="00911E91"/>
    <w:rsid w:val="00915D04"/>
    <w:rsid w:val="00932314"/>
    <w:rsid w:val="00932A24"/>
    <w:rsid w:val="00934631"/>
    <w:rsid w:val="00934EE7"/>
    <w:rsid w:val="00940810"/>
    <w:rsid w:val="009423BD"/>
    <w:rsid w:val="009447C4"/>
    <w:rsid w:val="00944A4C"/>
    <w:rsid w:val="00946224"/>
    <w:rsid w:val="00960324"/>
    <w:rsid w:val="00962ADB"/>
    <w:rsid w:val="00963267"/>
    <w:rsid w:val="0096398C"/>
    <w:rsid w:val="0098552E"/>
    <w:rsid w:val="00991530"/>
    <w:rsid w:val="00991E5F"/>
    <w:rsid w:val="00992C10"/>
    <w:rsid w:val="0099480E"/>
    <w:rsid w:val="00995109"/>
    <w:rsid w:val="009A0CC8"/>
    <w:rsid w:val="009A5173"/>
    <w:rsid w:val="009A7100"/>
    <w:rsid w:val="009B0283"/>
    <w:rsid w:val="009B2D8C"/>
    <w:rsid w:val="009C0F75"/>
    <w:rsid w:val="009C406B"/>
    <w:rsid w:val="009C5B9C"/>
    <w:rsid w:val="009D1E04"/>
    <w:rsid w:val="009E285A"/>
    <w:rsid w:val="009F2820"/>
    <w:rsid w:val="009F7D94"/>
    <w:rsid w:val="00A00C17"/>
    <w:rsid w:val="00A12468"/>
    <w:rsid w:val="00A13D38"/>
    <w:rsid w:val="00A340F3"/>
    <w:rsid w:val="00A3642E"/>
    <w:rsid w:val="00A427AE"/>
    <w:rsid w:val="00A42EA0"/>
    <w:rsid w:val="00A4441B"/>
    <w:rsid w:val="00A4549A"/>
    <w:rsid w:val="00A47820"/>
    <w:rsid w:val="00A62AE3"/>
    <w:rsid w:val="00A70260"/>
    <w:rsid w:val="00A72FFA"/>
    <w:rsid w:val="00A8027E"/>
    <w:rsid w:val="00A8603B"/>
    <w:rsid w:val="00A950CA"/>
    <w:rsid w:val="00A95D79"/>
    <w:rsid w:val="00A96EE5"/>
    <w:rsid w:val="00AB1618"/>
    <w:rsid w:val="00AB3654"/>
    <w:rsid w:val="00AB6259"/>
    <w:rsid w:val="00AB6E99"/>
    <w:rsid w:val="00AB752E"/>
    <w:rsid w:val="00AC11CF"/>
    <w:rsid w:val="00AC60FA"/>
    <w:rsid w:val="00AD19D5"/>
    <w:rsid w:val="00AE64BB"/>
    <w:rsid w:val="00AF0A3D"/>
    <w:rsid w:val="00AF5F9A"/>
    <w:rsid w:val="00B0062B"/>
    <w:rsid w:val="00B0487D"/>
    <w:rsid w:val="00B11198"/>
    <w:rsid w:val="00B13442"/>
    <w:rsid w:val="00B15004"/>
    <w:rsid w:val="00B247CD"/>
    <w:rsid w:val="00B31BC3"/>
    <w:rsid w:val="00B33841"/>
    <w:rsid w:val="00B34C87"/>
    <w:rsid w:val="00B65C4E"/>
    <w:rsid w:val="00B65E8F"/>
    <w:rsid w:val="00B66C01"/>
    <w:rsid w:val="00B67066"/>
    <w:rsid w:val="00B67448"/>
    <w:rsid w:val="00B702ED"/>
    <w:rsid w:val="00B74D42"/>
    <w:rsid w:val="00B76F20"/>
    <w:rsid w:val="00B81A1F"/>
    <w:rsid w:val="00B87140"/>
    <w:rsid w:val="00B87A82"/>
    <w:rsid w:val="00B97D61"/>
    <w:rsid w:val="00BA08E5"/>
    <w:rsid w:val="00BA3675"/>
    <w:rsid w:val="00BA790C"/>
    <w:rsid w:val="00BB229D"/>
    <w:rsid w:val="00BB30A0"/>
    <w:rsid w:val="00BB4492"/>
    <w:rsid w:val="00BB57DB"/>
    <w:rsid w:val="00BB692E"/>
    <w:rsid w:val="00BC13A4"/>
    <w:rsid w:val="00BD0D19"/>
    <w:rsid w:val="00BD28AE"/>
    <w:rsid w:val="00BD2F1D"/>
    <w:rsid w:val="00BD6C47"/>
    <w:rsid w:val="00BD79E7"/>
    <w:rsid w:val="00BE6528"/>
    <w:rsid w:val="00BF5628"/>
    <w:rsid w:val="00C1060F"/>
    <w:rsid w:val="00C1210D"/>
    <w:rsid w:val="00C13CC6"/>
    <w:rsid w:val="00C246A0"/>
    <w:rsid w:val="00C271D5"/>
    <w:rsid w:val="00C3291F"/>
    <w:rsid w:val="00C34197"/>
    <w:rsid w:val="00C366E8"/>
    <w:rsid w:val="00C42209"/>
    <w:rsid w:val="00C5418C"/>
    <w:rsid w:val="00C572C1"/>
    <w:rsid w:val="00C57DCF"/>
    <w:rsid w:val="00C63E37"/>
    <w:rsid w:val="00C63FB6"/>
    <w:rsid w:val="00C74257"/>
    <w:rsid w:val="00C74FA8"/>
    <w:rsid w:val="00C75F5E"/>
    <w:rsid w:val="00C779A9"/>
    <w:rsid w:val="00C80416"/>
    <w:rsid w:val="00C835B7"/>
    <w:rsid w:val="00C93854"/>
    <w:rsid w:val="00C943DF"/>
    <w:rsid w:val="00CA2F5A"/>
    <w:rsid w:val="00CB1F27"/>
    <w:rsid w:val="00CB6900"/>
    <w:rsid w:val="00CC332F"/>
    <w:rsid w:val="00CC4733"/>
    <w:rsid w:val="00CC73CE"/>
    <w:rsid w:val="00CD01E9"/>
    <w:rsid w:val="00CD1E8A"/>
    <w:rsid w:val="00CD2E2E"/>
    <w:rsid w:val="00CF0040"/>
    <w:rsid w:val="00CF33A8"/>
    <w:rsid w:val="00CF3D24"/>
    <w:rsid w:val="00D03691"/>
    <w:rsid w:val="00D04844"/>
    <w:rsid w:val="00D108C3"/>
    <w:rsid w:val="00D31CB2"/>
    <w:rsid w:val="00D33EC9"/>
    <w:rsid w:val="00D347FA"/>
    <w:rsid w:val="00D36B0B"/>
    <w:rsid w:val="00D41829"/>
    <w:rsid w:val="00D5494A"/>
    <w:rsid w:val="00D61553"/>
    <w:rsid w:val="00D6315C"/>
    <w:rsid w:val="00D63E28"/>
    <w:rsid w:val="00D64BFE"/>
    <w:rsid w:val="00D658A8"/>
    <w:rsid w:val="00D66B3D"/>
    <w:rsid w:val="00D6774A"/>
    <w:rsid w:val="00D71900"/>
    <w:rsid w:val="00D73D81"/>
    <w:rsid w:val="00D74584"/>
    <w:rsid w:val="00D80D27"/>
    <w:rsid w:val="00D92993"/>
    <w:rsid w:val="00DA74BC"/>
    <w:rsid w:val="00DB2486"/>
    <w:rsid w:val="00DB6CB3"/>
    <w:rsid w:val="00DC7B34"/>
    <w:rsid w:val="00DD5B7D"/>
    <w:rsid w:val="00DE2322"/>
    <w:rsid w:val="00DE472E"/>
    <w:rsid w:val="00DE6128"/>
    <w:rsid w:val="00DF3095"/>
    <w:rsid w:val="00E125DB"/>
    <w:rsid w:val="00E13C5B"/>
    <w:rsid w:val="00E1790E"/>
    <w:rsid w:val="00E20A2B"/>
    <w:rsid w:val="00E24229"/>
    <w:rsid w:val="00E2426D"/>
    <w:rsid w:val="00E25022"/>
    <w:rsid w:val="00E3540A"/>
    <w:rsid w:val="00E37C66"/>
    <w:rsid w:val="00E41EEF"/>
    <w:rsid w:val="00E44B03"/>
    <w:rsid w:val="00E505C4"/>
    <w:rsid w:val="00E5494E"/>
    <w:rsid w:val="00E574FE"/>
    <w:rsid w:val="00E64497"/>
    <w:rsid w:val="00E71F54"/>
    <w:rsid w:val="00E72CD5"/>
    <w:rsid w:val="00E7362E"/>
    <w:rsid w:val="00E82437"/>
    <w:rsid w:val="00E8396C"/>
    <w:rsid w:val="00E83E02"/>
    <w:rsid w:val="00E91AD5"/>
    <w:rsid w:val="00E95744"/>
    <w:rsid w:val="00EA16FF"/>
    <w:rsid w:val="00EB58E9"/>
    <w:rsid w:val="00EB5B06"/>
    <w:rsid w:val="00EC1A17"/>
    <w:rsid w:val="00EC577C"/>
    <w:rsid w:val="00EC6C8A"/>
    <w:rsid w:val="00EC6E75"/>
    <w:rsid w:val="00EC73B3"/>
    <w:rsid w:val="00EC7747"/>
    <w:rsid w:val="00ED2DE9"/>
    <w:rsid w:val="00EF3C2F"/>
    <w:rsid w:val="00EF4169"/>
    <w:rsid w:val="00EF51F7"/>
    <w:rsid w:val="00EF53D4"/>
    <w:rsid w:val="00EF6675"/>
    <w:rsid w:val="00F00B00"/>
    <w:rsid w:val="00F04810"/>
    <w:rsid w:val="00F15645"/>
    <w:rsid w:val="00F16936"/>
    <w:rsid w:val="00F210D5"/>
    <w:rsid w:val="00F214C5"/>
    <w:rsid w:val="00F2430B"/>
    <w:rsid w:val="00F25E86"/>
    <w:rsid w:val="00F3093E"/>
    <w:rsid w:val="00F54D7F"/>
    <w:rsid w:val="00F57201"/>
    <w:rsid w:val="00F63F31"/>
    <w:rsid w:val="00F65B3D"/>
    <w:rsid w:val="00F71FE5"/>
    <w:rsid w:val="00F7217B"/>
    <w:rsid w:val="00F76A73"/>
    <w:rsid w:val="00F80B3F"/>
    <w:rsid w:val="00F84672"/>
    <w:rsid w:val="00FA05F2"/>
    <w:rsid w:val="00FA26C4"/>
    <w:rsid w:val="00FA4638"/>
    <w:rsid w:val="00FA59E1"/>
    <w:rsid w:val="00FB4C66"/>
    <w:rsid w:val="00FB76FF"/>
    <w:rsid w:val="00FC19C8"/>
    <w:rsid w:val="00FC2C90"/>
    <w:rsid w:val="00FD1790"/>
    <w:rsid w:val="00FD6485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A38D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7D9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7D9"/>
    <w:rPr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27D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341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4197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4197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41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4197"/>
    <w:rPr>
      <w:b/>
      <w:bCs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197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NAC-TitoloParagrafoCarattere">
    <w:name w:val="ANAC - Titolo Paragrafo Carattere"/>
    <w:basedOn w:val="Carpredefinitoparagrafo"/>
    <w:link w:val="ANAC-TitoloParagrafo"/>
    <w:semiHidden/>
    <w:locked/>
    <w:rsid w:val="008C70AD"/>
    <w:rPr>
      <w:rFonts w:ascii="Trebuchet MS" w:hAnsi="Trebuchet MS"/>
      <w:color w:val="2770B7"/>
    </w:rPr>
  </w:style>
  <w:style w:type="paragraph" w:customStyle="1" w:styleId="ANAC-TitoloParagrafo">
    <w:name w:val="ANAC - Titolo Paragrafo"/>
    <w:basedOn w:val="Normale"/>
    <w:link w:val="ANAC-TitoloParagrafoCarattere"/>
    <w:semiHidden/>
    <w:rsid w:val="008C70AD"/>
    <w:pPr>
      <w:keepNext/>
      <w:spacing w:before="40" w:after="0" w:line="240" w:lineRule="auto"/>
      <w:ind w:left="1559" w:right="142" w:hanging="992"/>
    </w:pPr>
    <w:rPr>
      <w:rFonts w:ascii="Trebuchet MS" w:hAnsi="Trebuchet MS"/>
      <w:color w:val="2770B7"/>
      <w:kern w:val="2"/>
      <w14:ligatures w14:val="standardContextual"/>
    </w:rPr>
  </w:style>
  <w:style w:type="paragraph" w:styleId="Revisione">
    <w:name w:val="Revision"/>
    <w:hidden/>
    <w:uiPriority w:val="99"/>
    <w:semiHidden/>
    <w:rsid w:val="00AF0A3D"/>
    <w:pPr>
      <w:spacing w:after="0" w:line="240" w:lineRule="auto"/>
    </w:pPr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C5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DBE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C5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DB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3_0033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2E-E1C3-48A3-A18A-E02649871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B53D73-F479-41F1-B9C0-8400BA9FE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B11C5-AA97-4CEF-8649-36793DB0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93618-B9FB-4EE5-B99F-97DC8B93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497</cp:revision>
  <dcterms:created xsi:type="dcterms:W3CDTF">2023-04-05T09:23:00Z</dcterms:created>
  <dcterms:modified xsi:type="dcterms:W3CDTF">2023-11-13T10:42:00Z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