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BA" w:rsidRDefault="001F70BA" w:rsidP="00E0422F">
      <w:pPr>
        <w:tabs>
          <w:tab w:val="left" w:pos="2774"/>
        </w:tabs>
        <w:spacing w:before="120" w:after="120" w:line="276" w:lineRule="auto"/>
        <w:jc w:val="center"/>
        <w:rPr>
          <w:rFonts w:ascii="Gotham Light" w:hAnsi="Gotham Light" w:cs="Arial"/>
          <w:b/>
          <w:color w:val="2E74B5"/>
          <w:sz w:val="32"/>
          <w:szCs w:val="32"/>
        </w:rPr>
      </w:pPr>
    </w:p>
    <w:p w:rsidR="00B80660" w:rsidRPr="00E14047" w:rsidRDefault="004B6C64" w:rsidP="00E0422F">
      <w:pPr>
        <w:tabs>
          <w:tab w:val="left" w:pos="2774"/>
        </w:tabs>
        <w:spacing w:before="120" w:after="120" w:line="276" w:lineRule="auto"/>
        <w:jc w:val="center"/>
        <w:rPr>
          <w:rFonts w:ascii="Gotham Light" w:hAnsi="Gotham Light"/>
          <w:b/>
          <w:sz w:val="32"/>
          <w:szCs w:val="32"/>
        </w:rPr>
      </w:pPr>
      <w:r w:rsidRPr="00E14047">
        <w:rPr>
          <w:rFonts w:ascii="Gotham Light" w:hAnsi="Gotham Light" w:cs="Arial"/>
          <w:b/>
          <w:color w:val="2E74B5"/>
          <w:sz w:val="32"/>
          <w:szCs w:val="32"/>
        </w:rPr>
        <w:t>DECISIONE DI</w:t>
      </w:r>
      <w:r w:rsidR="00C95049" w:rsidRPr="00E14047">
        <w:rPr>
          <w:rFonts w:ascii="Gotham Light" w:hAnsi="Gotham Light" w:cs="Arial"/>
          <w:b/>
          <w:color w:val="2E74B5"/>
          <w:sz w:val="32"/>
          <w:szCs w:val="32"/>
        </w:rPr>
        <w:t xml:space="preserve"> CONTRARRE</w:t>
      </w:r>
    </w:p>
    <w:p w:rsidR="00521C35" w:rsidRDefault="00521C35" w:rsidP="00E14047">
      <w:pPr>
        <w:spacing w:line="276" w:lineRule="auto"/>
        <w:jc w:val="both"/>
        <w:rPr>
          <w:rFonts w:ascii="Titillium" w:hAnsi="Titillium"/>
          <w:b/>
          <w:sz w:val="22"/>
          <w:szCs w:val="22"/>
        </w:rPr>
      </w:pPr>
    </w:p>
    <w:p w:rsidR="004B6C64" w:rsidRPr="005B4B15" w:rsidRDefault="00332723" w:rsidP="001F70BA">
      <w:pPr>
        <w:spacing w:after="120" w:line="276" w:lineRule="auto"/>
        <w:jc w:val="both"/>
        <w:rPr>
          <w:rFonts w:ascii="Titillium" w:hAnsi="Titillium"/>
          <w:sz w:val="20"/>
          <w:szCs w:val="20"/>
        </w:rPr>
      </w:pPr>
      <w:r w:rsidRPr="005B4B15">
        <w:rPr>
          <w:rFonts w:ascii="Titillium" w:hAnsi="Titillium"/>
          <w:b/>
          <w:sz w:val="20"/>
          <w:szCs w:val="20"/>
        </w:rPr>
        <w:t>VISTO</w:t>
      </w:r>
      <w:r w:rsidRPr="005B4B15">
        <w:rPr>
          <w:rFonts w:ascii="Titillium" w:hAnsi="Titillium"/>
          <w:sz w:val="20"/>
          <w:szCs w:val="20"/>
        </w:rPr>
        <w:t xml:space="preserve"> il decreto legislativo </w:t>
      </w:r>
      <w:r w:rsidR="004B6C64" w:rsidRPr="005B4B15">
        <w:rPr>
          <w:rFonts w:ascii="Titillium" w:hAnsi="Titillium"/>
          <w:sz w:val="20"/>
          <w:szCs w:val="20"/>
        </w:rPr>
        <w:t>31 marzo 2023, n. 36, ed in particolare il comma 1 dell’art. 17, il quale prevede che,</w:t>
      </w:r>
      <w:r w:rsidRPr="005B4B15">
        <w:rPr>
          <w:rFonts w:ascii="Titillium" w:hAnsi="Titillium"/>
          <w:sz w:val="20"/>
          <w:szCs w:val="20"/>
        </w:rPr>
        <w:t xml:space="preserve"> prima dell’avvio delle procedure di aff</w:t>
      </w:r>
      <w:r w:rsidR="004B6C64" w:rsidRPr="005B4B15">
        <w:rPr>
          <w:rFonts w:ascii="Titillium" w:hAnsi="Titillium"/>
          <w:sz w:val="20"/>
          <w:szCs w:val="20"/>
        </w:rPr>
        <w:t>idamento dei contratti pubblici, le stazioni appaltanti -</w:t>
      </w:r>
      <w:r w:rsidRPr="005B4B15">
        <w:rPr>
          <w:rFonts w:ascii="Titillium" w:hAnsi="Titillium"/>
          <w:sz w:val="20"/>
          <w:szCs w:val="20"/>
        </w:rPr>
        <w:t xml:space="preserve"> </w:t>
      </w:r>
      <w:r w:rsidR="004B6C64" w:rsidRPr="005B4B15">
        <w:rPr>
          <w:rFonts w:ascii="Titillium" w:hAnsi="Titillium"/>
          <w:sz w:val="20"/>
          <w:szCs w:val="20"/>
        </w:rPr>
        <w:t>con apposito atto - adottano la decisione di contrarre individuando gli elementi essenziali del contratto e i criteri di selezione degli operatori economici e delle offerte;</w:t>
      </w:r>
    </w:p>
    <w:p w:rsidR="00332723" w:rsidRPr="005B4B15" w:rsidRDefault="00332723" w:rsidP="001F70BA">
      <w:pPr>
        <w:spacing w:after="120" w:line="276" w:lineRule="auto"/>
        <w:jc w:val="both"/>
        <w:rPr>
          <w:rFonts w:ascii="Titillium" w:hAnsi="Titillium"/>
          <w:sz w:val="20"/>
          <w:szCs w:val="20"/>
        </w:rPr>
      </w:pPr>
      <w:r w:rsidRPr="005B4B15">
        <w:rPr>
          <w:rFonts w:ascii="Titillium" w:hAnsi="Titillium"/>
          <w:b/>
          <w:sz w:val="20"/>
          <w:szCs w:val="20"/>
        </w:rPr>
        <w:t>VISTO</w:t>
      </w:r>
      <w:r w:rsidRPr="005B4B15">
        <w:rPr>
          <w:rFonts w:ascii="Titillium" w:hAnsi="Titillium"/>
          <w:sz w:val="20"/>
          <w:szCs w:val="20"/>
        </w:rPr>
        <w:t xml:space="preserve"> il </w:t>
      </w:r>
      <w:r w:rsidR="00BD1180" w:rsidRPr="005B4B15">
        <w:rPr>
          <w:rFonts w:ascii="Titillium" w:hAnsi="Titillium"/>
          <w:sz w:val="20"/>
          <w:szCs w:val="20"/>
        </w:rPr>
        <w:t>Regolamento per la disciplina dei contratti pubblici di servizi e forniture stipulati dall’Autorità approvato con Delibera n. 538 del 7.7.2021 e pubblicato in data 21.7.2021</w:t>
      </w:r>
      <w:r w:rsidRPr="005B4B15">
        <w:rPr>
          <w:rFonts w:ascii="Titillium" w:hAnsi="Titillium"/>
          <w:sz w:val="20"/>
          <w:szCs w:val="20"/>
        </w:rPr>
        <w:t>;</w:t>
      </w:r>
    </w:p>
    <w:p w:rsidR="00A55094" w:rsidRPr="005B4B15" w:rsidRDefault="00A55094" w:rsidP="001F70BA">
      <w:pPr>
        <w:spacing w:after="120" w:line="276" w:lineRule="auto"/>
        <w:jc w:val="both"/>
        <w:rPr>
          <w:rFonts w:ascii="Titillium" w:hAnsi="Titillium"/>
          <w:sz w:val="20"/>
          <w:szCs w:val="20"/>
        </w:rPr>
      </w:pPr>
      <w:r w:rsidRPr="005B4B15">
        <w:rPr>
          <w:rFonts w:ascii="Titillium" w:hAnsi="Titillium"/>
          <w:b/>
          <w:sz w:val="20"/>
          <w:szCs w:val="20"/>
        </w:rPr>
        <w:t xml:space="preserve">VISTO </w:t>
      </w:r>
      <w:r w:rsidRPr="005B4B15">
        <w:rPr>
          <w:rFonts w:ascii="Titillium" w:hAnsi="Titillium"/>
          <w:sz w:val="20"/>
          <w:szCs w:val="20"/>
        </w:rPr>
        <w:t>il Regolamento concernente la disciplina contabile dell’Autorità Nazionale Anticorruzione approvato dal Consiglio dell’Autorità nella seduta del 7 luglio 2021 ed entrato in vigore il 1° gennaio 2022;</w:t>
      </w:r>
    </w:p>
    <w:p w:rsidR="007C0D78" w:rsidRPr="005B4B15" w:rsidRDefault="007C0D78" w:rsidP="001F70BA">
      <w:pPr>
        <w:pStyle w:val="NormaleWeb"/>
        <w:spacing w:before="0" w:beforeAutospacing="0" w:after="120" w:line="276" w:lineRule="auto"/>
        <w:jc w:val="both"/>
        <w:rPr>
          <w:rFonts w:ascii="Titillium" w:hAnsi="Titillium"/>
          <w:sz w:val="20"/>
          <w:szCs w:val="20"/>
        </w:rPr>
      </w:pPr>
      <w:r w:rsidRPr="005B4B15">
        <w:rPr>
          <w:rFonts w:ascii="Titillium" w:hAnsi="Titillium"/>
          <w:b/>
          <w:sz w:val="20"/>
          <w:szCs w:val="20"/>
        </w:rPr>
        <w:t>VISTO</w:t>
      </w:r>
      <w:r w:rsidRPr="005B4B15">
        <w:rPr>
          <w:rFonts w:ascii="Titillium" w:hAnsi="Titillium"/>
          <w:sz w:val="20"/>
          <w:szCs w:val="20"/>
        </w:rPr>
        <w:t xml:space="preserve"> l’articolo 43-bis della legge 22 aprile 1941, n. 633</w:t>
      </w:r>
      <w:r w:rsidR="002937F4">
        <w:rPr>
          <w:rFonts w:ascii="Titillium" w:hAnsi="Titillium"/>
          <w:sz w:val="20"/>
          <w:szCs w:val="20"/>
        </w:rPr>
        <w:t>;</w:t>
      </w:r>
    </w:p>
    <w:p w:rsidR="00521C35" w:rsidRPr="007C0D78" w:rsidRDefault="007C0D78" w:rsidP="001F70BA">
      <w:pPr>
        <w:pStyle w:val="NormaleWeb"/>
        <w:spacing w:before="0" w:beforeAutospacing="0" w:after="120" w:line="276" w:lineRule="auto"/>
        <w:jc w:val="both"/>
        <w:rPr>
          <w:rFonts w:ascii="Titillium" w:hAnsi="Titillium"/>
          <w:sz w:val="20"/>
          <w:szCs w:val="20"/>
        </w:rPr>
      </w:pPr>
      <w:r w:rsidRPr="005B4B15">
        <w:rPr>
          <w:rFonts w:ascii="Titillium" w:hAnsi="Titillium"/>
          <w:b/>
          <w:sz w:val="20"/>
          <w:szCs w:val="20"/>
        </w:rPr>
        <w:t>VISTO</w:t>
      </w:r>
      <w:r w:rsidR="00521C35" w:rsidRPr="005B4B15">
        <w:rPr>
          <w:rFonts w:ascii="Titillium" w:hAnsi="Titillium"/>
          <w:sz w:val="20"/>
          <w:szCs w:val="20"/>
        </w:rPr>
        <w:t xml:space="preserve"> il decreto legi</w:t>
      </w:r>
      <w:r w:rsidRPr="005B4B15">
        <w:rPr>
          <w:rFonts w:ascii="Titillium" w:hAnsi="Titillium"/>
          <w:sz w:val="20"/>
          <w:szCs w:val="20"/>
        </w:rPr>
        <w:t>slativo 8 Novembre 2021, n. 177</w:t>
      </w:r>
      <w:r w:rsidR="00521C35" w:rsidRPr="005B4B15">
        <w:rPr>
          <w:rFonts w:ascii="Titillium" w:hAnsi="Titillium"/>
          <w:sz w:val="20"/>
          <w:szCs w:val="20"/>
        </w:rPr>
        <w:t>, in attuazione della Direttiva UE 790/2019 del Parl</w:t>
      </w:r>
      <w:r w:rsidR="00E14047">
        <w:rPr>
          <w:rFonts w:ascii="Titillium" w:hAnsi="Titillium"/>
          <w:sz w:val="20"/>
          <w:szCs w:val="20"/>
        </w:rPr>
        <w:t xml:space="preserve">amento europeo e del Consiglio </w:t>
      </w:r>
      <w:r w:rsidR="00521C35" w:rsidRPr="005B4B15">
        <w:rPr>
          <w:rFonts w:ascii="Titillium" w:hAnsi="Titillium"/>
          <w:sz w:val="20"/>
          <w:szCs w:val="20"/>
        </w:rPr>
        <w:t>del 17 aprile 2019,</w:t>
      </w:r>
      <w:r w:rsidRPr="005B4B15">
        <w:rPr>
          <w:rFonts w:ascii="Titillium" w:hAnsi="Titillium"/>
          <w:sz w:val="20"/>
          <w:szCs w:val="20"/>
        </w:rPr>
        <w:t xml:space="preserve"> recante la nuova disciplina </w:t>
      </w:r>
      <w:r w:rsidR="00521C35" w:rsidRPr="005B4B15">
        <w:rPr>
          <w:rFonts w:ascii="Titillium" w:hAnsi="Titillium"/>
          <w:sz w:val="20"/>
          <w:szCs w:val="20"/>
        </w:rPr>
        <w:t>sul diritto d'autore e sui diritti connessi nel</w:t>
      </w:r>
      <w:r w:rsidR="00521C35" w:rsidRPr="007C0D78">
        <w:rPr>
          <w:rFonts w:ascii="Titillium" w:hAnsi="Titillium"/>
          <w:sz w:val="20"/>
          <w:szCs w:val="20"/>
        </w:rPr>
        <w:t xml:space="preserve"> mercato unico digitale; </w:t>
      </w:r>
    </w:p>
    <w:p w:rsidR="007C0D78" w:rsidRPr="007C0D78" w:rsidRDefault="007C0D78" w:rsidP="001F70BA">
      <w:pPr>
        <w:pStyle w:val="NormaleWeb"/>
        <w:spacing w:before="0" w:beforeAutospacing="0" w:after="120" w:line="276" w:lineRule="auto"/>
        <w:jc w:val="both"/>
        <w:rPr>
          <w:rFonts w:ascii="Titillium" w:hAnsi="Titillium"/>
          <w:sz w:val="20"/>
          <w:szCs w:val="20"/>
        </w:rPr>
      </w:pPr>
      <w:r w:rsidRPr="007C0D78">
        <w:rPr>
          <w:rFonts w:ascii="Titillium" w:hAnsi="Titillium"/>
          <w:b/>
          <w:sz w:val="20"/>
          <w:szCs w:val="20"/>
        </w:rPr>
        <w:t>VISTA</w:t>
      </w:r>
      <w:r w:rsidRPr="007C0D78">
        <w:rPr>
          <w:rFonts w:ascii="Titillium" w:hAnsi="Titillium"/>
          <w:sz w:val="20"/>
          <w:szCs w:val="20"/>
        </w:rPr>
        <w:t xml:space="preserve"> la Delibera </w:t>
      </w:r>
      <w:r>
        <w:rPr>
          <w:rFonts w:ascii="Titillium" w:hAnsi="Titillium"/>
          <w:sz w:val="20"/>
          <w:szCs w:val="20"/>
        </w:rPr>
        <w:t xml:space="preserve">dell’Autorità per le garanzie nelle comunicazioni </w:t>
      </w:r>
      <w:r w:rsidRPr="007C0D78">
        <w:rPr>
          <w:rFonts w:ascii="Titillium" w:hAnsi="Titillium"/>
          <w:sz w:val="20"/>
          <w:szCs w:val="20"/>
        </w:rPr>
        <w:t>n. 3/23/</w:t>
      </w:r>
      <w:proofErr w:type="spellStart"/>
      <w:r w:rsidRPr="007C0D78">
        <w:rPr>
          <w:rFonts w:ascii="Titillium" w:hAnsi="Titillium"/>
          <w:sz w:val="20"/>
          <w:szCs w:val="20"/>
        </w:rPr>
        <w:t>Cons</w:t>
      </w:r>
      <w:proofErr w:type="spellEnd"/>
      <w:r>
        <w:rPr>
          <w:rFonts w:ascii="Titillium" w:hAnsi="Titillium"/>
          <w:sz w:val="20"/>
          <w:szCs w:val="20"/>
        </w:rPr>
        <w:t xml:space="preserve">, con la quale è stato approvato il </w:t>
      </w:r>
      <w:r w:rsidRPr="007C0D78">
        <w:rPr>
          <w:rFonts w:ascii="Titillium" w:hAnsi="Titillium"/>
          <w:sz w:val="20"/>
          <w:szCs w:val="20"/>
        </w:rPr>
        <w:t>Regolamento in materia di individuazione dei criteri di riferimento per la determinazione dell’equo compenso per l’utilizzo online di pubblicazioni di carattere giornalistico di cui all’articolo 43-bis della legge 22 aprile 1941, n. 633</w:t>
      </w:r>
      <w:r w:rsidR="00EF780B">
        <w:rPr>
          <w:rFonts w:ascii="Titillium" w:hAnsi="Titillium"/>
          <w:sz w:val="20"/>
          <w:szCs w:val="20"/>
        </w:rPr>
        <w:t>;</w:t>
      </w:r>
    </w:p>
    <w:p w:rsidR="00521C35" w:rsidRPr="007C0D78" w:rsidRDefault="007C0D78" w:rsidP="001F70BA">
      <w:pPr>
        <w:pStyle w:val="NormaleWeb"/>
        <w:spacing w:before="0" w:beforeAutospacing="0" w:after="120" w:line="276" w:lineRule="auto"/>
        <w:jc w:val="both"/>
        <w:rPr>
          <w:rFonts w:ascii="Titillium" w:hAnsi="Titillium"/>
          <w:sz w:val="20"/>
          <w:szCs w:val="20"/>
        </w:rPr>
      </w:pPr>
      <w:r w:rsidRPr="007C0D78">
        <w:rPr>
          <w:rFonts w:ascii="Titillium" w:hAnsi="Titillium"/>
          <w:b/>
          <w:sz w:val="20"/>
          <w:szCs w:val="20"/>
        </w:rPr>
        <w:t>TENUTO CONTO</w:t>
      </w:r>
      <w:r w:rsidRPr="007C0D78">
        <w:rPr>
          <w:rFonts w:ascii="Titillium" w:hAnsi="Titillium"/>
          <w:sz w:val="20"/>
          <w:szCs w:val="20"/>
        </w:rPr>
        <w:t xml:space="preserve"> che </w:t>
      </w:r>
      <w:r w:rsidR="0040054C">
        <w:rPr>
          <w:rFonts w:ascii="Titillium" w:hAnsi="Titillium"/>
          <w:sz w:val="20"/>
          <w:szCs w:val="20"/>
        </w:rPr>
        <w:t xml:space="preserve">la </w:t>
      </w:r>
      <w:r>
        <w:rPr>
          <w:rFonts w:ascii="Titillium" w:hAnsi="Titillium"/>
          <w:sz w:val="20"/>
          <w:szCs w:val="20"/>
        </w:rPr>
        <w:t>normativa interviene a</w:t>
      </w:r>
      <w:r w:rsidR="00521C35" w:rsidRPr="007C0D78">
        <w:rPr>
          <w:rFonts w:ascii="Titillium" w:hAnsi="Titillium"/>
          <w:sz w:val="20"/>
          <w:szCs w:val="20"/>
        </w:rPr>
        <w:t xml:space="preserve"> tutela del diritto d’autore all'ambiente digitale contemporaneo, prevedendo, tra l’altro, l’applicazione di diritti esclusivi a favore degli editori di pubblicazioni di carattere giornalistico, per l'utilizzo online delle loro pubblicazioni da parte di prestatori di servizi della società dell'informazione (incluse le agenzie che forniscono rassegne stampa); </w:t>
      </w:r>
    </w:p>
    <w:p w:rsidR="00521C35" w:rsidRPr="007C0D78" w:rsidRDefault="007C0D78" w:rsidP="001F70BA">
      <w:pPr>
        <w:pStyle w:val="NormaleWeb"/>
        <w:spacing w:before="0" w:beforeAutospacing="0" w:after="120" w:line="276" w:lineRule="auto"/>
        <w:jc w:val="both"/>
        <w:rPr>
          <w:rFonts w:ascii="Titillium" w:hAnsi="Titillium"/>
          <w:sz w:val="20"/>
          <w:szCs w:val="20"/>
        </w:rPr>
      </w:pPr>
      <w:r w:rsidRPr="007C0D78">
        <w:rPr>
          <w:rFonts w:ascii="Titillium" w:hAnsi="Titillium"/>
          <w:b/>
          <w:sz w:val="20"/>
          <w:szCs w:val="20"/>
        </w:rPr>
        <w:t>CONSIDERATO</w:t>
      </w:r>
      <w:r w:rsidRPr="007C0D78">
        <w:rPr>
          <w:rFonts w:ascii="Titillium" w:hAnsi="Titillium"/>
          <w:sz w:val="20"/>
          <w:szCs w:val="20"/>
        </w:rPr>
        <w:t xml:space="preserve"> </w:t>
      </w:r>
      <w:r w:rsidR="00521C35" w:rsidRPr="007C0D78">
        <w:rPr>
          <w:rFonts w:ascii="Titillium" w:hAnsi="Titillium"/>
          <w:sz w:val="20"/>
          <w:szCs w:val="20"/>
        </w:rPr>
        <w:t xml:space="preserve">che Repertorio </w:t>
      </w:r>
      <w:proofErr w:type="spellStart"/>
      <w:r w:rsidR="00521C35" w:rsidRPr="007C0D78">
        <w:rPr>
          <w:rFonts w:ascii="Titillium" w:hAnsi="Titillium"/>
          <w:sz w:val="20"/>
          <w:szCs w:val="20"/>
        </w:rPr>
        <w:t>Promopress</w:t>
      </w:r>
      <w:proofErr w:type="spellEnd"/>
      <w:r w:rsidR="00521C35" w:rsidRPr="007C0D78">
        <w:rPr>
          <w:rFonts w:ascii="Titillium" w:hAnsi="Titillium"/>
          <w:sz w:val="20"/>
          <w:szCs w:val="20"/>
        </w:rPr>
        <w:t xml:space="preserve"> è il marchio dell'attività di gestione dei diritti d'autore di </w:t>
      </w:r>
      <w:proofErr w:type="spellStart"/>
      <w:r w:rsidR="00521C35" w:rsidRPr="007C0D78">
        <w:rPr>
          <w:rFonts w:ascii="Titillium" w:hAnsi="Titillium"/>
          <w:sz w:val="20"/>
          <w:szCs w:val="20"/>
        </w:rPr>
        <w:t>Promopress</w:t>
      </w:r>
      <w:proofErr w:type="spellEnd"/>
      <w:r w:rsidR="00521C35" w:rsidRPr="007C0D78">
        <w:rPr>
          <w:rFonts w:ascii="Titillium" w:hAnsi="Titillium"/>
          <w:sz w:val="20"/>
          <w:szCs w:val="20"/>
        </w:rPr>
        <w:t xml:space="preserve"> 2000 </w:t>
      </w:r>
      <w:proofErr w:type="spellStart"/>
      <w:r w:rsidR="00521C35" w:rsidRPr="007C0D78">
        <w:rPr>
          <w:rFonts w:ascii="Titillium" w:hAnsi="Titillium"/>
          <w:sz w:val="20"/>
          <w:szCs w:val="20"/>
        </w:rPr>
        <w:t>Srl</w:t>
      </w:r>
      <w:proofErr w:type="spellEnd"/>
      <w:r w:rsidR="00521C35" w:rsidRPr="007C0D78">
        <w:rPr>
          <w:rFonts w:ascii="Titillium" w:hAnsi="Titillium"/>
          <w:sz w:val="20"/>
          <w:szCs w:val="20"/>
        </w:rPr>
        <w:t xml:space="preserve">, società di servizi della FIEG - Federazione Italiana Editori Giornali; </w:t>
      </w:r>
    </w:p>
    <w:p w:rsidR="00521C35" w:rsidRPr="007C0D78" w:rsidRDefault="007C0D78" w:rsidP="001F70BA">
      <w:pPr>
        <w:pStyle w:val="NormaleWeb"/>
        <w:spacing w:before="0" w:beforeAutospacing="0" w:after="120" w:line="276" w:lineRule="auto"/>
        <w:jc w:val="both"/>
        <w:rPr>
          <w:rFonts w:ascii="Titillium" w:hAnsi="Titillium"/>
          <w:sz w:val="20"/>
          <w:szCs w:val="20"/>
        </w:rPr>
      </w:pPr>
      <w:r w:rsidRPr="007C0D78">
        <w:rPr>
          <w:rFonts w:ascii="Titillium" w:hAnsi="Titillium"/>
          <w:b/>
          <w:sz w:val="20"/>
          <w:szCs w:val="20"/>
        </w:rPr>
        <w:t>CONSIDERATO</w:t>
      </w:r>
      <w:r w:rsidRPr="007C0D78">
        <w:rPr>
          <w:rFonts w:ascii="Titillium" w:hAnsi="Titillium"/>
          <w:sz w:val="20"/>
          <w:szCs w:val="20"/>
        </w:rPr>
        <w:t xml:space="preserve"> che </w:t>
      </w:r>
      <w:r w:rsidR="00521C35" w:rsidRPr="007C0D78">
        <w:rPr>
          <w:rFonts w:ascii="Titillium" w:hAnsi="Titillium"/>
          <w:sz w:val="20"/>
          <w:szCs w:val="20"/>
        </w:rPr>
        <w:t xml:space="preserve">nell’esercizio di tale funzione, </w:t>
      </w:r>
      <w:proofErr w:type="spellStart"/>
      <w:r w:rsidR="00EF780B" w:rsidRPr="00EF780B">
        <w:rPr>
          <w:rFonts w:ascii="Titillium" w:hAnsi="Titillium"/>
          <w:sz w:val="20"/>
          <w:szCs w:val="20"/>
        </w:rPr>
        <w:t>Promopress</w:t>
      </w:r>
      <w:proofErr w:type="spellEnd"/>
      <w:r w:rsidR="00EF780B" w:rsidRPr="00EF780B">
        <w:rPr>
          <w:rFonts w:ascii="Titillium" w:hAnsi="Titillium"/>
          <w:sz w:val="20"/>
          <w:szCs w:val="20"/>
        </w:rPr>
        <w:t xml:space="preserve"> 2000 </w:t>
      </w:r>
      <w:proofErr w:type="spellStart"/>
      <w:r w:rsidR="00EF780B" w:rsidRPr="00EF780B">
        <w:rPr>
          <w:rFonts w:ascii="Titillium" w:hAnsi="Titillium"/>
          <w:sz w:val="20"/>
          <w:szCs w:val="20"/>
        </w:rPr>
        <w:t>Srl</w:t>
      </w:r>
      <w:proofErr w:type="spellEnd"/>
      <w:r w:rsidR="00EF780B" w:rsidRPr="00EF780B">
        <w:rPr>
          <w:rFonts w:ascii="Titillium" w:hAnsi="Titillium"/>
          <w:sz w:val="20"/>
          <w:szCs w:val="20"/>
        </w:rPr>
        <w:t xml:space="preserve"> </w:t>
      </w:r>
      <w:r w:rsidR="00BB2AA9">
        <w:rPr>
          <w:rFonts w:ascii="Titillium" w:hAnsi="Titillium"/>
          <w:sz w:val="20"/>
          <w:szCs w:val="20"/>
        </w:rPr>
        <w:t xml:space="preserve">è titolare dei diritti esclusivi delle licenze di </w:t>
      </w:r>
      <w:r w:rsidR="00521C35" w:rsidRPr="007C0D78">
        <w:rPr>
          <w:rFonts w:ascii="Titillium" w:hAnsi="Titillium"/>
          <w:sz w:val="20"/>
          <w:szCs w:val="20"/>
        </w:rPr>
        <w:t xml:space="preserve">diritti </w:t>
      </w:r>
      <w:r w:rsidR="00DF5C14">
        <w:rPr>
          <w:rFonts w:ascii="Titillium" w:hAnsi="Titillium"/>
          <w:sz w:val="20"/>
          <w:szCs w:val="20"/>
        </w:rPr>
        <w:t xml:space="preserve">dovuti agli editori di testate giornalistiche aderenti al Repertorio </w:t>
      </w:r>
      <w:proofErr w:type="spellStart"/>
      <w:r w:rsidR="00DF5C14">
        <w:rPr>
          <w:rFonts w:ascii="Titillium" w:hAnsi="Titillium"/>
          <w:sz w:val="20"/>
          <w:szCs w:val="20"/>
        </w:rPr>
        <w:t>Promopress</w:t>
      </w:r>
      <w:proofErr w:type="spellEnd"/>
      <w:r w:rsidR="00DF5C14">
        <w:rPr>
          <w:rFonts w:ascii="Titillium" w:hAnsi="Titillium"/>
          <w:sz w:val="20"/>
          <w:szCs w:val="20"/>
        </w:rPr>
        <w:t xml:space="preserve"> per </w:t>
      </w:r>
      <w:r w:rsidR="00521C35" w:rsidRPr="007C0D78">
        <w:rPr>
          <w:rFonts w:ascii="Titillium" w:hAnsi="Titillium"/>
          <w:sz w:val="20"/>
          <w:szCs w:val="20"/>
        </w:rPr>
        <w:t>utilizzo</w:t>
      </w:r>
      <w:r w:rsidR="00BB2AA9">
        <w:rPr>
          <w:rFonts w:ascii="Titillium" w:hAnsi="Titillium"/>
          <w:sz w:val="20"/>
          <w:szCs w:val="20"/>
        </w:rPr>
        <w:t xml:space="preserve"> del servizio di rassegna</w:t>
      </w:r>
      <w:r w:rsidR="00DF5C14">
        <w:rPr>
          <w:rFonts w:ascii="Titillium" w:hAnsi="Titillium"/>
          <w:sz w:val="20"/>
          <w:szCs w:val="20"/>
        </w:rPr>
        <w:t xml:space="preserve"> stampa</w:t>
      </w:r>
      <w:r w:rsidR="00521C35" w:rsidRPr="007C0D78">
        <w:rPr>
          <w:rFonts w:ascii="Titillium" w:hAnsi="Titillium"/>
          <w:sz w:val="20"/>
          <w:szCs w:val="20"/>
        </w:rPr>
        <w:t>, commisurati al numero di accessi;</w:t>
      </w:r>
    </w:p>
    <w:p w:rsidR="00A47F50" w:rsidRDefault="00A47F50" w:rsidP="00A47F50">
      <w:pPr>
        <w:spacing w:after="80" w:line="276" w:lineRule="auto"/>
        <w:jc w:val="both"/>
        <w:rPr>
          <w:rFonts w:ascii="Titillium" w:hAnsi="Titillium"/>
          <w:b/>
          <w:sz w:val="20"/>
          <w:szCs w:val="20"/>
        </w:rPr>
      </w:pPr>
      <w:r w:rsidRPr="00B75848">
        <w:rPr>
          <w:rFonts w:ascii="Titillium" w:eastAsia="Calibri" w:hAnsi="Titillium" w:cs="Titillium Web"/>
          <w:b/>
          <w:sz w:val="20"/>
          <w:szCs w:val="20"/>
          <w:lang w:eastAsia="en-US"/>
        </w:rPr>
        <w:t>VISTA</w:t>
      </w:r>
      <w:r w:rsidRPr="00B75848">
        <w:rPr>
          <w:rFonts w:ascii="Titillium" w:eastAsia="Calibri" w:hAnsi="Titillium" w:cs="Titillium Web"/>
          <w:sz w:val="20"/>
          <w:szCs w:val="20"/>
          <w:lang w:eastAsia="en-US"/>
        </w:rPr>
        <w:t xml:space="preserve"> la determina a contrarre </w:t>
      </w:r>
      <w:proofErr w:type="spellStart"/>
      <w:r w:rsidRPr="0061055A">
        <w:rPr>
          <w:rFonts w:ascii="Titillium" w:eastAsia="Calibri" w:hAnsi="Titillium" w:cs="Titillium Web"/>
          <w:sz w:val="20"/>
          <w:szCs w:val="20"/>
          <w:lang w:eastAsia="en-US"/>
        </w:rPr>
        <w:t>prot</w:t>
      </w:r>
      <w:proofErr w:type="spellEnd"/>
      <w:r w:rsidRPr="0061055A">
        <w:rPr>
          <w:rFonts w:ascii="Titillium" w:eastAsia="Calibri" w:hAnsi="Titillium" w:cs="Titillium Web"/>
          <w:sz w:val="20"/>
          <w:szCs w:val="20"/>
          <w:lang w:eastAsia="en-US"/>
        </w:rPr>
        <w:t>. n. 59142 del 20.07.2023, è stato disposto l’avvio di una RDO sul mercato delle PP.AA., da aggiudicare con il criterio dell’offerta economicamente più vantaggiosa, per l’acquisizione per un periodo di 36 mesi decorrenti dal 9.10.2023 del servizio di rassegna stampa telematica quotidiana nazionale, locale ed internazionale, per una base d</w:t>
      </w:r>
      <w:r>
        <w:rPr>
          <w:rFonts w:ascii="Titillium" w:eastAsia="Calibri" w:hAnsi="Titillium" w:cs="Titillium Web"/>
          <w:sz w:val="20"/>
          <w:szCs w:val="20"/>
          <w:lang w:eastAsia="en-US"/>
        </w:rPr>
        <w:t>’asta di € 70.500,00, oltre IVA;</w:t>
      </w:r>
    </w:p>
    <w:p w:rsidR="00DF5C14" w:rsidRDefault="00DF5C14" w:rsidP="00DF5C14">
      <w:pPr>
        <w:pStyle w:val="NormaleWeb"/>
        <w:spacing w:before="0" w:beforeAutospacing="0" w:after="120" w:line="276" w:lineRule="auto"/>
        <w:jc w:val="both"/>
        <w:rPr>
          <w:rFonts w:ascii="Titillium" w:hAnsi="Titillium"/>
          <w:sz w:val="20"/>
          <w:szCs w:val="20"/>
        </w:rPr>
      </w:pPr>
      <w:r w:rsidRPr="005B4B15">
        <w:rPr>
          <w:rFonts w:ascii="Titillium" w:hAnsi="Titillium"/>
          <w:b/>
          <w:sz w:val="20"/>
          <w:szCs w:val="20"/>
        </w:rPr>
        <w:t>TENUTO CONTO</w:t>
      </w:r>
      <w:r>
        <w:rPr>
          <w:rFonts w:ascii="Titillium" w:hAnsi="Titillium"/>
          <w:sz w:val="20"/>
          <w:szCs w:val="20"/>
        </w:rPr>
        <w:t xml:space="preserve"> che </w:t>
      </w:r>
      <w:r>
        <w:rPr>
          <w:rFonts w:ascii="Titillium" w:hAnsi="Titillium"/>
          <w:sz w:val="20"/>
          <w:szCs w:val="20"/>
        </w:rPr>
        <w:t xml:space="preserve">nella citata determina </w:t>
      </w:r>
      <w:r>
        <w:rPr>
          <w:rFonts w:ascii="Titillium" w:hAnsi="Titillium"/>
          <w:sz w:val="20"/>
          <w:szCs w:val="20"/>
        </w:rPr>
        <w:t xml:space="preserve">è previsto che </w:t>
      </w:r>
      <w:r w:rsidRPr="00E14FA9">
        <w:rPr>
          <w:rFonts w:ascii="Titillium" w:hAnsi="Titillium"/>
          <w:sz w:val="20"/>
          <w:szCs w:val="20"/>
        </w:rPr>
        <w:t xml:space="preserve">l’aggiudicatario </w:t>
      </w:r>
      <w:r>
        <w:rPr>
          <w:rFonts w:ascii="Titillium" w:hAnsi="Titillium"/>
          <w:sz w:val="20"/>
          <w:szCs w:val="20"/>
        </w:rPr>
        <w:t xml:space="preserve">della </w:t>
      </w:r>
      <w:r>
        <w:rPr>
          <w:rFonts w:ascii="Titillium" w:hAnsi="Titillium"/>
          <w:sz w:val="20"/>
          <w:szCs w:val="20"/>
        </w:rPr>
        <w:t xml:space="preserve">RDO sul </w:t>
      </w:r>
      <w:proofErr w:type="spellStart"/>
      <w:r>
        <w:rPr>
          <w:rFonts w:ascii="Titillium" w:hAnsi="Titillium"/>
          <w:sz w:val="20"/>
          <w:szCs w:val="20"/>
        </w:rPr>
        <w:t>Me.Pa</w:t>
      </w:r>
      <w:proofErr w:type="spellEnd"/>
      <w:r>
        <w:rPr>
          <w:rFonts w:ascii="Titillium" w:hAnsi="Titillium"/>
          <w:sz w:val="20"/>
          <w:szCs w:val="20"/>
        </w:rPr>
        <w:t xml:space="preserve">. </w:t>
      </w:r>
      <w:r w:rsidRPr="00E14FA9">
        <w:rPr>
          <w:rFonts w:ascii="Titillium" w:hAnsi="Titillium"/>
          <w:sz w:val="20"/>
          <w:szCs w:val="20"/>
        </w:rPr>
        <w:t xml:space="preserve">è tenuto a sottoscrivere la licenza con </w:t>
      </w:r>
      <w:proofErr w:type="spellStart"/>
      <w:r w:rsidRPr="00E14FA9">
        <w:rPr>
          <w:rFonts w:ascii="Titillium" w:hAnsi="Titillium"/>
          <w:sz w:val="20"/>
          <w:szCs w:val="20"/>
        </w:rPr>
        <w:t>Promopress</w:t>
      </w:r>
      <w:proofErr w:type="spellEnd"/>
      <w:r w:rsidRPr="00E14FA9">
        <w:rPr>
          <w:rFonts w:ascii="Titillium" w:hAnsi="Titillium"/>
          <w:sz w:val="20"/>
          <w:szCs w:val="20"/>
        </w:rPr>
        <w:t xml:space="preserve"> 2000 </w:t>
      </w:r>
      <w:proofErr w:type="spellStart"/>
      <w:r>
        <w:rPr>
          <w:rFonts w:ascii="Titillium" w:hAnsi="Titillium"/>
          <w:sz w:val="20"/>
          <w:szCs w:val="20"/>
        </w:rPr>
        <w:t>srl</w:t>
      </w:r>
      <w:proofErr w:type="spellEnd"/>
      <w:r>
        <w:rPr>
          <w:rFonts w:ascii="Titillium" w:hAnsi="Titillium"/>
          <w:sz w:val="20"/>
          <w:szCs w:val="20"/>
        </w:rPr>
        <w:t xml:space="preserve"> </w:t>
      </w:r>
      <w:r w:rsidRPr="00E14FA9">
        <w:rPr>
          <w:rFonts w:ascii="Titillium" w:hAnsi="Titillium"/>
          <w:sz w:val="20"/>
          <w:szCs w:val="20"/>
        </w:rPr>
        <w:t xml:space="preserve">e a corrispondere i </w:t>
      </w:r>
      <w:r>
        <w:rPr>
          <w:rFonts w:ascii="Titillium" w:hAnsi="Titillium"/>
          <w:sz w:val="20"/>
          <w:szCs w:val="20"/>
        </w:rPr>
        <w:t xml:space="preserve">relativi </w:t>
      </w:r>
      <w:r w:rsidRPr="00E14FA9">
        <w:rPr>
          <w:rFonts w:ascii="Titillium" w:hAnsi="Titillium"/>
          <w:sz w:val="20"/>
          <w:szCs w:val="20"/>
        </w:rPr>
        <w:t xml:space="preserve">compensi </w:t>
      </w:r>
      <w:r>
        <w:rPr>
          <w:rFonts w:ascii="Titillium" w:hAnsi="Titillium"/>
          <w:sz w:val="20"/>
          <w:szCs w:val="20"/>
        </w:rPr>
        <w:t>per  l’utilizzo della rassegna stampa fino a 10 utenti;</w:t>
      </w:r>
    </w:p>
    <w:p w:rsidR="00A47F50" w:rsidRPr="00A47F50" w:rsidRDefault="00A47F50" w:rsidP="00A47F50">
      <w:pPr>
        <w:spacing w:after="80" w:line="276" w:lineRule="auto"/>
        <w:jc w:val="both"/>
        <w:rPr>
          <w:rFonts w:ascii="Titillium" w:hAnsi="Titillium"/>
          <w:bCs/>
          <w:sz w:val="20"/>
          <w:szCs w:val="20"/>
        </w:rPr>
      </w:pPr>
      <w:r w:rsidRPr="00A47F50">
        <w:rPr>
          <w:rFonts w:ascii="Titillium" w:hAnsi="Titillium"/>
          <w:b/>
          <w:bCs/>
          <w:sz w:val="20"/>
          <w:szCs w:val="20"/>
        </w:rPr>
        <w:t>CONSIDERATO</w:t>
      </w:r>
      <w:r w:rsidRPr="00A47F50">
        <w:rPr>
          <w:rFonts w:ascii="Titillium" w:hAnsi="Titillium"/>
          <w:bCs/>
          <w:sz w:val="20"/>
          <w:szCs w:val="20"/>
        </w:rPr>
        <w:t xml:space="preserve"> </w:t>
      </w:r>
      <w:r w:rsidR="00DF5C14">
        <w:rPr>
          <w:rFonts w:ascii="Titillium" w:hAnsi="Titillium"/>
          <w:bCs/>
          <w:sz w:val="20"/>
          <w:szCs w:val="20"/>
        </w:rPr>
        <w:t xml:space="preserve">inoltre </w:t>
      </w:r>
      <w:r w:rsidRPr="00A47F50">
        <w:rPr>
          <w:rFonts w:ascii="Titillium" w:hAnsi="Titillium"/>
          <w:bCs/>
          <w:sz w:val="20"/>
          <w:szCs w:val="20"/>
        </w:rPr>
        <w:t xml:space="preserve">che nella </w:t>
      </w:r>
      <w:r w:rsidR="00DF5C14">
        <w:rPr>
          <w:rFonts w:ascii="Titillium" w:hAnsi="Titillium"/>
          <w:bCs/>
          <w:sz w:val="20"/>
          <w:szCs w:val="20"/>
        </w:rPr>
        <w:t xml:space="preserve">medesima </w:t>
      </w:r>
      <w:r>
        <w:rPr>
          <w:rFonts w:ascii="Titillium" w:hAnsi="Titillium"/>
          <w:bCs/>
          <w:sz w:val="20"/>
          <w:szCs w:val="20"/>
        </w:rPr>
        <w:t xml:space="preserve">determina è previsto </w:t>
      </w:r>
      <w:r w:rsidRPr="00A47F50">
        <w:rPr>
          <w:rFonts w:ascii="Titillium" w:hAnsi="Titillium"/>
          <w:bCs/>
          <w:sz w:val="20"/>
          <w:szCs w:val="20"/>
        </w:rPr>
        <w:t xml:space="preserve">che l’importo stimato per l’acquisizione del servizio </w:t>
      </w:r>
      <w:r>
        <w:rPr>
          <w:rFonts w:ascii="Titillium" w:hAnsi="Titillium"/>
          <w:bCs/>
          <w:sz w:val="20"/>
          <w:szCs w:val="20"/>
        </w:rPr>
        <w:t xml:space="preserve">di rassegna stampa </w:t>
      </w:r>
      <w:r w:rsidRPr="00A47F50">
        <w:rPr>
          <w:rFonts w:ascii="Titillium" w:hAnsi="Titillium"/>
          <w:bCs/>
          <w:sz w:val="20"/>
          <w:szCs w:val="20"/>
        </w:rPr>
        <w:t xml:space="preserve">non include l’importo per </w:t>
      </w:r>
      <w:r w:rsidR="00DF5C14">
        <w:rPr>
          <w:rFonts w:ascii="Titillium" w:hAnsi="Titillium"/>
          <w:bCs/>
          <w:sz w:val="20"/>
          <w:szCs w:val="20"/>
        </w:rPr>
        <w:t xml:space="preserve">la licenza per </w:t>
      </w:r>
      <w:r w:rsidRPr="00A47F50">
        <w:rPr>
          <w:rFonts w:ascii="Titillium" w:hAnsi="Titillium"/>
          <w:bCs/>
          <w:sz w:val="20"/>
          <w:szCs w:val="20"/>
        </w:rPr>
        <w:t xml:space="preserve">diritti </w:t>
      </w:r>
      <w:r>
        <w:rPr>
          <w:rFonts w:ascii="Titillium" w:hAnsi="Titillium"/>
          <w:bCs/>
          <w:sz w:val="20"/>
          <w:szCs w:val="20"/>
        </w:rPr>
        <w:t>aggiuntivi</w:t>
      </w:r>
      <w:r w:rsidRPr="00A47F50">
        <w:rPr>
          <w:rFonts w:ascii="Titillium" w:hAnsi="Titillium"/>
          <w:bCs/>
          <w:sz w:val="20"/>
          <w:szCs w:val="20"/>
        </w:rPr>
        <w:t xml:space="preserve"> </w:t>
      </w:r>
      <w:r w:rsidR="00DF5C14" w:rsidRPr="00DF5C14">
        <w:rPr>
          <w:rFonts w:ascii="Titillium" w:hAnsi="Titillium"/>
          <w:bCs/>
          <w:sz w:val="20"/>
          <w:szCs w:val="20"/>
        </w:rPr>
        <w:t>relativi all'utilizzo della rassegna stampa per gli accessi da n. 11 a n. 50 utenti</w:t>
      </w:r>
      <w:r w:rsidRPr="00A47F50">
        <w:rPr>
          <w:rFonts w:ascii="Titillium" w:hAnsi="Titillium"/>
          <w:bCs/>
          <w:sz w:val="20"/>
          <w:szCs w:val="20"/>
        </w:rPr>
        <w:t xml:space="preserve">, quantificato in € 2.155,00 all’anno, oltre IVA, che pertanto verrà corrisposto a </w:t>
      </w:r>
      <w:proofErr w:type="spellStart"/>
      <w:r w:rsidRPr="00A47F50">
        <w:rPr>
          <w:rFonts w:ascii="Titillium" w:hAnsi="Titillium"/>
          <w:bCs/>
          <w:sz w:val="20"/>
          <w:szCs w:val="20"/>
        </w:rPr>
        <w:t>Promopress</w:t>
      </w:r>
      <w:proofErr w:type="spellEnd"/>
      <w:r w:rsidR="00DF5C14">
        <w:rPr>
          <w:rFonts w:ascii="Titillium" w:hAnsi="Titillium"/>
          <w:bCs/>
          <w:sz w:val="20"/>
          <w:szCs w:val="20"/>
        </w:rPr>
        <w:t xml:space="preserve"> 2000 </w:t>
      </w:r>
      <w:proofErr w:type="spellStart"/>
      <w:r w:rsidR="00DF5C14">
        <w:rPr>
          <w:rFonts w:ascii="Titillium" w:hAnsi="Titillium"/>
          <w:bCs/>
          <w:sz w:val="20"/>
          <w:szCs w:val="20"/>
        </w:rPr>
        <w:t>srl</w:t>
      </w:r>
      <w:proofErr w:type="spellEnd"/>
      <w:r w:rsidRPr="00A47F50">
        <w:rPr>
          <w:rFonts w:ascii="Titillium" w:hAnsi="Titillium"/>
          <w:bCs/>
          <w:sz w:val="20"/>
          <w:szCs w:val="20"/>
        </w:rPr>
        <w:t xml:space="preserve"> previo espletamento di apposita procedura;</w:t>
      </w:r>
    </w:p>
    <w:p w:rsidR="006C6C74" w:rsidRPr="005B4B15" w:rsidRDefault="006C6C74" w:rsidP="001F70BA">
      <w:pPr>
        <w:widowControl w:val="0"/>
        <w:spacing w:after="120" w:line="276" w:lineRule="auto"/>
        <w:jc w:val="both"/>
        <w:rPr>
          <w:rFonts w:ascii="Titillium" w:hAnsi="Titillium"/>
          <w:sz w:val="20"/>
          <w:szCs w:val="20"/>
        </w:rPr>
      </w:pPr>
      <w:r w:rsidRPr="005B4B15">
        <w:rPr>
          <w:rFonts w:ascii="Titillium" w:hAnsi="Titillium"/>
          <w:b/>
          <w:sz w:val="20"/>
          <w:szCs w:val="20"/>
        </w:rPr>
        <w:lastRenderedPageBreak/>
        <w:t xml:space="preserve">VISTI </w:t>
      </w:r>
      <w:r w:rsidRPr="005B4B15">
        <w:rPr>
          <w:rFonts w:ascii="Titillium" w:hAnsi="Titillium"/>
          <w:sz w:val="20"/>
          <w:szCs w:val="20"/>
        </w:rPr>
        <w:t>gli artt. 48-55 del d.lgs. n. 36/2023, recanti una specifica disciplina per le procedure di affidamento dei contratti di importo inferiore alle soglie di rilevanza europea;</w:t>
      </w:r>
    </w:p>
    <w:p w:rsidR="00CC192C" w:rsidRDefault="00CC192C" w:rsidP="001F70BA">
      <w:pPr>
        <w:spacing w:after="120" w:line="276" w:lineRule="auto"/>
        <w:jc w:val="both"/>
        <w:rPr>
          <w:rFonts w:ascii="Titillium" w:hAnsi="Titillium"/>
          <w:sz w:val="20"/>
          <w:szCs w:val="20"/>
        </w:rPr>
      </w:pPr>
      <w:r>
        <w:rPr>
          <w:rFonts w:ascii="Titillium" w:hAnsi="Titillium"/>
          <w:b/>
          <w:sz w:val="20"/>
          <w:szCs w:val="20"/>
        </w:rPr>
        <w:t xml:space="preserve">VISTO </w:t>
      </w:r>
      <w:r w:rsidRPr="00CC192C">
        <w:rPr>
          <w:rFonts w:ascii="Titillium" w:hAnsi="Titillium"/>
          <w:sz w:val="20"/>
          <w:szCs w:val="20"/>
        </w:rPr>
        <w:t xml:space="preserve">il </w:t>
      </w:r>
      <w:r>
        <w:rPr>
          <w:rFonts w:ascii="Titillium" w:hAnsi="Titillium"/>
          <w:sz w:val="20"/>
          <w:szCs w:val="20"/>
        </w:rPr>
        <w:t xml:space="preserve">contratto </w:t>
      </w:r>
      <w:proofErr w:type="spellStart"/>
      <w:r>
        <w:rPr>
          <w:rFonts w:ascii="Titillium" w:hAnsi="Titillium"/>
          <w:sz w:val="20"/>
          <w:szCs w:val="20"/>
        </w:rPr>
        <w:t>prot</w:t>
      </w:r>
      <w:proofErr w:type="spellEnd"/>
      <w:r>
        <w:rPr>
          <w:rFonts w:ascii="Titillium" w:hAnsi="Titillium"/>
          <w:sz w:val="20"/>
          <w:szCs w:val="20"/>
        </w:rPr>
        <w:t xml:space="preserve">. </w:t>
      </w:r>
      <w:r w:rsidR="00BB2AA9">
        <w:rPr>
          <w:rFonts w:ascii="Titillium" w:hAnsi="Titillium"/>
          <w:sz w:val="20"/>
          <w:szCs w:val="20"/>
        </w:rPr>
        <w:t>85195</w:t>
      </w:r>
      <w:r>
        <w:rPr>
          <w:rFonts w:ascii="Titillium" w:hAnsi="Titillium"/>
          <w:sz w:val="20"/>
          <w:szCs w:val="20"/>
        </w:rPr>
        <w:t xml:space="preserve"> del </w:t>
      </w:r>
      <w:r w:rsidR="00BB2AA9">
        <w:rPr>
          <w:rFonts w:ascii="Titillium" w:hAnsi="Titillium"/>
          <w:sz w:val="20"/>
          <w:szCs w:val="20"/>
        </w:rPr>
        <w:t>4</w:t>
      </w:r>
      <w:r>
        <w:rPr>
          <w:rFonts w:ascii="Titillium" w:hAnsi="Titillium"/>
          <w:sz w:val="20"/>
          <w:szCs w:val="20"/>
        </w:rPr>
        <w:t xml:space="preserve">.10.2023 stipulato con la società Extrapola </w:t>
      </w:r>
      <w:proofErr w:type="spellStart"/>
      <w:r>
        <w:rPr>
          <w:rFonts w:ascii="Titillium" w:hAnsi="Titillium"/>
          <w:sz w:val="20"/>
          <w:szCs w:val="20"/>
        </w:rPr>
        <w:t>Srl</w:t>
      </w:r>
      <w:proofErr w:type="spellEnd"/>
      <w:r>
        <w:rPr>
          <w:rFonts w:ascii="Titillium" w:hAnsi="Titillium"/>
          <w:sz w:val="20"/>
          <w:szCs w:val="20"/>
        </w:rPr>
        <w:t xml:space="preserve"> </w:t>
      </w:r>
      <w:r w:rsidRPr="00CC192C">
        <w:rPr>
          <w:rFonts w:ascii="Titillium" w:hAnsi="Titillium"/>
          <w:sz w:val="20"/>
          <w:szCs w:val="20"/>
        </w:rPr>
        <w:t xml:space="preserve">(società aderente al Repertorio </w:t>
      </w:r>
      <w:proofErr w:type="spellStart"/>
      <w:r w:rsidRPr="00CC192C">
        <w:rPr>
          <w:rFonts w:ascii="Titillium" w:hAnsi="Titillium"/>
          <w:sz w:val="20"/>
          <w:szCs w:val="20"/>
        </w:rPr>
        <w:t>Promopress</w:t>
      </w:r>
      <w:proofErr w:type="spellEnd"/>
      <w:r w:rsidRPr="00CC192C">
        <w:rPr>
          <w:rFonts w:ascii="Titillium" w:hAnsi="Titillium"/>
          <w:sz w:val="20"/>
          <w:szCs w:val="20"/>
        </w:rPr>
        <w:t xml:space="preserve">) </w:t>
      </w:r>
      <w:r>
        <w:rPr>
          <w:rFonts w:ascii="Titillium" w:hAnsi="Titillium"/>
          <w:sz w:val="20"/>
          <w:szCs w:val="20"/>
        </w:rPr>
        <w:t>per l’affidamento</w:t>
      </w:r>
      <w:r w:rsidR="00E14047">
        <w:rPr>
          <w:rFonts w:ascii="Titillium" w:hAnsi="Titillium"/>
          <w:sz w:val="20"/>
          <w:szCs w:val="20"/>
        </w:rPr>
        <w:t>,</w:t>
      </w:r>
      <w:r>
        <w:rPr>
          <w:rFonts w:ascii="Titillium" w:hAnsi="Titillium"/>
          <w:sz w:val="20"/>
          <w:szCs w:val="20"/>
        </w:rPr>
        <w:t xml:space="preserve"> </w:t>
      </w:r>
      <w:r w:rsidR="00E14047">
        <w:rPr>
          <w:rFonts w:ascii="Titillium" w:hAnsi="Titillium"/>
          <w:sz w:val="20"/>
          <w:szCs w:val="20"/>
        </w:rPr>
        <w:t xml:space="preserve">per un periodo di 36 mesi a decorrere dal 9.10.2023, </w:t>
      </w:r>
      <w:r>
        <w:rPr>
          <w:rFonts w:ascii="Titillium" w:hAnsi="Titillium"/>
          <w:sz w:val="20"/>
          <w:szCs w:val="20"/>
        </w:rPr>
        <w:t xml:space="preserve">dei </w:t>
      </w:r>
      <w:r w:rsidRPr="00CC192C">
        <w:rPr>
          <w:rFonts w:ascii="Titillium" w:hAnsi="Titillium"/>
          <w:sz w:val="20"/>
          <w:szCs w:val="20"/>
        </w:rPr>
        <w:t>servizi di rassegna stampa telematica quotidiana nazionale, locale ed internazionale, comprensiva del monitoraggio delle versioni web delle testate giornalistiche e dei siti web delle istituzioni  nazionali e locali nonché dei siti specializzati sui temi di interesse dell’Autorità, con accesso riservato a n. 50 utenti interni dell’Autorità;</w:t>
      </w:r>
    </w:p>
    <w:p w:rsidR="00DE34DE" w:rsidRDefault="00DE34DE" w:rsidP="001F70BA">
      <w:pPr>
        <w:spacing w:after="120" w:line="276" w:lineRule="auto"/>
        <w:jc w:val="both"/>
        <w:rPr>
          <w:rFonts w:ascii="Titillium" w:hAnsi="Titillium"/>
          <w:sz w:val="20"/>
          <w:szCs w:val="20"/>
        </w:rPr>
      </w:pPr>
      <w:r w:rsidRPr="00DE34DE">
        <w:rPr>
          <w:rFonts w:ascii="Titillium" w:hAnsi="Titillium"/>
          <w:b/>
          <w:sz w:val="20"/>
          <w:szCs w:val="20"/>
        </w:rPr>
        <w:t>CONSIDERATO</w:t>
      </w:r>
      <w:r>
        <w:rPr>
          <w:rFonts w:ascii="Titillium" w:hAnsi="Titillium"/>
          <w:sz w:val="20"/>
          <w:szCs w:val="20"/>
        </w:rPr>
        <w:t xml:space="preserve"> quindi che occorre acquisire </w:t>
      </w:r>
      <w:r w:rsidR="00DF5C14">
        <w:rPr>
          <w:rFonts w:ascii="Titillium" w:hAnsi="Titillium"/>
          <w:sz w:val="20"/>
          <w:szCs w:val="20"/>
        </w:rPr>
        <w:t>l</w:t>
      </w:r>
      <w:r w:rsidRPr="00DE34DE">
        <w:rPr>
          <w:rFonts w:ascii="Titillium" w:hAnsi="Titillium"/>
          <w:sz w:val="20"/>
          <w:szCs w:val="20"/>
        </w:rPr>
        <w:t>e licenze per diritti aggiuntivi per l’utilizzo dei servizi di rassegna stampa da n. 11 a n. 50 utilizzatori per un periodo di 36 mesi decorrenti dal 9.10.2023</w:t>
      </w:r>
      <w:r>
        <w:rPr>
          <w:rFonts w:ascii="Titillium" w:hAnsi="Titillium"/>
          <w:sz w:val="20"/>
          <w:szCs w:val="20"/>
        </w:rPr>
        <w:t xml:space="preserve"> dalla società </w:t>
      </w:r>
      <w:proofErr w:type="spellStart"/>
      <w:r w:rsidRPr="00BB2AA9">
        <w:rPr>
          <w:rFonts w:ascii="Titillium" w:hAnsi="Titillium"/>
          <w:sz w:val="20"/>
          <w:szCs w:val="20"/>
        </w:rPr>
        <w:t>Promopress</w:t>
      </w:r>
      <w:proofErr w:type="spellEnd"/>
      <w:r w:rsidRPr="00BB2AA9">
        <w:rPr>
          <w:rFonts w:ascii="Titillium" w:hAnsi="Titillium"/>
          <w:sz w:val="20"/>
          <w:szCs w:val="20"/>
        </w:rPr>
        <w:t xml:space="preserve"> 2000 </w:t>
      </w:r>
      <w:proofErr w:type="spellStart"/>
      <w:r w:rsidRPr="00BB2AA9">
        <w:rPr>
          <w:rFonts w:ascii="Titillium" w:hAnsi="Titillium"/>
          <w:sz w:val="20"/>
          <w:szCs w:val="20"/>
        </w:rPr>
        <w:t>srl</w:t>
      </w:r>
      <w:proofErr w:type="spellEnd"/>
      <w:r w:rsidR="001D6F79">
        <w:rPr>
          <w:rFonts w:ascii="Titillium" w:hAnsi="Titillium"/>
          <w:sz w:val="20"/>
          <w:szCs w:val="20"/>
        </w:rPr>
        <w:t>, titolare dei relativi</w:t>
      </w:r>
      <w:r>
        <w:rPr>
          <w:rFonts w:ascii="Titillium" w:hAnsi="Titillium"/>
          <w:sz w:val="20"/>
          <w:szCs w:val="20"/>
        </w:rPr>
        <w:t xml:space="preserve"> diritti esclusivi;</w:t>
      </w:r>
    </w:p>
    <w:p w:rsidR="000E32B5" w:rsidRPr="005B4B15" w:rsidRDefault="0040054C" w:rsidP="001F70BA">
      <w:pPr>
        <w:spacing w:after="120" w:line="276" w:lineRule="auto"/>
        <w:jc w:val="both"/>
        <w:rPr>
          <w:rFonts w:ascii="Titillium" w:hAnsi="Titillium"/>
          <w:sz w:val="20"/>
          <w:szCs w:val="20"/>
        </w:rPr>
      </w:pPr>
      <w:r>
        <w:rPr>
          <w:rFonts w:ascii="Titillium" w:hAnsi="Titillium"/>
          <w:b/>
          <w:sz w:val="20"/>
          <w:szCs w:val="20"/>
        </w:rPr>
        <w:t>VISTO</w:t>
      </w:r>
      <w:r w:rsidR="00607BD9" w:rsidRPr="005B4B15">
        <w:rPr>
          <w:rFonts w:ascii="Titillium" w:hAnsi="Titillium"/>
          <w:sz w:val="20"/>
          <w:szCs w:val="20"/>
        </w:rPr>
        <w:t xml:space="preserve"> i</w:t>
      </w:r>
      <w:r>
        <w:rPr>
          <w:rFonts w:ascii="Titillium" w:hAnsi="Titillium"/>
          <w:sz w:val="20"/>
          <w:szCs w:val="20"/>
        </w:rPr>
        <w:t>l</w:t>
      </w:r>
      <w:r w:rsidR="000E32B5" w:rsidRPr="005B4B15">
        <w:rPr>
          <w:rFonts w:ascii="Titillium" w:hAnsi="Titillium"/>
          <w:sz w:val="20"/>
          <w:szCs w:val="20"/>
        </w:rPr>
        <w:t xml:space="preserve"> </w:t>
      </w:r>
      <w:r w:rsidR="00607BD9" w:rsidRPr="005B4B15">
        <w:rPr>
          <w:rFonts w:ascii="Titillium" w:hAnsi="Titillium"/>
          <w:sz w:val="20"/>
          <w:szCs w:val="20"/>
        </w:rPr>
        <w:t>preventiv</w:t>
      </w:r>
      <w:r w:rsidR="00EF780B">
        <w:rPr>
          <w:rFonts w:ascii="Titillium" w:hAnsi="Titillium"/>
          <w:sz w:val="20"/>
          <w:szCs w:val="20"/>
        </w:rPr>
        <w:t>o di spesa prodotto</w:t>
      </w:r>
      <w:r w:rsidR="000E32B5" w:rsidRPr="005B4B15">
        <w:rPr>
          <w:rFonts w:ascii="Titillium" w:hAnsi="Titillium"/>
          <w:sz w:val="20"/>
          <w:szCs w:val="20"/>
        </w:rPr>
        <w:t xml:space="preserve"> dalla società </w:t>
      </w:r>
      <w:proofErr w:type="spellStart"/>
      <w:r w:rsidR="00EF780B" w:rsidRPr="00EF780B">
        <w:rPr>
          <w:rFonts w:ascii="Titillium" w:hAnsi="Titillium"/>
          <w:sz w:val="20"/>
          <w:szCs w:val="20"/>
        </w:rPr>
        <w:t>Promopress</w:t>
      </w:r>
      <w:proofErr w:type="spellEnd"/>
      <w:r w:rsidR="00EF780B" w:rsidRPr="00EF780B">
        <w:rPr>
          <w:rFonts w:ascii="Titillium" w:hAnsi="Titillium"/>
          <w:sz w:val="20"/>
          <w:szCs w:val="20"/>
        </w:rPr>
        <w:t xml:space="preserve"> 2000 </w:t>
      </w:r>
      <w:proofErr w:type="spellStart"/>
      <w:r w:rsidR="00EF780B" w:rsidRPr="00EF780B">
        <w:rPr>
          <w:rFonts w:ascii="Titillium" w:hAnsi="Titillium"/>
          <w:sz w:val="20"/>
          <w:szCs w:val="20"/>
        </w:rPr>
        <w:t>srl</w:t>
      </w:r>
      <w:proofErr w:type="spellEnd"/>
      <w:r w:rsidR="00EF780B" w:rsidRPr="00EF780B">
        <w:rPr>
          <w:rFonts w:ascii="Titillium" w:hAnsi="Titillium"/>
          <w:sz w:val="20"/>
          <w:szCs w:val="20"/>
        </w:rPr>
        <w:t xml:space="preserve"> </w:t>
      </w:r>
      <w:r w:rsidR="000E32B5" w:rsidRPr="005B4B15">
        <w:rPr>
          <w:rFonts w:ascii="Titillium" w:hAnsi="Titillium"/>
          <w:sz w:val="20"/>
          <w:szCs w:val="20"/>
        </w:rPr>
        <w:t xml:space="preserve">in data </w:t>
      </w:r>
      <w:r w:rsidR="001F70BA">
        <w:rPr>
          <w:rFonts w:ascii="Titillium" w:hAnsi="Titillium"/>
          <w:sz w:val="20"/>
          <w:szCs w:val="20"/>
        </w:rPr>
        <w:t>27</w:t>
      </w:r>
      <w:r w:rsidR="00607BD9" w:rsidRPr="005B4B15">
        <w:rPr>
          <w:rFonts w:ascii="Titillium" w:hAnsi="Titillium"/>
          <w:sz w:val="20"/>
          <w:szCs w:val="20"/>
        </w:rPr>
        <w:t>.</w:t>
      </w:r>
      <w:r w:rsidR="001F70BA">
        <w:rPr>
          <w:rFonts w:ascii="Titillium" w:hAnsi="Titillium"/>
          <w:sz w:val="20"/>
          <w:szCs w:val="20"/>
        </w:rPr>
        <w:t>9</w:t>
      </w:r>
      <w:r w:rsidR="00607BD9" w:rsidRPr="005B4B15">
        <w:rPr>
          <w:rFonts w:ascii="Titillium" w:hAnsi="Titillium"/>
          <w:sz w:val="20"/>
          <w:szCs w:val="20"/>
        </w:rPr>
        <w:t>.2023</w:t>
      </w:r>
      <w:r w:rsidR="000E32B5" w:rsidRPr="005B4B15">
        <w:rPr>
          <w:rFonts w:ascii="Titillium" w:hAnsi="Titillium"/>
          <w:sz w:val="20"/>
          <w:szCs w:val="20"/>
        </w:rPr>
        <w:t xml:space="preserve">, </w:t>
      </w:r>
      <w:proofErr w:type="spellStart"/>
      <w:r w:rsidR="00607BD9" w:rsidRPr="005B4B15">
        <w:rPr>
          <w:rFonts w:ascii="Titillium" w:hAnsi="Titillium"/>
          <w:sz w:val="20"/>
          <w:szCs w:val="20"/>
        </w:rPr>
        <w:t>nn</w:t>
      </w:r>
      <w:proofErr w:type="spellEnd"/>
      <w:r w:rsidR="00607BD9" w:rsidRPr="005B4B15">
        <w:rPr>
          <w:rFonts w:ascii="Titillium" w:hAnsi="Titillium"/>
          <w:sz w:val="20"/>
          <w:szCs w:val="20"/>
        </w:rPr>
        <w:t xml:space="preserve">. 115-2023 Rev. 1, </w:t>
      </w:r>
      <w:r w:rsidR="00EF780B">
        <w:rPr>
          <w:rFonts w:ascii="Titillium" w:hAnsi="Titillium"/>
          <w:sz w:val="20"/>
          <w:szCs w:val="20"/>
        </w:rPr>
        <w:t>acquisito</w:t>
      </w:r>
      <w:r w:rsidR="000E32B5" w:rsidRPr="005B4B15">
        <w:rPr>
          <w:rFonts w:ascii="Titillium" w:hAnsi="Titillium"/>
          <w:sz w:val="20"/>
          <w:szCs w:val="20"/>
        </w:rPr>
        <w:t xml:space="preserve"> </w:t>
      </w:r>
      <w:r w:rsidR="00EF780B" w:rsidRPr="005B4B15">
        <w:rPr>
          <w:rFonts w:ascii="Titillium" w:hAnsi="Titillium"/>
          <w:sz w:val="20"/>
          <w:szCs w:val="20"/>
        </w:rPr>
        <w:t xml:space="preserve">al protocollo dell’Autorità </w:t>
      </w:r>
      <w:r w:rsidR="00607BD9" w:rsidRPr="00E14047">
        <w:rPr>
          <w:rFonts w:ascii="Titillium" w:hAnsi="Titillium"/>
          <w:sz w:val="20"/>
          <w:szCs w:val="20"/>
        </w:rPr>
        <w:t xml:space="preserve">in data </w:t>
      </w:r>
      <w:r w:rsidR="00E14047">
        <w:rPr>
          <w:rFonts w:ascii="Titillium" w:hAnsi="Titillium"/>
          <w:sz w:val="20"/>
          <w:szCs w:val="20"/>
        </w:rPr>
        <w:t>27.</w:t>
      </w:r>
      <w:r w:rsidR="00E14047" w:rsidRPr="00E14047">
        <w:rPr>
          <w:rFonts w:ascii="Titillium" w:hAnsi="Titillium"/>
          <w:sz w:val="20"/>
          <w:szCs w:val="20"/>
        </w:rPr>
        <w:t>09</w:t>
      </w:r>
      <w:r w:rsidR="00E14047">
        <w:rPr>
          <w:rFonts w:ascii="Titillium" w:hAnsi="Titillium"/>
          <w:sz w:val="20"/>
          <w:szCs w:val="20"/>
        </w:rPr>
        <w:t>.</w:t>
      </w:r>
      <w:r w:rsidR="00E14047" w:rsidRPr="00E14047">
        <w:rPr>
          <w:rFonts w:ascii="Titillium" w:hAnsi="Titillium"/>
          <w:sz w:val="20"/>
          <w:szCs w:val="20"/>
        </w:rPr>
        <w:t>2023</w:t>
      </w:r>
      <w:r w:rsidR="00E14047">
        <w:rPr>
          <w:rFonts w:ascii="Titillium" w:hAnsi="Titillium"/>
          <w:sz w:val="20"/>
          <w:szCs w:val="20"/>
        </w:rPr>
        <w:t xml:space="preserve"> </w:t>
      </w:r>
      <w:r w:rsidR="00607BD9" w:rsidRPr="00E14047">
        <w:rPr>
          <w:rFonts w:ascii="Titillium" w:hAnsi="Titillium"/>
          <w:sz w:val="20"/>
          <w:szCs w:val="20"/>
        </w:rPr>
        <w:t xml:space="preserve">al n. </w:t>
      </w:r>
      <w:r w:rsidR="00E14047" w:rsidRPr="00E14047">
        <w:rPr>
          <w:rFonts w:ascii="Titillium" w:hAnsi="Titillium"/>
          <w:sz w:val="20"/>
          <w:szCs w:val="20"/>
        </w:rPr>
        <w:t>81680</w:t>
      </w:r>
      <w:r w:rsidR="00DE34DE">
        <w:rPr>
          <w:rFonts w:ascii="Titillium" w:hAnsi="Titillium"/>
          <w:sz w:val="20"/>
          <w:szCs w:val="20"/>
        </w:rPr>
        <w:t xml:space="preserve">, </w:t>
      </w:r>
      <w:r w:rsidR="001F70BA">
        <w:rPr>
          <w:rFonts w:ascii="Titillium" w:hAnsi="Titillium"/>
          <w:sz w:val="20"/>
          <w:szCs w:val="20"/>
        </w:rPr>
        <w:t xml:space="preserve">per un importo di </w:t>
      </w:r>
      <w:r w:rsidR="001F70BA" w:rsidRPr="001F70BA">
        <w:rPr>
          <w:rFonts w:ascii="Titillium" w:hAnsi="Titillium"/>
          <w:sz w:val="20"/>
          <w:szCs w:val="20"/>
        </w:rPr>
        <w:t>€ 6.465,00</w:t>
      </w:r>
      <w:r w:rsidR="001F70BA">
        <w:rPr>
          <w:rFonts w:ascii="Titillium" w:hAnsi="Titillium"/>
          <w:sz w:val="20"/>
          <w:szCs w:val="20"/>
        </w:rPr>
        <w:t>, oltre IVA</w:t>
      </w:r>
      <w:r w:rsidR="00DF5C14">
        <w:rPr>
          <w:rFonts w:ascii="Titillium" w:hAnsi="Titillium"/>
          <w:sz w:val="20"/>
          <w:szCs w:val="20"/>
        </w:rPr>
        <w:t>, per il triennio decorrente dal 9.10.2023</w:t>
      </w:r>
      <w:r w:rsidR="00E14047">
        <w:rPr>
          <w:rFonts w:ascii="Titillium" w:hAnsi="Titillium"/>
          <w:sz w:val="20"/>
          <w:szCs w:val="20"/>
        </w:rPr>
        <w:t>;</w:t>
      </w:r>
    </w:p>
    <w:p w:rsidR="001F70BA" w:rsidRPr="001F70BA" w:rsidRDefault="001F70BA" w:rsidP="001F70BA">
      <w:pPr>
        <w:spacing w:after="120" w:line="276" w:lineRule="auto"/>
        <w:jc w:val="both"/>
        <w:rPr>
          <w:rFonts w:ascii="Titillium" w:hAnsi="Titillium"/>
          <w:sz w:val="20"/>
          <w:szCs w:val="20"/>
        </w:rPr>
      </w:pPr>
      <w:r>
        <w:rPr>
          <w:rFonts w:ascii="Titillium" w:hAnsi="Titillium"/>
          <w:b/>
          <w:sz w:val="20"/>
          <w:szCs w:val="20"/>
        </w:rPr>
        <w:t xml:space="preserve">VISTO </w:t>
      </w:r>
      <w:r>
        <w:rPr>
          <w:rFonts w:ascii="Titillium" w:hAnsi="Titillium"/>
          <w:sz w:val="20"/>
          <w:szCs w:val="20"/>
        </w:rPr>
        <w:t>l</w:t>
      </w:r>
      <w:r w:rsidRPr="001F70BA">
        <w:rPr>
          <w:rFonts w:ascii="Titillium" w:hAnsi="Titillium"/>
          <w:sz w:val="20"/>
          <w:szCs w:val="20"/>
        </w:rPr>
        <w:t>’appunto</w:t>
      </w:r>
      <w:r w:rsidR="00CB3E5C">
        <w:rPr>
          <w:rFonts w:ascii="Titillium" w:hAnsi="Titillium"/>
          <w:sz w:val="20"/>
          <w:szCs w:val="20"/>
        </w:rPr>
        <w:t xml:space="preserve"> </w:t>
      </w:r>
      <w:proofErr w:type="spellStart"/>
      <w:r w:rsidR="00CB3E5C">
        <w:rPr>
          <w:rFonts w:ascii="Titillium" w:hAnsi="Titillium"/>
          <w:sz w:val="20"/>
          <w:szCs w:val="20"/>
        </w:rPr>
        <w:t>prot</w:t>
      </w:r>
      <w:proofErr w:type="spellEnd"/>
      <w:r w:rsidR="00CB3E5C">
        <w:rPr>
          <w:rFonts w:ascii="Titillium" w:hAnsi="Titillium"/>
          <w:sz w:val="20"/>
          <w:szCs w:val="20"/>
        </w:rPr>
        <w:t xml:space="preserve">. n. </w:t>
      </w:r>
      <w:r w:rsidR="00BB2AA9">
        <w:rPr>
          <w:rFonts w:ascii="Titillium" w:hAnsi="Titillium"/>
          <w:sz w:val="20"/>
          <w:szCs w:val="20"/>
        </w:rPr>
        <w:t>85441</w:t>
      </w:r>
      <w:r w:rsidR="00CB3E5C">
        <w:rPr>
          <w:rFonts w:ascii="Titillium" w:hAnsi="Titillium"/>
          <w:sz w:val="20"/>
          <w:szCs w:val="20"/>
        </w:rPr>
        <w:t xml:space="preserve"> del </w:t>
      </w:r>
      <w:r w:rsidR="00BB2AA9">
        <w:rPr>
          <w:rFonts w:ascii="Titillium" w:hAnsi="Titillium"/>
          <w:sz w:val="20"/>
          <w:szCs w:val="20"/>
        </w:rPr>
        <w:t>3</w:t>
      </w:r>
      <w:r w:rsidR="00CB3E5C">
        <w:rPr>
          <w:rFonts w:ascii="Titillium" w:hAnsi="Titillium"/>
          <w:sz w:val="20"/>
          <w:szCs w:val="20"/>
        </w:rPr>
        <w:t>.10.2023, vistato d</w:t>
      </w:r>
      <w:r>
        <w:rPr>
          <w:rFonts w:ascii="Titillium" w:hAnsi="Titillium"/>
          <w:sz w:val="20"/>
          <w:szCs w:val="20"/>
        </w:rPr>
        <w:t>al Segretario ge</w:t>
      </w:r>
      <w:r w:rsidR="00CB3E5C">
        <w:rPr>
          <w:rFonts w:ascii="Titillium" w:hAnsi="Titillium"/>
          <w:sz w:val="20"/>
          <w:szCs w:val="20"/>
        </w:rPr>
        <w:t>n</w:t>
      </w:r>
      <w:r>
        <w:rPr>
          <w:rFonts w:ascii="Titillium" w:hAnsi="Titillium"/>
          <w:sz w:val="20"/>
          <w:szCs w:val="20"/>
        </w:rPr>
        <w:t>erale, con la quale l’Ufficio gare e logistica rappresenta la necessità di acquisire le licenze sopra indicate</w:t>
      </w:r>
      <w:r w:rsidR="00DE34DE">
        <w:rPr>
          <w:rFonts w:ascii="Titillium" w:hAnsi="Titillium"/>
          <w:sz w:val="20"/>
          <w:szCs w:val="20"/>
        </w:rPr>
        <w:t xml:space="preserve"> dal</w:t>
      </w:r>
      <w:r w:rsidR="00BB2AA9">
        <w:rPr>
          <w:rFonts w:ascii="Titillium" w:hAnsi="Titillium"/>
          <w:sz w:val="20"/>
          <w:szCs w:val="20"/>
        </w:rPr>
        <w:t xml:space="preserve"> </w:t>
      </w:r>
      <w:r w:rsidR="00DE34DE">
        <w:rPr>
          <w:rFonts w:ascii="Titillium" w:hAnsi="Titillium"/>
          <w:sz w:val="20"/>
          <w:szCs w:val="20"/>
        </w:rPr>
        <w:t>citato operatore economico;</w:t>
      </w:r>
      <w:r w:rsidR="00BB2AA9">
        <w:rPr>
          <w:rFonts w:ascii="Titillium" w:hAnsi="Titillium"/>
          <w:sz w:val="20"/>
          <w:szCs w:val="20"/>
        </w:rPr>
        <w:t xml:space="preserve"> </w:t>
      </w:r>
    </w:p>
    <w:p w:rsidR="000E32B5" w:rsidRPr="005B4B15" w:rsidRDefault="00332723" w:rsidP="001F70BA">
      <w:pPr>
        <w:spacing w:after="120" w:line="276" w:lineRule="auto"/>
        <w:jc w:val="both"/>
        <w:rPr>
          <w:rFonts w:ascii="Titillium" w:hAnsi="Titillium"/>
          <w:sz w:val="20"/>
          <w:szCs w:val="20"/>
        </w:rPr>
      </w:pPr>
      <w:r w:rsidRPr="005B4B15">
        <w:rPr>
          <w:rFonts w:ascii="Titillium" w:hAnsi="Titillium"/>
          <w:b/>
          <w:sz w:val="20"/>
          <w:szCs w:val="20"/>
        </w:rPr>
        <w:t>ACCERTATO</w:t>
      </w:r>
      <w:r w:rsidRPr="005B4B15">
        <w:rPr>
          <w:rFonts w:ascii="Titillium" w:hAnsi="Titillium"/>
          <w:sz w:val="20"/>
          <w:szCs w:val="20"/>
        </w:rPr>
        <w:t xml:space="preserve"> che </w:t>
      </w:r>
      <w:r w:rsidR="008C2DD8" w:rsidRPr="005B4B15">
        <w:rPr>
          <w:rFonts w:ascii="Titillium" w:hAnsi="Titillium"/>
          <w:sz w:val="20"/>
          <w:szCs w:val="20"/>
        </w:rPr>
        <w:t>la disponibilità finanziaria sul pertinente capitolo n. 130</w:t>
      </w:r>
      <w:r w:rsidR="00EF780B">
        <w:rPr>
          <w:rFonts w:ascii="Titillium" w:hAnsi="Titillium"/>
          <w:sz w:val="20"/>
          <w:szCs w:val="20"/>
        </w:rPr>
        <w:t>1</w:t>
      </w:r>
      <w:r w:rsidR="008C2DD8" w:rsidRPr="005B4B15">
        <w:rPr>
          <w:rFonts w:ascii="Titillium" w:hAnsi="Titillium"/>
          <w:sz w:val="20"/>
          <w:szCs w:val="20"/>
        </w:rPr>
        <w:t>.</w:t>
      </w:r>
      <w:r w:rsidR="00EF780B">
        <w:rPr>
          <w:rFonts w:ascii="Titillium" w:hAnsi="Titillium"/>
          <w:sz w:val="20"/>
          <w:szCs w:val="20"/>
        </w:rPr>
        <w:t>4</w:t>
      </w:r>
      <w:r w:rsidR="008C2DD8" w:rsidRPr="005B4B15">
        <w:rPr>
          <w:rFonts w:ascii="Titillium" w:hAnsi="Titillium"/>
          <w:sz w:val="20"/>
          <w:szCs w:val="20"/>
        </w:rPr>
        <w:t xml:space="preserve"> del bilancio di previsione per l’anno 2023 e del bilancio pluriennale</w:t>
      </w:r>
      <w:r w:rsidR="008C2DD8" w:rsidRPr="005B4B15">
        <w:rPr>
          <w:rFonts w:ascii="Titillium" w:hAnsi="Titillium"/>
          <w:b/>
          <w:sz w:val="20"/>
          <w:szCs w:val="20"/>
        </w:rPr>
        <w:t xml:space="preserve"> </w:t>
      </w:r>
      <w:r w:rsidR="008C2DD8" w:rsidRPr="005B4B15">
        <w:rPr>
          <w:rFonts w:ascii="Titillium" w:hAnsi="Titillium"/>
          <w:sz w:val="20"/>
          <w:szCs w:val="20"/>
        </w:rPr>
        <w:t>è congrua per accogliere la spesa stimata per i servizi in argomento;</w:t>
      </w:r>
    </w:p>
    <w:p w:rsidR="00491A31" w:rsidRPr="005B4B15" w:rsidRDefault="00491A31" w:rsidP="00F77C35">
      <w:pPr>
        <w:spacing w:after="120" w:line="276" w:lineRule="auto"/>
        <w:jc w:val="both"/>
        <w:rPr>
          <w:rFonts w:ascii="Titillium" w:hAnsi="Titillium"/>
          <w:sz w:val="20"/>
          <w:szCs w:val="20"/>
        </w:rPr>
      </w:pPr>
    </w:p>
    <w:p w:rsidR="00B80660" w:rsidRDefault="00332723" w:rsidP="00E0422F">
      <w:pPr>
        <w:spacing w:before="120" w:after="120" w:line="276" w:lineRule="auto"/>
        <w:jc w:val="center"/>
        <w:rPr>
          <w:rFonts w:ascii="Gotham Light" w:hAnsi="Gotham Light" w:cs="Arial"/>
          <w:b/>
          <w:color w:val="2E74B5"/>
          <w:sz w:val="32"/>
          <w:szCs w:val="32"/>
        </w:rPr>
      </w:pPr>
      <w:r w:rsidRPr="00E14047">
        <w:rPr>
          <w:rFonts w:ascii="Gotham Light" w:hAnsi="Gotham Light" w:cs="Arial"/>
          <w:b/>
          <w:color w:val="2E74B5"/>
          <w:sz w:val="32"/>
          <w:szCs w:val="32"/>
        </w:rPr>
        <w:t>D I S P O N E</w:t>
      </w:r>
    </w:p>
    <w:p w:rsidR="001F70BA" w:rsidRPr="00E14047" w:rsidRDefault="001F70BA" w:rsidP="001F70BA">
      <w:pPr>
        <w:spacing w:before="120" w:line="276" w:lineRule="auto"/>
        <w:jc w:val="center"/>
        <w:rPr>
          <w:rFonts w:ascii="Gotham Light" w:hAnsi="Gotham Light" w:cs="Arial"/>
          <w:b/>
          <w:color w:val="2E74B5"/>
          <w:sz w:val="32"/>
          <w:szCs w:val="32"/>
        </w:rPr>
      </w:pPr>
    </w:p>
    <w:p w:rsidR="00332723" w:rsidRPr="005B4B15" w:rsidRDefault="000A6F83" w:rsidP="005B4B15">
      <w:pPr>
        <w:pStyle w:val="Paragrafoelenco"/>
        <w:numPr>
          <w:ilvl w:val="0"/>
          <w:numId w:val="11"/>
        </w:numPr>
        <w:spacing w:after="120" w:line="276" w:lineRule="auto"/>
        <w:ind w:left="426" w:right="-1"/>
        <w:jc w:val="both"/>
        <w:rPr>
          <w:rFonts w:ascii="Titillium" w:hAnsi="Titillium"/>
          <w:sz w:val="20"/>
          <w:szCs w:val="20"/>
        </w:rPr>
      </w:pPr>
      <w:r w:rsidRPr="005B4B15">
        <w:rPr>
          <w:rFonts w:ascii="Titillium" w:hAnsi="Titillium"/>
          <w:sz w:val="20"/>
          <w:szCs w:val="20"/>
        </w:rPr>
        <w:t>l’affidamento diretto</w:t>
      </w:r>
      <w:r w:rsidR="008C2DD8" w:rsidRPr="005B4B15">
        <w:rPr>
          <w:rFonts w:ascii="Titillium" w:hAnsi="Titillium"/>
          <w:sz w:val="20"/>
          <w:szCs w:val="20"/>
        </w:rPr>
        <w:t>, ai sens</w:t>
      </w:r>
      <w:r w:rsidR="00E14FA9" w:rsidRPr="005B4B15">
        <w:rPr>
          <w:rFonts w:ascii="Titillium" w:hAnsi="Titillium"/>
          <w:sz w:val="20"/>
          <w:szCs w:val="20"/>
        </w:rPr>
        <w:t xml:space="preserve">i dell’art. 50, comma 1, </w:t>
      </w:r>
      <w:proofErr w:type="spellStart"/>
      <w:r w:rsidR="00E14FA9" w:rsidRPr="005B4B15">
        <w:rPr>
          <w:rFonts w:ascii="Titillium" w:hAnsi="Titillium"/>
          <w:sz w:val="20"/>
          <w:szCs w:val="20"/>
        </w:rPr>
        <w:t>lett</w:t>
      </w:r>
      <w:proofErr w:type="spellEnd"/>
      <w:r w:rsidR="00E14FA9" w:rsidRPr="005B4B15">
        <w:rPr>
          <w:rFonts w:ascii="Titillium" w:hAnsi="Titillium"/>
          <w:sz w:val="20"/>
          <w:szCs w:val="20"/>
        </w:rPr>
        <w:t xml:space="preserve">. </w:t>
      </w:r>
      <w:r w:rsidR="00B55E54">
        <w:rPr>
          <w:rFonts w:ascii="Titillium" w:hAnsi="Titillium"/>
          <w:sz w:val="20"/>
          <w:szCs w:val="20"/>
        </w:rPr>
        <w:t>b</w:t>
      </w:r>
      <w:r w:rsidR="008C2DD8" w:rsidRPr="005B4B15">
        <w:rPr>
          <w:rFonts w:ascii="Titillium" w:hAnsi="Titillium"/>
          <w:sz w:val="20"/>
          <w:szCs w:val="20"/>
        </w:rPr>
        <w:t xml:space="preserve">) del d.lgs. n. 36/2023, </w:t>
      </w:r>
      <w:r w:rsidR="00E14FA9" w:rsidRPr="005B4B15">
        <w:rPr>
          <w:rFonts w:ascii="Titillium" w:hAnsi="Titillium"/>
          <w:sz w:val="20"/>
          <w:szCs w:val="20"/>
        </w:rPr>
        <w:t>in favore della società "</w:t>
      </w:r>
      <w:proofErr w:type="spellStart"/>
      <w:r w:rsidR="00E14FA9" w:rsidRPr="005B4B15">
        <w:rPr>
          <w:rFonts w:ascii="Titillium" w:hAnsi="Titillium"/>
          <w:sz w:val="20"/>
          <w:szCs w:val="20"/>
        </w:rPr>
        <w:t>Promopress</w:t>
      </w:r>
      <w:proofErr w:type="spellEnd"/>
      <w:r w:rsidR="00E14FA9" w:rsidRPr="005B4B15">
        <w:rPr>
          <w:rFonts w:ascii="Titillium" w:hAnsi="Titillium"/>
          <w:sz w:val="20"/>
          <w:szCs w:val="20"/>
        </w:rPr>
        <w:t xml:space="preserve"> 2000 </w:t>
      </w:r>
      <w:proofErr w:type="spellStart"/>
      <w:r w:rsidR="00E14FA9" w:rsidRPr="005B4B15">
        <w:rPr>
          <w:rFonts w:ascii="Titillium" w:hAnsi="Titillium"/>
          <w:sz w:val="20"/>
          <w:szCs w:val="20"/>
        </w:rPr>
        <w:t>srl</w:t>
      </w:r>
      <w:proofErr w:type="spellEnd"/>
      <w:r w:rsidR="00E14FA9" w:rsidRPr="005B4B15">
        <w:rPr>
          <w:rFonts w:ascii="Titillium" w:hAnsi="Titillium"/>
          <w:sz w:val="20"/>
          <w:szCs w:val="20"/>
        </w:rPr>
        <w:t xml:space="preserve">" - C.F. 06458290589, </w:t>
      </w:r>
      <w:r w:rsidR="00521C35" w:rsidRPr="005B4B15">
        <w:rPr>
          <w:rFonts w:ascii="Titillium" w:hAnsi="Titillium"/>
          <w:sz w:val="20"/>
          <w:szCs w:val="20"/>
        </w:rPr>
        <w:t xml:space="preserve">con sede in via Piemonte n. 64 </w:t>
      </w:r>
      <w:r w:rsidR="00B55E54">
        <w:rPr>
          <w:rFonts w:ascii="Titillium" w:hAnsi="Titillium"/>
          <w:sz w:val="20"/>
          <w:szCs w:val="20"/>
        </w:rPr>
        <w:t xml:space="preserve">- </w:t>
      </w:r>
      <w:r w:rsidR="00521C35" w:rsidRPr="005B4B15">
        <w:rPr>
          <w:rFonts w:ascii="Titillium" w:hAnsi="Titillium"/>
          <w:sz w:val="20"/>
          <w:szCs w:val="20"/>
        </w:rPr>
        <w:t>00187 Roma</w:t>
      </w:r>
      <w:r w:rsidR="001F70BA">
        <w:rPr>
          <w:rFonts w:ascii="Titillium" w:hAnsi="Titillium"/>
          <w:sz w:val="20"/>
          <w:szCs w:val="20"/>
        </w:rPr>
        <w:t>,</w:t>
      </w:r>
      <w:r w:rsidR="00521C35" w:rsidRPr="005B4B15">
        <w:rPr>
          <w:rFonts w:ascii="Titillium" w:hAnsi="Titillium"/>
          <w:sz w:val="20"/>
          <w:szCs w:val="20"/>
        </w:rPr>
        <w:t xml:space="preserve"> </w:t>
      </w:r>
      <w:r w:rsidR="00E14FA9" w:rsidRPr="005B4B15">
        <w:rPr>
          <w:rFonts w:ascii="Titillium" w:hAnsi="Titillium"/>
          <w:sz w:val="20"/>
          <w:szCs w:val="20"/>
        </w:rPr>
        <w:t>per l’acquisto dell</w:t>
      </w:r>
      <w:r w:rsidR="00521C35" w:rsidRPr="005B4B15">
        <w:rPr>
          <w:rFonts w:ascii="Titillium" w:hAnsi="Titillium"/>
          <w:sz w:val="20"/>
          <w:szCs w:val="20"/>
        </w:rPr>
        <w:t xml:space="preserve">e licenze per diritti aggiuntivi </w:t>
      </w:r>
      <w:r w:rsidR="00DF5C14">
        <w:rPr>
          <w:rFonts w:ascii="Titillium" w:hAnsi="Titillium"/>
          <w:sz w:val="20"/>
          <w:szCs w:val="20"/>
        </w:rPr>
        <w:t xml:space="preserve">dovuti agli editori aderenti al Repertorio </w:t>
      </w:r>
      <w:proofErr w:type="spellStart"/>
      <w:r w:rsidR="00DF5C14">
        <w:rPr>
          <w:rFonts w:ascii="Titillium" w:hAnsi="Titillium"/>
          <w:sz w:val="20"/>
          <w:szCs w:val="20"/>
        </w:rPr>
        <w:t>Promopress</w:t>
      </w:r>
      <w:proofErr w:type="spellEnd"/>
      <w:r w:rsidR="00DF5C14">
        <w:rPr>
          <w:rFonts w:ascii="Titillium" w:hAnsi="Titillium"/>
          <w:sz w:val="20"/>
          <w:szCs w:val="20"/>
        </w:rPr>
        <w:t xml:space="preserve"> per </w:t>
      </w:r>
      <w:r w:rsidR="00521C35" w:rsidRPr="005B4B15">
        <w:rPr>
          <w:rFonts w:ascii="Titillium" w:hAnsi="Titillium"/>
          <w:sz w:val="20"/>
          <w:szCs w:val="20"/>
        </w:rPr>
        <w:t xml:space="preserve">l'utilizzo della Rassegna Stampa </w:t>
      </w:r>
      <w:r w:rsidR="00DF5C14">
        <w:rPr>
          <w:rFonts w:ascii="Titillium" w:hAnsi="Titillium"/>
          <w:sz w:val="20"/>
          <w:szCs w:val="20"/>
        </w:rPr>
        <w:t xml:space="preserve">con </w:t>
      </w:r>
      <w:r w:rsidR="00521C35" w:rsidRPr="005B4B15">
        <w:rPr>
          <w:rFonts w:ascii="Titillium" w:hAnsi="Titillium"/>
          <w:sz w:val="20"/>
          <w:szCs w:val="20"/>
        </w:rPr>
        <w:t>accessi</w:t>
      </w:r>
      <w:r w:rsidR="00E14FA9" w:rsidRPr="005B4B15">
        <w:rPr>
          <w:rFonts w:ascii="Titillium" w:hAnsi="Titillium"/>
          <w:sz w:val="20"/>
          <w:szCs w:val="20"/>
        </w:rPr>
        <w:t xml:space="preserve"> da n. 11 a n. 50</w:t>
      </w:r>
      <w:r w:rsidR="001F70BA">
        <w:rPr>
          <w:rFonts w:ascii="Titillium" w:hAnsi="Titillium"/>
          <w:sz w:val="20"/>
          <w:szCs w:val="20"/>
        </w:rPr>
        <w:t xml:space="preserve"> </w:t>
      </w:r>
      <w:r w:rsidR="00BB2AA9">
        <w:rPr>
          <w:rFonts w:ascii="Titillium" w:hAnsi="Titillium"/>
          <w:sz w:val="20"/>
          <w:szCs w:val="20"/>
        </w:rPr>
        <w:t>utenti</w:t>
      </w:r>
      <w:r w:rsidR="00521C35" w:rsidRPr="005B4B15">
        <w:rPr>
          <w:rFonts w:ascii="Titillium" w:hAnsi="Titillium"/>
          <w:sz w:val="20"/>
          <w:szCs w:val="20"/>
        </w:rPr>
        <w:t>,</w:t>
      </w:r>
      <w:r w:rsidR="00491190" w:rsidRPr="005B4B15">
        <w:rPr>
          <w:rFonts w:ascii="Titillium" w:hAnsi="Titillium"/>
          <w:sz w:val="20"/>
          <w:szCs w:val="20"/>
        </w:rPr>
        <w:t xml:space="preserve"> </w:t>
      </w:r>
      <w:r w:rsidR="004609AF" w:rsidRPr="005B4B15">
        <w:rPr>
          <w:rFonts w:ascii="Titillium" w:hAnsi="Titillium"/>
          <w:sz w:val="20"/>
          <w:szCs w:val="20"/>
        </w:rPr>
        <w:t>per una spesa complessiva massima così specificata</w:t>
      </w:r>
      <w:r w:rsidR="00E14FA9" w:rsidRPr="005B4B15">
        <w:rPr>
          <w:rFonts w:ascii="Titillium" w:hAnsi="Titillium"/>
          <w:sz w:val="20"/>
          <w:szCs w:val="20"/>
        </w:rPr>
        <w:t xml:space="preserve"> e per un pe</w:t>
      </w:r>
      <w:r w:rsidR="00EF780B">
        <w:rPr>
          <w:rFonts w:ascii="Titillium" w:hAnsi="Titillium"/>
          <w:sz w:val="20"/>
          <w:szCs w:val="20"/>
        </w:rPr>
        <w:t xml:space="preserve">riodo di 36 mesi decorrenti dal </w:t>
      </w:r>
      <w:r w:rsidR="00E14FA9" w:rsidRPr="005B4B15">
        <w:rPr>
          <w:rFonts w:ascii="Titillium" w:hAnsi="Titillium"/>
          <w:sz w:val="20"/>
          <w:szCs w:val="20"/>
        </w:rPr>
        <w:t>9.10.2023</w:t>
      </w:r>
      <w:r w:rsidR="004609AF" w:rsidRPr="005B4B15">
        <w:rPr>
          <w:rFonts w:ascii="Titillium" w:hAnsi="Titillium"/>
          <w:sz w:val="20"/>
          <w:szCs w:val="20"/>
        </w:rPr>
        <w:t>:</w:t>
      </w:r>
    </w:p>
    <w:p w:rsidR="004609AF" w:rsidRPr="005B4B15" w:rsidRDefault="004609AF" w:rsidP="004609AF">
      <w:pPr>
        <w:pStyle w:val="Paragrafoelenco"/>
        <w:spacing w:after="120" w:line="276" w:lineRule="auto"/>
        <w:ind w:left="0" w:right="-1"/>
        <w:jc w:val="both"/>
        <w:rPr>
          <w:rFonts w:ascii="Titillium" w:hAnsi="Titillium"/>
          <w:sz w:val="20"/>
          <w:szCs w:val="20"/>
        </w:rPr>
      </w:pPr>
    </w:p>
    <w:tbl>
      <w:tblPr>
        <w:tblStyle w:val="Grigliatabella"/>
        <w:tblW w:w="92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75"/>
        <w:gridCol w:w="1615"/>
      </w:tblGrid>
      <w:tr w:rsidR="005B4B15" w:rsidRPr="005B4B15" w:rsidTr="00345490">
        <w:trPr>
          <w:trHeight w:val="425"/>
          <w:jc w:val="right"/>
        </w:trPr>
        <w:tc>
          <w:tcPr>
            <w:tcW w:w="7675" w:type="dxa"/>
            <w:tcMar>
              <w:top w:w="28" w:type="dxa"/>
              <w:left w:w="85" w:type="dxa"/>
              <w:bottom w:w="28" w:type="dxa"/>
              <w:right w:w="85" w:type="dxa"/>
            </w:tcMar>
            <w:vAlign w:val="center"/>
          </w:tcPr>
          <w:p w:rsidR="005B4B15" w:rsidRPr="005B4B15" w:rsidRDefault="005B4B15" w:rsidP="005B4B15">
            <w:pPr>
              <w:pStyle w:val="Paragrafoelenco"/>
              <w:numPr>
                <w:ilvl w:val="0"/>
                <w:numId w:val="3"/>
              </w:numPr>
              <w:spacing w:after="100" w:line="276" w:lineRule="auto"/>
              <w:ind w:left="459" w:hanging="425"/>
              <w:contextualSpacing w:val="0"/>
              <w:jc w:val="both"/>
              <w:rPr>
                <w:rFonts w:ascii="Titillium" w:hAnsi="Titillium"/>
                <w:sz w:val="20"/>
                <w:szCs w:val="20"/>
              </w:rPr>
            </w:pPr>
            <w:r w:rsidRPr="005B4B15">
              <w:rPr>
                <w:rFonts w:ascii="Titillium" w:hAnsi="Titillium"/>
                <w:sz w:val="20"/>
                <w:szCs w:val="20"/>
              </w:rPr>
              <w:t>servizi oggetto del contratto</w:t>
            </w:r>
          </w:p>
        </w:tc>
        <w:tc>
          <w:tcPr>
            <w:tcW w:w="1615" w:type="dxa"/>
            <w:tcBorders>
              <w:top w:val="nil"/>
              <w:left w:val="nil"/>
              <w:bottom w:val="nil"/>
              <w:right w:val="nil"/>
            </w:tcBorders>
            <w:shd w:val="clear" w:color="auto" w:fill="auto"/>
            <w:tcMar>
              <w:top w:w="28" w:type="dxa"/>
              <w:left w:w="85" w:type="dxa"/>
              <w:bottom w:w="28" w:type="dxa"/>
              <w:right w:w="85" w:type="dxa"/>
            </w:tcMar>
            <w:vAlign w:val="center"/>
          </w:tcPr>
          <w:p w:rsidR="005B4B15" w:rsidRPr="005B4B15" w:rsidRDefault="005B4B15" w:rsidP="00113CC7">
            <w:pPr>
              <w:jc w:val="right"/>
              <w:rPr>
                <w:rFonts w:ascii="Titillium" w:hAnsi="Titillium" w:cs="Calibri"/>
                <w:color w:val="000000"/>
                <w:sz w:val="20"/>
                <w:szCs w:val="20"/>
              </w:rPr>
            </w:pPr>
            <w:r w:rsidRPr="005B4B15">
              <w:rPr>
                <w:rFonts w:ascii="Titillium" w:hAnsi="Titillium" w:cs="Calibri"/>
                <w:color w:val="000000"/>
                <w:sz w:val="20"/>
                <w:szCs w:val="20"/>
              </w:rPr>
              <w:t xml:space="preserve">€ </w:t>
            </w:r>
            <w:r w:rsidR="00113CC7">
              <w:rPr>
                <w:rFonts w:ascii="Titillium" w:hAnsi="Titillium" w:cs="Calibri"/>
                <w:color w:val="000000"/>
                <w:sz w:val="20"/>
                <w:szCs w:val="20"/>
              </w:rPr>
              <w:t>6</w:t>
            </w:r>
            <w:r w:rsidRPr="005B4B15">
              <w:rPr>
                <w:rFonts w:ascii="Titillium" w:hAnsi="Titillium" w:cs="Calibri"/>
                <w:color w:val="000000"/>
                <w:sz w:val="20"/>
                <w:szCs w:val="20"/>
              </w:rPr>
              <w:t>.</w:t>
            </w:r>
            <w:r w:rsidR="00113CC7">
              <w:rPr>
                <w:rFonts w:ascii="Titillium" w:hAnsi="Titillium" w:cs="Calibri"/>
                <w:color w:val="000000"/>
                <w:sz w:val="20"/>
                <w:szCs w:val="20"/>
              </w:rPr>
              <w:t>465</w:t>
            </w:r>
            <w:r w:rsidRPr="005B4B15">
              <w:rPr>
                <w:rFonts w:ascii="Titillium" w:hAnsi="Titillium" w:cs="Calibri"/>
                <w:color w:val="000000"/>
                <w:sz w:val="20"/>
                <w:szCs w:val="20"/>
              </w:rPr>
              <w:t>,00</w:t>
            </w:r>
          </w:p>
        </w:tc>
      </w:tr>
      <w:tr w:rsidR="005B4B15" w:rsidRPr="005B4B15" w:rsidTr="00345490">
        <w:trPr>
          <w:trHeight w:val="425"/>
          <w:jc w:val="right"/>
        </w:trPr>
        <w:tc>
          <w:tcPr>
            <w:tcW w:w="7675" w:type="dxa"/>
            <w:tcMar>
              <w:top w:w="28" w:type="dxa"/>
              <w:left w:w="85" w:type="dxa"/>
              <w:bottom w:w="28" w:type="dxa"/>
              <w:right w:w="85" w:type="dxa"/>
            </w:tcMar>
            <w:vAlign w:val="center"/>
          </w:tcPr>
          <w:p w:rsidR="005B4B15" w:rsidRPr="005B4B15" w:rsidRDefault="005B4B15" w:rsidP="005B4B15">
            <w:pPr>
              <w:pStyle w:val="Paragrafoelenco"/>
              <w:numPr>
                <w:ilvl w:val="0"/>
                <w:numId w:val="3"/>
              </w:numPr>
              <w:spacing w:after="100" w:line="276" w:lineRule="auto"/>
              <w:ind w:left="459" w:hanging="425"/>
              <w:contextualSpacing w:val="0"/>
              <w:jc w:val="both"/>
              <w:rPr>
                <w:rFonts w:ascii="Titillium" w:hAnsi="Titillium"/>
                <w:sz w:val="20"/>
                <w:szCs w:val="20"/>
              </w:rPr>
            </w:pPr>
            <w:r w:rsidRPr="005B4B15">
              <w:rPr>
                <w:rFonts w:ascii="Titillium" w:hAnsi="Titillium"/>
                <w:sz w:val="20"/>
                <w:szCs w:val="20"/>
              </w:rPr>
              <w:t xml:space="preserve">IVA al 22% </w:t>
            </w:r>
          </w:p>
        </w:tc>
        <w:tc>
          <w:tcPr>
            <w:tcW w:w="1615" w:type="dxa"/>
            <w:tcBorders>
              <w:top w:val="nil"/>
              <w:left w:val="nil"/>
              <w:bottom w:val="nil"/>
              <w:right w:val="nil"/>
            </w:tcBorders>
            <w:shd w:val="clear" w:color="auto" w:fill="auto"/>
            <w:tcMar>
              <w:top w:w="28" w:type="dxa"/>
              <w:left w:w="85" w:type="dxa"/>
              <w:bottom w:w="28" w:type="dxa"/>
              <w:right w:w="85" w:type="dxa"/>
            </w:tcMar>
            <w:vAlign w:val="center"/>
          </w:tcPr>
          <w:p w:rsidR="005B4B15" w:rsidRPr="005B4B15" w:rsidRDefault="005B4B15" w:rsidP="00B55E54">
            <w:pPr>
              <w:jc w:val="right"/>
              <w:rPr>
                <w:rFonts w:ascii="Titillium" w:hAnsi="Titillium" w:cs="Calibri"/>
                <w:color w:val="000000"/>
                <w:sz w:val="20"/>
                <w:szCs w:val="20"/>
              </w:rPr>
            </w:pPr>
            <w:r w:rsidRPr="005B4B15">
              <w:rPr>
                <w:rFonts w:ascii="Titillium" w:hAnsi="Titillium" w:cs="Calibri"/>
                <w:color w:val="000000"/>
                <w:sz w:val="20"/>
                <w:szCs w:val="20"/>
              </w:rPr>
              <w:t xml:space="preserve">€ </w:t>
            </w:r>
            <w:r w:rsidR="00B55E54">
              <w:rPr>
                <w:rFonts w:ascii="Titillium" w:hAnsi="Titillium" w:cs="Calibri"/>
                <w:color w:val="000000"/>
                <w:sz w:val="20"/>
                <w:szCs w:val="20"/>
              </w:rPr>
              <w:t>1.</w:t>
            </w:r>
            <w:r w:rsidRPr="005B4B15">
              <w:rPr>
                <w:rFonts w:ascii="Titillium" w:hAnsi="Titillium" w:cs="Calibri"/>
                <w:color w:val="000000"/>
                <w:sz w:val="20"/>
                <w:szCs w:val="20"/>
              </w:rPr>
              <w:t>4</w:t>
            </w:r>
            <w:r w:rsidR="00B55E54">
              <w:rPr>
                <w:rFonts w:ascii="Titillium" w:hAnsi="Titillium" w:cs="Calibri"/>
                <w:color w:val="000000"/>
                <w:sz w:val="20"/>
                <w:szCs w:val="20"/>
              </w:rPr>
              <w:t>22</w:t>
            </w:r>
            <w:r w:rsidRPr="005B4B15">
              <w:rPr>
                <w:rFonts w:ascii="Titillium" w:hAnsi="Titillium" w:cs="Calibri"/>
                <w:color w:val="000000"/>
                <w:sz w:val="20"/>
                <w:szCs w:val="20"/>
              </w:rPr>
              <w:t>,</w:t>
            </w:r>
            <w:r w:rsidR="00B55E54">
              <w:rPr>
                <w:rFonts w:ascii="Titillium" w:hAnsi="Titillium" w:cs="Calibri"/>
                <w:color w:val="000000"/>
                <w:sz w:val="20"/>
                <w:szCs w:val="20"/>
              </w:rPr>
              <w:t>3</w:t>
            </w:r>
            <w:r w:rsidRPr="005B4B15">
              <w:rPr>
                <w:rFonts w:ascii="Titillium" w:hAnsi="Titillium" w:cs="Calibri"/>
                <w:color w:val="000000"/>
                <w:sz w:val="20"/>
                <w:szCs w:val="20"/>
              </w:rPr>
              <w:t>0</w:t>
            </w:r>
          </w:p>
        </w:tc>
      </w:tr>
      <w:tr w:rsidR="005B4B15" w:rsidRPr="005B4B15" w:rsidTr="00E14047">
        <w:trPr>
          <w:trHeight w:val="533"/>
          <w:jc w:val="right"/>
        </w:trPr>
        <w:tc>
          <w:tcPr>
            <w:tcW w:w="7675" w:type="dxa"/>
            <w:tcMar>
              <w:top w:w="28" w:type="dxa"/>
              <w:left w:w="85" w:type="dxa"/>
              <w:bottom w:w="28" w:type="dxa"/>
              <w:right w:w="85" w:type="dxa"/>
            </w:tcMar>
            <w:vAlign w:val="center"/>
          </w:tcPr>
          <w:p w:rsidR="005B4B15" w:rsidRPr="005B4B15" w:rsidRDefault="005B4B15" w:rsidP="005B4B15">
            <w:pPr>
              <w:tabs>
                <w:tab w:val="left" w:pos="7371"/>
              </w:tabs>
              <w:spacing w:after="100" w:line="276" w:lineRule="auto"/>
              <w:rPr>
                <w:rFonts w:ascii="Titillium" w:hAnsi="Titillium"/>
                <w:b/>
                <w:sz w:val="20"/>
                <w:szCs w:val="20"/>
              </w:rPr>
            </w:pPr>
            <w:r w:rsidRPr="005B4B15">
              <w:rPr>
                <w:rFonts w:ascii="Titillium" w:hAnsi="Titillium"/>
                <w:b/>
                <w:sz w:val="20"/>
                <w:szCs w:val="20"/>
              </w:rPr>
              <w:t>Spesa complessiva stimata</w:t>
            </w:r>
          </w:p>
        </w:tc>
        <w:tc>
          <w:tcPr>
            <w:tcW w:w="1615" w:type="dxa"/>
            <w:tcBorders>
              <w:top w:val="nil"/>
              <w:left w:val="nil"/>
              <w:bottom w:val="nil"/>
              <w:right w:val="nil"/>
            </w:tcBorders>
            <w:shd w:val="clear" w:color="auto" w:fill="auto"/>
            <w:tcMar>
              <w:top w:w="28" w:type="dxa"/>
              <w:left w:w="85" w:type="dxa"/>
              <w:bottom w:w="28" w:type="dxa"/>
              <w:right w:w="85" w:type="dxa"/>
            </w:tcMar>
            <w:vAlign w:val="center"/>
          </w:tcPr>
          <w:p w:rsidR="005B4B15" w:rsidRPr="005B4B15" w:rsidRDefault="005B4B15" w:rsidP="005B4B15">
            <w:pPr>
              <w:jc w:val="right"/>
              <w:rPr>
                <w:rFonts w:ascii="Titillium" w:hAnsi="Titillium" w:cs="Calibri"/>
                <w:color w:val="000000"/>
                <w:sz w:val="20"/>
                <w:szCs w:val="20"/>
              </w:rPr>
            </w:pPr>
            <w:r w:rsidRPr="005B4B15">
              <w:rPr>
                <w:rFonts w:ascii="Titillium" w:hAnsi="Titillium" w:cs="Calibri"/>
                <w:color w:val="000000"/>
                <w:sz w:val="20"/>
                <w:szCs w:val="20"/>
              </w:rPr>
              <w:t xml:space="preserve">€ </w:t>
            </w:r>
            <w:r w:rsidR="00113CC7" w:rsidRPr="00113CC7">
              <w:rPr>
                <w:rFonts w:ascii="Titillium" w:hAnsi="Titillium" w:cs="Calibri"/>
                <w:color w:val="000000"/>
                <w:sz w:val="20"/>
                <w:szCs w:val="20"/>
              </w:rPr>
              <w:t>7.887,3</w:t>
            </w:r>
            <w:r w:rsidR="00113CC7">
              <w:rPr>
                <w:rFonts w:ascii="Titillium" w:hAnsi="Titillium" w:cs="Calibri"/>
                <w:color w:val="000000"/>
                <w:sz w:val="20"/>
                <w:szCs w:val="20"/>
              </w:rPr>
              <w:t>0</w:t>
            </w:r>
          </w:p>
        </w:tc>
      </w:tr>
    </w:tbl>
    <w:p w:rsidR="00521C35" w:rsidRPr="005B4B15" w:rsidRDefault="00521C35" w:rsidP="001F70BA">
      <w:pPr>
        <w:pStyle w:val="Paragrafoelenco"/>
        <w:spacing w:after="120" w:line="276" w:lineRule="auto"/>
        <w:ind w:left="0"/>
        <w:contextualSpacing w:val="0"/>
        <w:jc w:val="both"/>
        <w:rPr>
          <w:rFonts w:ascii="Titillium" w:hAnsi="Titillium"/>
          <w:sz w:val="20"/>
          <w:szCs w:val="20"/>
        </w:rPr>
      </w:pPr>
    </w:p>
    <w:p w:rsidR="00503FFE" w:rsidRPr="005B4B15" w:rsidRDefault="00503FFE" w:rsidP="001F70BA">
      <w:pPr>
        <w:pStyle w:val="Paragrafoelenco"/>
        <w:numPr>
          <w:ilvl w:val="0"/>
          <w:numId w:val="11"/>
        </w:numPr>
        <w:spacing w:after="120" w:line="276" w:lineRule="auto"/>
        <w:ind w:left="425" w:hanging="357"/>
        <w:contextualSpacing w:val="0"/>
        <w:jc w:val="both"/>
        <w:rPr>
          <w:rFonts w:ascii="Titillium" w:hAnsi="Titillium"/>
          <w:sz w:val="20"/>
          <w:szCs w:val="20"/>
        </w:rPr>
      </w:pPr>
      <w:r w:rsidRPr="005B4B15">
        <w:rPr>
          <w:rFonts w:ascii="Titillium" w:hAnsi="Titillium"/>
          <w:sz w:val="20"/>
          <w:szCs w:val="20"/>
        </w:rPr>
        <w:t>di autorizzare</w:t>
      </w:r>
      <w:r w:rsidR="00DF5C14">
        <w:rPr>
          <w:rFonts w:ascii="Titillium" w:hAnsi="Titillium"/>
          <w:sz w:val="20"/>
          <w:szCs w:val="20"/>
        </w:rPr>
        <w:t xml:space="preserve"> conseguentemente</w:t>
      </w:r>
      <w:r w:rsidRPr="005B4B15">
        <w:rPr>
          <w:rFonts w:ascii="Titillium" w:hAnsi="Titillium"/>
          <w:sz w:val="20"/>
          <w:szCs w:val="20"/>
        </w:rPr>
        <w:t xml:space="preserve"> la spesa complessiva stimata di euro </w:t>
      </w:r>
      <w:r w:rsidR="00EF780B" w:rsidRPr="00EF780B">
        <w:rPr>
          <w:rFonts w:ascii="Titillium" w:hAnsi="Titillium"/>
          <w:sz w:val="20"/>
          <w:szCs w:val="20"/>
        </w:rPr>
        <w:t>€ 7.887,30</w:t>
      </w:r>
      <w:r w:rsidRPr="005B4B15">
        <w:rPr>
          <w:rFonts w:ascii="Titillium" w:hAnsi="Titillium"/>
          <w:sz w:val="20"/>
          <w:szCs w:val="20"/>
        </w:rPr>
        <w:t>, IVA inclusa, da porsi a carico del bilancio di previsione per l’anno 2023 e del bilancio pluriennale del</w:t>
      </w:r>
      <w:r w:rsidR="005B4B15" w:rsidRPr="005B4B15">
        <w:rPr>
          <w:rFonts w:ascii="Titillium" w:hAnsi="Titillium"/>
          <w:sz w:val="20"/>
          <w:szCs w:val="20"/>
        </w:rPr>
        <w:t>l’Autorità, sul capitolo n. 1301.4</w:t>
      </w:r>
      <w:r w:rsidRPr="005B4B15">
        <w:rPr>
          <w:rFonts w:ascii="Titillium" w:hAnsi="Titillium"/>
          <w:sz w:val="20"/>
          <w:szCs w:val="20"/>
        </w:rPr>
        <w:t>, come di seguito indicato:</w:t>
      </w:r>
    </w:p>
    <w:p w:rsidR="00503FFE" w:rsidRPr="005B4B15" w:rsidRDefault="00503FFE" w:rsidP="001F70BA">
      <w:pPr>
        <w:pStyle w:val="Paragrafoelenco"/>
        <w:numPr>
          <w:ilvl w:val="0"/>
          <w:numId w:val="10"/>
        </w:numPr>
        <w:spacing w:after="120" w:line="276" w:lineRule="auto"/>
        <w:ind w:left="851"/>
        <w:contextualSpacing w:val="0"/>
        <w:jc w:val="both"/>
        <w:rPr>
          <w:rFonts w:ascii="Titillium" w:hAnsi="Titillium"/>
          <w:sz w:val="20"/>
          <w:szCs w:val="20"/>
        </w:rPr>
      </w:pPr>
      <w:bookmarkStart w:id="0" w:name="_GoBack"/>
      <w:r w:rsidRPr="005B4B15">
        <w:rPr>
          <w:rFonts w:ascii="Titillium" w:hAnsi="Titillium"/>
          <w:sz w:val="20"/>
          <w:szCs w:val="20"/>
        </w:rPr>
        <w:t xml:space="preserve">per l’anno 2023: </w:t>
      </w:r>
      <w:r w:rsidR="005B4B15" w:rsidRPr="005B4B15">
        <w:rPr>
          <w:rFonts w:ascii="Titillium" w:hAnsi="Titillium"/>
          <w:sz w:val="20"/>
          <w:szCs w:val="20"/>
        </w:rPr>
        <w:t xml:space="preserve">€ </w:t>
      </w:r>
      <w:r w:rsidR="001D6F79">
        <w:rPr>
          <w:rFonts w:ascii="Titillium" w:hAnsi="Titillium"/>
          <w:sz w:val="20"/>
          <w:szCs w:val="20"/>
        </w:rPr>
        <w:t>1</w:t>
      </w:r>
      <w:r w:rsidR="00B55E54" w:rsidRPr="00B55E54">
        <w:rPr>
          <w:rFonts w:ascii="Titillium" w:hAnsi="Titillium"/>
          <w:sz w:val="20"/>
          <w:szCs w:val="20"/>
        </w:rPr>
        <w:t>.</w:t>
      </w:r>
      <w:r w:rsidR="001D6F79">
        <w:rPr>
          <w:rFonts w:ascii="Titillium" w:hAnsi="Titillium"/>
          <w:sz w:val="20"/>
          <w:szCs w:val="20"/>
        </w:rPr>
        <w:t>200</w:t>
      </w:r>
      <w:r w:rsidR="00B55E54" w:rsidRPr="00B55E54">
        <w:rPr>
          <w:rFonts w:ascii="Titillium" w:hAnsi="Titillium"/>
          <w:sz w:val="20"/>
          <w:szCs w:val="20"/>
        </w:rPr>
        <w:t>,</w:t>
      </w:r>
      <w:r w:rsidR="001D6F79">
        <w:rPr>
          <w:rFonts w:ascii="Titillium" w:hAnsi="Titillium"/>
          <w:sz w:val="20"/>
          <w:szCs w:val="20"/>
        </w:rPr>
        <w:t>0</w:t>
      </w:r>
      <w:r w:rsidR="00B55E54">
        <w:rPr>
          <w:rFonts w:ascii="Titillium" w:hAnsi="Titillium"/>
          <w:sz w:val="20"/>
          <w:szCs w:val="20"/>
        </w:rPr>
        <w:t>0</w:t>
      </w:r>
      <w:r w:rsidR="005B4B15" w:rsidRPr="005B4B15">
        <w:rPr>
          <w:rFonts w:ascii="Titillium" w:hAnsi="Titillium"/>
          <w:sz w:val="20"/>
          <w:szCs w:val="20"/>
        </w:rPr>
        <w:t>, IVA inclusa,</w:t>
      </w:r>
    </w:p>
    <w:p w:rsidR="005B4B15" w:rsidRPr="005B4B15" w:rsidRDefault="00491A31" w:rsidP="001F70BA">
      <w:pPr>
        <w:pStyle w:val="Paragrafoelenco"/>
        <w:numPr>
          <w:ilvl w:val="0"/>
          <w:numId w:val="10"/>
        </w:numPr>
        <w:spacing w:after="120" w:line="276" w:lineRule="auto"/>
        <w:ind w:left="851" w:hanging="357"/>
        <w:contextualSpacing w:val="0"/>
        <w:jc w:val="both"/>
        <w:rPr>
          <w:rFonts w:ascii="Titillium" w:hAnsi="Titillium"/>
          <w:sz w:val="20"/>
          <w:szCs w:val="20"/>
        </w:rPr>
      </w:pPr>
      <w:r w:rsidRPr="005B4B15">
        <w:rPr>
          <w:rFonts w:ascii="Titillium" w:hAnsi="Titillium"/>
          <w:sz w:val="20"/>
          <w:szCs w:val="20"/>
        </w:rPr>
        <w:t xml:space="preserve">per l’anno 2024: </w:t>
      </w:r>
      <w:r w:rsidR="00B55E54" w:rsidRPr="00B55E54">
        <w:rPr>
          <w:rFonts w:ascii="Titillium" w:hAnsi="Titillium"/>
          <w:sz w:val="20"/>
          <w:szCs w:val="20"/>
        </w:rPr>
        <w:t xml:space="preserve">€ </w:t>
      </w:r>
      <w:r w:rsidR="001D6F79">
        <w:rPr>
          <w:rFonts w:ascii="Titillium" w:hAnsi="Titillium"/>
          <w:sz w:val="20"/>
          <w:szCs w:val="20"/>
        </w:rPr>
        <w:t>4</w:t>
      </w:r>
      <w:r w:rsidR="00B55E54" w:rsidRPr="00B55E54">
        <w:rPr>
          <w:rFonts w:ascii="Titillium" w:hAnsi="Titillium"/>
          <w:sz w:val="20"/>
          <w:szCs w:val="20"/>
        </w:rPr>
        <w:t>.</w:t>
      </w:r>
      <w:r w:rsidR="001D6F79">
        <w:rPr>
          <w:rFonts w:ascii="Titillium" w:hAnsi="Titillium"/>
          <w:sz w:val="20"/>
          <w:szCs w:val="20"/>
        </w:rPr>
        <w:t>058,2</w:t>
      </w:r>
      <w:r w:rsidR="00B55E54" w:rsidRPr="00B55E54">
        <w:rPr>
          <w:rFonts w:ascii="Titillium" w:hAnsi="Titillium"/>
          <w:sz w:val="20"/>
          <w:szCs w:val="20"/>
        </w:rPr>
        <w:t>0, IVA inclusa,</w:t>
      </w:r>
    </w:p>
    <w:p w:rsidR="005B4B15" w:rsidRPr="005B4B15" w:rsidRDefault="005B4B15" w:rsidP="001F70BA">
      <w:pPr>
        <w:pStyle w:val="Paragrafoelenco"/>
        <w:numPr>
          <w:ilvl w:val="0"/>
          <w:numId w:val="10"/>
        </w:numPr>
        <w:spacing w:after="120" w:line="276" w:lineRule="auto"/>
        <w:ind w:left="851" w:hanging="357"/>
        <w:contextualSpacing w:val="0"/>
        <w:jc w:val="both"/>
        <w:rPr>
          <w:rFonts w:ascii="Titillium" w:hAnsi="Titillium"/>
          <w:sz w:val="20"/>
          <w:szCs w:val="20"/>
        </w:rPr>
      </w:pPr>
      <w:r w:rsidRPr="005B4B15">
        <w:rPr>
          <w:rFonts w:ascii="Titillium" w:hAnsi="Titillium"/>
          <w:sz w:val="20"/>
          <w:szCs w:val="20"/>
        </w:rPr>
        <w:t xml:space="preserve">per l’anno 2025: </w:t>
      </w:r>
      <w:r w:rsidR="00B55E54" w:rsidRPr="005B4B15">
        <w:rPr>
          <w:rFonts w:ascii="Titillium" w:hAnsi="Titillium"/>
          <w:sz w:val="20"/>
          <w:szCs w:val="20"/>
        </w:rPr>
        <w:t xml:space="preserve">€ </w:t>
      </w:r>
      <w:r w:rsidR="00B55E54" w:rsidRPr="00B55E54">
        <w:rPr>
          <w:rFonts w:ascii="Titillium" w:hAnsi="Titillium"/>
          <w:sz w:val="20"/>
          <w:szCs w:val="20"/>
        </w:rPr>
        <w:t>2.629,1</w:t>
      </w:r>
      <w:r w:rsidR="00B55E54">
        <w:rPr>
          <w:rFonts w:ascii="Titillium" w:hAnsi="Titillium"/>
          <w:sz w:val="20"/>
          <w:szCs w:val="20"/>
        </w:rPr>
        <w:t>0, IVA inclusa.</w:t>
      </w:r>
    </w:p>
    <w:bookmarkEnd w:id="0"/>
    <w:p w:rsidR="00491A31" w:rsidRDefault="00332723" w:rsidP="003F51D0">
      <w:pPr>
        <w:pStyle w:val="Paragrafoelenco"/>
        <w:numPr>
          <w:ilvl w:val="0"/>
          <w:numId w:val="11"/>
        </w:numPr>
        <w:spacing w:after="120" w:line="276" w:lineRule="auto"/>
        <w:ind w:left="425" w:hanging="357"/>
        <w:contextualSpacing w:val="0"/>
        <w:jc w:val="both"/>
        <w:rPr>
          <w:rFonts w:ascii="Titillium" w:hAnsi="Titillium"/>
          <w:sz w:val="20"/>
          <w:szCs w:val="20"/>
        </w:rPr>
      </w:pPr>
      <w:r w:rsidRPr="00BB2AA9">
        <w:rPr>
          <w:rFonts w:ascii="Titillium" w:hAnsi="Titillium"/>
          <w:sz w:val="20"/>
          <w:szCs w:val="20"/>
        </w:rPr>
        <w:lastRenderedPageBreak/>
        <w:t xml:space="preserve">Il Responsabile unico </w:t>
      </w:r>
      <w:r w:rsidR="00470540" w:rsidRPr="00BB2AA9">
        <w:rPr>
          <w:rFonts w:ascii="Titillium" w:hAnsi="Titillium"/>
          <w:sz w:val="20"/>
          <w:szCs w:val="20"/>
        </w:rPr>
        <w:t>del</w:t>
      </w:r>
      <w:r w:rsidR="00581C85" w:rsidRPr="00BB2AA9">
        <w:rPr>
          <w:rFonts w:ascii="Titillium" w:hAnsi="Titillium"/>
          <w:sz w:val="20"/>
          <w:szCs w:val="20"/>
        </w:rPr>
        <w:t xml:space="preserve"> progetto</w:t>
      </w:r>
      <w:r w:rsidRPr="00BB2AA9">
        <w:rPr>
          <w:rFonts w:ascii="Titillium" w:hAnsi="Titillium"/>
          <w:sz w:val="20"/>
          <w:szCs w:val="20"/>
        </w:rPr>
        <w:t xml:space="preserve"> di cui all’art. </w:t>
      </w:r>
      <w:r w:rsidR="00581C85" w:rsidRPr="00BB2AA9">
        <w:rPr>
          <w:rFonts w:ascii="Titillium" w:hAnsi="Titillium"/>
          <w:sz w:val="20"/>
          <w:szCs w:val="20"/>
        </w:rPr>
        <w:t>15 del d.lgs. n. 36/2023</w:t>
      </w:r>
      <w:r w:rsidR="00491A31" w:rsidRPr="00BB2AA9">
        <w:rPr>
          <w:rFonts w:ascii="Titillium" w:hAnsi="Titillium"/>
          <w:sz w:val="20"/>
          <w:szCs w:val="20"/>
        </w:rPr>
        <w:t xml:space="preserve"> </w:t>
      </w:r>
      <w:r w:rsidR="00E14047" w:rsidRPr="00BB2AA9">
        <w:rPr>
          <w:rFonts w:ascii="Titillium" w:hAnsi="Titillium"/>
          <w:sz w:val="20"/>
          <w:szCs w:val="20"/>
        </w:rPr>
        <w:t>è</w:t>
      </w:r>
      <w:r w:rsidR="00491A31" w:rsidRPr="00BB2AA9">
        <w:rPr>
          <w:rFonts w:ascii="Titillium" w:hAnsi="Titillium"/>
          <w:sz w:val="20"/>
          <w:szCs w:val="20"/>
        </w:rPr>
        <w:t xml:space="preserve"> il </w:t>
      </w:r>
      <w:r w:rsidR="00BB2AA9" w:rsidRPr="00BB2AA9">
        <w:rPr>
          <w:rFonts w:ascii="Titillium" w:hAnsi="Titillium"/>
          <w:sz w:val="20"/>
          <w:szCs w:val="20"/>
        </w:rPr>
        <w:t>funzionario</w:t>
      </w:r>
      <w:r w:rsidR="00491A31" w:rsidRPr="00BB2AA9">
        <w:rPr>
          <w:rFonts w:ascii="Titillium" w:hAnsi="Titillium"/>
          <w:sz w:val="20"/>
          <w:szCs w:val="20"/>
        </w:rPr>
        <w:t xml:space="preserve"> dell’Ufficio Gare e Logistica, </w:t>
      </w:r>
      <w:r w:rsidR="00BB2AA9" w:rsidRPr="00BB2AA9">
        <w:rPr>
          <w:rFonts w:ascii="Titillium" w:hAnsi="Titillium"/>
          <w:sz w:val="20"/>
          <w:szCs w:val="20"/>
        </w:rPr>
        <w:t>Piero Eugenio Polo</w:t>
      </w:r>
      <w:r w:rsidR="00491A31" w:rsidRPr="00BB2AA9">
        <w:rPr>
          <w:rFonts w:ascii="Titillium" w:hAnsi="Titillium"/>
          <w:sz w:val="20"/>
          <w:szCs w:val="20"/>
        </w:rPr>
        <w:t>.</w:t>
      </w:r>
    </w:p>
    <w:p w:rsidR="00BB2AA9" w:rsidRPr="00BB2AA9" w:rsidRDefault="00BB2AA9" w:rsidP="00DE34DE">
      <w:pPr>
        <w:pStyle w:val="Paragrafoelenco"/>
        <w:spacing w:after="120" w:line="276" w:lineRule="auto"/>
        <w:ind w:left="425"/>
        <w:contextualSpacing w:val="0"/>
        <w:jc w:val="both"/>
        <w:rPr>
          <w:rFonts w:ascii="Titillium" w:hAnsi="Titillium"/>
          <w:sz w:val="20"/>
          <w:szCs w:val="20"/>
        </w:rPr>
      </w:pPr>
    </w:p>
    <w:tbl>
      <w:tblPr>
        <w:tblW w:w="4118" w:type="pct"/>
        <w:tblInd w:w="1560" w:type="dxa"/>
        <w:tblLayout w:type="fixed"/>
        <w:tblCellMar>
          <w:top w:w="57" w:type="dxa"/>
          <w:left w:w="57" w:type="dxa"/>
          <w:bottom w:w="57" w:type="dxa"/>
          <w:right w:w="57" w:type="dxa"/>
        </w:tblCellMar>
        <w:tblLook w:val="04A0" w:firstRow="1" w:lastRow="0" w:firstColumn="1" w:lastColumn="0" w:noHBand="0" w:noVBand="1"/>
      </w:tblPr>
      <w:tblGrid>
        <w:gridCol w:w="2693"/>
        <w:gridCol w:w="2548"/>
        <w:gridCol w:w="2697"/>
      </w:tblGrid>
      <w:tr w:rsidR="00EB1306" w:rsidRPr="00491A31" w:rsidTr="008C2E72">
        <w:trPr>
          <w:trHeight w:val="343"/>
        </w:trPr>
        <w:tc>
          <w:tcPr>
            <w:tcW w:w="1696" w:type="pct"/>
            <w:shd w:val="clear" w:color="auto" w:fill="2770B7"/>
            <w:vAlign w:val="center"/>
          </w:tcPr>
          <w:p w:rsidR="00EB1306" w:rsidRPr="00491A31" w:rsidRDefault="00EB1306" w:rsidP="008C2E7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rPr>
                <w:rFonts w:ascii="Gotham Book" w:eastAsia="Calibri" w:hAnsi="Gotham Book" w:cs="Titillium Web"/>
                <w:color w:val="FFFFFF"/>
                <w:sz w:val="22"/>
                <w:szCs w:val="22"/>
                <w:lang w:eastAsia="en-US"/>
              </w:rPr>
            </w:pPr>
          </w:p>
        </w:tc>
        <w:tc>
          <w:tcPr>
            <w:tcW w:w="1605" w:type="pct"/>
            <w:shd w:val="clear" w:color="auto" w:fill="2770B7"/>
            <w:vAlign w:val="center"/>
          </w:tcPr>
          <w:p w:rsidR="00EB1306" w:rsidRPr="00491A31" w:rsidRDefault="00EB1306" w:rsidP="008C2E7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rPr>
                <w:rFonts w:ascii="Gotham Book" w:eastAsia="Calibri" w:hAnsi="Gotham Book" w:cs="Titillium Web"/>
                <w:color w:val="FFFFFF"/>
                <w:sz w:val="22"/>
                <w:szCs w:val="22"/>
                <w:lang w:eastAsia="en-US"/>
              </w:rPr>
            </w:pPr>
          </w:p>
        </w:tc>
        <w:tc>
          <w:tcPr>
            <w:tcW w:w="1699" w:type="pct"/>
            <w:shd w:val="clear" w:color="auto" w:fill="2770B7"/>
            <w:vAlign w:val="center"/>
          </w:tcPr>
          <w:p w:rsidR="00EB1306" w:rsidRPr="00491A31" w:rsidRDefault="00EB1306" w:rsidP="005B4B15">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rPr>
                <w:rFonts w:ascii="Gotham Book" w:eastAsia="Calibri" w:hAnsi="Gotham Book" w:cs="Titillium Web"/>
                <w:color w:val="FFFFFF"/>
                <w:sz w:val="22"/>
                <w:szCs w:val="22"/>
                <w:lang w:eastAsia="en-US"/>
              </w:rPr>
            </w:pPr>
            <w:r w:rsidRPr="00491A31">
              <w:rPr>
                <w:rFonts w:ascii="Gotham Book" w:eastAsia="Calibri" w:hAnsi="Gotham Book" w:cs="Titillium Web"/>
                <w:color w:val="FFFFFF"/>
                <w:sz w:val="22"/>
                <w:szCs w:val="22"/>
                <w:lang w:eastAsia="en-US"/>
              </w:rPr>
              <w:t xml:space="preserve">Il </w:t>
            </w:r>
            <w:r w:rsidR="005B4B15">
              <w:rPr>
                <w:rFonts w:ascii="Gotham Book" w:eastAsia="Calibri" w:hAnsi="Gotham Book" w:cs="Titillium Web"/>
                <w:color w:val="FFFFFF"/>
                <w:sz w:val="22"/>
                <w:szCs w:val="22"/>
                <w:lang w:eastAsia="en-US"/>
              </w:rPr>
              <w:t>Dirigente dell’Ufficio Gare e logistica</w:t>
            </w:r>
            <w:r w:rsidRPr="00491A31">
              <w:rPr>
                <w:rFonts w:ascii="Gotham Book" w:eastAsia="Calibri" w:hAnsi="Gotham Book" w:cs="Titillium Web"/>
                <w:color w:val="FFFFFF"/>
                <w:sz w:val="22"/>
                <w:szCs w:val="22"/>
                <w:lang w:eastAsia="en-US"/>
              </w:rPr>
              <w:t xml:space="preserve"> </w:t>
            </w:r>
          </w:p>
        </w:tc>
      </w:tr>
      <w:tr w:rsidR="00EB1306" w:rsidRPr="00491A31" w:rsidTr="008C2E72">
        <w:trPr>
          <w:trHeight w:val="434"/>
        </w:trPr>
        <w:tc>
          <w:tcPr>
            <w:tcW w:w="1696" w:type="pct"/>
            <w:shd w:val="clear" w:color="auto" w:fill="auto"/>
            <w:vAlign w:val="center"/>
          </w:tcPr>
          <w:p w:rsidR="00EB1306" w:rsidRPr="00491A31" w:rsidRDefault="00EB1306" w:rsidP="008C2E72">
            <w:pPr>
              <w:rPr>
                <w:i/>
                <w:sz w:val="22"/>
                <w:szCs w:val="22"/>
              </w:rPr>
            </w:pPr>
          </w:p>
        </w:tc>
        <w:tc>
          <w:tcPr>
            <w:tcW w:w="1605" w:type="pct"/>
            <w:vAlign w:val="center"/>
          </w:tcPr>
          <w:p w:rsidR="00EB1306" w:rsidRPr="00491A31" w:rsidRDefault="00EB1306" w:rsidP="008C2E72">
            <w:pPr>
              <w:rPr>
                <w:rFonts w:ascii="Titillium" w:hAnsi="Titillium"/>
                <w:i/>
                <w:sz w:val="22"/>
                <w:szCs w:val="22"/>
              </w:rPr>
            </w:pPr>
          </w:p>
        </w:tc>
        <w:tc>
          <w:tcPr>
            <w:tcW w:w="1699" w:type="pct"/>
            <w:shd w:val="clear" w:color="auto" w:fill="auto"/>
            <w:vAlign w:val="center"/>
          </w:tcPr>
          <w:p w:rsidR="00EB1306" w:rsidRPr="00491A31" w:rsidRDefault="00EB1306" w:rsidP="005B4B15">
            <w:pPr>
              <w:rPr>
                <w:rFonts w:ascii="Titillium" w:hAnsi="Titillium"/>
                <w:i/>
                <w:sz w:val="22"/>
                <w:szCs w:val="22"/>
              </w:rPr>
            </w:pPr>
            <w:r w:rsidRPr="00491A31">
              <w:rPr>
                <w:rFonts w:ascii="Titillium" w:hAnsi="Titillium"/>
                <w:i/>
                <w:sz w:val="22"/>
                <w:szCs w:val="22"/>
              </w:rPr>
              <w:t xml:space="preserve">     Ing. </w:t>
            </w:r>
            <w:r w:rsidR="005B4B15">
              <w:rPr>
                <w:rFonts w:ascii="Titillium" w:hAnsi="Titillium"/>
                <w:i/>
                <w:sz w:val="22"/>
                <w:szCs w:val="22"/>
              </w:rPr>
              <w:t>Settimio Picca</w:t>
            </w:r>
          </w:p>
        </w:tc>
      </w:tr>
    </w:tbl>
    <w:p w:rsidR="00EB1306" w:rsidRDefault="00EB1306" w:rsidP="00EB1306">
      <w:pPr>
        <w:spacing w:after="120" w:line="276" w:lineRule="auto"/>
        <w:jc w:val="both"/>
        <w:rPr>
          <w:rFonts w:ascii="Garamond" w:hAnsi="Garamond"/>
        </w:rPr>
      </w:pPr>
    </w:p>
    <w:p w:rsidR="00491A31" w:rsidRDefault="00491A31" w:rsidP="00EB1306">
      <w:pPr>
        <w:spacing w:after="120" w:line="276" w:lineRule="auto"/>
        <w:jc w:val="both"/>
        <w:rPr>
          <w:rFonts w:ascii="Garamond" w:hAnsi="Garamond"/>
        </w:rPr>
      </w:pPr>
    </w:p>
    <w:p w:rsidR="00EB1306" w:rsidRPr="00A10E00" w:rsidRDefault="00EB1306" w:rsidP="00EB1306">
      <w:pPr>
        <w:rPr>
          <w:rFonts w:ascii="Garamond" w:hAnsi="Garamond"/>
        </w:rPr>
      </w:pPr>
    </w:p>
    <w:tbl>
      <w:tblPr>
        <w:tblpPr w:leftFromText="141" w:rightFromText="141" w:vertAnchor="text" w:tblpY="1"/>
        <w:tblOverlap w:val="never"/>
        <w:tblW w:w="2471" w:type="pct"/>
        <w:tblLayout w:type="fixed"/>
        <w:tblCellMar>
          <w:top w:w="57" w:type="dxa"/>
          <w:left w:w="57" w:type="dxa"/>
          <w:bottom w:w="57" w:type="dxa"/>
          <w:right w:w="57" w:type="dxa"/>
        </w:tblCellMar>
        <w:tblLook w:val="04A0" w:firstRow="1" w:lastRow="0" w:firstColumn="1" w:lastColumn="0" w:noHBand="0" w:noVBand="1"/>
      </w:tblPr>
      <w:tblGrid>
        <w:gridCol w:w="4763"/>
      </w:tblGrid>
      <w:tr w:rsidR="00EB1306" w:rsidRPr="00491A31" w:rsidTr="008C2E72">
        <w:trPr>
          <w:trHeight w:val="658"/>
        </w:trPr>
        <w:tc>
          <w:tcPr>
            <w:tcW w:w="5000" w:type="pct"/>
            <w:shd w:val="clear" w:color="auto" w:fill="2770B7"/>
            <w:vAlign w:val="center"/>
          </w:tcPr>
          <w:p w:rsidR="00EB1306" w:rsidRPr="00491A31" w:rsidRDefault="00EB1306" w:rsidP="008C2E7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2"/>
                <w:szCs w:val="22"/>
                <w:lang w:eastAsia="en-US"/>
              </w:rPr>
            </w:pPr>
            <w:r w:rsidRPr="00491A31">
              <w:rPr>
                <w:rFonts w:ascii="Gotham Book" w:eastAsia="Calibri" w:hAnsi="Gotham Book" w:cs="Titillium Web"/>
                <w:color w:val="FFFFFF"/>
                <w:sz w:val="22"/>
                <w:szCs w:val="22"/>
                <w:lang w:eastAsia="en-US"/>
              </w:rPr>
              <w:t>Visto per la copertura finanziaria</w:t>
            </w:r>
          </w:p>
          <w:p w:rsidR="00EB1306" w:rsidRPr="00491A31" w:rsidRDefault="00EB1306" w:rsidP="008C2E7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2"/>
                <w:szCs w:val="22"/>
                <w:lang w:eastAsia="en-US"/>
              </w:rPr>
            </w:pPr>
            <w:r w:rsidRPr="00491A31">
              <w:rPr>
                <w:rFonts w:ascii="Gotham Book" w:eastAsia="Calibri" w:hAnsi="Gotham Book" w:cs="Titillium Web"/>
                <w:color w:val="FFFFFF"/>
                <w:sz w:val="22"/>
                <w:szCs w:val="22"/>
                <w:lang w:eastAsia="en-US"/>
              </w:rPr>
              <w:t>Il Dirigente dell’Ufficio Programmazione</w:t>
            </w:r>
          </w:p>
          <w:p w:rsidR="00EB1306" w:rsidRPr="00491A31" w:rsidRDefault="00EB1306" w:rsidP="008C2E7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right="142"/>
              <w:jc w:val="center"/>
              <w:rPr>
                <w:rFonts w:ascii="Gotham Book" w:eastAsia="Calibri" w:hAnsi="Gotham Book" w:cs="Titillium Web"/>
                <w:color w:val="FFFFFF"/>
                <w:sz w:val="22"/>
                <w:szCs w:val="22"/>
                <w:lang w:eastAsia="en-US"/>
              </w:rPr>
            </w:pPr>
            <w:r w:rsidRPr="00491A31">
              <w:rPr>
                <w:rFonts w:ascii="Gotham Book" w:eastAsia="Calibri" w:hAnsi="Gotham Book" w:cs="Titillium Web"/>
                <w:color w:val="FFFFFF"/>
                <w:sz w:val="22"/>
                <w:szCs w:val="22"/>
                <w:lang w:eastAsia="en-US"/>
              </w:rPr>
              <w:t>delle risorse finanziarie, bilancio e contabilità</w:t>
            </w:r>
          </w:p>
        </w:tc>
      </w:tr>
      <w:tr w:rsidR="00EB1306" w:rsidRPr="00491A31" w:rsidTr="008C2E72">
        <w:trPr>
          <w:trHeight w:val="233"/>
        </w:trPr>
        <w:tc>
          <w:tcPr>
            <w:tcW w:w="5000" w:type="pct"/>
            <w:shd w:val="clear" w:color="auto" w:fill="auto"/>
            <w:vAlign w:val="center"/>
          </w:tcPr>
          <w:p w:rsidR="00EB1306" w:rsidRPr="00491A31" w:rsidRDefault="00EB1306" w:rsidP="008C2E72">
            <w:pPr>
              <w:jc w:val="center"/>
              <w:rPr>
                <w:i/>
                <w:sz w:val="22"/>
                <w:szCs w:val="22"/>
              </w:rPr>
            </w:pPr>
            <w:r w:rsidRPr="00491A31">
              <w:rPr>
                <w:rFonts w:ascii="Titillium" w:hAnsi="Titillium"/>
                <w:i/>
                <w:sz w:val="22"/>
                <w:szCs w:val="22"/>
              </w:rPr>
              <w:t>Dott. Stefano Ceccarelli</w:t>
            </w:r>
          </w:p>
        </w:tc>
      </w:tr>
    </w:tbl>
    <w:p w:rsidR="00EB1306" w:rsidRDefault="00EB1306" w:rsidP="00EB1306">
      <w:pPr>
        <w:spacing w:after="100" w:line="276" w:lineRule="auto"/>
        <w:jc w:val="both"/>
        <w:rPr>
          <w:rFonts w:ascii="Titillium" w:hAnsi="Titillium"/>
          <w:sz w:val="20"/>
          <w:szCs w:val="20"/>
        </w:rPr>
      </w:pPr>
    </w:p>
    <w:p w:rsidR="00EB1306" w:rsidRDefault="00EB1306" w:rsidP="00EB1306">
      <w:pPr>
        <w:spacing w:after="100" w:line="276" w:lineRule="auto"/>
        <w:jc w:val="both"/>
        <w:rPr>
          <w:rFonts w:ascii="Titillium" w:hAnsi="Titillium"/>
          <w:sz w:val="20"/>
          <w:szCs w:val="20"/>
        </w:rPr>
      </w:pPr>
    </w:p>
    <w:p w:rsidR="00E70CFA" w:rsidRPr="00E0422F" w:rsidRDefault="00E70CFA" w:rsidP="00982D00">
      <w:pPr>
        <w:spacing w:after="240" w:line="276" w:lineRule="auto"/>
        <w:jc w:val="both"/>
        <w:rPr>
          <w:rFonts w:ascii="Titillium" w:hAnsi="Titillium"/>
          <w:sz w:val="20"/>
          <w:szCs w:val="20"/>
        </w:rPr>
      </w:pPr>
    </w:p>
    <w:sectPr w:rsidR="00E70CFA" w:rsidRPr="00E0422F" w:rsidSect="00ED7E1E">
      <w:headerReference w:type="default" r:id="rId8"/>
      <w:footerReference w:type="default" r:id="rId9"/>
      <w:headerReference w:type="first" r:id="rId10"/>
      <w:pgSz w:w="11906" w:h="16838"/>
      <w:pgMar w:top="1702" w:right="1134" w:bottom="1276" w:left="1134" w:header="0"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EB" w:rsidRDefault="000522EB" w:rsidP="00332723">
      <w:r>
        <w:separator/>
      </w:r>
    </w:p>
  </w:endnote>
  <w:endnote w:type="continuationSeparator" w:id="0">
    <w:p w:rsidR="000522EB" w:rsidRDefault="000522EB" w:rsidP="003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Titillium Web">
    <w:altName w:val="Times New Roman"/>
    <w:charset w:val="4D"/>
    <w:family w:val="auto"/>
    <w:pitch w:val="variable"/>
    <w:sig w:usb0="00000001" w:usb1="00000001" w:usb2="00000000" w:usb3="00000000" w:csb0="00000093" w:csb1="00000000"/>
  </w:font>
  <w:font w:name="Gotham Light">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Gotham Medium">
    <w:altName w:val="Calibri"/>
    <w:charset w:val="00"/>
    <w:family w:val="auto"/>
    <w:pitch w:val="variable"/>
    <w:sig w:usb0="800000AF" w:usb1="40000048" w:usb2="00000000" w:usb3="00000000" w:csb0="000001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47" w:rsidRPr="007A7513" w:rsidRDefault="00E14047" w:rsidP="00E14047">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right="142"/>
      <w:jc w:val="right"/>
      <w:rPr>
        <w:rFonts w:ascii="Gotham Medium" w:hAnsi="Gotham Medium" w:cs="Titillium Web"/>
        <w:color w:val="2770B7"/>
        <w:sz w:val="18"/>
        <w:szCs w:val="18"/>
      </w:rPr>
    </w:pPr>
    <w:r w:rsidRPr="007A7513">
      <w:rPr>
        <w:rFonts w:ascii="Gotham Light" w:hAnsi="Gotham Light" w:cs="Titillium Web"/>
        <w:color w:val="2770B7"/>
        <w:sz w:val="18"/>
        <w:szCs w:val="18"/>
      </w:rPr>
      <w:t>AUTORITÀ NAZIONALE ANTICORRUZIONE</w:t>
    </w:r>
    <w:r w:rsidRPr="007A7513">
      <w:rPr>
        <w:rFonts w:ascii="Titillium" w:hAnsi="Titillium" w:cs="Titillium Web"/>
        <w:color w:val="2770B7"/>
        <w:sz w:val="18"/>
        <w:szCs w:val="18"/>
      </w:rPr>
      <w:t xml:space="preserve"> </w:t>
    </w:r>
    <w:r w:rsidRPr="007A7513">
      <w:rPr>
        <w:rFonts w:ascii="Gotham Light" w:hAnsi="Gotham Light" w:cs="Titillium Web"/>
        <w:color w:val="2770B7"/>
        <w:sz w:val="18"/>
        <w:szCs w:val="18"/>
      </w:rPr>
      <w:t xml:space="preserve"> |  </w:t>
    </w:r>
    <w:r w:rsidRPr="007A7513">
      <w:rPr>
        <w:rFonts w:ascii="Gotham Medium" w:hAnsi="Gotham Medium" w:cs="Titillium Web"/>
        <w:color w:val="2770B7"/>
        <w:sz w:val="18"/>
        <w:szCs w:val="18"/>
      </w:rPr>
      <w:fldChar w:fldCharType="begin"/>
    </w:r>
    <w:r w:rsidRPr="007A7513">
      <w:rPr>
        <w:rFonts w:ascii="Gotham Medium" w:hAnsi="Gotham Medium" w:cs="Titillium Web"/>
        <w:color w:val="2770B7"/>
        <w:sz w:val="18"/>
        <w:szCs w:val="18"/>
      </w:rPr>
      <w:instrText>PAGE  \* Arabic</w:instrText>
    </w:r>
    <w:r w:rsidRPr="007A7513">
      <w:rPr>
        <w:rFonts w:ascii="Gotham Medium" w:hAnsi="Gotham Medium" w:cs="Titillium Web"/>
        <w:color w:val="2770B7"/>
        <w:sz w:val="18"/>
        <w:szCs w:val="18"/>
      </w:rPr>
      <w:fldChar w:fldCharType="separate"/>
    </w:r>
    <w:r w:rsidR="002C64AE">
      <w:rPr>
        <w:rFonts w:ascii="Gotham Medium" w:hAnsi="Gotham Medium" w:cs="Titillium Web"/>
        <w:noProof/>
        <w:color w:val="2770B7"/>
        <w:sz w:val="18"/>
        <w:szCs w:val="18"/>
      </w:rPr>
      <w:t>3</w:t>
    </w:r>
    <w:r w:rsidRPr="007A7513">
      <w:rPr>
        <w:rFonts w:ascii="Gotham Medium" w:hAnsi="Gotham Medium" w:cs="Titillium Web"/>
        <w:color w:val="2770B7"/>
        <w:sz w:val="18"/>
        <w:szCs w:val="18"/>
      </w:rPr>
      <w:fldChar w:fldCharType="end"/>
    </w:r>
  </w:p>
  <w:p w:rsidR="00E14047" w:rsidRDefault="00E140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EB" w:rsidRDefault="000522EB" w:rsidP="00332723">
      <w:r>
        <w:separator/>
      </w:r>
    </w:p>
  </w:footnote>
  <w:footnote w:type="continuationSeparator" w:id="0">
    <w:p w:rsidR="000522EB" w:rsidRDefault="000522EB" w:rsidP="0033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049" w:rsidRDefault="00C95049" w:rsidP="008B6ABE">
    <w:pPr>
      <w:tabs>
        <w:tab w:val="center" w:pos="4678"/>
      </w:tabs>
      <w:spacing w:before="120"/>
      <w:ind w:right="284"/>
      <w:rPr>
        <w:i/>
        <w:color w:val="1F497D"/>
        <w:sz w:val="20"/>
        <w:szCs w:val="20"/>
      </w:rPr>
    </w:pPr>
  </w:p>
  <w:p w:rsidR="00332723" w:rsidRDefault="00332723" w:rsidP="008B6ABE">
    <w:pPr>
      <w:tabs>
        <w:tab w:val="center" w:pos="4678"/>
      </w:tabs>
      <w:spacing w:before="120"/>
      <w:ind w:right="284"/>
      <w:rPr>
        <w:rFonts w:ascii="Gotham Light" w:hAnsi="Gotham Light" w:cs="Arial"/>
        <w:color w:val="2E74B5"/>
      </w:rPr>
    </w:pPr>
  </w:p>
  <w:p w:rsidR="000A6F83" w:rsidRPr="008B6ABE" w:rsidRDefault="000A6F83" w:rsidP="008B6ABE">
    <w:pPr>
      <w:tabs>
        <w:tab w:val="center" w:pos="4678"/>
      </w:tabs>
      <w:spacing w:before="120"/>
      <w:ind w:right="284"/>
      <w:rPr>
        <w:rFonts w:ascii="Gotham Light" w:hAnsi="Gotham Light"/>
        <w:i/>
        <w:color w:val="1F497D"/>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47" w:rsidRDefault="00E14047">
    <w:pPr>
      <w:pStyle w:val="Intestazione"/>
    </w:pPr>
  </w:p>
  <w:p w:rsidR="00E14047" w:rsidRDefault="00E14047">
    <w:pPr>
      <w:pStyle w:val="Intestazione"/>
    </w:pPr>
  </w:p>
  <w:p w:rsidR="00E14047" w:rsidRDefault="00E14047">
    <w:pPr>
      <w:pStyle w:val="Intestazione"/>
    </w:pPr>
  </w:p>
  <w:p w:rsidR="00E14047" w:rsidRDefault="00E14047">
    <w:pPr>
      <w:pStyle w:val="Intestazione"/>
    </w:pPr>
    <w:r>
      <w:rPr>
        <w:noProof/>
      </w:rPr>
      <w:drawing>
        <wp:inline distT="0" distB="0" distL="0" distR="0" wp14:anchorId="5A3A45BD" wp14:editId="08923F00">
          <wp:extent cx="3169920" cy="40259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402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704E"/>
    <w:multiLevelType w:val="hybridMultilevel"/>
    <w:tmpl w:val="7E7CF69E"/>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start w:val="1"/>
      <w:numFmt w:val="decimal"/>
      <w:lvlText w:val="%4."/>
      <w:lvlJc w:val="left"/>
      <w:pPr>
        <w:ind w:left="2940" w:hanging="360"/>
      </w:pPr>
    </w:lvl>
    <w:lvl w:ilvl="4" w:tplc="04100019">
      <w:start w:val="1"/>
      <w:numFmt w:val="lowerLetter"/>
      <w:lvlText w:val="%5."/>
      <w:lvlJc w:val="left"/>
      <w:pPr>
        <w:ind w:left="3660" w:hanging="360"/>
      </w:pPr>
    </w:lvl>
    <w:lvl w:ilvl="5" w:tplc="0410001B">
      <w:start w:val="1"/>
      <w:numFmt w:val="lowerRoman"/>
      <w:lvlText w:val="%6."/>
      <w:lvlJc w:val="right"/>
      <w:pPr>
        <w:ind w:left="4380" w:hanging="180"/>
      </w:pPr>
    </w:lvl>
    <w:lvl w:ilvl="6" w:tplc="0410000F">
      <w:start w:val="1"/>
      <w:numFmt w:val="decimal"/>
      <w:lvlText w:val="%7."/>
      <w:lvlJc w:val="left"/>
      <w:pPr>
        <w:ind w:left="5100" w:hanging="360"/>
      </w:pPr>
    </w:lvl>
    <w:lvl w:ilvl="7" w:tplc="04100019">
      <w:start w:val="1"/>
      <w:numFmt w:val="lowerLetter"/>
      <w:lvlText w:val="%8."/>
      <w:lvlJc w:val="left"/>
      <w:pPr>
        <w:ind w:left="5820" w:hanging="360"/>
      </w:pPr>
    </w:lvl>
    <w:lvl w:ilvl="8" w:tplc="0410001B">
      <w:start w:val="1"/>
      <w:numFmt w:val="lowerRoman"/>
      <w:lvlText w:val="%9."/>
      <w:lvlJc w:val="right"/>
      <w:pPr>
        <w:ind w:left="6540" w:hanging="180"/>
      </w:pPr>
    </w:lvl>
  </w:abstractNum>
  <w:abstractNum w:abstractNumId="1" w15:restartNumberingAfterBreak="0">
    <w:nsid w:val="254D3B55"/>
    <w:multiLevelType w:val="hybridMultilevel"/>
    <w:tmpl w:val="F2CABAB8"/>
    <w:lvl w:ilvl="0" w:tplc="6DACFE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C27990"/>
    <w:multiLevelType w:val="hybridMultilevel"/>
    <w:tmpl w:val="9A22B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9E69A7"/>
    <w:multiLevelType w:val="hybridMultilevel"/>
    <w:tmpl w:val="71486406"/>
    <w:lvl w:ilvl="0" w:tplc="773A90A4">
      <w:start w:val="2"/>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 w15:restartNumberingAfterBreak="0">
    <w:nsid w:val="31293F6B"/>
    <w:multiLevelType w:val="hybridMultilevel"/>
    <w:tmpl w:val="562C4FEA"/>
    <w:lvl w:ilvl="0" w:tplc="6DACFEC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D56576D"/>
    <w:multiLevelType w:val="hybridMultilevel"/>
    <w:tmpl w:val="A2D2CC76"/>
    <w:lvl w:ilvl="0" w:tplc="0410000F">
      <w:start w:val="1"/>
      <w:numFmt w:val="decimal"/>
      <w:lvlText w:val="%1."/>
      <w:lvlJc w:val="left"/>
      <w:pPr>
        <w:ind w:left="2203" w:hanging="360"/>
      </w:pPr>
      <w:rPr>
        <w:rFonts w:hint="default"/>
      </w:rPr>
    </w:lvl>
    <w:lvl w:ilvl="1" w:tplc="47E6C8D2">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17300A"/>
    <w:multiLevelType w:val="hybridMultilevel"/>
    <w:tmpl w:val="49B2AEE0"/>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AE6520"/>
    <w:multiLevelType w:val="hybridMultilevel"/>
    <w:tmpl w:val="71E03A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C3466D"/>
    <w:multiLevelType w:val="hybridMultilevel"/>
    <w:tmpl w:val="AFEECC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num>
  <w:num w:numId="8">
    <w:abstractNumId w:val="5"/>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52"/>
    <w:rsid w:val="0000598A"/>
    <w:rsid w:val="000209F6"/>
    <w:rsid w:val="00022368"/>
    <w:rsid w:val="000444B7"/>
    <w:rsid w:val="000458D6"/>
    <w:rsid w:val="000522EB"/>
    <w:rsid w:val="000650BE"/>
    <w:rsid w:val="00065295"/>
    <w:rsid w:val="000A6F83"/>
    <w:rsid w:val="000B1C05"/>
    <w:rsid w:val="000E32B5"/>
    <w:rsid w:val="00110EE1"/>
    <w:rsid w:val="00113CC7"/>
    <w:rsid w:val="00116D45"/>
    <w:rsid w:val="00116E66"/>
    <w:rsid w:val="0012593E"/>
    <w:rsid w:val="00150097"/>
    <w:rsid w:val="0015728D"/>
    <w:rsid w:val="001D6F79"/>
    <w:rsid w:val="001E05C1"/>
    <w:rsid w:val="001E136E"/>
    <w:rsid w:val="001E27E3"/>
    <w:rsid w:val="001F06BC"/>
    <w:rsid w:val="001F0F88"/>
    <w:rsid w:val="001F603F"/>
    <w:rsid w:val="001F70BA"/>
    <w:rsid w:val="001F74B3"/>
    <w:rsid w:val="00204A71"/>
    <w:rsid w:val="00211561"/>
    <w:rsid w:val="00212000"/>
    <w:rsid w:val="00212EAF"/>
    <w:rsid w:val="002175C6"/>
    <w:rsid w:val="00231CCC"/>
    <w:rsid w:val="0023328A"/>
    <w:rsid w:val="002578C0"/>
    <w:rsid w:val="00263208"/>
    <w:rsid w:val="0026529A"/>
    <w:rsid w:val="002750CE"/>
    <w:rsid w:val="00276D2A"/>
    <w:rsid w:val="002861A7"/>
    <w:rsid w:val="002937F4"/>
    <w:rsid w:val="002C64AE"/>
    <w:rsid w:val="00315207"/>
    <w:rsid w:val="00332723"/>
    <w:rsid w:val="00334539"/>
    <w:rsid w:val="00356FF4"/>
    <w:rsid w:val="003574BE"/>
    <w:rsid w:val="00366BF6"/>
    <w:rsid w:val="003802B6"/>
    <w:rsid w:val="00385D7E"/>
    <w:rsid w:val="003A7A5A"/>
    <w:rsid w:val="003B4801"/>
    <w:rsid w:val="003C7760"/>
    <w:rsid w:val="003D4614"/>
    <w:rsid w:val="003E5D79"/>
    <w:rsid w:val="0040054C"/>
    <w:rsid w:val="00403E95"/>
    <w:rsid w:val="00404289"/>
    <w:rsid w:val="00405F29"/>
    <w:rsid w:val="00406276"/>
    <w:rsid w:val="0040726A"/>
    <w:rsid w:val="004072EB"/>
    <w:rsid w:val="00414BA9"/>
    <w:rsid w:val="004609AF"/>
    <w:rsid w:val="00463CE9"/>
    <w:rsid w:val="00470540"/>
    <w:rsid w:val="00472286"/>
    <w:rsid w:val="004774AE"/>
    <w:rsid w:val="004843CF"/>
    <w:rsid w:val="004854B5"/>
    <w:rsid w:val="00485612"/>
    <w:rsid w:val="00487647"/>
    <w:rsid w:val="00491190"/>
    <w:rsid w:val="00491A31"/>
    <w:rsid w:val="004A02A4"/>
    <w:rsid w:val="004A53E6"/>
    <w:rsid w:val="004B6C64"/>
    <w:rsid w:val="004C1A91"/>
    <w:rsid w:val="004D7473"/>
    <w:rsid w:val="004E0347"/>
    <w:rsid w:val="004E12C3"/>
    <w:rsid w:val="004E54CF"/>
    <w:rsid w:val="00503FFE"/>
    <w:rsid w:val="00505F86"/>
    <w:rsid w:val="00514E05"/>
    <w:rsid w:val="00521C35"/>
    <w:rsid w:val="0052461B"/>
    <w:rsid w:val="005273C2"/>
    <w:rsid w:val="005565FA"/>
    <w:rsid w:val="0057580A"/>
    <w:rsid w:val="00581C85"/>
    <w:rsid w:val="0058739E"/>
    <w:rsid w:val="005A2153"/>
    <w:rsid w:val="005B4B15"/>
    <w:rsid w:val="005E6E80"/>
    <w:rsid w:val="005F5C0C"/>
    <w:rsid w:val="00603567"/>
    <w:rsid w:val="00607BD9"/>
    <w:rsid w:val="00607DAC"/>
    <w:rsid w:val="006318AA"/>
    <w:rsid w:val="00632F5C"/>
    <w:rsid w:val="0063524C"/>
    <w:rsid w:val="00645820"/>
    <w:rsid w:val="00672053"/>
    <w:rsid w:val="00695A16"/>
    <w:rsid w:val="006979D2"/>
    <w:rsid w:val="006A2327"/>
    <w:rsid w:val="006A4252"/>
    <w:rsid w:val="006A6E3E"/>
    <w:rsid w:val="006C6232"/>
    <w:rsid w:val="006C6C74"/>
    <w:rsid w:val="006E0721"/>
    <w:rsid w:val="007228DC"/>
    <w:rsid w:val="00723555"/>
    <w:rsid w:val="00727CF5"/>
    <w:rsid w:val="00727FF0"/>
    <w:rsid w:val="007679A2"/>
    <w:rsid w:val="007840EA"/>
    <w:rsid w:val="00792C50"/>
    <w:rsid w:val="00793F70"/>
    <w:rsid w:val="007B5FA8"/>
    <w:rsid w:val="007C0D78"/>
    <w:rsid w:val="007C6B00"/>
    <w:rsid w:val="007E37F5"/>
    <w:rsid w:val="007F3D76"/>
    <w:rsid w:val="00821134"/>
    <w:rsid w:val="008460B1"/>
    <w:rsid w:val="00850EBE"/>
    <w:rsid w:val="008B6ABE"/>
    <w:rsid w:val="008C2DD8"/>
    <w:rsid w:val="008D46D1"/>
    <w:rsid w:val="009371E0"/>
    <w:rsid w:val="00942520"/>
    <w:rsid w:val="00952CF9"/>
    <w:rsid w:val="009723AB"/>
    <w:rsid w:val="009811A0"/>
    <w:rsid w:val="00982D00"/>
    <w:rsid w:val="009B2060"/>
    <w:rsid w:val="009B7148"/>
    <w:rsid w:val="00A128BC"/>
    <w:rsid w:val="00A24B0E"/>
    <w:rsid w:val="00A47F50"/>
    <w:rsid w:val="00A55094"/>
    <w:rsid w:val="00A6677D"/>
    <w:rsid w:val="00A67C23"/>
    <w:rsid w:val="00A708D2"/>
    <w:rsid w:val="00A80E47"/>
    <w:rsid w:val="00A90DE9"/>
    <w:rsid w:val="00AB2C6E"/>
    <w:rsid w:val="00AE6E4B"/>
    <w:rsid w:val="00B04539"/>
    <w:rsid w:val="00B36A03"/>
    <w:rsid w:val="00B37CA5"/>
    <w:rsid w:val="00B55E54"/>
    <w:rsid w:val="00B613FA"/>
    <w:rsid w:val="00B6390B"/>
    <w:rsid w:val="00B67094"/>
    <w:rsid w:val="00B7127D"/>
    <w:rsid w:val="00B80660"/>
    <w:rsid w:val="00B80C02"/>
    <w:rsid w:val="00B82187"/>
    <w:rsid w:val="00B9335C"/>
    <w:rsid w:val="00BA5196"/>
    <w:rsid w:val="00BB2AA9"/>
    <w:rsid w:val="00BC1267"/>
    <w:rsid w:val="00BD1180"/>
    <w:rsid w:val="00BE0050"/>
    <w:rsid w:val="00BF15B5"/>
    <w:rsid w:val="00BF732F"/>
    <w:rsid w:val="00C010AA"/>
    <w:rsid w:val="00C05EF6"/>
    <w:rsid w:val="00C108D7"/>
    <w:rsid w:val="00C17086"/>
    <w:rsid w:val="00C41C91"/>
    <w:rsid w:val="00C60786"/>
    <w:rsid w:val="00C70912"/>
    <w:rsid w:val="00C83149"/>
    <w:rsid w:val="00C95049"/>
    <w:rsid w:val="00CA2405"/>
    <w:rsid w:val="00CA5AA2"/>
    <w:rsid w:val="00CB3E5C"/>
    <w:rsid w:val="00CC192C"/>
    <w:rsid w:val="00CC7586"/>
    <w:rsid w:val="00D03AB2"/>
    <w:rsid w:val="00D17E5C"/>
    <w:rsid w:val="00D40F1F"/>
    <w:rsid w:val="00D666CA"/>
    <w:rsid w:val="00D731D4"/>
    <w:rsid w:val="00D844E1"/>
    <w:rsid w:val="00D87614"/>
    <w:rsid w:val="00D9010F"/>
    <w:rsid w:val="00DB1F58"/>
    <w:rsid w:val="00DB4DF6"/>
    <w:rsid w:val="00DB4E64"/>
    <w:rsid w:val="00DD2A6C"/>
    <w:rsid w:val="00DE34DE"/>
    <w:rsid w:val="00DF50E4"/>
    <w:rsid w:val="00DF5C14"/>
    <w:rsid w:val="00E0422F"/>
    <w:rsid w:val="00E07DDB"/>
    <w:rsid w:val="00E14047"/>
    <w:rsid w:val="00E14FA9"/>
    <w:rsid w:val="00E27E0A"/>
    <w:rsid w:val="00E54758"/>
    <w:rsid w:val="00E637CD"/>
    <w:rsid w:val="00E70CFA"/>
    <w:rsid w:val="00EA39F0"/>
    <w:rsid w:val="00EB1306"/>
    <w:rsid w:val="00ED7E1E"/>
    <w:rsid w:val="00EE191B"/>
    <w:rsid w:val="00EE5A02"/>
    <w:rsid w:val="00EF780B"/>
    <w:rsid w:val="00F21AC6"/>
    <w:rsid w:val="00F35878"/>
    <w:rsid w:val="00F50B94"/>
    <w:rsid w:val="00F703BF"/>
    <w:rsid w:val="00F72632"/>
    <w:rsid w:val="00F779A2"/>
    <w:rsid w:val="00F77C35"/>
    <w:rsid w:val="00F94CB1"/>
    <w:rsid w:val="00FA4424"/>
    <w:rsid w:val="00FA472B"/>
    <w:rsid w:val="00FB7090"/>
    <w:rsid w:val="00FC0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38BD0D"/>
  <w15:chartTrackingRefBased/>
  <w15:docId w15:val="{0E96DBE6-CEEE-4BB2-BAFC-3A680CF9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27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32723"/>
    <w:pPr>
      <w:tabs>
        <w:tab w:val="center" w:pos="4819"/>
        <w:tab w:val="right" w:pos="9638"/>
      </w:tabs>
    </w:pPr>
  </w:style>
  <w:style w:type="character" w:customStyle="1" w:styleId="PidipaginaCarattere">
    <w:name w:val="Piè di pagina Carattere"/>
    <w:basedOn w:val="Carpredefinitoparagrafo"/>
    <w:link w:val="Pidipagina"/>
    <w:uiPriority w:val="99"/>
    <w:rsid w:val="0033272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332723"/>
    <w:pPr>
      <w:spacing w:after="120" w:line="480" w:lineRule="auto"/>
    </w:pPr>
  </w:style>
  <w:style w:type="character" w:customStyle="1" w:styleId="Corpodeltesto2Carattere">
    <w:name w:val="Corpo del testo 2 Carattere"/>
    <w:basedOn w:val="Carpredefinitoparagrafo"/>
    <w:link w:val="Corpodeltesto2"/>
    <w:uiPriority w:val="99"/>
    <w:rsid w:val="0033272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723"/>
    <w:pPr>
      <w:ind w:left="720"/>
      <w:contextualSpacing/>
    </w:pPr>
  </w:style>
  <w:style w:type="table" w:styleId="Grigliatabella">
    <w:name w:val="Table Grid"/>
    <w:basedOn w:val="Tabellanormale"/>
    <w:uiPriority w:val="59"/>
    <w:rsid w:val="0033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2723"/>
    <w:pPr>
      <w:tabs>
        <w:tab w:val="center" w:pos="4819"/>
        <w:tab w:val="right" w:pos="9638"/>
      </w:tabs>
    </w:pPr>
  </w:style>
  <w:style w:type="character" w:customStyle="1" w:styleId="IntestazioneCarattere">
    <w:name w:val="Intestazione Carattere"/>
    <w:basedOn w:val="Carpredefinitoparagrafo"/>
    <w:link w:val="Intestazione"/>
    <w:uiPriority w:val="99"/>
    <w:rsid w:val="0033272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854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4B5"/>
    <w:rPr>
      <w:rFonts w:ascii="Segoe UI" w:eastAsia="Times New Roman" w:hAnsi="Segoe UI" w:cs="Segoe UI"/>
      <w:sz w:val="18"/>
      <w:szCs w:val="18"/>
      <w:lang w:eastAsia="it-IT"/>
    </w:rPr>
  </w:style>
  <w:style w:type="paragraph" w:styleId="NormaleWeb">
    <w:name w:val="Normal (Web)"/>
    <w:basedOn w:val="Normale"/>
    <w:uiPriority w:val="99"/>
    <w:unhideWhenUsed/>
    <w:rsid w:val="00727FF0"/>
    <w:pPr>
      <w:spacing w:before="100" w:beforeAutospacing="1" w:after="119"/>
    </w:pPr>
    <w:rPr>
      <w:rFonts w:eastAsiaTheme="minorHAnsi"/>
    </w:rPr>
  </w:style>
  <w:style w:type="paragraph" w:customStyle="1" w:styleId="ANCATABELLATITOLOBIANCO">
    <w:name w:val="ANCA_TABELLA_TITOLO BIANCO"/>
    <w:basedOn w:val="Normale"/>
    <w:qFormat/>
    <w:rsid w:val="008B6ABE"/>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160" w:line="276" w:lineRule="auto"/>
      <w:ind w:left="1560" w:right="142"/>
    </w:pPr>
    <w:rPr>
      <w:rFonts w:ascii="Gotham Book" w:eastAsiaTheme="minorHAnsi" w:hAnsi="Gotham Book" w:cs="Titillium Web"/>
      <w:color w:val="FFFFFF" w:themeColor="background1"/>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387D1-DDEE-479A-A50C-FF4CC1DF1EB8}">
  <ds:schemaRefs>
    <ds:schemaRef ds:uri="http://schemas.openxmlformats.org/officeDocument/2006/bibliography"/>
  </ds:schemaRefs>
</ds:datastoreItem>
</file>

<file path=customXml/itemProps2.xml><?xml version="1.0" encoding="utf-8"?>
<ds:datastoreItem xmlns:ds="http://schemas.openxmlformats.org/officeDocument/2006/customXml" ds:itemID="{000279CA-1532-41A1-891E-360DAACFEB6B}"/>
</file>

<file path=customXml/itemProps3.xml><?xml version="1.0" encoding="utf-8"?>
<ds:datastoreItem xmlns:ds="http://schemas.openxmlformats.org/officeDocument/2006/customXml" ds:itemID="{1A686EDC-F460-4DC5-AEF2-B90B76430052}"/>
</file>

<file path=customXml/itemProps4.xml><?xml version="1.0" encoding="utf-8"?>
<ds:datastoreItem xmlns:ds="http://schemas.openxmlformats.org/officeDocument/2006/customXml" ds:itemID="{F0FAE30B-4689-435F-8161-AA2469828B65}"/>
</file>

<file path=docProps/app.xml><?xml version="1.0" encoding="utf-8"?>
<Properties xmlns="http://schemas.openxmlformats.org/officeDocument/2006/extended-properties" xmlns:vt="http://schemas.openxmlformats.org/officeDocument/2006/docPropsVTypes">
  <Template>Normal.dotm</Template>
  <TotalTime>265</TotalTime>
  <Pages>3</Pages>
  <Words>969</Words>
  <Characters>5524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Autorità Nazionale Anticorruzione</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Fontana</dc:creator>
  <cp:keywords/>
  <dc:description/>
  <cp:lastModifiedBy>Polo Piero Eugenio</cp:lastModifiedBy>
  <cp:revision>11</cp:revision>
  <cp:lastPrinted>2023-07-31T09:54:00Z</cp:lastPrinted>
  <dcterms:created xsi:type="dcterms:W3CDTF">2023-08-03T13:31:00Z</dcterms:created>
  <dcterms:modified xsi:type="dcterms:W3CDTF">2023-10-05T10:11:00Z</dcterms:modified>
</cp:coreProperties>
</file>