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8A7F0" w14:textId="77777777" w:rsidR="00F977E4" w:rsidRDefault="00F977E4" w:rsidP="0077299D">
      <w:pPr>
        <w:pStyle w:val="Titolo5"/>
      </w:pPr>
    </w:p>
    <w:p w14:paraId="237F7B81" w14:textId="77777777" w:rsidR="00F977E4" w:rsidRPr="00A77CAF" w:rsidRDefault="00F977E4" w:rsidP="0077299D">
      <w:pPr>
        <w:pStyle w:val="Corpotesto"/>
      </w:pPr>
    </w:p>
    <w:p w14:paraId="173EEE78" w14:textId="77777777" w:rsidR="00F977E4" w:rsidRPr="00A77CAF" w:rsidRDefault="00F977E4" w:rsidP="0077299D"/>
    <w:p w14:paraId="644F3DA5" w14:textId="77777777" w:rsidR="00F977E4" w:rsidRPr="00A77CAF" w:rsidRDefault="00F977E4" w:rsidP="0077299D"/>
    <w:p w14:paraId="720BD1F7" w14:textId="77777777" w:rsidR="00B16D12" w:rsidRDefault="00B16D12" w:rsidP="00B16D12">
      <w:pPr>
        <w:jc w:val="center"/>
        <w:rPr>
          <w:rFonts w:eastAsia="Times New Roman"/>
          <w:sz w:val="44"/>
        </w:rPr>
      </w:pPr>
    </w:p>
    <w:p w14:paraId="1B9D1E1F" w14:textId="2B657E75" w:rsidR="00FD5269" w:rsidRDefault="00B16D12" w:rsidP="00B16D12">
      <w:pPr>
        <w:jc w:val="center"/>
        <w:rPr>
          <w:rFonts w:eastAsia="Times New Roman"/>
          <w:sz w:val="36"/>
          <w:szCs w:val="18"/>
        </w:rPr>
      </w:pPr>
      <w:r w:rsidRPr="00B16D12">
        <w:rPr>
          <w:rFonts w:eastAsia="Times New Roman"/>
          <w:sz w:val="36"/>
          <w:szCs w:val="18"/>
        </w:rPr>
        <w:t xml:space="preserve">UNIONE TERRA DEI CASTELLI </w:t>
      </w:r>
    </w:p>
    <w:p w14:paraId="6FB10EB7" w14:textId="77777777" w:rsidR="00A012A3" w:rsidRDefault="00A012A3" w:rsidP="00B16D12">
      <w:pPr>
        <w:jc w:val="center"/>
        <w:rPr>
          <w:rFonts w:eastAsia="Times New Roman"/>
          <w:sz w:val="36"/>
          <w:szCs w:val="18"/>
        </w:rPr>
      </w:pPr>
    </w:p>
    <w:p w14:paraId="2C3213F2" w14:textId="341819A8" w:rsidR="00B16D12" w:rsidRPr="00B16D12" w:rsidRDefault="00FD5269" w:rsidP="00B16D12">
      <w:pPr>
        <w:jc w:val="center"/>
        <w:rPr>
          <w:rFonts w:eastAsia="Times New Roman"/>
          <w:szCs w:val="18"/>
        </w:rPr>
      </w:pPr>
      <w:r>
        <w:rPr>
          <w:rFonts w:eastAsia="Times New Roman"/>
          <w:sz w:val="36"/>
          <w:szCs w:val="18"/>
        </w:rPr>
        <w:t xml:space="preserve">( TRA I COMUNI DI </w:t>
      </w:r>
      <w:r w:rsidR="00B16D12" w:rsidRPr="00B16D12">
        <w:rPr>
          <w:rFonts w:eastAsia="Times New Roman"/>
          <w:sz w:val="36"/>
          <w:szCs w:val="18"/>
        </w:rPr>
        <w:t xml:space="preserve">AGUGLIANO </w:t>
      </w:r>
      <w:r>
        <w:rPr>
          <w:rFonts w:eastAsia="Times New Roman"/>
          <w:sz w:val="36"/>
          <w:szCs w:val="18"/>
        </w:rPr>
        <w:t xml:space="preserve">E </w:t>
      </w:r>
      <w:r w:rsidR="00B16D12" w:rsidRPr="00B16D12">
        <w:rPr>
          <w:rFonts w:eastAsia="Times New Roman"/>
          <w:sz w:val="36"/>
          <w:szCs w:val="18"/>
        </w:rPr>
        <w:t xml:space="preserve"> POLVERIGI</w:t>
      </w:r>
      <w:r>
        <w:rPr>
          <w:rFonts w:eastAsia="Times New Roman"/>
          <w:sz w:val="36"/>
          <w:szCs w:val="18"/>
        </w:rPr>
        <w:t>)</w:t>
      </w:r>
    </w:p>
    <w:p w14:paraId="1833FC84" w14:textId="77777777" w:rsidR="00B16D12" w:rsidRDefault="00B16D12" w:rsidP="00B16D12">
      <w:pPr>
        <w:jc w:val="center"/>
        <w:rPr>
          <w:rFonts w:eastAsia="Times New Roman"/>
          <w:b/>
          <w:sz w:val="28"/>
        </w:rPr>
      </w:pPr>
    </w:p>
    <w:p w14:paraId="404BC776" w14:textId="77777777" w:rsidR="00F977E4" w:rsidRPr="00A77CAF" w:rsidRDefault="00F977E4" w:rsidP="00CC2AA3">
      <w:pPr>
        <w:jc w:val="center"/>
      </w:pPr>
    </w:p>
    <w:p w14:paraId="362FC16D" w14:textId="77777777" w:rsidR="00F977E4" w:rsidRPr="00A77CAF" w:rsidRDefault="00F977E4" w:rsidP="00CC2AA3">
      <w:pPr>
        <w:jc w:val="center"/>
      </w:pPr>
    </w:p>
    <w:p w14:paraId="611C37FB" w14:textId="77777777" w:rsidR="00F977E4" w:rsidRPr="00A77CAF" w:rsidRDefault="00F977E4" w:rsidP="00CC2AA3">
      <w:pPr>
        <w:jc w:val="center"/>
      </w:pPr>
    </w:p>
    <w:p w14:paraId="129C79AB" w14:textId="77777777" w:rsidR="00F977E4" w:rsidRDefault="00F977E4" w:rsidP="00CC2AA3">
      <w:pPr>
        <w:jc w:val="center"/>
        <w:rPr>
          <w:b/>
          <w:bCs/>
          <w:sz w:val="40"/>
          <w:szCs w:val="40"/>
        </w:rPr>
      </w:pPr>
    </w:p>
    <w:p w14:paraId="1BA41B1C" w14:textId="77777777" w:rsidR="00B16D12" w:rsidRPr="00CC2AA3" w:rsidRDefault="00B16D12" w:rsidP="00CC2AA3">
      <w:pPr>
        <w:jc w:val="center"/>
        <w:rPr>
          <w:b/>
          <w:bCs/>
          <w:sz w:val="40"/>
          <w:szCs w:val="40"/>
        </w:rPr>
      </w:pPr>
    </w:p>
    <w:p w14:paraId="11C76C06" w14:textId="7109CCE7" w:rsidR="00A77CAF" w:rsidRPr="00CC2AA3" w:rsidRDefault="0066305A" w:rsidP="00CC2AA3">
      <w:pPr>
        <w:jc w:val="center"/>
        <w:rPr>
          <w:b/>
          <w:bCs/>
          <w:sz w:val="40"/>
          <w:szCs w:val="40"/>
        </w:rPr>
      </w:pPr>
      <w:r w:rsidRPr="00CC2AA3">
        <w:rPr>
          <w:b/>
          <w:bCs/>
          <w:sz w:val="40"/>
          <w:szCs w:val="40"/>
        </w:rPr>
        <w:t>SITUAZIONE GESTIONALE</w:t>
      </w:r>
    </w:p>
    <w:p w14:paraId="3B35BC03" w14:textId="2006B2A1" w:rsidR="00A77CAF" w:rsidRPr="00CC2AA3" w:rsidRDefault="00A77CAF" w:rsidP="00CC2AA3">
      <w:pPr>
        <w:jc w:val="center"/>
        <w:rPr>
          <w:b/>
          <w:bCs/>
          <w:sz w:val="40"/>
          <w:szCs w:val="40"/>
        </w:rPr>
      </w:pPr>
      <w:r w:rsidRPr="00CC2AA3">
        <w:rPr>
          <w:b/>
          <w:bCs/>
          <w:sz w:val="40"/>
          <w:szCs w:val="40"/>
        </w:rPr>
        <w:t>D</w:t>
      </w:r>
      <w:r w:rsidR="00D96270" w:rsidRPr="00CC2AA3">
        <w:rPr>
          <w:b/>
          <w:bCs/>
          <w:sz w:val="40"/>
          <w:szCs w:val="40"/>
        </w:rPr>
        <w:t>EI</w:t>
      </w:r>
      <w:r w:rsidRPr="00CC2AA3">
        <w:rPr>
          <w:b/>
          <w:bCs/>
          <w:sz w:val="40"/>
          <w:szCs w:val="40"/>
        </w:rPr>
        <w:t xml:space="preserve"> </w:t>
      </w:r>
      <w:r w:rsidR="0066305A" w:rsidRPr="00CC2AA3">
        <w:rPr>
          <w:b/>
          <w:bCs/>
          <w:sz w:val="40"/>
          <w:szCs w:val="40"/>
        </w:rPr>
        <w:t>SERVIZI PUBBLICI LOCALI</w:t>
      </w:r>
    </w:p>
    <w:p w14:paraId="17F454AA" w14:textId="2A87EA56" w:rsidR="00F977E4" w:rsidRPr="00CC2AA3" w:rsidRDefault="0066305A" w:rsidP="00CC2AA3">
      <w:pPr>
        <w:jc w:val="center"/>
        <w:rPr>
          <w:b/>
          <w:bCs/>
          <w:sz w:val="40"/>
          <w:szCs w:val="40"/>
        </w:rPr>
      </w:pPr>
      <w:r w:rsidRPr="00CC2AA3">
        <w:rPr>
          <w:b/>
          <w:bCs/>
          <w:sz w:val="40"/>
          <w:szCs w:val="40"/>
        </w:rPr>
        <w:t>DI RILEVANZA ECONOMICA</w:t>
      </w:r>
    </w:p>
    <w:p w14:paraId="1360B26F" w14:textId="77777777" w:rsidR="00F977E4" w:rsidRPr="00A77CAF" w:rsidRDefault="00F977E4" w:rsidP="00CC2AA3">
      <w:pPr>
        <w:jc w:val="center"/>
      </w:pPr>
    </w:p>
    <w:p w14:paraId="7FAA1A65" w14:textId="77777777" w:rsidR="00F977E4" w:rsidRPr="00E00EF4" w:rsidRDefault="0066305A" w:rsidP="00CC2AA3">
      <w:pPr>
        <w:jc w:val="center"/>
        <w:rPr>
          <w:b/>
          <w:bCs/>
          <w:sz w:val="30"/>
          <w:szCs w:val="30"/>
        </w:rPr>
      </w:pPr>
      <w:r w:rsidRPr="00E00EF4">
        <w:rPr>
          <w:b/>
          <w:bCs/>
          <w:sz w:val="30"/>
          <w:szCs w:val="30"/>
        </w:rPr>
        <w:t>RELAZIONE EX ART. 30 D.LGS. n. 201/2022</w:t>
      </w:r>
    </w:p>
    <w:p w14:paraId="3BC39F3C" w14:textId="77777777" w:rsidR="00F977E4" w:rsidRPr="00A77CAF" w:rsidRDefault="00F977E4" w:rsidP="00CC2AA3">
      <w:pPr>
        <w:jc w:val="center"/>
      </w:pPr>
    </w:p>
    <w:p w14:paraId="5AC09517" w14:textId="77777777" w:rsidR="00F977E4" w:rsidRPr="00A77CAF" w:rsidRDefault="00F977E4" w:rsidP="00CC2AA3">
      <w:pPr>
        <w:jc w:val="center"/>
      </w:pPr>
    </w:p>
    <w:p w14:paraId="29247A75" w14:textId="77777777" w:rsidR="00F977E4" w:rsidRPr="00A77CAF" w:rsidRDefault="00F977E4" w:rsidP="00CC2AA3">
      <w:pPr>
        <w:jc w:val="center"/>
      </w:pPr>
    </w:p>
    <w:p w14:paraId="777AB1F1" w14:textId="77777777" w:rsidR="00F977E4" w:rsidRPr="00A77CAF" w:rsidRDefault="00F977E4" w:rsidP="00CC2AA3">
      <w:pPr>
        <w:jc w:val="center"/>
      </w:pPr>
    </w:p>
    <w:p w14:paraId="390969C8" w14:textId="44FA5D86" w:rsidR="00F977E4" w:rsidRPr="00731DE3" w:rsidRDefault="0066305A" w:rsidP="00CC2AA3">
      <w:pPr>
        <w:jc w:val="center"/>
        <w:rPr>
          <w:b/>
          <w:bCs/>
          <w:sz w:val="28"/>
          <w:szCs w:val="28"/>
        </w:rPr>
      </w:pPr>
      <w:r w:rsidRPr="00731DE3">
        <w:rPr>
          <w:b/>
          <w:bCs/>
          <w:sz w:val="28"/>
          <w:szCs w:val="28"/>
        </w:rPr>
        <w:t>RICOGNIZIONE PERIODICA AL</w:t>
      </w:r>
      <w:r w:rsidR="00D67781">
        <w:rPr>
          <w:b/>
          <w:bCs/>
          <w:sz w:val="28"/>
          <w:szCs w:val="28"/>
        </w:rPr>
        <w:t xml:space="preserve"> 27.12.2023</w:t>
      </w:r>
    </w:p>
    <w:p w14:paraId="392BE19E" w14:textId="77777777" w:rsidR="00F977E4" w:rsidRPr="008E4DBC" w:rsidRDefault="00F977E4" w:rsidP="0077299D">
      <w:pPr>
        <w:sectPr w:rsidR="00F977E4" w:rsidRPr="008E4DBC" w:rsidSect="00D104AD">
          <w:pgSz w:w="12240" w:h="15840"/>
          <w:pgMar w:top="980" w:right="1183" w:bottom="1060" w:left="1134" w:header="0" w:footer="798" w:gutter="0"/>
          <w:cols w:space="720"/>
        </w:sectPr>
      </w:pPr>
    </w:p>
    <w:p w14:paraId="637B3A92" w14:textId="0CF609FD" w:rsidR="00F977E4" w:rsidRPr="00D96270" w:rsidRDefault="00A77CAF" w:rsidP="0077299D">
      <w:pPr>
        <w:pStyle w:val="Titolo1"/>
      </w:pPr>
      <w:r w:rsidRPr="00D96270">
        <w:lastRenderedPageBreak/>
        <w:t>PREMESSE</w:t>
      </w:r>
    </w:p>
    <w:p w14:paraId="1CAFC08E" w14:textId="77777777" w:rsidR="00A77CAF" w:rsidRDefault="00A77CAF" w:rsidP="0077299D"/>
    <w:p w14:paraId="0889A4F0" w14:textId="2C74C731" w:rsidR="00A77CAF" w:rsidRDefault="00A77CAF" w:rsidP="0077299D">
      <w:r>
        <w:t>La presente relazione è finalizzata ad operare una</w:t>
      </w:r>
      <w:r w:rsidR="009D3A73">
        <w:t xml:space="preserve"> </w:t>
      </w:r>
      <w:r w:rsidR="00330B2A" w:rsidRPr="00330B2A">
        <w:t>ricognizione periodica della situazione gestionale dei servizi pubblic</w:t>
      </w:r>
      <w:r w:rsidR="009D3A73">
        <w:t xml:space="preserve">i locali di rilevanza economica </w:t>
      </w:r>
      <w:r w:rsidR="00330B2A">
        <w:t>affidati</w:t>
      </w:r>
      <w:r>
        <w:t xml:space="preserve"> dal</w:t>
      </w:r>
      <w:r w:rsidR="00330B2A">
        <w:t>l’Ente,</w:t>
      </w:r>
      <w:r>
        <w:t xml:space="preserve"> ai sensi dell’art</w:t>
      </w:r>
      <w:r w:rsidR="00330B2A">
        <w:t>icolo</w:t>
      </w:r>
      <w:r>
        <w:t xml:space="preserve"> 30 del D. Lgs. n. 201/2022</w:t>
      </w:r>
      <w:r w:rsidR="00330B2A">
        <w:t>. La stessa norma stabilisce inoltre che “</w:t>
      </w:r>
      <w:r w:rsidR="00330B2A">
        <w:rPr>
          <w:i/>
          <w:iCs/>
        </w:rPr>
        <w:t>t</w:t>
      </w:r>
      <w:r w:rsidR="00330B2A" w:rsidRPr="00330B2A">
        <w:rPr>
          <w:i/>
          <w:iCs/>
        </w:rPr>
        <w:t>ale ricognizione rileva, per ogni servizio affidato, il concreto andamento dal punto di vista economico, dell'efficienza e della qualità del servizio e del rispetto degli obblighi indicati nel contratto di servizio, in modo analitico</w:t>
      </w:r>
      <w:r w:rsidR="00330B2A">
        <w:t>”.</w:t>
      </w:r>
    </w:p>
    <w:p w14:paraId="23AA4F8C" w14:textId="77777777" w:rsidR="00A77CAF" w:rsidRDefault="00A77CAF" w:rsidP="0077299D"/>
    <w:p w14:paraId="7C05CDDF" w14:textId="08802C91" w:rsidR="00F977E4" w:rsidRPr="00330B2A" w:rsidRDefault="00A77CAF" w:rsidP="0077299D">
      <w:pPr>
        <w:rPr>
          <w:i/>
          <w:iCs/>
        </w:rPr>
      </w:pPr>
      <w:r>
        <w:t>Ai sensi dell’art</w:t>
      </w:r>
      <w:r w:rsidR="00330B2A">
        <w:t>icolo</w:t>
      </w:r>
      <w:r>
        <w:t xml:space="preserve"> 2 co. 1 lett. d) del D. Lgs. n. 201/2022 </w:t>
      </w:r>
      <w:r w:rsidR="0066305A" w:rsidRPr="00A77CAF">
        <w:t>sono “</w:t>
      </w:r>
      <w:r w:rsidR="0066305A" w:rsidRPr="00330B2A">
        <w:rPr>
          <w:i/>
          <w:iCs/>
        </w:rPr>
        <w:t>servizi di interesse economico generale di livello locale</w:t>
      </w:r>
      <w:r w:rsidR="0066305A" w:rsidRPr="00A77CAF">
        <w:t>” o “</w:t>
      </w:r>
      <w:r w:rsidR="0066305A" w:rsidRPr="00330B2A">
        <w:rPr>
          <w:i/>
          <w:iCs/>
        </w:rPr>
        <w:t>servizi pubblici locali di rilevanza economica</w:t>
      </w:r>
      <w:r w:rsidR="0066305A" w:rsidRPr="00A77CAF">
        <w:t xml:space="preserve">”, </w:t>
      </w:r>
      <w:r>
        <w:t>“</w:t>
      </w:r>
      <w:r w:rsidR="0066305A" w:rsidRPr="00330B2A">
        <w:rPr>
          <w:i/>
          <w:iCs/>
        </w:rPr>
        <w:t>i servizi erogati o suscettibili di essere erogati dietro corrispettivo economico su un mercato, che non sarebbero svolti senza un intervento pubblico o sarebbero svolti a condizioni differenti in termini di accessibilità fisica ed economica, continuità, non discriminazione, qualità e sicurezza, che sono previsti dalla legge o che gli enti locali, nell’ambito delle proprie competenze, ritengono necessari per assicurare la soddisfazione dei bisogni delle comunità locali, così da garantire l’omogeneità dello sviluppo e la coesione sociale</w:t>
      </w:r>
      <w:r w:rsidRPr="00330B2A">
        <w:rPr>
          <w:i/>
          <w:iCs/>
        </w:rPr>
        <w:t>”</w:t>
      </w:r>
      <w:r w:rsidR="0066305A" w:rsidRPr="00330B2A">
        <w:rPr>
          <w:i/>
          <w:iCs/>
        </w:rPr>
        <w:t>.</w:t>
      </w:r>
    </w:p>
    <w:p w14:paraId="764C762F" w14:textId="77777777" w:rsidR="00A012A3" w:rsidRDefault="00A012A3" w:rsidP="00A012A3">
      <w:pPr>
        <w:tabs>
          <w:tab w:val="left" w:pos="2268"/>
        </w:tabs>
        <w:spacing w:line="280" w:lineRule="atLeast"/>
        <w:rPr>
          <w:rFonts w:ascii="Courier New" w:hAnsi="Courier New" w:cs="Courier New"/>
          <w:color w:val="19191A"/>
          <w:sz w:val="20"/>
          <w:szCs w:val="20"/>
          <w:bdr w:val="none" w:sz="0" w:space="0" w:color="auto" w:frame="1"/>
        </w:rPr>
      </w:pPr>
    </w:p>
    <w:p w14:paraId="7066973F" w14:textId="08745533" w:rsidR="00A012A3" w:rsidRPr="00A012A3" w:rsidRDefault="00CB7BCF" w:rsidP="00A012A3">
      <w:pPr>
        <w:tabs>
          <w:tab w:val="left" w:pos="2268"/>
        </w:tabs>
        <w:spacing w:line="280" w:lineRule="atLeast"/>
        <w:rPr>
          <w:rFonts w:eastAsiaTheme="minorEastAsia"/>
          <w:color w:val="19191A"/>
          <w:bdr w:val="none" w:sz="0" w:space="0" w:color="auto" w:frame="1"/>
        </w:rPr>
      </w:pPr>
      <w:r>
        <w:rPr>
          <w:color w:val="19191A"/>
          <w:bdr w:val="none" w:sz="0" w:space="0" w:color="auto" w:frame="1"/>
        </w:rPr>
        <w:t>Si condivide</w:t>
      </w:r>
      <w:r w:rsidR="00A012A3" w:rsidRPr="00A012A3">
        <w:rPr>
          <w:color w:val="19191A"/>
          <w:bdr w:val="none" w:sz="0" w:space="0" w:color="auto" w:frame="1"/>
        </w:rPr>
        <w:t>,  in materia di definizione del concetto di servizio pubblico locale, una consolidata a giurisprudenza amministrativa  ( es. Consiglio di Stato, sez.V, sentenza n. 6.529 dell'8 giugno 2010),  la quale affermava la necessità di far ricorso ad un criterio relativistico, che tenesse conto delle peculiarità del caso concreto, quali la concreta struttura del servizio, le concrete modalità del suo espletamento, i suoi specifici connotati economico-organizzativi, la natura del soggetto chiamato ad espletarlo, la disciplina normativa del servizio;</w:t>
      </w:r>
    </w:p>
    <w:p w14:paraId="2AC532E1" w14:textId="77777777" w:rsidR="00A012A3" w:rsidRPr="00A012A3" w:rsidRDefault="00A012A3" w:rsidP="00A012A3">
      <w:pPr>
        <w:tabs>
          <w:tab w:val="left" w:pos="2268"/>
        </w:tabs>
        <w:spacing w:line="280" w:lineRule="atLeast"/>
        <w:rPr>
          <w:color w:val="19191A"/>
          <w:bdr w:val="none" w:sz="0" w:space="0" w:color="auto" w:frame="1"/>
        </w:rPr>
      </w:pPr>
    </w:p>
    <w:p w14:paraId="6A3D9BA8" w14:textId="1266A523" w:rsidR="00A012A3" w:rsidRPr="00A012A3" w:rsidRDefault="00CB7BCF" w:rsidP="00A012A3">
      <w:pPr>
        <w:tabs>
          <w:tab w:val="left" w:pos="2268"/>
        </w:tabs>
        <w:spacing w:line="280" w:lineRule="atLeast"/>
        <w:rPr>
          <w:color w:val="19191A"/>
          <w:bdr w:val="none" w:sz="0" w:space="0" w:color="auto" w:frame="1"/>
        </w:rPr>
      </w:pPr>
      <w:r>
        <w:rPr>
          <w:color w:val="19191A"/>
          <w:bdr w:val="none" w:sz="0" w:space="0" w:color="auto" w:frame="1"/>
        </w:rPr>
        <w:t xml:space="preserve">Si ritiene </w:t>
      </w:r>
      <w:r w:rsidR="00A012A3" w:rsidRPr="00A012A3">
        <w:rPr>
          <w:color w:val="19191A"/>
          <w:bdr w:val="none" w:sz="0" w:space="0" w:color="auto" w:frame="1"/>
        </w:rPr>
        <w:t xml:space="preserve"> che tra le righe della norma (che tra l'altro definisce in modo generale questa tipologia di servizi lasciando a decreti attuativi futuri la precisa identificazione degli stessi), ex art. 2 lett. c) del D.Lgs. 201/2022 (...</w:t>
      </w:r>
      <w:r w:rsidR="00A012A3" w:rsidRPr="00A012A3">
        <w:rPr>
          <w:color w:val="000000"/>
          <w:bdr w:val="none" w:sz="0" w:space="0" w:color="auto" w:frame="1"/>
        </w:rPr>
        <w:t>servizi pubblici locali di rilevanza economica</w:t>
      </w:r>
      <w:r w:rsidR="00A012A3" w:rsidRPr="00A012A3">
        <w:rPr>
          <w:color w:val="19191A"/>
          <w:bdr w:val="none" w:sz="0" w:space="0" w:color="auto" w:frame="1"/>
        </w:rPr>
        <w:t>....</w:t>
      </w:r>
      <w:r w:rsidR="00A012A3" w:rsidRPr="00A012A3">
        <w:rPr>
          <w:color w:val="000000"/>
          <w:bdr w:val="none" w:sz="0" w:space="0" w:color="auto" w:frame="1"/>
        </w:rPr>
        <w:t>i servizi erogati o suscettibili di essere erogati dietro corrispettivo economico su un mercato</w:t>
      </w:r>
      <w:r w:rsidR="00A012A3" w:rsidRPr="00A012A3">
        <w:rPr>
          <w:color w:val="19191A"/>
          <w:bdr w:val="none" w:sz="0" w:space="0" w:color="auto" w:frame="1"/>
        </w:rPr>
        <w:t>...</w:t>
      </w:r>
      <w:r w:rsidR="00A012A3" w:rsidRPr="00A012A3">
        <w:rPr>
          <w:b/>
          <w:bCs/>
          <w:color w:val="000000"/>
          <w:bdr w:val="none" w:sz="0" w:space="0" w:color="auto" w:frame="1"/>
        </w:rPr>
        <w:t>che gli enti locali</w:t>
      </w:r>
      <w:r w:rsidR="00A012A3" w:rsidRPr="00A012A3">
        <w:rPr>
          <w:color w:val="000000"/>
          <w:bdr w:val="none" w:sz="0" w:space="0" w:color="auto" w:frame="1"/>
        </w:rPr>
        <w:t>, nell'ambito delle proprie competenze, </w:t>
      </w:r>
      <w:r w:rsidR="00A012A3" w:rsidRPr="00A012A3">
        <w:rPr>
          <w:b/>
          <w:bCs/>
          <w:color w:val="000000"/>
          <w:bdr w:val="none" w:sz="0" w:space="0" w:color="auto" w:frame="1"/>
        </w:rPr>
        <w:t>ritengono</w:t>
      </w:r>
      <w:r w:rsidR="00A012A3" w:rsidRPr="00A012A3">
        <w:rPr>
          <w:color w:val="000000"/>
          <w:bdr w:val="none" w:sz="0" w:space="0" w:color="auto" w:frame="1"/>
        </w:rPr>
        <w:t> </w:t>
      </w:r>
      <w:r w:rsidR="00A012A3" w:rsidRPr="00A012A3">
        <w:rPr>
          <w:b/>
          <w:bCs/>
          <w:color w:val="000000"/>
          <w:bdr w:val="none" w:sz="0" w:space="0" w:color="auto" w:frame="1"/>
        </w:rPr>
        <w:t>necessari</w:t>
      </w:r>
      <w:r w:rsidR="00A012A3" w:rsidRPr="00A012A3">
        <w:rPr>
          <w:color w:val="000000"/>
          <w:bdr w:val="none" w:sz="0" w:space="0" w:color="auto" w:frame="1"/>
        </w:rPr>
        <w:t> per assicurare la soddisfazione dei bisogni delle comunità locali, così da garantire l'omogeneità dello sviluppo e la coesione sociale)</w:t>
      </w:r>
      <w:r w:rsidR="00A012A3" w:rsidRPr="00A012A3">
        <w:rPr>
          <w:color w:val="19191A"/>
          <w:bdr w:val="none" w:sz="0" w:space="0" w:color="auto" w:frame="1"/>
        </w:rPr>
        <w:t>,  vi sia una piccola discrezionalità da parte degli enti locali, da commisurare rispetto all'anti-economicità del servizio stesso, in relazione alla totale copertura dei costi, con la tariffazione differenziata da effettuare rispetto alle diverse tipologie di utenza, al fine di rendere universale la fruibilità dello stesso;</w:t>
      </w:r>
    </w:p>
    <w:p w14:paraId="58896587" w14:textId="77777777" w:rsidR="00A012A3" w:rsidRPr="00A012A3" w:rsidRDefault="00A012A3" w:rsidP="00A012A3">
      <w:pPr>
        <w:tabs>
          <w:tab w:val="left" w:pos="2268"/>
        </w:tabs>
        <w:spacing w:line="280" w:lineRule="atLeast"/>
        <w:rPr>
          <w:color w:val="19191A"/>
          <w:bdr w:val="none" w:sz="0" w:space="0" w:color="auto" w:frame="1"/>
        </w:rPr>
      </w:pPr>
    </w:p>
    <w:p w14:paraId="2A08E2A8" w14:textId="10E19AAB" w:rsidR="00A012A3" w:rsidRPr="00A012A3" w:rsidRDefault="00CB7BCF" w:rsidP="00A012A3">
      <w:pPr>
        <w:pStyle w:val="Corpotesto"/>
        <w:rPr>
          <w:sz w:val="22"/>
          <w:szCs w:val="22"/>
        </w:rPr>
      </w:pPr>
      <w:r>
        <w:rPr>
          <w:sz w:val="22"/>
          <w:szCs w:val="22"/>
        </w:rPr>
        <w:t xml:space="preserve">Si ricorda </w:t>
      </w:r>
      <w:r w:rsidR="00A012A3" w:rsidRPr="00A012A3">
        <w:rPr>
          <w:sz w:val="22"/>
          <w:szCs w:val="22"/>
        </w:rPr>
        <w:t>come la dottrina pubblicistica nell’ambito dei servizi pubblici, tradizionalmente, opera la distinzione tra quelli finali, strumentali e locali:</w:t>
      </w:r>
    </w:p>
    <w:p w14:paraId="31EC0F1D" w14:textId="77777777" w:rsidR="00A012A3" w:rsidRPr="00A012A3" w:rsidRDefault="00A012A3" w:rsidP="00A012A3">
      <w:pPr>
        <w:pStyle w:val="Corpotesto"/>
        <w:widowControl/>
        <w:numPr>
          <w:ilvl w:val="0"/>
          <w:numId w:val="20"/>
        </w:numPr>
        <w:autoSpaceDE/>
        <w:autoSpaceDN/>
        <w:spacing w:before="120" w:after="120"/>
        <w:rPr>
          <w:sz w:val="22"/>
          <w:szCs w:val="22"/>
        </w:rPr>
      </w:pPr>
      <w:r w:rsidRPr="00A012A3">
        <w:rPr>
          <w:b/>
          <w:bCs/>
          <w:sz w:val="22"/>
          <w:szCs w:val="22"/>
        </w:rPr>
        <w:t>servizi finali</w:t>
      </w:r>
      <w:r w:rsidRPr="00A012A3">
        <w:rPr>
          <w:sz w:val="22"/>
          <w:szCs w:val="22"/>
        </w:rPr>
        <w:t xml:space="preserve"> sono quelli pubblici in senso stretto atteso che mirano a soddisfare, in via primaria e diretta, le esigenze sociali manifestate da una data collettività. Esempi di servizi pubblici finali o in senso proprio sono quelli che riguardano la gestione di: asili, assistenza diversamente abili, assistenza domiciliare, assistenza minori, biblioteca, musei, servizi sociali in genere, teatro, ecc;</w:t>
      </w:r>
    </w:p>
    <w:p w14:paraId="480C9B55" w14:textId="77777777" w:rsidR="00A012A3" w:rsidRPr="00A012A3" w:rsidRDefault="00A012A3" w:rsidP="00A012A3">
      <w:pPr>
        <w:pStyle w:val="Corpotesto"/>
        <w:widowControl/>
        <w:numPr>
          <w:ilvl w:val="0"/>
          <w:numId w:val="20"/>
        </w:numPr>
        <w:autoSpaceDE/>
        <w:autoSpaceDN/>
        <w:spacing w:before="120" w:after="120"/>
        <w:rPr>
          <w:sz w:val="22"/>
          <w:szCs w:val="22"/>
        </w:rPr>
      </w:pPr>
      <w:r w:rsidRPr="00A012A3">
        <w:rPr>
          <w:b/>
          <w:bCs/>
          <w:sz w:val="22"/>
          <w:szCs w:val="22"/>
        </w:rPr>
        <w:t>servizi strumentali</w:t>
      </w:r>
      <w:r w:rsidRPr="00A012A3">
        <w:rPr>
          <w:sz w:val="22"/>
          <w:szCs w:val="22"/>
        </w:rPr>
        <w:t>, non realizzano in via immediata un bisogno sociale ma si limitano a fornire ad un settore dell’Amministrazione un dato servizio che, solo in via mediata, è funzionale alla realizzazione dell’utilità collettiva. Esempi, invece, di servizi strumentali sono: manutenzione edifici, manutenzione verde, manutenzione strade, servizi ausiliari e di supporto, riscossione entrate ecc;.</w:t>
      </w:r>
    </w:p>
    <w:p w14:paraId="26AFF6E1" w14:textId="77777777" w:rsidR="00A012A3" w:rsidRPr="00A012A3" w:rsidRDefault="00A012A3" w:rsidP="00A012A3">
      <w:pPr>
        <w:pStyle w:val="Corpotesto"/>
        <w:widowControl/>
        <w:numPr>
          <w:ilvl w:val="0"/>
          <w:numId w:val="20"/>
        </w:numPr>
        <w:autoSpaceDE/>
        <w:autoSpaceDN/>
        <w:spacing w:before="120" w:after="120"/>
        <w:rPr>
          <w:sz w:val="22"/>
          <w:szCs w:val="22"/>
        </w:rPr>
      </w:pPr>
      <w:r w:rsidRPr="00A012A3">
        <w:rPr>
          <w:sz w:val="22"/>
          <w:szCs w:val="22"/>
        </w:rPr>
        <w:t xml:space="preserve">per </w:t>
      </w:r>
      <w:r w:rsidRPr="00A012A3">
        <w:rPr>
          <w:b/>
          <w:bCs/>
          <w:sz w:val="22"/>
          <w:szCs w:val="22"/>
        </w:rPr>
        <w:t>servizi pubblici locali</w:t>
      </w:r>
      <w:r w:rsidRPr="00A012A3">
        <w:rPr>
          <w:sz w:val="22"/>
          <w:szCs w:val="22"/>
        </w:rPr>
        <w:t xml:space="preserve"> s’intende qualsiasi attività che preveda la produzione di beni e servizi rivolti a realizzare fini sociali e a promuovere lo sviluppo economico e civile delle Comunità locali. </w:t>
      </w:r>
    </w:p>
    <w:p w14:paraId="479ED7E6" w14:textId="77777777" w:rsidR="00A012A3" w:rsidRPr="00A012A3" w:rsidRDefault="00A012A3" w:rsidP="00A012A3">
      <w:pPr>
        <w:pStyle w:val="Corpotesto"/>
        <w:rPr>
          <w:sz w:val="22"/>
          <w:szCs w:val="22"/>
        </w:rPr>
      </w:pPr>
      <w:r w:rsidRPr="00A012A3">
        <w:rPr>
          <w:sz w:val="22"/>
          <w:szCs w:val="22"/>
        </w:rPr>
        <w:t>I servizi pubblici locali a loro volta si distinguono in servizi:</w:t>
      </w:r>
    </w:p>
    <w:p w14:paraId="33CD7B4E" w14:textId="77777777" w:rsidR="00A012A3" w:rsidRPr="00A012A3" w:rsidRDefault="00A012A3" w:rsidP="00A012A3">
      <w:pPr>
        <w:pStyle w:val="Corpotesto"/>
        <w:widowControl/>
        <w:numPr>
          <w:ilvl w:val="0"/>
          <w:numId w:val="21"/>
        </w:numPr>
        <w:autoSpaceDE/>
        <w:autoSpaceDN/>
        <w:spacing w:before="120" w:after="120"/>
        <w:rPr>
          <w:sz w:val="22"/>
          <w:szCs w:val="22"/>
        </w:rPr>
      </w:pPr>
      <w:r w:rsidRPr="00A012A3">
        <w:rPr>
          <w:b/>
          <w:bCs/>
          <w:sz w:val="22"/>
          <w:szCs w:val="22"/>
        </w:rPr>
        <w:lastRenderedPageBreak/>
        <w:t xml:space="preserve"> servizi pubblici locali di rilevanza economica</w:t>
      </w:r>
      <w:r w:rsidRPr="00A012A3">
        <w:rPr>
          <w:sz w:val="22"/>
          <w:szCs w:val="22"/>
        </w:rPr>
        <w:t xml:space="preserve">:  sono definiti all’art. 2 come </w:t>
      </w:r>
      <w:r w:rsidRPr="00A012A3">
        <w:rPr>
          <w:i/>
          <w:iCs/>
          <w:sz w:val="22"/>
          <w:szCs w:val="22"/>
        </w:rPr>
        <w:t>“i servizi di interesse economico generale erogati o suscettibili di essere erogati dietro corrispettivo economico su un mercato, che non sarebbero svolti senza un intervento pubblico o sarebbero svolti a condizioni differenti in termini di accessibilità fisica ed economica, continuità, non discriminazione, qualità e sicurezza, che sono previsti dalla legge o che gli enti locali, nell'ambito delle proprie competenze, ritengono necessari per assicurare la soddisfazione dei bisogni delle comunità locali, così da garantire l’omogeneità dello sviluppo e la coesione sociale</w:t>
      </w:r>
      <w:r w:rsidRPr="00A012A3">
        <w:rPr>
          <w:sz w:val="22"/>
          <w:szCs w:val="22"/>
        </w:rPr>
        <w:t>”; Ai fini della qualificazione di un servizio pubblico locale sotto il profilo della rilevanza economica, non importa la valutazione fornita dalla pubblica amministrazione, ma occorre verificare in concreto se l’attività da espletare presenti o meno il connotato della ‘‘redditività`’’, anche solo in via potenziale. (Consiglio di Stato, sezione V, 27 agosto 2009, n. 5097);</w:t>
      </w:r>
    </w:p>
    <w:p w14:paraId="6D0036A0" w14:textId="77777777" w:rsidR="00A012A3" w:rsidRPr="00A012A3" w:rsidRDefault="00A012A3" w:rsidP="00A012A3">
      <w:pPr>
        <w:pStyle w:val="Corpotesto"/>
        <w:widowControl/>
        <w:numPr>
          <w:ilvl w:val="0"/>
          <w:numId w:val="21"/>
        </w:numPr>
        <w:autoSpaceDE/>
        <w:autoSpaceDN/>
        <w:spacing w:before="120" w:after="120"/>
        <w:rPr>
          <w:b/>
          <w:sz w:val="22"/>
          <w:szCs w:val="22"/>
        </w:rPr>
      </w:pPr>
      <w:r w:rsidRPr="00A012A3">
        <w:rPr>
          <w:b/>
          <w:bCs/>
          <w:sz w:val="22"/>
          <w:szCs w:val="22"/>
        </w:rPr>
        <w:t>servizi pubblici locali privi di rilevanza economica:  s</w:t>
      </w:r>
      <w:r w:rsidRPr="00A012A3">
        <w:rPr>
          <w:color w:val="333333"/>
          <w:sz w:val="22"/>
          <w:szCs w:val="22"/>
          <w:shd w:val="clear" w:color="auto" w:fill="FFFFFF"/>
        </w:rPr>
        <w:t>ono, invece, quelli realizzati </w:t>
      </w:r>
      <w:r w:rsidRPr="00A012A3">
        <w:rPr>
          <w:rStyle w:val="Enfasicorsivo"/>
          <w:iCs/>
          <w:color w:val="333333"/>
          <w:sz w:val="22"/>
          <w:szCs w:val="22"/>
          <w:bdr w:val="none" w:sz="0" w:space="0" w:color="auto" w:frame="1"/>
          <w:shd w:val="clear" w:color="auto" w:fill="FFFFFF"/>
        </w:rPr>
        <w:t>senza scopo di lucro</w:t>
      </w:r>
      <w:r w:rsidRPr="00A012A3">
        <w:rPr>
          <w:color w:val="333333"/>
          <w:sz w:val="22"/>
          <w:szCs w:val="22"/>
          <w:shd w:val="clear" w:color="auto" w:fill="FFFFFF"/>
        </w:rPr>
        <w:t> (es. i servizi sociali, culturali e del tempo libero), che vengono resi, cioè, con costi a totale o parziale carico dell’ente locale.</w:t>
      </w:r>
    </w:p>
    <w:p w14:paraId="3C3C896B" w14:textId="77777777" w:rsidR="00A012A3" w:rsidRPr="00A012A3" w:rsidRDefault="00A012A3" w:rsidP="00A012A3">
      <w:pPr>
        <w:pStyle w:val="Corpotesto"/>
        <w:widowControl/>
        <w:numPr>
          <w:ilvl w:val="0"/>
          <w:numId w:val="21"/>
        </w:numPr>
        <w:autoSpaceDE/>
        <w:autoSpaceDN/>
        <w:spacing w:before="120" w:after="120"/>
        <w:rPr>
          <w:bCs/>
          <w:sz w:val="22"/>
          <w:szCs w:val="22"/>
        </w:rPr>
      </w:pPr>
      <w:r w:rsidRPr="00A012A3">
        <w:rPr>
          <w:b/>
          <w:bCs/>
          <w:sz w:val="22"/>
          <w:szCs w:val="22"/>
        </w:rPr>
        <w:t xml:space="preserve">servizi a rete: </w:t>
      </w:r>
      <w:r w:rsidRPr="00A012A3">
        <w:rPr>
          <w:sz w:val="22"/>
          <w:szCs w:val="22"/>
        </w:rPr>
        <w:t xml:space="preserve"> sono definiti a rete “</w:t>
      </w:r>
      <w:r w:rsidRPr="00A012A3">
        <w:rPr>
          <w:i/>
          <w:iCs/>
          <w:sz w:val="22"/>
          <w:szCs w:val="22"/>
        </w:rPr>
        <w:t>i servizi di interesse economico generale di livello locale che sono suscettibili di essere organizzati tramite reti strutturali o collegamenti funzionali necessari tra le sedi di produzione o di svolgimento della prestazione oggetto di servizio, sottoposti a regolazione ad opera di un’autorità indipendente</w:t>
      </w:r>
      <w:r w:rsidRPr="00A012A3">
        <w:rPr>
          <w:sz w:val="22"/>
          <w:szCs w:val="22"/>
        </w:rPr>
        <w:t>”. Esempi di servizi a rete sono: servizio idrico, servizio gas, servizio energia elettrica, trasporto pubblico locale.</w:t>
      </w:r>
    </w:p>
    <w:p w14:paraId="5F2B9D47" w14:textId="77777777" w:rsidR="00CB1E9C" w:rsidRDefault="00CB1E9C" w:rsidP="0077299D"/>
    <w:p w14:paraId="6212A3C4" w14:textId="77777777" w:rsidR="00CB7BCF" w:rsidRDefault="00CB1E9C" w:rsidP="0077299D">
      <w:r>
        <w:t>Per quanto attiene ai Servizi non a rete,</w:t>
      </w:r>
      <w:r w:rsidR="00910D64" w:rsidRPr="00910D64">
        <w:t xml:space="preserve"> </w:t>
      </w:r>
      <w:r w:rsidR="00910D64">
        <w:t>l’</w:t>
      </w:r>
      <w:r w:rsidR="00910D64" w:rsidRPr="00910D64">
        <w:t>Allegato 2 al decreto 31 agosto 2023 del Direttore del Ministero delle Imprese e del Made in Italy</w:t>
      </w:r>
      <w:r w:rsidR="00910D64">
        <w:t xml:space="preserve"> indica</w:t>
      </w:r>
      <w:r>
        <w:t xml:space="preserve"> i seguenti servizi:</w:t>
      </w:r>
    </w:p>
    <w:p w14:paraId="03538DA0" w14:textId="39F75F5F" w:rsidR="00CB1E9C" w:rsidRDefault="00330B2A" w:rsidP="0077299D">
      <w:r>
        <w:t xml:space="preserve"> </w:t>
      </w:r>
    </w:p>
    <w:p w14:paraId="3FE920B1" w14:textId="3AD14E3E" w:rsidR="00330B2A" w:rsidRPr="00330B2A" w:rsidRDefault="00330B2A" w:rsidP="00330B2A">
      <w:pPr>
        <w:pStyle w:val="Paragrafoelenco"/>
        <w:numPr>
          <w:ilvl w:val="0"/>
          <w:numId w:val="17"/>
        </w:numPr>
        <w:ind w:left="284" w:hanging="284"/>
      </w:pPr>
      <w:r w:rsidRPr="00330B2A">
        <w:t>impianti sportivi (fatta eccezione per gli impianti a fune espressamente esclusi dall’art</w:t>
      </w:r>
      <w:r>
        <w:t>icolo</w:t>
      </w:r>
      <w:r w:rsidRPr="00330B2A">
        <w:t xml:space="preserve"> 36</w:t>
      </w:r>
      <w:r>
        <w:t xml:space="preserve"> </w:t>
      </w:r>
      <w:r w:rsidRPr="00330B2A">
        <w:t>del D.lgs. n. 201/2022);</w:t>
      </w:r>
    </w:p>
    <w:p w14:paraId="6D9807EE" w14:textId="3E0EA7E3" w:rsidR="00330B2A" w:rsidRPr="00330B2A" w:rsidRDefault="00330B2A" w:rsidP="00330B2A">
      <w:pPr>
        <w:pStyle w:val="Paragrafoelenco"/>
        <w:numPr>
          <w:ilvl w:val="0"/>
          <w:numId w:val="17"/>
        </w:numPr>
        <w:ind w:left="284" w:hanging="284"/>
      </w:pPr>
      <w:r w:rsidRPr="00330B2A">
        <w:t>parcheggi;</w:t>
      </w:r>
    </w:p>
    <w:p w14:paraId="7C75294C" w14:textId="10922D08" w:rsidR="00330B2A" w:rsidRPr="00330B2A" w:rsidRDefault="00330B2A" w:rsidP="00330B2A">
      <w:pPr>
        <w:pStyle w:val="Paragrafoelenco"/>
        <w:numPr>
          <w:ilvl w:val="0"/>
          <w:numId w:val="17"/>
        </w:numPr>
        <w:ind w:left="284" w:hanging="284"/>
      </w:pPr>
      <w:r w:rsidRPr="00330B2A">
        <w:t>servizi cimiteriali (citati anche i funebri se erogati come SPL);</w:t>
      </w:r>
    </w:p>
    <w:p w14:paraId="35BE41EB" w14:textId="0391BE84" w:rsidR="00330B2A" w:rsidRPr="00330B2A" w:rsidRDefault="00330B2A" w:rsidP="00330B2A">
      <w:pPr>
        <w:pStyle w:val="Paragrafoelenco"/>
        <w:numPr>
          <w:ilvl w:val="0"/>
          <w:numId w:val="17"/>
        </w:numPr>
        <w:ind w:left="284" w:hanging="284"/>
      </w:pPr>
      <w:r w:rsidRPr="00330B2A">
        <w:t>luci votive;</w:t>
      </w:r>
    </w:p>
    <w:p w14:paraId="264FAC0C" w14:textId="6EB283B8" w:rsidR="00330B2A" w:rsidRDefault="00330B2A" w:rsidP="00330B2A">
      <w:pPr>
        <w:pStyle w:val="Paragrafoelenco"/>
        <w:numPr>
          <w:ilvl w:val="0"/>
          <w:numId w:val="17"/>
        </w:numPr>
        <w:ind w:left="284" w:hanging="284"/>
      </w:pPr>
      <w:r w:rsidRPr="00330B2A">
        <w:t>trasporto scolastico.</w:t>
      </w:r>
    </w:p>
    <w:p w14:paraId="44C8DC3B" w14:textId="77777777" w:rsidR="00385333" w:rsidRDefault="00385333" w:rsidP="0077299D"/>
    <w:p w14:paraId="489CA1F1" w14:textId="7CE2108D" w:rsidR="00925AE8" w:rsidRPr="00B16D12" w:rsidRDefault="00E76283" w:rsidP="0077299D">
      <w:r w:rsidRPr="00B16D12">
        <w:t>L’individuazione del perimetro dei servizi inclusi nella ricognizione avviene alla data del 31/dicembre/ anno corrente, mentre per l’analisi vengono utilizzati gli ultimi dati ufficiali disponibili, alla data del (es: 31 dicembre anno precedente, in assenza di report infra</w:t>
      </w:r>
      <w:r w:rsidR="00E00EF4" w:rsidRPr="00B16D12">
        <w:t>-</w:t>
      </w:r>
      <w:r w:rsidRPr="00B16D12">
        <w:t>annuali).</w:t>
      </w:r>
    </w:p>
    <w:p w14:paraId="05305476" w14:textId="77777777" w:rsidR="00925AE8" w:rsidRPr="00B16D12" w:rsidRDefault="00925AE8" w:rsidP="0077299D"/>
    <w:p w14:paraId="19E97D68" w14:textId="4AA62033" w:rsidR="00385333" w:rsidRPr="00B16D12" w:rsidRDefault="00385333" w:rsidP="0077299D">
      <w:r w:rsidRPr="00B16D12">
        <w:t>Sulla scorta di queste indicazioni viene quindi redatta una relazione suddivisa in due sezioni:</w:t>
      </w:r>
    </w:p>
    <w:p w14:paraId="1FE51B96" w14:textId="36010674" w:rsidR="00385333" w:rsidRPr="00B16D12" w:rsidRDefault="00385333" w:rsidP="00B9400C">
      <w:pPr>
        <w:pStyle w:val="Paragrafoelenco"/>
        <w:numPr>
          <w:ilvl w:val="0"/>
          <w:numId w:val="11"/>
        </w:numPr>
        <w:ind w:left="284" w:hanging="284"/>
      </w:pPr>
      <w:r w:rsidRPr="00B16D12">
        <w:t>Sezione A: situazione gestionale dei Servizi Pubblici di Rilevanza Economica affidati dall’ente con modalità diverse dall’</w:t>
      </w:r>
      <w:r w:rsidRPr="00B16D12">
        <w:rPr>
          <w:i/>
          <w:iCs/>
        </w:rPr>
        <w:t>in house providing</w:t>
      </w:r>
      <w:r w:rsidRPr="00B16D12">
        <w:t>;</w:t>
      </w:r>
    </w:p>
    <w:p w14:paraId="123D2A1A" w14:textId="0FF09D97" w:rsidR="00385333" w:rsidRPr="00B16D12" w:rsidRDefault="00385333" w:rsidP="00B9400C">
      <w:pPr>
        <w:pStyle w:val="Paragrafoelenco"/>
        <w:numPr>
          <w:ilvl w:val="0"/>
          <w:numId w:val="11"/>
        </w:numPr>
        <w:ind w:left="284" w:hanging="284"/>
      </w:pPr>
      <w:r w:rsidRPr="00B16D12">
        <w:t xml:space="preserve">Sezione B: situazione gestionale dei Servizi Pubblici di Rilevanza Economica affidati dall’ente con modalità </w:t>
      </w:r>
      <w:r w:rsidRPr="00B16D12">
        <w:rPr>
          <w:i/>
          <w:iCs/>
        </w:rPr>
        <w:t>in house providing</w:t>
      </w:r>
      <w:r w:rsidRPr="00B16D12">
        <w:t>;</w:t>
      </w:r>
    </w:p>
    <w:p w14:paraId="0399B0C2" w14:textId="389124A5" w:rsidR="00385333" w:rsidRPr="00B16D12" w:rsidRDefault="00385333" w:rsidP="0077299D">
      <w:r w:rsidRPr="00B16D12">
        <w:t xml:space="preserve">Ai sensi dell’articolo 30 comma </w:t>
      </w:r>
      <w:r w:rsidR="00330B2A" w:rsidRPr="00B16D12">
        <w:t xml:space="preserve">2 </w:t>
      </w:r>
      <w:r w:rsidRPr="00B16D12">
        <w:t>del D. Lgs. n. 201/2022 la sezione B della relazione costituisce appendice della revisione ordinaria delle partecipazioni adottata annualmente ai sensi dell’art</w:t>
      </w:r>
      <w:r w:rsidR="008F7C47" w:rsidRPr="00B16D12">
        <w:t>icolo</w:t>
      </w:r>
      <w:r w:rsidRPr="00B16D12">
        <w:t xml:space="preserve"> 20 del D. Lgs. n. 175/2016 (Testo Unico in materia di Società a Partecipazione Pubblica</w:t>
      </w:r>
      <w:r w:rsidR="008F7C47" w:rsidRPr="00B16D12">
        <w:t xml:space="preserve"> – T.U.S.P.</w:t>
      </w:r>
      <w:r w:rsidRPr="00B16D12">
        <w:t>).</w:t>
      </w:r>
    </w:p>
    <w:p w14:paraId="41D4527B" w14:textId="77777777" w:rsidR="00CB1E9C" w:rsidRPr="00B16D12" w:rsidRDefault="00CB1E9C" w:rsidP="0077299D"/>
    <w:p w14:paraId="5CE8E52E" w14:textId="77777777" w:rsidR="00CB5A41" w:rsidRPr="00B16D12" w:rsidRDefault="00CB5A41">
      <w:pPr>
        <w:jc w:val="left"/>
        <w:rPr>
          <w:b/>
          <w:bCs/>
          <w:u w:val="single"/>
        </w:rPr>
      </w:pPr>
      <w:r w:rsidRPr="00B16D12">
        <w:br w:type="page"/>
      </w:r>
    </w:p>
    <w:p w14:paraId="3553140C" w14:textId="59924EE1" w:rsidR="00CB1E9C" w:rsidRPr="00B16D12" w:rsidRDefault="00CB1E9C" w:rsidP="0077299D">
      <w:pPr>
        <w:pStyle w:val="Titolo1"/>
      </w:pPr>
      <w:r w:rsidRPr="00B16D12">
        <w:lastRenderedPageBreak/>
        <w:t>CONTESTO DI RIFERIMENTO</w:t>
      </w:r>
    </w:p>
    <w:p w14:paraId="10F34768" w14:textId="77777777" w:rsidR="00CB1E9C" w:rsidRPr="00B16D12" w:rsidRDefault="00CB1E9C" w:rsidP="0077299D"/>
    <w:p w14:paraId="193966D1" w14:textId="6822B6A1" w:rsidR="009D3A73" w:rsidRPr="00B16D12" w:rsidRDefault="009D3A73" w:rsidP="0077299D">
      <w:r w:rsidRPr="00B16D12">
        <w:t xml:space="preserve">L’Unione Terra dei Castelli </w:t>
      </w:r>
      <w:r w:rsidR="001825D0">
        <w:t>( Unione di Comuni che ricomprende ex art 32 del Dlgs. n. 267/2000 i Comuni di Agugliano  e Polverigi</w:t>
      </w:r>
      <w:r w:rsidR="00DC1875">
        <w:t>)</w:t>
      </w:r>
      <w:r w:rsidR="001825D0">
        <w:t xml:space="preserve">   </w:t>
      </w:r>
      <w:r w:rsidRPr="00B16D12">
        <w:t>gestisce in forma associata tutte le funzioni dei Comuni di Agugliano e Polverigi a far data dal 1.1.2018 in base alla Convenzione sottoscritta in data 22 dicembre 2017.</w:t>
      </w:r>
    </w:p>
    <w:p w14:paraId="5CFD5E41" w14:textId="77777777" w:rsidR="000E621F" w:rsidRPr="00B16D12" w:rsidRDefault="000E621F" w:rsidP="0077299D"/>
    <w:p w14:paraId="4D3F278B" w14:textId="5B3B931B" w:rsidR="009D3A73" w:rsidRPr="00B16D12" w:rsidRDefault="009D3A73" w:rsidP="0077299D">
      <w:r w:rsidRPr="00B16D12">
        <w:t xml:space="preserve">I Comuni di Agugliano </w:t>
      </w:r>
      <w:r w:rsidR="001825D0">
        <w:t xml:space="preserve">(AN) </w:t>
      </w:r>
      <w:r w:rsidRPr="00B16D12">
        <w:t xml:space="preserve">e Polverigi </w:t>
      </w:r>
      <w:r w:rsidR="001825D0">
        <w:t xml:space="preserve">(AN) </w:t>
      </w:r>
      <w:r w:rsidRPr="00B16D12">
        <w:t>hanno una popolazione</w:t>
      </w:r>
      <w:r w:rsidR="001825D0">
        <w:t xml:space="preserve"> entrambi </w:t>
      </w:r>
      <w:r w:rsidRPr="00B16D12">
        <w:t xml:space="preserve"> inferiore a 5.000 abitanti e pertanto non rientrano nel perimetro degli Enti tenuti della ricognizione dei servizi pubblici locali richiamati dall’art. 30 del D. Lgs. 201/2022. </w:t>
      </w:r>
    </w:p>
    <w:p w14:paraId="54E6B48D" w14:textId="748D64C6" w:rsidR="009D3A73" w:rsidRPr="00B16D12" w:rsidRDefault="009D3A73" w:rsidP="0077299D">
      <w:r w:rsidRPr="00B16D12">
        <w:t>D’altro canto l’Unione Terra dei Castelli</w:t>
      </w:r>
      <w:r w:rsidR="000B5105" w:rsidRPr="00B16D12">
        <w:t xml:space="preserve"> </w:t>
      </w:r>
      <w:r w:rsidRPr="00B16D12">
        <w:t>è la forma associata dei due Comuni e</w:t>
      </w:r>
      <w:r w:rsidR="000E621F" w:rsidRPr="00B16D12">
        <w:t xml:space="preserve">, seppur nella normativa vigente </w:t>
      </w:r>
      <w:r w:rsidR="00886F8F" w:rsidRPr="00B16D12">
        <w:t xml:space="preserve">le Unioni formate da Comuni con meno di 5.000 abitanti sono equiparate ai piccoli comuni (rif. Legge Del Rio L. 56/2014 art.1 comma 115 e convenzione per esercizio associato della funzioni tra l’Unione Terra dei Castelli ed i Comuni di Agugliano e Polverigi – art.4 comma 6 ed art.7 comma 5), nel presente contesto </w:t>
      </w:r>
      <w:r w:rsidRPr="00B16D12">
        <w:t>raccoglie</w:t>
      </w:r>
      <w:r w:rsidR="00886F8F" w:rsidRPr="00B16D12">
        <w:t>ndo</w:t>
      </w:r>
      <w:r w:rsidRPr="00B16D12">
        <w:t xml:space="preserve"> più di 5.000 abitanti</w:t>
      </w:r>
      <w:r w:rsidR="00886F8F" w:rsidRPr="00B16D12">
        <w:t xml:space="preserve">, in quanto identificata con la somma degli abitanti </w:t>
      </w:r>
      <w:r w:rsidR="000B5105" w:rsidRPr="00B16D12">
        <w:t>dei due Comuni</w:t>
      </w:r>
      <w:r w:rsidR="000E621F" w:rsidRPr="00B16D12">
        <w:t xml:space="preserve">, </w:t>
      </w:r>
      <w:r w:rsidR="00886F8F" w:rsidRPr="00B16D12">
        <w:t>si procede alla ricognizione dei servizi pubblici locali ex art.30 D.Lgs. 201/2022.</w:t>
      </w:r>
    </w:p>
    <w:p w14:paraId="78907543" w14:textId="77777777" w:rsidR="00886F8F" w:rsidRPr="00B16D12" w:rsidRDefault="00886F8F" w:rsidP="0077299D"/>
    <w:p w14:paraId="10C3B7E0" w14:textId="0D8351CC" w:rsidR="009D3A73" w:rsidRPr="00B16D12" w:rsidRDefault="000B5105" w:rsidP="0077299D">
      <w:r w:rsidRPr="00B16D12">
        <w:t xml:space="preserve">L’Unione </w:t>
      </w:r>
      <w:r w:rsidR="009D3A73" w:rsidRPr="00B16D12">
        <w:t>non possiede partecipazioni societarie</w:t>
      </w:r>
      <w:r w:rsidRPr="00B16D12">
        <w:t xml:space="preserve"> e pertanto i servizi non sono affidati in-house providing.</w:t>
      </w:r>
    </w:p>
    <w:p w14:paraId="5088070D" w14:textId="77777777" w:rsidR="000B5105" w:rsidRPr="00B16D12" w:rsidRDefault="000B5105" w:rsidP="0077299D"/>
    <w:p w14:paraId="168E997F" w14:textId="42C7724C" w:rsidR="00886F8F" w:rsidRPr="00B16D12" w:rsidRDefault="000B5105" w:rsidP="009D3A73">
      <w:r w:rsidRPr="00B16D12">
        <w:t>I Comuni di Agugliano e Polverigi hanno trasferito l</w:t>
      </w:r>
      <w:r w:rsidR="00D67781" w:rsidRPr="00B16D12">
        <w:t>e</w:t>
      </w:r>
      <w:r w:rsidRPr="00B16D12">
        <w:t xml:space="preserve"> funzion</w:t>
      </w:r>
      <w:r w:rsidR="00D67781" w:rsidRPr="00B16D12">
        <w:t>i</w:t>
      </w:r>
      <w:r w:rsidRPr="00B16D12">
        <w:t xml:space="preserve"> </w:t>
      </w:r>
      <w:r w:rsidR="00D67781" w:rsidRPr="00B16D12">
        <w:t xml:space="preserve">inerenti i </w:t>
      </w:r>
      <w:r w:rsidRPr="00B16D12">
        <w:t>Servizi Sociali e</w:t>
      </w:r>
      <w:r w:rsidR="00D67781" w:rsidRPr="00B16D12">
        <w:t>d i</w:t>
      </w:r>
      <w:r w:rsidRPr="00B16D12">
        <w:t xml:space="preserve"> </w:t>
      </w:r>
      <w:r w:rsidR="00205511">
        <w:t xml:space="preserve">Servizi Scolastici </w:t>
      </w:r>
      <w:r w:rsidRPr="00B16D12">
        <w:t xml:space="preserve"> </w:t>
      </w:r>
      <w:r w:rsidR="00D67781" w:rsidRPr="00B16D12">
        <w:t>all’Unione</w:t>
      </w:r>
      <w:r w:rsidR="00205511">
        <w:t xml:space="preserve"> dei Comuni con proprie deliberazioni consiliari</w:t>
      </w:r>
      <w:r w:rsidR="00D67781" w:rsidRPr="00B16D12">
        <w:t>, recepite c</w:t>
      </w:r>
      <w:r w:rsidR="009D3A73" w:rsidRPr="00B16D12">
        <w:t xml:space="preserve">on delibera di Consiglio dell’Unione </w:t>
      </w:r>
      <w:r w:rsidR="00D67781" w:rsidRPr="00B16D12">
        <w:t>rispettivamente n.9 del 4.07.2016 e n.16 del 28.10.2016</w:t>
      </w:r>
      <w:r w:rsidR="00205511">
        <w:t>, ancora prima del trasferimento di tutti i servizi con decorrenza 1^ gennaio 2018</w:t>
      </w:r>
      <w:r w:rsidR="001E4761">
        <w:t>, fatta eccezione per il servizio elettorale rimasto in capo ai singoli Comuni</w:t>
      </w:r>
      <w:r w:rsidR="00D67781" w:rsidRPr="00B16D12">
        <w:t xml:space="preserve">. </w:t>
      </w:r>
    </w:p>
    <w:p w14:paraId="4E3BD582" w14:textId="77777777" w:rsidR="00886F8F" w:rsidRPr="00B16D12" w:rsidRDefault="00886F8F" w:rsidP="009D3A73"/>
    <w:p w14:paraId="2A7518F4" w14:textId="131A0312" w:rsidR="009D3A73" w:rsidRPr="00B16D12" w:rsidRDefault="00886F8F" w:rsidP="009D3A73">
      <w:r w:rsidRPr="00B16D12">
        <w:t>Nel contesto della presente ricognizione i servizi sociali sono espressamente esclusi, in quanto non suscettibili di rilevanza economica mentre p</w:t>
      </w:r>
      <w:r w:rsidR="009D3A73" w:rsidRPr="00B16D12">
        <w:t>er quanto riguarda i Servizi non a rete</w:t>
      </w:r>
      <w:r w:rsidRPr="00B16D12">
        <w:t xml:space="preserve"> </w:t>
      </w:r>
      <w:r w:rsidR="009D3A73" w:rsidRPr="00B16D12">
        <w:t>per i quali il D.L.gs. n. 201/2022 richiede l’analisi</w:t>
      </w:r>
      <w:r w:rsidRPr="00B16D12">
        <w:t>, si fa espresso</w:t>
      </w:r>
      <w:r w:rsidR="007E497B" w:rsidRPr="00B16D12">
        <w:t xml:space="preserve"> riferimento al</w:t>
      </w:r>
      <w:r w:rsidR="009D3A73" w:rsidRPr="00B16D12">
        <w:t xml:space="preserve">l’Allegato 2 al decreto 31 agosto 2023 del Direttore del Ministero delle Imprese e del Made in Italy </w:t>
      </w:r>
      <w:r w:rsidR="007E497B" w:rsidRPr="00B16D12">
        <w:t xml:space="preserve">che </w:t>
      </w:r>
      <w:r w:rsidR="009D3A73" w:rsidRPr="00B16D12">
        <w:t>indica i seguenti servizi</w:t>
      </w:r>
      <w:r w:rsidR="007E497B" w:rsidRPr="00B16D12">
        <w:t xml:space="preserve"> tra quelli non a rete</w:t>
      </w:r>
      <w:r w:rsidR="009D3A73" w:rsidRPr="00B16D12">
        <w:t xml:space="preserve">: </w:t>
      </w:r>
    </w:p>
    <w:p w14:paraId="694B22C7" w14:textId="77777777" w:rsidR="009D3A73" w:rsidRPr="00B16D12" w:rsidRDefault="009D3A73" w:rsidP="009D3A73">
      <w:pPr>
        <w:pStyle w:val="Paragrafoelenco"/>
        <w:numPr>
          <w:ilvl w:val="0"/>
          <w:numId w:val="17"/>
        </w:numPr>
        <w:ind w:left="284" w:hanging="284"/>
      </w:pPr>
      <w:r w:rsidRPr="00B16D12">
        <w:t>impianti sportivi (fatta eccezione per gli impianti a fune espressamente esclusi dall’articolo 36 del D.lgs. n. 201/2022);</w:t>
      </w:r>
    </w:p>
    <w:p w14:paraId="028219D8" w14:textId="77777777" w:rsidR="009D3A73" w:rsidRPr="00B16D12" w:rsidRDefault="009D3A73" w:rsidP="009D3A73">
      <w:pPr>
        <w:pStyle w:val="Paragrafoelenco"/>
        <w:numPr>
          <w:ilvl w:val="0"/>
          <w:numId w:val="17"/>
        </w:numPr>
        <w:ind w:left="284" w:hanging="284"/>
      </w:pPr>
      <w:r w:rsidRPr="00B16D12">
        <w:t>parcheggi;</w:t>
      </w:r>
    </w:p>
    <w:p w14:paraId="54261603" w14:textId="77777777" w:rsidR="009D3A73" w:rsidRPr="00B16D12" w:rsidRDefault="009D3A73" w:rsidP="009D3A73">
      <w:pPr>
        <w:pStyle w:val="Paragrafoelenco"/>
        <w:numPr>
          <w:ilvl w:val="0"/>
          <w:numId w:val="17"/>
        </w:numPr>
        <w:ind w:left="284" w:hanging="284"/>
      </w:pPr>
      <w:r w:rsidRPr="00B16D12">
        <w:t>servizi cimiteriali (citati anche i funebri se erogati come SPL);</w:t>
      </w:r>
    </w:p>
    <w:p w14:paraId="542740D1" w14:textId="77777777" w:rsidR="009D3A73" w:rsidRPr="00B16D12" w:rsidRDefault="009D3A73" w:rsidP="009D3A73">
      <w:pPr>
        <w:pStyle w:val="Paragrafoelenco"/>
        <w:numPr>
          <w:ilvl w:val="0"/>
          <w:numId w:val="17"/>
        </w:numPr>
        <w:ind w:left="284" w:hanging="284"/>
      </w:pPr>
      <w:r w:rsidRPr="00B16D12">
        <w:t>luci votive;</w:t>
      </w:r>
    </w:p>
    <w:p w14:paraId="00EE6699" w14:textId="77777777" w:rsidR="009D3A73" w:rsidRPr="00B16D12" w:rsidRDefault="009D3A73" w:rsidP="009D3A73">
      <w:pPr>
        <w:pStyle w:val="Paragrafoelenco"/>
        <w:numPr>
          <w:ilvl w:val="0"/>
          <w:numId w:val="17"/>
        </w:numPr>
        <w:ind w:left="284" w:hanging="284"/>
      </w:pPr>
      <w:r w:rsidRPr="00B16D12">
        <w:t>trasporto scolastico.</w:t>
      </w:r>
    </w:p>
    <w:p w14:paraId="586AB033" w14:textId="77777777" w:rsidR="00886F8F" w:rsidRPr="00B16D12" w:rsidRDefault="00886F8F" w:rsidP="0077299D"/>
    <w:p w14:paraId="1FF0B7D0" w14:textId="50EFFC60" w:rsidR="009D3A73" w:rsidRPr="00B16D12" w:rsidRDefault="00886F8F" w:rsidP="0077299D">
      <w:r w:rsidRPr="00B16D12">
        <w:t>Alla luce di quanto sopra, l</w:t>
      </w:r>
      <w:r w:rsidR="007E497B" w:rsidRPr="00B16D12">
        <w:t xml:space="preserve">’unico servizio di rilievo </w:t>
      </w:r>
      <w:r w:rsidRPr="00B16D12">
        <w:t>per l’Unione ai fini della presente ricognizione</w:t>
      </w:r>
      <w:r w:rsidR="00C3759A">
        <w:t xml:space="preserve">, con esclusione, pertanto,  dei servizi </w:t>
      </w:r>
      <w:r w:rsidR="00536E14">
        <w:t xml:space="preserve">finali e dei servizi </w:t>
      </w:r>
      <w:r w:rsidR="00C3759A">
        <w:t xml:space="preserve">strumentali all’ Ente, </w:t>
      </w:r>
      <w:r w:rsidRPr="00B16D12">
        <w:t xml:space="preserve"> </w:t>
      </w:r>
      <w:r w:rsidR="007E497B" w:rsidRPr="00B16D12">
        <w:t>è il servizio di trasporto scolastico</w:t>
      </w:r>
      <w:r w:rsidRPr="00B16D12">
        <w:t>.</w:t>
      </w:r>
    </w:p>
    <w:p w14:paraId="62CAED8A" w14:textId="77777777" w:rsidR="00886F8F" w:rsidRPr="00B16D12" w:rsidRDefault="00886F8F" w:rsidP="0077299D"/>
    <w:p w14:paraId="0E63EE54" w14:textId="4A2A1619" w:rsidR="00CB1E9C" w:rsidRPr="00B16D12" w:rsidRDefault="00CB1E9C" w:rsidP="0077299D">
      <w:r w:rsidRPr="00B16D12">
        <w:t>Sulla scorta di quanto sopra esposto</w:t>
      </w:r>
      <w:r w:rsidR="00385333" w:rsidRPr="00B16D12">
        <w:t xml:space="preserve">, l’Ente </w:t>
      </w:r>
      <w:r w:rsidR="00330B2A" w:rsidRPr="00B16D12">
        <w:t>ritiene di includere nel perimetro della presente relazione</w:t>
      </w:r>
      <w:r w:rsidR="00385333" w:rsidRPr="00B16D12">
        <w:t xml:space="preserve"> i seguenti servizi:</w:t>
      </w:r>
    </w:p>
    <w:p w14:paraId="476C3D31" w14:textId="77777777" w:rsidR="00D96270" w:rsidRPr="00B16D12" w:rsidRDefault="00D96270" w:rsidP="0077299D"/>
    <w:p w14:paraId="2324D008" w14:textId="5DD072E9" w:rsidR="00385333" w:rsidRPr="00B16D12" w:rsidRDefault="00385333" w:rsidP="00CB5A41">
      <w:pPr>
        <w:pStyle w:val="Paragrafoelenco"/>
        <w:numPr>
          <w:ilvl w:val="0"/>
          <w:numId w:val="12"/>
        </w:numPr>
        <w:ind w:left="284" w:hanging="284"/>
      </w:pPr>
      <w:r w:rsidRPr="00B16D12">
        <w:t xml:space="preserve">Servizi Pubblici Locali di Rilevanza Economica affidati con modalità diverse dall’ </w:t>
      </w:r>
      <w:r w:rsidRPr="00B16D12">
        <w:rPr>
          <w:i/>
          <w:iCs/>
        </w:rPr>
        <w:t>in house providing</w:t>
      </w:r>
      <w:r w:rsidRPr="00B16D12">
        <w:t>:</w:t>
      </w:r>
    </w:p>
    <w:p w14:paraId="7EF01263" w14:textId="77777777" w:rsidR="007E497B" w:rsidRPr="00B16D12" w:rsidRDefault="007E497B" w:rsidP="007E497B"/>
    <w:p w14:paraId="46880853" w14:textId="77777777" w:rsidR="00385333" w:rsidRPr="00B16D12" w:rsidRDefault="00385333" w:rsidP="0077299D">
      <w:pPr>
        <w:pStyle w:val="Paragrafoelenco"/>
      </w:pPr>
    </w:p>
    <w:tbl>
      <w:tblPr>
        <w:tblStyle w:val="Grigliatabella"/>
        <w:tblW w:w="0" w:type="auto"/>
        <w:tblInd w:w="720" w:type="dxa"/>
        <w:tblLook w:val="04A0" w:firstRow="1" w:lastRow="0" w:firstColumn="1" w:lastColumn="0" w:noHBand="0" w:noVBand="1"/>
      </w:tblPr>
      <w:tblGrid>
        <w:gridCol w:w="2511"/>
        <w:gridCol w:w="2228"/>
        <w:gridCol w:w="2062"/>
        <w:gridCol w:w="2392"/>
      </w:tblGrid>
      <w:tr w:rsidR="00B16D12" w:rsidRPr="00B16D12" w14:paraId="399CE405" w14:textId="77777777" w:rsidTr="00D104AD">
        <w:tc>
          <w:tcPr>
            <w:tcW w:w="2722" w:type="dxa"/>
            <w:vAlign w:val="center"/>
          </w:tcPr>
          <w:p w14:paraId="3E6A45C0" w14:textId="6AC00663" w:rsidR="00385333" w:rsidRPr="00B16D12" w:rsidRDefault="00385333" w:rsidP="00D104AD">
            <w:pPr>
              <w:jc w:val="center"/>
            </w:pPr>
            <w:bookmarkStart w:id="0" w:name="_Hlk151716673"/>
            <w:r w:rsidRPr="00B16D12">
              <w:t>DESCRIZIONE DEL SERVIZIO</w:t>
            </w:r>
          </w:p>
        </w:tc>
        <w:tc>
          <w:tcPr>
            <w:tcW w:w="2490" w:type="dxa"/>
            <w:vAlign w:val="center"/>
          </w:tcPr>
          <w:p w14:paraId="0E029F0F" w14:textId="589FB76E" w:rsidR="00385333" w:rsidRPr="00B16D12" w:rsidRDefault="00385333" w:rsidP="00D104AD">
            <w:pPr>
              <w:jc w:val="center"/>
            </w:pPr>
            <w:r w:rsidRPr="00B16D12">
              <w:t>SERVIZIO A RETE SI/NO</w:t>
            </w:r>
          </w:p>
        </w:tc>
        <w:tc>
          <w:tcPr>
            <w:tcW w:w="2133" w:type="dxa"/>
            <w:vAlign w:val="center"/>
          </w:tcPr>
          <w:p w14:paraId="2713E990" w14:textId="35A90165" w:rsidR="00385333" w:rsidRPr="00B16D12" w:rsidRDefault="00385333" w:rsidP="00D104AD">
            <w:pPr>
              <w:jc w:val="center"/>
            </w:pPr>
            <w:r w:rsidRPr="00B16D12">
              <w:t>MODALITA’ DI AFFIDAMENTO</w:t>
            </w:r>
          </w:p>
        </w:tc>
        <w:tc>
          <w:tcPr>
            <w:tcW w:w="2392" w:type="dxa"/>
            <w:vAlign w:val="center"/>
          </w:tcPr>
          <w:p w14:paraId="159CC0CB" w14:textId="0C72B199" w:rsidR="00385333" w:rsidRPr="00B16D12" w:rsidRDefault="00385333" w:rsidP="00D104AD">
            <w:pPr>
              <w:jc w:val="center"/>
            </w:pPr>
            <w:r w:rsidRPr="00B16D12">
              <w:t>DURATA DELL’AFFIDAMENTO</w:t>
            </w:r>
          </w:p>
        </w:tc>
      </w:tr>
      <w:tr w:rsidR="007E497B" w:rsidRPr="00B16D12" w14:paraId="4B0C52D9" w14:textId="77777777" w:rsidTr="00385333">
        <w:tc>
          <w:tcPr>
            <w:tcW w:w="2722" w:type="dxa"/>
          </w:tcPr>
          <w:p w14:paraId="52E4571A" w14:textId="6A59FC6A" w:rsidR="00385333" w:rsidRPr="00B16D12" w:rsidRDefault="007E497B" w:rsidP="007E497B">
            <w:pPr>
              <w:pStyle w:val="Paragrafoelenco"/>
              <w:ind w:left="18"/>
              <w:jc w:val="center"/>
            </w:pPr>
            <w:r w:rsidRPr="00B16D12">
              <w:t>Trasporto scolastico</w:t>
            </w:r>
          </w:p>
        </w:tc>
        <w:tc>
          <w:tcPr>
            <w:tcW w:w="2490" w:type="dxa"/>
          </w:tcPr>
          <w:p w14:paraId="1CEE5EA2" w14:textId="19354D25" w:rsidR="00385333" w:rsidRPr="00B16D12" w:rsidRDefault="007E497B" w:rsidP="007E497B">
            <w:pPr>
              <w:pStyle w:val="Paragrafoelenco"/>
              <w:ind w:left="58"/>
              <w:jc w:val="center"/>
            </w:pPr>
            <w:r w:rsidRPr="00B16D12">
              <w:t>no</w:t>
            </w:r>
          </w:p>
        </w:tc>
        <w:tc>
          <w:tcPr>
            <w:tcW w:w="2133" w:type="dxa"/>
          </w:tcPr>
          <w:p w14:paraId="4AEBB836" w14:textId="19DDFCF8" w:rsidR="00385333" w:rsidRPr="00B16D12" w:rsidRDefault="007E497B" w:rsidP="007E497B">
            <w:pPr>
              <w:pStyle w:val="Paragrafoelenco"/>
              <w:ind w:left="0"/>
              <w:jc w:val="center"/>
            </w:pPr>
            <w:r w:rsidRPr="00B16D12">
              <w:t>Adesione SUAM Regione Marche</w:t>
            </w:r>
          </w:p>
        </w:tc>
        <w:tc>
          <w:tcPr>
            <w:tcW w:w="2392" w:type="dxa"/>
          </w:tcPr>
          <w:p w14:paraId="7FB12CB0" w14:textId="6E34B9AB" w:rsidR="00385333" w:rsidRPr="00B16D12" w:rsidRDefault="00886F8F" w:rsidP="007E497B">
            <w:pPr>
              <w:pStyle w:val="Paragrafoelenco"/>
              <w:ind w:left="21"/>
              <w:jc w:val="center"/>
            </w:pPr>
            <w:r w:rsidRPr="00B16D12">
              <w:t xml:space="preserve">Cinque </w:t>
            </w:r>
            <w:r w:rsidR="007E497B" w:rsidRPr="00B16D12">
              <w:t>anni</w:t>
            </w:r>
          </w:p>
        </w:tc>
      </w:tr>
      <w:bookmarkEnd w:id="0"/>
    </w:tbl>
    <w:p w14:paraId="0C2ED8F5" w14:textId="77777777" w:rsidR="00385333" w:rsidRPr="00B16D12" w:rsidRDefault="00385333" w:rsidP="0077299D">
      <w:pPr>
        <w:pStyle w:val="Paragrafoelenco"/>
      </w:pPr>
    </w:p>
    <w:p w14:paraId="317B6DA5" w14:textId="0C3468CC" w:rsidR="00385333" w:rsidRPr="00B16D12" w:rsidRDefault="00385333" w:rsidP="00CB5A41">
      <w:pPr>
        <w:pStyle w:val="Paragrafoelenco"/>
        <w:numPr>
          <w:ilvl w:val="0"/>
          <w:numId w:val="12"/>
        </w:numPr>
        <w:ind w:left="284" w:hanging="284"/>
      </w:pPr>
      <w:r w:rsidRPr="00B16D12">
        <w:t xml:space="preserve">Servizi Pubblici Locali di Rilevanza Economica affidati con modalità </w:t>
      </w:r>
      <w:r w:rsidRPr="00B16D12">
        <w:rPr>
          <w:i/>
          <w:iCs/>
        </w:rPr>
        <w:t>in house providing</w:t>
      </w:r>
      <w:r w:rsidRPr="00B16D12">
        <w:t>:</w:t>
      </w:r>
    </w:p>
    <w:p w14:paraId="596724D1" w14:textId="77777777" w:rsidR="00CB1E9C" w:rsidRPr="00B16D12" w:rsidRDefault="00CB1E9C" w:rsidP="0077299D"/>
    <w:p w14:paraId="471F0332" w14:textId="186C1C32" w:rsidR="007E497B" w:rsidRPr="00B16D12" w:rsidRDefault="007E497B" w:rsidP="0077299D">
      <w:r w:rsidRPr="00B16D12">
        <w:lastRenderedPageBreak/>
        <w:t xml:space="preserve">L’Unione non ha gestisce servizi di rilevanza economica </w:t>
      </w:r>
      <w:r w:rsidR="00515560" w:rsidRPr="00B16D12">
        <w:t>con modalità in house providing in quanto non possiede partecipazioni societarie</w:t>
      </w:r>
      <w:r w:rsidR="002D0628">
        <w:t>.</w:t>
      </w:r>
    </w:p>
    <w:p w14:paraId="7493DC08" w14:textId="04B8BC72" w:rsidR="00D96270" w:rsidRPr="00B16D12" w:rsidRDefault="00D96270" w:rsidP="0077299D">
      <w:r w:rsidRPr="00B16D12">
        <w:br w:type="page"/>
      </w:r>
    </w:p>
    <w:p w14:paraId="20B45D6D" w14:textId="035C45EF" w:rsidR="00CC2AA3" w:rsidRPr="00B16D12" w:rsidRDefault="00CC2AA3" w:rsidP="00CC2AA3">
      <w:pPr>
        <w:pStyle w:val="Titolo1"/>
      </w:pPr>
      <w:r w:rsidRPr="00B16D12">
        <w:lastRenderedPageBreak/>
        <w:t>RELAZIONE DI RICOGNIZIONE</w:t>
      </w:r>
    </w:p>
    <w:p w14:paraId="472F252F" w14:textId="77777777" w:rsidR="00657786" w:rsidRPr="00B16D12" w:rsidRDefault="00657786" w:rsidP="00657786">
      <w:pPr>
        <w:pStyle w:val="Titolo1"/>
        <w:numPr>
          <w:ilvl w:val="0"/>
          <w:numId w:val="0"/>
        </w:numPr>
        <w:ind w:left="284"/>
      </w:pPr>
    </w:p>
    <w:p w14:paraId="36C11763" w14:textId="71DBBE54" w:rsidR="00C23748" w:rsidRPr="00B16D12" w:rsidRDefault="00D96270" w:rsidP="00C23748">
      <w:pPr>
        <w:jc w:val="center"/>
        <w:rPr>
          <w:b/>
          <w:bCs/>
        </w:rPr>
      </w:pPr>
      <w:r w:rsidRPr="00B16D12">
        <w:rPr>
          <w:b/>
          <w:bCs/>
        </w:rPr>
        <w:t>SEZIONE A</w:t>
      </w:r>
      <w:r w:rsidR="00C23748" w:rsidRPr="00B16D12">
        <w:rPr>
          <w:b/>
          <w:bCs/>
        </w:rPr>
        <w:t xml:space="preserve"> - SITUAZIONE GESTIONALE DEI SERVIZI PUBBLICI LOCALI</w:t>
      </w:r>
    </w:p>
    <w:p w14:paraId="28AAF214" w14:textId="77777777" w:rsidR="00C23748" w:rsidRPr="00B16D12" w:rsidRDefault="00C23748" w:rsidP="00C23748">
      <w:pPr>
        <w:jc w:val="center"/>
        <w:rPr>
          <w:b/>
          <w:bCs/>
        </w:rPr>
      </w:pPr>
      <w:r w:rsidRPr="00B16D12">
        <w:rPr>
          <w:b/>
          <w:bCs/>
        </w:rPr>
        <w:t>A RILEVANZA ECONOMICA AFFIDATI CON MODALITA’</w:t>
      </w:r>
    </w:p>
    <w:p w14:paraId="70461F43" w14:textId="77777777" w:rsidR="000733BC" w:rsidRPr="00B16D12" w:rsidRDefault="00C23748" w:rsidP="00C23748">
      <w:pPr>
        <w:jc w:val="center"/>
        <w:rPr>
          <w:b/>
          <w:bCs/>
        </w:rPr>
      </w:pPr>
      <w:r w:rsidRPr="00B16D12">
        <w:rPr>
          <w:b/>
          <w:bCs/>
        </w:rPr>
        <w:t xml:space="preserve">DIVERSE DALL’IN HOUSE PROVIDING </w:t>
      </w:r>
    </w:p>
    <w:p w14:paraId="777F08F8" w14:textId="77777777" w:rsidR="00F977E4" w:rsidRPr="00B16D12" w:rsidRDefault="00F977E4" w:rsidP="0077299D">
      <w:pPr>
        <w:pStyle w:val="Corpotesto"/>
      </w:pPr>
    </w:p>
    <w:p w14:paraId="73B9D1B9" w14:textId="77777777" w:rsidR="00AB5C42" w:rsidRPr="00B16D12" w:rsidRDefault="00AB5C42" w:rsidP="0077299D">
      <w:pPr>
        <w:pStyle w:val="Corpotesto"/>
      </w:pPr>
    </w:p>
    <w:p w14:paraId="2EFC0F6C" w14:textId="2C26E225" w:rsidR="00AB5C42" w:rsidRPr="00B16D12" w:rsidRDefault="00886F8F" w:rsidP="0077299D">
      <w:pPr>
        <w:pStyle w:val="Titolo2"/>
      </w:pPr>
      <w:r w:rsidRPr="00B16D12">
        <w:t>SERVIZIO TRASPORTO SCOLASTICO</w:t>
      </w:r>
    </w:p>
    <w:p w14:paraId="27B03E74" w14:textId="4B808FCE" w:rsidR="00AB5C42" w:rsidRPr="00B16D12" w:rsidRDefault="00AB5C42" w:rsidP="0077299D">
      <w:pPr>
        <w:pStyle w:val="Titolo3"/>
      </w:pPr>
      <w:r w:rsidRPr="00B16D12">
        <w:t>Natura e descrizione del servizio</w:t>
      </w:r>
    </w:p>
    <w:p w14:paraId="70EA6FA5" w14:textId="77777777" w:rsidR="00886F8F" w:rsidRPr="00B16D12" w:rsidRDefault="00886F8F" w:rsidP="0077299D"/>
    <w:p w14:paraId="5B13D8FE" w14:textId="54996CC1" w:rsidR="00515560" w:rsidRPr="00B16D12" w:rsidRDefault="000B5105" w:rsidP="0077299D">
      <w:r w:rsidRPr="00B16D12">
        <w:t xml:space="preserve">Il servizio di trasporto scolastico è erogato </w:t>
      </w:r>
      <w:r w:rsidR="00515560" w:rsidRPr="00B16D12">
        <w:t xml:space="preserve">sul territorio dei Comuni di Agugliano e Polverigi per il trasporto degli alunni della scuola </w:t>
      </w:r>
      <w:r w:rsidR="00886F8F" w:rsidRPr="00B16D12">
        <w:t>dell’infanzia, della scuola primaria (elementari) e della scuola secondaria di primo grado</w:t>
      </w:r>
      <w:r w:rsidR="00515560" w:rsidRPr="00B16D12">
        <w:t xml:space="preserve"> (m</w:t>
      </w:r>
      <w:r w:rsidR="00886F8F" w:rsidRPr="00B16D12">
        <w:t>edie). Le scuole sono così dislocate</w:t>
      </w:r>
      <w:r w:rsidR="00515560" w:rsidRPr="00B16D12">
        <w:t>:</w:t>
      </w:r>
    </w:p>
    <w:p w14:paraId="5C95217D" w14:textId="77777777" w:rsidR="00515560" w:rsidRPr="00B16D12" w:rsidRDefault="00515560" w:rsidP="00515560">
      <w:pPr>
        <w:pStyle w:val="Paragrafoelenco"/>
        <w:numPr>
          <w:ilvl w:val="0"/>
          <w:numId w:val="18"/>
        </w:numPr>
      </w:pPr>
      <w:r w:rsidRPr="00B16D12">
        <w:t xml:space="preserve">nel territorio del Comune di Agugliano si trova la scuola primaria </w:t>
      </w:r>
    </w:p>
    <w:p w14:paraId="44E05C2C" w14:textId="718022CD" w:rsidR="00515560" w:rsidRPr="00B16D12" w:rsidRDefault="00515560" w:rsidP="00515560">
      <w:pPr>
        <w:pStyle w:val="Paragrafoelenco"/>
        <w:numPr>
          <w:ilvl w:val="0"/>
          <w:numId w:val="18"/>
        </w:numPr>
      </w:pPr>
      <w:r w:rsidRPr="00B16D12">
        <w:t>nel territorio del Comune di Polverigi si trova la scuola secondaria</w:t>
      </w:r>
      <w:r w:rsidR="00886F8F" w:rsidRPr="00B16D12">
        <w:t xml:space="preserve"> di primo grado</w:t>
      </w:r>
    </w:p>
    <w:p w14:paraId="1CEDFFEF" w14:textId="2DF5184A" w:rsidR="00886F8F" w:rsidRPr="00B16D12" w:rsidRDefault="00886F8F" w:rsidP="00515560">
      <w:pPr>
        <w:pStyle w:val="Paragrafoelenco"/>
        <w:numPr>
          <w:ilvl w:val="0"/>
          <w:numId w:val="18"/>
        </w:numPr>
      </w:pPr>
      <w:r w:rsidRPr="00B16D12">
        <w:t>in ciascun Comuni si trova una scuola dell’infanzia</w:t>
      </w:r>
    </w:p>
    <w:p w14:paraId="2D2E3AD2" w14:textId="77777777" w:rsidR="00515560" w:rsidRPr="00B16D12" w:rsidRDefault="00515560" w:rsidP="0077299D"/>
    <w:p w14:paraId="72EE26EB" w14:textId="2A6192E0" w:rsidR="000B5105" w:rsidRPr="00B16D12" w:rsidRDefault="00515560" w:rsidP="0077299D">
      <w:r w:rsidRPr="00B16D12">
        <w:t>Il servizio viene fornito a tutti i bambini che frequentano la scuola</w:t>
      </w:r>
      <w:r w:rsidR="00AA73AD" w:rsidRPr="00B16D12">
        <w:t xml:space="preserve"> materna,</w:t>
      </w:r>
      <w:r w:rsidRPr="00B16D12">
        <w:t xml:space="preserve"> elementare</w:t>
      </w:r>
      <w:r w:rsidR="00886F8F" w:rsidRPr="00B16D12">
        <w:t xml:space="preserve"> e media</w:t>
      </w:r>
      <w:r w:rsidRPr="00B16D12">
        <w:t xml:space="preserve"> dei Comuni di Agugliano e Polverigi</w:t>
      </w:r>
      <w:r w:rsidR="00913EE6" w:rsidRPr="00B16D12">
        <w:t>. Il numero stimato di alunni da trasportare per tipologia, come risultante dall’ordinativo di fornitura 2023 è il seguente:</w:t>
      </w:r>
    </w:p>
    <w:p w14:paraId="1A3707CE" w14:textId="1B06DE07" w:rsidR="00913EE6" w:rsidRPr="00B16D12" w:rsidRDefault="00913EE6" w:rsidP="0077299D">
      <w:r w:rsidRPr="00B16D12">
        <w:t>scuola dell’infanzia: 23</w:t>
      </w:r>
    </w:p>
    <w:p w14:paraId="66271BDD" w14:textId="3C19F869" w:rsidR="00913EE6" w:rsidRPr="00B16D12" w:rsidRDefault="00913EE6" w:rsidP="0077299D">
      <w:r w:rsidRPr="00B16D12">
        <w:t>scuola primaria: 196</w:t>
      </w:r>
    </w:p>
    <w:p w14:paraId="17314E18" w14:textId="1C1838D1" w:rsidR="00913EE6" w:rsidRPr="00B16D12" w:rsidRDefault="00913EE6" w:rsidP="0077299D">
      <w:r w:rsidRPr="00B16D12">
        <w:t>scuola secondaria: 176</w:t>
      </w:r>
    </w:p>
    <w:p w14:paraId="3557F9D0" w14:textId="77777777" w:rsidR="000B5105" w:rsidRPr="00B16D12" w:rsidRDefault="000B5105" w:rsidP="0077299D"/>
    <w:p w14:paraId="15C56BD0" w14:textId="77777777" w:rsidR="00AB5C42" w:rsidRPr="00B16D12" w:rsidRDefault="00AB5C42" w:rsidP="0077299D"/>
    <w:p w14:paraId="61295C68" w14:textId="4417C336" w:rsidR="00F977E4" w:rsidRPr="00B16D12" w:rsidRDefault="00AB5C42" w:rsidP="0077299D">
      <w:pPr>
        <w:pStyle w:val="Titolo3"/>
      </w:pPr>
      <w:r w:rsidRPr="00B16D12">
        <w:t>Regolazione del servizio</w:t>
      </w:r>
    </w:p>
    <w:p w14:paraId="41EBBA6D" w14:textId="77777777" w:rsidR="003C048E" w:rsidRPr="00B16D12" w:rsidRDefault="003C048E" w:rsidP="0077299D"/>
    <w:p w14:paraId="3BA432FE" w14:textId="77777777" w:rsidR="00EF0996" w:rsidRPr="00B16D12" w:rsidRDefault="00EF0996" w:rsidP="0077299D">
      <w:r w:rsidRPr="00B16D12">
        <w:t xml:space="preserve">Il servizio di trasporto scolastico è stato esternalizzato dal Comune di Polverigi a partire dall’anno 2015 per la durata di quattro anni con affidamento alla Conerobus Service srl. </w:t>
      </w:r>
    </w:p>
    <w:p w14:paraId="58106EC4" w14:textId="71687C37" w:rsidR="003C048E" w:rsidRPr="00B16D12" w:rsidRDefault="00EF0996" w:rsidP="0077299D">
      <w:r w:rsidRPr="00B16D12">
        <w:t xml:space="preserve">Con l’atto aggiuntivo stipulato in data </w:t>
      </w:r>
      <w:r w:rsidR="002A34E5">
        <w:t>13</w:t>
      </w:r>
      <w:r w:rsidRPr="00B16D12">
        <w:t>.</w:t>
      </w:r>
      <w:r w:rsidR="002A34E5">
        <w:t>02</w:t>
      </w:r>
      <w:r w:rsidRPr="00B16D12">
        <w:t>.20</w:t>
      </w:r>
      <w:r w:rsidR="002A34E5">
        <w:t xml:space="preserve">20 </w:t>
      </w:r>
      <w:r w:rsidRPr="00B16D12">
        <w:t xml:space="preserve"> è stato affidato il contratto di concessione per l’anno scolastico 2019-2020 per il trasporto scolastico per scuole di Agugliano e Polverigi.</w:t>
      </w:r>
    </w:p>
    <w:p w14:paraId="5DC1C68B" w14:textId="71A33B96" w:rsidR="00EF0996" w:rsidRPr="00B16D12" w:rsidRDefault="00EF0996" w:rsidP="0077299D">
      <w:r w:rsidRPr="00B16D12">
        <w:t xml:space="preserve">Con l’atto di rinnovo </w:t>
      </w:r>
      <w:r w:rsidR="002A34E5">
        <w:t xml:space="preserve">stipulato in data </w:t>
      </w:r>
      <w:r w:rsidRPr="00B16D12">
        <w:t xml:space="preserve"> </w:t>
      </w:r>
      <w:r w:rsidR="002A34E5">
        <w:t>0</w:t>
      </w:r>
      <w:r w:rsidRPr="00B16D12">
        <w:t>9.</w:t>
      </w:r>
      <w:r w:rsidR="002A34E5">
        <w:t>0</w:t>
      </w:r>
      <w:r w:rsidRPr="00B16D12">
        <w:t>9.2020 è stato rinnovato il contratto in concessione del servizio di trasporto scolastico da settembre 2020 ad agosto 2023</w:t>
      </w:r>
      <w:r w:rsidR="002A34E5">
        <w:t>.</w:t>
      </w:r>
    </w:p>
    <w:p w14:paraId="7A01F8E0" w14:textId="77777777" w:rsidR="002A34E5" w:rsidRDefault="002A34E5" w:rsidP="002D0628">
      <w:pPr>
        <w:widowControl/>
        <w:autoSpaceDE/>
      </w:pPr>
    </w:p>
    <w:p w14:paraId="7C3EAF5D" w14:textId="0DCA4D06" w:rsidR="002D0628" w:rsidRPr="002D0628" w:rsidRDefault="002A34E5" w:rsidP="002D0628">
      <w:pPr>
        <w:widowControl/>
        <w:autoSpaceDE/>
        <w:rPr>
          <w:rFonts w:eastAsiaTheme="minorEastAsia"/>
        </w:rPr>
      </w:pPr>
      <w:r>
        <w:t>L</w:t>
      </w:r>
      <w:r w:rsidR="002D0628" w:rsidRPr="002D0628">
        <w:t xml:space="preserve">’ art. 9, comma 3, del D.L.n.66 del 24 aprile 2014, convertito con modificazioni, dalla legge 23 giugno 2014, n.89 </w:t>
      </w:r>
      <w:r>
        <w:t xml:space="preserve">prevede che </w:t>
      </w:r>
      <w:r w:rsidR="002D0628" w:rsidRPr="002D0628">
        <w:t xml:space="preserve">  entro il 31 dicembre di ogni anno, sulla base di analisi del Tavolo dei soggetti aggregatori e in ragione delle risorse messe a disposizione ai sensi del comma 9, sono individuate le categorie di beni e di servizi nonché le soglie al superamento delle quali anche gli  enti locali di cui all'articolo </w:t>
      </w:r>
      <w:hyperlink r:id="rId11" w:history="1">
        <w:r w:rsidR="002D0628" w:rsidRPr="002D0628">
          <w:rPr>
            <w:rStyle w:val="rtf1linkneltesto"/>
            <w:i/>
            <w:iCs/>
          </w:rPr>
          <w:t>2</w:t>
        </w:r>
      </w:hyperlink>
      <w:r w:rsidR="002D0628" w:rsidRPr="002D0628">
        <w:t> del </w:t>
      </w:r>
      <w:hyperlink r:id="rId12" w:history="1">
        <w:r w:rsidR="002D0628" w:rsidRPr="002D0628">
          <w:rPr>
            <w:rStyle w:val="rtf1linkneltesto"/>
            <w:i/>
            <w:iCs/>
          </w:rPr>
          <w:t>decreto legislativo 18 agosto 2000, n. 267</w:t>
        </w:r>
      </w:hyperlink>
      <w:r w:rsidR="002D0628" w:rsidRPr="002D0628">
        <w:t xml:space="preserve">,  ricorrono a Consip S.p.A. o agli altri soggetti aggregatori di cui ai commi 1 e 2 per lo svolgimento delle relative procedure. </w:t>
      </w:r>
      <w:r w:rsidR="002D0628" w:rsidRPr="004F1AD0">
        <w:rPr>
          <w:b/>
          <w:bCs/>
          <w:i/>
          <w:iCs/>
          <w:u w:val="single"/>
        </w:rPr>
        <w:t>Per le categorie di beni e servizi individuate dal decreto di cui al periodo precedente, l'Autorità nazionale anticorruzione non rilascia il codice identificativo gara (CIG) alle stazioni appaltanti che, in violazione degli adempimenti previsti dal presente comma, non ricorrano a Consip S.p.A. o ad altro soggetto aggregatore.</w:t>
      </w:r>
      <w:r w:rsidR="002D0628" w:rsidRPr="004F1AD0">
        <w:rPr>
          <w:u w:val="single"/>
        </w:rPr>
        <w:t xml:space="preserve"> </w:t>
      </w:r>
      <w:r w:rsidR="002D0628" w:rsidRPr="002D0628">
        <w:t>Con il decreto di cui al presente comma sono, altresì, individuate le relative modalità di attuazione;</w:t>
      </w:r>
    </w:p>
    <w:p w14:paraId="0BDA7E7F" w14:textId="77777777" w:rsidR="002D0628" w:rsidRPr="002D0628" w:rsidRDefault="002D0628" w:rsidP="002D0628">
      <w:pPr>
        <w:widowControl/>
        <w:autoSpaceDE/>
      </w:pPr>
    </w:p>
    <w:p w14:paraId="58337D6A" w14:textId="1ABEAC62" w:rsidR="002D0628" w:rsidRPr="002D0628" w:rsidRDefault="000D3582" w:rsidP="002D0628">
      <w:pPr>
        <w:widowControl/>
        <w:autoSpaceDE/>
      </w:pPr>
      <w:r>
        <w:t>I</w:t>
      </w:r>
      <w:r w:rsidR="002D0628" w:rsidRPr="002D0628">
        <w:t>l D.P.C.M.  11 luglio 2018,  tra le categorie di beni e servizi individuate e le relative soglie di obbligatorieta’</w:t>
      </w:r>
      <w:r>
        <w:t xml:space="preserve">, </w:t>
      </w:r>
      <w:r w:rsidR="002D0628" w:rsidRPr="002D0628">
        <w:t xml:space="preserve"> individua</w:t>
      </w:r>
      <w:r>
        <w:t xml:space="preserve"> </w:t>
      </w:r>
      <w:r w:rsidR="002D0628" w:rsidRPr="002D0628">
        <w:t xml:space="preserve"> il servizio del trasporto scolastico a partire dalla soglia di Euro 40.000,00,</w:t>
      </w:r>
      <w:r w:rsidR="002D0628" w:rsidRPr="004F1AD0">
        <w:rPr>
          <w:b/>
          <w:bCs/>
          <w:i/>
          <w:iCs/>
          <w:u w:val="single"/>
        </w:rPr>
        <w:t xml:space="preserve"> per il quale servizio e per la quale soglia di obbligatorietà  l'Autorità nazionale anticorruzione non rilascia il codice identificativo gara (CIG) alle stazioni appaltanti che  non ricorrano a Consip S.p.A. o ad altro soggetto aggregatore</w:t>
      </w:r>
      <w:r w:rsidR="004F1AD0">
        <w:rPr>
          <w:b/>
          <w:bCs/>
          <w:i/>
          <w:iCs/>
          <w:u w:val="single"/>
        </w:rPr>
        <w:t>.</w:t>
      </w:r>
    </w:p>
    <w:p w14:paraId="4A5F3CF3" w14:textId="77777777" w:rsidR="002D0628" w:rsidRPr="002D0628" w:rsidRDefault="002D0628" w:rsidP="002D0628">
      <w:pPr>
        <w:widowControl/>
        <w:autoSpaceDE/>
      </w:pPr>
    </w:p>
    <w:p w14:paraId="42B21044" w14:textId="77777777" w:rsidR="002D0628" w:rsidRPr="002D0628" w:rsidRDefault="002D0628" w:rsidP="002D0628">
      <w:pPr>
        <w:widowControl/>
        <w:autoSpaceDE/>
        <w:spacing w:line="276" w:lineRule="auto"/>
        <w:rPr>
          <w:color w:val="000000"/>
        </w:rPr>
      </w:pPr>
      <w:r w:rsidRPr="002D0628">
        <w:rPr>
          <w:color w:val="000000"/>
        </w:rPr>
        <w:t>DATO ATTO che:</w:t>
      </w:r>
    </w:p>
    <w:p w14:paraId="4426E050" w14:textId="77777777" w:rsidR="002D0628" w:rsidRPr="002D0628" w:rsidRDefault="002D0628" w:rsidP="002D0628">
      <w:pPr>
        <w:widowControl/>
        <w:numPr>
          <w:ilvl w:val="0"/>
          <w:numId w:val="22"/>
        </w:numPr>
        <w:autoSpaceDE/>
        <w:spacing w:line="276" w:lineRule="auto"/>
        <w:rPr>
          <w:color w:val="000000"/>
        </w:rPr>
      </w:pPr>
      <w:r w:rsidRPr="002D0628">
        <w:rPr>
          <w:color w:val="000000"/>
        </w:rPr>
        <w:lastRenderedPageBreak/>
        <w:t>con Deliberazione della Giunta regionale n. 1461 del 22.12.2014 la SUAM, Stazione Unica Appaltante della Regione Marche istituita con L.R. n. 12/2012, è stata individuata come soggetto aggregatore di cui all'art. 9 del D.L. n. 66/2014, ovvero come soggetto autorizzato a effettuare le acquisizioni dei beni e servizi nelle categorie individuate dal richiamato DPCM del 24.12.2015, successivamente integrato come da richiamato DPCM del 11.07.2018;</w:t>
      </w:r>
    </w:p>
    <w:p w14:paraId="22782E36" w14:textId="77777777" w:rsidR="002D0628" w:rsidRPr="002D0628" w:rsidRDefault="002D0628" w:rsidP="002D0628">
      <w:pPr>
        <w:widowControl/>
        <w:numPr>
          <w:ilvl w:val="0"/>
          <w:numId w:val="22"/>
        </w:numPr>
        <w:autoSpaceDE/>
        <w:spacing w:line="276" w:lineRule="auto"/>
        <w:rPr>
          <w:color w:val="000000"/>
        </w:rPr>
      </w:pPr>
      <w:r w:rsidRPr="002D0628">
        <w:rPr>
          <w:color w:val="000000"/>
        </w:rPr>
        <w:t>con Decreto del Dirigente della SUAM n. 168 del 19.12.2019 è stata autorizzata la Gara europea a procedura aperta per l’affidamento del servizio di trasporto scolastico per i comuni della Regione Marche - Numero Gara SIMOG 7640126;</w:t>
      </w:r>
    </w:p>
    <w:p w14:paraId="77919C97" w14:textId="77777777" w:rsidR="002D0628" w:rsidRPr="002D0628" w:rsidRDefault="002D0628" w:rsidP="002D0628">
      <w:pPr>
        <w:widowControl/>
        <w:numPr>
          <w:ilvl w:val="0"/>
          <w:numId w:val="22"/>
        </w:numPr>
        <w:autoSpaceDE/>
        <w:spacing w:line="276" w:lineRule="auto"/>
        <w:rPr>
          <w:color w:val="000000"/>
        </w:rPr>
      </w:pPr>
      <w:r w:rsidRPr="002D0628">
        <w:rPr>
          <w:color w:val="000000"/>
        </w:rPr>
        <w:t>con Decreto del Dirigente del Servizio SUAM n. 138 del 26.06.2020 si è provveduto all’aggiudicazione della procedura di cui sopra, attestando successivamente l’efficacia dell’aggiudicazione in data 21.07.2020;</w:t>
      </w:r>
    </w:p>
    <w:p w14:paraId="283137EE" w14:textId="77777777" w:rsidR="002D0628" w:rsidRPr="002D0628" w:rsidRDefault="002D0628" w:rsidP="002D0628">
      <w:pPr>
        <w:widowControl/>
        <w:numPr>
          <w:ilvl w:val="0"/>
          <w:numId w:val="22"/>
        </w:numPr>
        <w:adjustRightInd w:val="0"/>
        <w:spacing w:line="276" w:lineRule="auto"/>
        <w:rPr>
          <w:color w:val="000000"/>
        </w:rPr>
      </w:pPr>
      <w:r w:rsidRPr="002D0628">
        <w:rPr>
          <w:color w:val="000000"/>
        </w:rPr>
        <w:t>con Decreto del Dirigente del Servizio SUAM n. 265 del 29.09.2021 è stato revocato l’affidamento al fornitore Tundo Vincenzo SpA dei Lotti 2, 4, 7, 9 e 10 e disposta la risoluzione espressa della Convenzione stipulata con lo stesso fornitore per grave inadempimento delle obbligazioni contrattuali;</w:t>
      </w:r>
    </w:p>
    <w:p w14:paraId="033B6EAB" w14:textId="77777777" w:rsidR="002D0628" w:rsidRPr="002D0628" w:rsidRDefault="002D0628" w:rsidP="002D0628">
      <w:pPr>
        <w:widowControl/>
        <w:numPr>
          <w:ilvl w:val="0"/>
          <w:numId w:val="22"/>
        </w:numPr>
        <w:autoSpaceDE/>
        <w:spacing w:line="276" w:lineRule="auto"/>
        <w:rPr>
          <w:color w:val="000000"/>
        </w:rPr>
      </w:pPr>
      <w:r w:rsidRPr="002D0628">
        <w:rPr>
          <w:color w:val="000000"/>
        </w:rPr>
        <w:t>con Decreto del Dirigente del Servizio SUAM n. 289 del 20.10.2021</w:t>
      </w:r>
      <w:r w:rsidRPr="002D0628">
        <w:t xml:space="preserve"> è stato aggiudicato, </w:t>
      </w:r>
      <w:r w:rsidRPr="002D0628">
        <w:rPr>
          <w:color w:val="000000"/>
        </w:rPr>
        <w:t>ai sensi e per gli effetti degli articoli 32, comma 5, e mediante espletamento della procedura di interpello ex art. 110 del D. Lgs. n. 50/2016, nonché dell’art. 4, comma 4, della Legge Regionale n. 19/2013, l’appalto in oggetto, relativamente al Lotto 7 (a cui appartiene l’ Unione dei Comuni “ Unione Terra dei Castelli”) all’Operatore Economico posto utilmente in graduatoria e alle condizioni degli atti di gara, ovvero RTI TPL Marche, Raggruppamento Temporaneo composto da: CONTRAM S.P.A., con sede legale in Camerino (MC), via Le Mosse, 19/21, CAP 62032, iscritta al Registro delle Imprese presso la C.C.I.A.A. delle Marche con codice fiscale, numero d'Iscrizione e partita IVA 00307880435, R.E.A. n. MC-91501, nella sua qualità di impresa mandataria capo-gruppo del Raggruppamento Temporaneo tra, oltre alla stessa, le mandanti S.A.P. S.r.l., sede legale Potenza Picena Via XXV Aprile cap 62018 , C.F./P.I. 00118790435, Steat S.p.a. con sede legale in Via Giovanni da Palestrina n.63 CAP 63900 Fermo, C.F./P.I. 01090950443, Autoservizi Portesi con sede in Montegiorgio (FM) Via Rossini n.5 cap 63833, C.F./P.I. 00445530447, S.A.S.P. S.r.l. con sede in San Ginesio (MC) Strada Statale 78 Picena SNC cap 62026, C.F./P.I. 00090320433, Conerobus Service S.r.l. con sede in Ancona (AN), Via Bocconi n.35 cap 60025, C.F./P.I. 00122950421, Autolinee F.lli Bucci Urbino Pesaro S.r.l. con sede in Pesaro, Strada delle Marche, 56 cap 61100, C.F./P.I. 00110400413, COOSS Marche Onlus S.c.p.a. con sede in Ancona (AN), Via Saffi n.4 cap 60121, C.F./P.I. 00459560421;</w:t>
      </w:r>
    </w:p>
    <w:p w14:paraId="1A115B5C" w14:textId="77777777" w:rsidR="002D0628" w:rsidRPr="002D0628" w:rsidRDefault="002D0628" w:rsidP="002D0628">
      <w:pPr>
        <w:widowControl/>
        <w:numPr>
          <w:ilvl w:val="0"/>
          <w:numId w:val="22"/>
        </w:numPr>
        <w:autoSpaceDE/>
        <w:spacing w:line="276" w:lineRule="auto"/>
        <w:rPr>
          <w:color w:val="000000"/>
        </w:rPr>
      </w:pPr>
      <w:r w:rsidRPr="002D0628">
        <w:rPr>
          <w:color w:val="000000"/>
        </w:rPr>
        <w:t>con Decreto del Dirigente della SUAM n. 48 del 02.09.2022 sono stati approvati i prezzi della procedura di gara europea a procedura aperta per il servizio di trasporto scolastico per i Comuni della Regione Marche – n. gara SIMOG 7640126 LOTTI 4, 5, 6, 7 e 8 aggiudicati all’RTI TPL Marche, ed in particolare per il LOTTO 7 cui appartiene l’ Unione dei Comuni “ Unione Terra dei Castelli”  i prezzi aggiornati approvati sono i seguenti:</w:t>
      </w:r>
    </w:p>
    <w:p w14:paraId="55432C3C" w14:textId="77777777" w:rsidR="002D0628" w:rsidRDefault="002D0628" w:rsidP="0077299D"/>
    <w:p w14:paraId="0FD5DA33" w14:textId="77777777" w:rsidR="00AA73AD" w:rsidRPr="00B16D12" w:rsidRDefault="00AA73AD" w:rsidP="0077299D"/>
    <w:tbl>
      <w:tblPr>
        <w:tblStyle w:val="Grigliatabella"/>
        <w:tblW w:w="0" w:type="auto"/>
        <w:tblLook w:val="04A0" w:firstRow="1" w:lastRow="0" w:firstColumn="1" w:lastColumn="0" w:noHBand="0" w:noVBand="1"/>
      </w:tblPr>
      <w:tblGrid>
        <w:gridCol w:w="4956"/>
        <w:gridCol w:w="4957"/>
      </w:tblGrid>
      <w:tr w:rsidR="00B16D12" w:rsidRPr="00B16D12" w14:paraId="7D17FB52" w14:textId="77777777" w:rsidTr="00AA73AD">
        <w:tc>
          <w:tcPr>
            <w:tcW w:w="4956" w:type="dxa"/>
          </w:tcPr>
          <w:p w14:paraId="0117B6C9" w14:textId="5222FB2E" w:rsidR="00457966" w:rsidRPr="00B16D12" w:rsidRDefault="00457966" w:rsidP="00457966">
            <w:pPr>
              <w:jc w:val="center"/>
            </w:pPr>
            <w:r w:rsidRPr="00B16D12">
              <w:t>IMPORTO UNITARIO OFFERTO CON VEICOLI IN COMODATO D’USO GRATUITO  (IVA ESCLUSA)</w:t>
            </w:r>
          </w:p>
        </w:tc>
        <w:tc>
          <w:tcPr>
            <w:tcW w:w="4957" w:type="dxa"/>
          </w:tcPr>
          <w:p w14:paraId="05CBF8E4" w14:textId="1BE2BBF6" w:rsidR="00457966" w:rsidRPr="00B16D12" w:rsidRDefault="00457966" w:rsidP="00457966">
            <w:pPr>
              <w:jc w:val="center"/>
            </w:pPr>
            <w:r w:rsidRPr="00B16D12">
              <w:t>IMPORTO UNITARIO OFFERTO CON VEICOLI DELL’OPERATORE ECONOMICO  (IVA ESCLUSA)</w:t>
            </w:r>
          </w:p>
        </w:tc>
      </w:tr>
      <w:tr w:rsidR="00457966" w:rsidRPr="00B16D12" w14:paraId="1FACD624" w14:textId="77777777" w:rsidTr="00AA73AD">
        <w:tc>
          <w:tcPr>
            <w:tcW w:w="4956" w:type="dxa"/>
          </w:tcPr>
          <w:p w14:paraId="1C1182D8" w14:textId="0BD045F5" w:rsidR="00457966" w:rsidRPr="00B16D12" w:rsidRDefault="00457966" w:rsidP="00457966">
            <w:pPr>
              <w:jc w:val="center"/>
            </w:pPr>
            <w:r w:rsidRPr="00B16D12">
              <w:t>€ 2.69</w:t>
            </w:r>
          </w:p>
        </w:tc>
        <w:tc>
          <w:tcPr>
            <w:tcW w:w="4957" w:type="dxa"/>
          </w:tcPr>
          <w:p w14:paraId="66D54B0B" w14:textId="64518623" w:rsidR="00457966" w:rsidRPr="00B16D12" w:rsidRDefault="00457966" w:rsidP="00457966">
            <w:pPr>
              <w:jc w:val="center"/>
            </w:pPr>
            <w:r w:rsidRPr="00B16D12">
              <w:t>€ 2,92</w:t>
            </w:r>
          </w:p>
        </w:tc>
      </w:tr>
    </w:tbl>
    <w:p w14:paraId="6D275C5C" w14:textId="77777777" w:rsidR="00AA73AD" w:rsidRPr="00B16D12" w:rsidRDefault="00AA73AD" w:rsidP="0077299D"/>
    <w:p w14:paraId="01F3DD7A" w14:textId="6C4D593B" w:rsidR="00457966" w:rsidRDefault="00457966" w:rsidP="0077299D">
      <w:r w:rsidRPr="00B16D12">
        <w:lastRenderedPageBreak/>
        <w:t>La scelta di adesione è stata quella di utilizzare veicoli dell’operatore economico.</w:t>
      </w:r>
    </w:p>
    <w:p w14:paraId="6E652764" w14:textId="77777777" w:rsidR="00E202DC" w:rsidRPr="00B16D12" w:rsidRDefault="00E202DC" w:rsidP="0077299D"/>
    <w:p w14:paraId="04E512CF" w14:textId="27ABB89A" w:rsidR="00457966" w:rsidRPr="00B16D12" w:rsidRDefault="00457966" w:rsidP="0077299D">
      <w:r w:rsidRPr="00B16D12">
        <w:t>L’atto di regolamentazione del servizio allegato all’ordinativo di fornitura sottoscritto con la SUAM della Regione Marche</w:t>
      </w:r>
      <w:r w:rsidR="001D1F0A">
        <w:t xml:space="preserve"> con firma digitale in data 13 settembre 2023</w:t>
      </w:r>
      <w:r w:rsidRPr="00B16D12">
        <w:t xml:space="preserve">, giusta determina del Responsabile del 1^ Settore – Area </w:t>
      </w:r>
      <w:r w:rsidR="00913EE6" w:rsidRPr="00B16D12">
        <w:t>Amministrativa</w:t>
      </w:r>
      <w:r w:rsidRPr="00B16D12">
        <w:t xml:space="preserve">, a cui fanno capo i Servizi Scolastici e la gestione servizio di Trasporto Scolastico, </w:t>
      </w:r>
      <w:r w:rsidR="001D1F0A">
        <w:t xml:space="preserve">n. </w:t>
      </w:r>
      <w:r w:rsidR="006D6071">
        <w:t xml:space="preserve">171 </w:t>
      </w:r>
      <w:r w:rsidR="001D1F0A">
        <w:t xml:space="preserve">del 12.09.2023, </w:t>
      </w:r>
      <w:r w:rsidRPr="00B16D12">
        <w:t>prevede</w:t>
      </w:r>
    </w:p>
    <w:p w14:paraId="58E2D686" w14:textId="77777777" w:rsidR="00457966" w:rsidRPr="00B16D12" w:rsidRDefault="00457966" w:rsidP="0077299D"/>
    <w:p w14:paraId="219D75EE" w14:textId="387BA2DE" w:rsidR="00515560" w:rsidRPr="00B16D12" w:rsidRDefault="00457966" w:rsidP="0077299D">
      <w:r w:rsidRPr="00B16D12">
        <w:t>Per il periodo A.S.</w:t>
      </w:r>
      <w:r w:rsidR="009868AE">
        <w:t xml:space="preserve"> </w:t>
      </w:r>
      <w:r w:rsidRPr="00B16D12">
        <w:t>2023-2024 e fino a A.S. 2027-2028</w:t>
      </w:r>
    </w:p>
    <w:p w14:paraId="621B3C26" w14:textId="77777777" w:rsidR="00913EE6" w:rsidRPr="00B16D12" w:rsidRDefault="00913EE6" w:rsidP="0077299D"/>
    <w:tbl>
      <w:tblPr>
        <w:tblW w:w="50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05"/>
        <w:gridCol w:w="2372"/>
        <w:gridCol w:w="1817"/>
        <w:gridCol w:w="1966"/>
      </w:tblGrid>
      <w:tr w:rsidR="00B16D12" w:rsidRPr="00B16D12" w14:paraId="08B08B55" w14:textId="77777777" w:rsidTr="00B16D12">
        <w:trPr>
          <w:trHeight w:val="615"/>
        </w:trPr>
        <w:tc>
          <w:tcPr>
            <w:tcW w:w="1941" w:type="pct"/>
          </w:tcPr>
          <w:p w14:paraId="16AA630F" w14:textId="77777777" w:rsidR="00913EE6" w:rsidRPr="00B16D12" w:rsidRDefault="00913EE6" w:rsidP="00446E73">
            <w:pPr>
              <w:pStyle w:val="Corpodeltesto"/>
              <w:spacing w:before="8"/>
              <w:jc w:val="center"/>
              <w:rPr>
                <w:rFonts w:ascii="Times New Roman" w:hAnsi="Times New Roman" w:cs="Times New Roman"/>
                <w:b/>
                <w:sz w:val="20"/>
                <w:szCs w:val="20"/>
                <w:lang w:val="it-IT"/>
              </w:rPr>
            </w:pPr>
            <w:r w:rsidRPr="00B16D12">
              <w:rPr>
                <w:rFonts w:ascii="Times New Roman" w:hAnsi="Times New Roman" w:cs="Times New Roman"/>
                <w:b/>
                <w:sz w:val="20"/>
                <w:szCs w:val="20"/>
                <w:lang w:val="it-IT"/>
              </w:rPr>
              <w:t>RIEPILOGO IMPORTI (IVA ESCLUSA)</w:t>
            </w:r>
          </w:p>
        </w:tc>
        <w:tc>
          <w:tcPr>
            <w:tcW w:w="1179" w:type="pct"/>
          </w:tcPr>
          <w:p w14:paraId="21A6F3AB" w14:textId="77777777" w:rsidR="00913EE6" w:rsidRPr="00B16D12" w:rsidRDefault="00913EE6" w:rsidP="00446E73">
            <w:pPr>
              <w:pStyle w:val="Corpodeltesto"/>
              <w:spacing w:before="8"/>
              <w:jc w:val="center"/>
              <w:rPr>
                <w:rFonts w:ascii="Times New Roman" w:hAnsi="Times New Roman" w:cs="Times New Roman"/>
                <w:b/>
                <w:sz w:val="20"/>
                <w:szCs w:val="20"/>
                <w:lang w:val="it-IT"/>
              </w:rPr>
            </w:pPr>
            <w:r w:rsidRPr="00B16D12">
              <w:rPr>
                <w:rFonts w:ascii="Times New Roman" w:hAnsi="Times New Roman" w:cs="Times New Roman"/>
                <w:b/>
                <w:sz w:val="20"/>
                <w:szCs w:val="20"/>
                <w:lang w:val="it-IT"/>
              </w:rPr>
              <w:t xml:space="preserve">Importo </w:t>
            </w:r>
          </w:p>
        </w:tc>
        <w:tc>
          <w:tcPr>
            <w:tcW w:w="903" w:type="pct"/>
          </w:tcPr>
          <w:p w14:paraId="1CDEA9F6" w14:textId="77777777" w:rsidR="00913EE6" w:rsidRPr="00B16D12" w:rsidRDefault="00913EE6" w:rsidP="00446E73">
            <w:pPr>
              <w:pStyle w:val="Corpodeltesto"/>
              <w:spacing w:before="8"/>
              <w:jc w:val="center"/>
              <w:rPr>
                <w:rFonts w:ascii="Times New Roman" w:hAnsi="Times New Roman" w:cs="Times New Roman"/>
                <w:b/>
                <w:sz w:val="20"/>
                <w:szCs w:val="20"/>
                <w:lang w:val="it-IT"/>
              </w:rPr>
            </w:pPr>
            <w:r w:rsidRPr="00B16D12">
              <w:rPr>
                <w:rFonts w:ascii="Times New Roman" w:hAnsi="Times New Roman" w:cs="Times New Roman"/>
                <w:b/>
                <w:sz w:val="20"/>
                <w:szCs w:val="20"/>
                <w:lang w:val="it-IT"/>
              </w:rPr>
              <w:t>Importo annuo</w:t>
            </w:r>
          </w:p>
          <w:p w14:paraId="252AF6BE" w14:textId="77777777" w:rsidR="00913EE6" w:rsidRPr="00B16D12" w:rsidRDefault="00913EE6" w:rsidP="00446E73">
            <w:pPr>
              <w:pStyle w:val="Corpodeltesto"/>
              <w:spacing w:before="8"/>
              <w:jc w:val="center"/>
              <w:rPr>
                <w:rFonts w:ascii="Times New Roman" w:hAnsi="Times New Roman" w:cs="Times New Roman"/>
                <w:b/>
                <w:sz w:val="20"/>
                <w:szCs w:val="20"/>
              </w:rPr>
            </w:pPr>
            <w:r w:rsidRPr="00B16D12">
              <w:rPr>
                <w:rFonts w:ascii="Times New Roman" w:hAnsi="Times New Roman" w:cs="Times New Roman"/>
                <w:b/>
                <w:sz w:val="20"/>
                <w:szCs w:val="20"/>
              </w:rPr>
              <w:t>EURO</w:t>
            </w:r>
          </w:p>
        </w:tc>
        <w:tc>
          <w:tcPr>
            <w:tcW w:w="977" w:type="pct"/>
          </w:tcPr>
          <w:p w14:paraId="7C48AF96" w14:textId="02D6AED1" w:rsidR="00913EE6" w:rsidRPr="00B16D12" w:rsidRDefault="00913EE6" w:rsidP="00446E73">
            <w:pPr>
              <w:pStyle w:val="Corpodeltesto"/>
              <w:spacing w:before="8"/>
              <w:jc w:val="center"/>
              <w:rPr>
                <w:rFonts w:ascii="Times New Roman" w:hAnsi="Times New Roman" w:cs="Times New Roman"/>
                <w:b/>
                <w:sz w:val="20"/>
                <w:szCs w:val="20"/>
                <w:lang w:val="it-IT"/>
              </w:rPr>
            </w:pPr>
            <w:r w:rsidRPr="00B16D12">
              <w:rPr>
                <w:rFonts w:ascii="Times New Roman" w:hAnsi="Times New Roman" w:cs="Times New Roman"/>
                <w:b/>
                <w:sz w:val="20"/>
                <w:szCs w:val="20"/>
                <w:lang w:val="it-IT"/>
              </w:rPr>
              <w:t>Importo complessivo (5 anni)</w:t>
            </w:r>
          </w:p>
          <w:p w14:paraId="0B850229" w14:textId="77777777" w:rsidR="00913EE6" w:rsidRPr="00B16D12" w:rsidRDefault="00913EE6" w:rsidP="00446E73">
            <w:pPr>
              <w:pStyle w:val="Corpodeltesto"/>
              <w:spacing w:before="8"/>
              <w:jc w:val="center"/>
              <w:rPr>
                <w:rFonts w:ascii="Times New Roman" w:hAnsi="Times New Roman" w:cs="Times New Roman"/>
                <w:b/>
                <w:sz w:val="20"/>
                <w:szCs w:val="20"/>
                <w:lang w:val="it-IT"/>
              </w:rPr>
            </w:pPr>
            <w:r w:rsidRPr="00B16D12">
              <w:rPr>
                <w:rFonts w:ascii="Times New Roman" w:hAnsi="Times New Roman" w:cs="Times New Roman"/>
                <w:b/>
                <w:sz w:val="20"/>
                <w:szCs w:val="20"/>
                <w:lang w:val="it-IT"/>
              </w:rPr>
              <w:t>EURO</w:t>
            </w:r>
          </w:p>
        </w:tc>
      </w:tr>
      <w:tr w:rsidR="00B16D12" w:rsidRPr="00B16D12" w14:paraId="1AE7DC15" w14:textId="77777777" w:rsidTr="00B16D12">
        <w:trPr>
          <w:trHeight w:val="598"/>
        </w:trPr>
        <w:tc>
          <w:tcPr>
            <w:tcW w:w="1941" w:type="pct"/>
          </w:tcPr>
          <w:p w14:paraId="77DDE456" w14:textId="77777777" w:rsidR="00913EE6" w:rsidRPr="00B16D12" w:rsidRDefault="00913EE6" w:rsidP="00446E73">
            <w:pPr>
              <w:pStyle w:val="Corpodeltesto"/>
              <w:spacing w:before="8"/>
              <w:ind w:left="142"/>
              <w:rPr>
                <w:rFonts w:ascii="Times New Roman" w:hAnsi="Times New Roman" w:cs="Times New Roman"/>
                <w:sz w:val="20"/>
                <w:szCs w:val="20"/>
                <w:lang w:val="it-IT"/>
              </w:rPr>
            </w:pPr>
            <w:r w:rsidRPr="00B16D12">
              <w:rPr>
                <w:rFonts w:ascii="Times New Roman" w:hAnsi="Times New Roman" w:cs="Times New Roman"/>
                <w:sz w:val="20"/>
                <w:szCs w:val="20"/>
                <w:lang w:val="it-IT"/>
              </w:rPr>
              <w:t xml:space="preserve">Servizio di trasporto casa-scuola-casa </w:t>
            </w:r>
          </w:p>
          <w:p w14:paraId="168DBABF" w14:textId="2A19EEAC" w:rsidR="00913EE6" w:rsidRPr="00B16D12" w:rsidRDefault="00913EE6" w:rsidP="00446E73">
            <w:pPr>
              <w:pStyle w:val="Corpodeltesto"/>
              <w:spacing w:before="8"/>
              <w:ind w:left="142"/>
              <w:rPr>
                <w:rFonts w:ascii="Times New Roman" w:hAnsi="Times New Roman" w:cs="Times New Roman"/>
                <w:sz w:val="20"/>
                <w:szCs w:val="20"/>
                <w:lang w:val="it-IT"/>
              </w:rPr>
            </w:pPr>
            <w:r w:rsidRPr="00B16D12">
              <w:rPr>
                <w:rFonts w:ascii="Times New Roman" w:hAnsi="Times New Roman" w:cs="Times New Roman"/>
                <w:sz w:val="20"/>
                <w:szCs w:val="20"/>
                <w:lang w:val="it-IT"/>
              </w:rPr>
              <w:t>(mezzi propri) (par. 2.1 Capitolato tecnico)</w:t>
            </w:r>
          </w:p>
        </w:tc>
        <w:tc>
          <w:tcPr>
            <w:tcW w:w="1179" w:type="pct"/>
          </w:tcPr>
          <w:p w14:paraId="5641DC78" w14:textId="77777777" w:rsidR="00913EE6" w:rsidRPr="00B16D12" w:rsidRDefault="00913EE6" w:rsidP="00446E73">
            <w:pPr>
              <w:pStyle w:val="Corpodeltesto"/>
              <w:spacing w:before="8"/>
              <w:jc w:val="center"/>
              <w:rPr>
                <w:rFonts w:ascii="Times New Roman" w:eastAsia="Calibri" w:hAnsi="Times New Roman" w:cs="Times New Roman"/>
                <w:sz w:val="20"/>
                <w:szCs w:val="20"/>
                <w:lang w:val="it-IT" w:eastAsia="it-IT"/>
              </w:rPr>
            </w:pPr>
            <w:r w:rsidRPr="00B16D12">
              <w:rPr>
                <w:rFonts w:ascii="Times New Roman" w:eastAsia="Calibri" w:hAnsi="Times New Roman" w:cs="Times New Roman"/>
                <w:sz w:val="20"/>
                <w:szCs w:val="20"/>
                <w:lang w:val="it-IT" w:eastAsia="it-IT"/>
              </w:rPr>
              <w:t>Euro 2,92 (prezzo al km)</w:t>
            </w:r>
          </w:p>
          <w:p w14:paraId="37B3D271" w14:textId="77777777" w:rsidR="00913EE6" w:rsidRPr="00B16D12" w:rsidRDefault="00913EE6" w:rsidP="00446E73">
            <w:pPr>
              <w:pStyle w:val="Corpodeltesto"/>
              <w:spacing w:before="8"/>
              <w:jc w:val="center"/>
              <w:rPr>
                <w:rFonts w:ascii="Times New Roman" w:eastAsia="Calibri" w:hAnsi="Times New Roman" w:cs="Times New Roman"/>
                <w:sz w:val="20"/>
                <w:szCs w:val="20"/>
                <w:lang w:val="it-IT" w:eastAsia="it-IT"/>
              </w:rPr>
            </w:pPr>
            <w:r w:rsidRPr="00B16D12">
              <w:rPr>
                <w:rFonts w:ascii="Times New Roman" w:eastAsia="Calibri" w:hAnsi="Times New Roman" w:cs="Times New Roman"/>
                <w:sz w:val="20"/>
                <w:szCs w:val="20"/>
                <w:lang w:val="it-IT" w:eastAsia="it-IT"/>
              </w:rPr>
              <w:t>90.000 km all’anno</w:t>
            </w:r>
          </w:p>
        </w:tc>
        <w:tc>
          <w:tcPr>
            <w:tcW w:w="903" w:type="pct"/>
          </w:tcPr>
          <w:p w14:paraId="089D13A5" w14:textId="77777777" w:rsidR="00913EE6" w:rsidRPr="00B16D12" w:rsidRDefault="00913EE6" w:rsidP="00446E73">
            <w:pPr>
              <w:pStyle w:val="Corpodeltesto"/>
              <w:spacing w:before="8"/>
              <w:jc w:val="center"/>
              <w:rPr>
                <w:rFonts w:ascii="Times New Roman" w:hAnsi="Times New Roman" w:cs="Times New Roman"/>
                <w:sz w:val="20"/>
                <w:szCs w:val="20"/>
                <w:lang w:val="it-IT"/>
              </w:rPr>
            </w:pPr>
            <w:r w:rsidRPr="00B16D12">
              <w:rPr>
                <w:rFonts w:ascii="Times New Roman" w:hAnsi="Times New Roman" w:cs="Times New Roman"/>
                <w:sz w:val="20"/>
                <w:szCs w:val="20"/>
                <w:lang w:val="it-IT"/>
              </w:rPr>
              <w:t>Euro 262.800,00</w:t>
            </w:r>
          </w:p>
        </w:tc>
        <w:tc>
          <w:tcPr>
            <w:tcW w:w="977" w:type="pct"/>
          </w:tcPr>
          <w:p w14:paraId="0D074536" w14:textId="311DA2B6" w:rsidR="00913EE6" w:rsidRPr="00B16D12" w:rsidRDefault="00913EE6" w:rsidP="00446E73">
            <w:pPr>
              <w:pStyle w:val="Corpodeltesto"/>
              <w:spacing w:before="8"/>
              <w:jc w:val="center"/>
              <w:rPr>
                <w:rFonts w:ascii="Times New Roman" w:hAnsi="Times New Roman" w:cs="Times New Roman"/>
                <w:sz w:val="20"/>
                <w:szCs w:val="20"/>
                <w:lang w:val="it-IT"/>
              </w:rPr>
            </w:pPr>
            <w:r w:rsidRPr="00B16D12">
              <w:rPr>
                <w:rFonts w:ascii="Times New Roman" w:hAnsi="Times New Roman" w:cs="Times New Roman"/>
                <w:sz w:val="20"/>
                <w:szCs w:val="20"/>
                <w:lang w:val="it-IT"/>
              </w:rPr>
              <w:t>Euro 1.314.000,00</w:t>
            </w:r>
          </w:p>
          <w:p w14:paraId="6AF6D8CB" w14:textId="77777777" w:rsidR="00913EE6" w:rsidRPr="00B16D12" w:rsidRDefault="00913EE6" w:rsidP="00446E73">
            <w:pPr>
              <w:pStyle w:val="Corpodeltesto"/>
              <w:spacing w:before="8"/>
              <w:jc w:val="center"/>
              <w:rPr>
                <w:rFonts w:ascii="Times New Roman" w:hAnsi="Times New Roman" w:cs="Times New Roman"/>
                <w:sz w:val="20"/>
                <w:szCs w:val="20"/>
                <w:lang w:val="it-IT"/>
              </w:rPr>
            </w:pPr>
          </w:p>
        </w:tc>
      </w:tr>
      <w:tr w:rsidR="00B16D12" w:rsidRPr="00B16D12" w14:paraId="5C3670A5" w14:textId="77777777" w:rsidTr="00B16D12">
        <w:trPr>
          <w:trHeight w:val="598"/>
        </w:trPr>
        <w:tc>
          <w:tcPr>
            <w:tcW w:w="1941" w:type="pct"/>
          </w:tcPr>
          <w:p w14:paraId="4BF2E0AE" w14:textId="77777777" w:rsidR="00913EE6" w:rsidRPr="00B16D12" w:rsidRDefault="00913EE6" w:rsidP="00446E73">
            <w:pPr>
              <w:pStyle w:val="Corpodeltesto"/>
              <w:spacing w:before="8"/>
              <w:ind w:left="142"/>
              <w:rPr>
                <w:rFonts w:ascii="Times New Roman" w:hAnsi="Times New Roman" w:cs="Times New Roman"/>
                <w:sz w:val="20"/>
                <w:szCs w:val="20"/>
                <w:lang w:val="it-IT"/>
              </w:rPr>
            </w:pPr>
            <w:r w:rsidRPr="00B16D12">
              <w:rPr>
                <w:rFonts w:ascii="Times New Roman" w:hAnsi="Times New Roman" w:cs="Times New Roman"/>
                <w:sz w:val="20"/>
                <w:szCs w:val="20"/>
                <w:lang w:val="it-IT"/>
              </w:rPr>
              <w:t xml:space="preserve">Servizio di trasporto casa-scuola-casa </w:t>
            </w:r>
          </w:p>
          <w:p w14:paraId="3FA23EE4" w14:textId="73B4DC37" w:rsidR="00913EE6" w:rsidRPr="00B16D12" w:rsidRDefault="00913EE6" w:rsidP="00446E73">
            <w:pPr>
              <w:pStyle w:val="Corpodeltesto"/>
              <w:spacing w:before="8"/>
              <w:ind w:left="142"/>
              <w:rPr>
                <w:rFonts w:ascii="Times New Roman" w:hAnsi="Times New Roman" w:cs="Times New Roman"/>
                <w:sz w:val="20"/>
                <w:szCs w:val="20"/>
                <w:lang w:val="it-IT"/>
              </w:rPr>
            </w:pPr>
            <w:r w:rsidRPr="00B16D12">
              <w:rPr>
                <w:rFonts w:ascii="Times New Roman" w:hAnsi="Times New Roman" w:cs="Times New Roman"/>
                <w:sz w:val="20"/>
                <w:szCs w:val="20"/>
                <w:lang w:val="it-IT"/>
              </w:rPr>
              <w:t>(mezzi in comodato) (par. 2.1 Capitolato tecnico)</w:t>
            </w:r>
          </w:p>
        </w:tc>
        <w:tc>
          <w:tcPr>
            <w:tcW w:w="1179" w:type="pct"/>
          </w:tcPr>
          <w:p w14:paraId="4E5375D6" w14:textId="77777777" w:rsidR="00913EE6" w:rsidRPr="00B16D12" w:rsidRDefault="00913EE6" w:rsidP="00446E73">
            <w:pPr>
              <w:pStyle w:val="Default"/>
              <w:jc w:val="center"/>
              <w:rPr>
                <w:color w:val="auto"/>
                <w:sz w:val="20"/>
                <w:szCs w:val="20"/>
              </w:rPr>
            </w:pPr>
          </w:p>
        </w:tc>
        <w:tc>
          <w:tcPr>
            <w:tcW w:w="903" w:type="pct"/>
          </w:tcPr>
          <w:p w14:paraId="72DC77BE" w14:textId="77777777" w:rsidR="00913EE6" w:rsidRPr="00B16D12" w:rsidRDefault="00913EE6" w:rsidP="00446E73">
            <w:pPr>
              <w:pStyle w:val="Corpodeltesto"/>
              <w:spacing w:before="8"/>
              <w:jc w:val="center"/>
              <w:rPr>
                <w:rFonts w:ascii="Times New Roman" w:hAnsi="Times New Roman" w:cs="Times New Roman"/>
                <w:sz w:val="20"/>
                <w:szCs w:val="20"/>
                <w:lang w:val="it-IT"/>
              </w:rPr>
            </w:pPr>
          </w:p>
        </w:tc>
        <w:tc>
          <w:tcPr>
            <w:tcW w:w="977" w:type="pct"/>
          </w:tcPr>
          <w:p w14:paraId="0EEAAE89" w14:textId="77777777" w:rsidR="00913EE6" w:rsidRPr="00B16D12" w:rsidRDefault="00913EE6" w:rsidP="00446E73">
            <w:pPr>
              <w:pStyle w:val="Corpodeltesto"/>
              <w:spacing w:before="8"/>
              <w:jc w:val="center"/>
              <w:rPr>
                <w:rFonts w:ascii="Times New Roman" w:hAnsi="Times New Roman" w:cs="Times New Roman"/>
                <w:sz w:val="20"/>
                <w:szCs w:val="20"/>
                <w:lang w:val="it-IT"/>
              </w:rPr>
            </w:pPr>
          </w:p>
        </w:tc>
      </w:tr>
      <w:tr w:rsidR="00B16D12" w:rsidRPr="00B16D12" w14:paraId="1A3C462A" w14:textId="77777777" w:rsidTr="00B16D12">
        <w:trPr>
          <w:trHeight w:val="598"/>
        </w:trPr>
        <w:tc>
          <w:tcPr>
            <w:tcW w:w="1941" w:type="pct"/>
          </w:tcPr>
          <w:p w14:paraId="2F8C5098" w14:textId="02A4CBF5" w:rsidR="00913EE6" w:rsidRPr="00B16D12" w:rsidRDefault="00913EE6" w:rsidP="00446E73">
            <w:pPr>
              <w:pStyle w:val="Corpodeltesto"/>
              <w:spacing w:before="8"/>
              <w:ind w:left="142"/>
              <w:rPr>
                <w:rFonts w:ascii="Times New Roman" w:hAnsi="Times New Roman" w:cs="Times New Roman"/>
                <w:sz w:val="20"/>
                <w:szCs w:val="20"/>
                <w:lang w:val="it-IT"/>
              </w:rPr>
            </w:pPr>
            <w:r w:rsidRPr="00B16D12">
              <w:rPr>
                <w:rFonts w:ascii="Times New Roman" w:hAnsi="Times New Roman" w:cs="Times New Roman"/>
                <w:sz w:val="20"/>
                <w:szCs w:val="20"/>
                <w:lang w:val="it-IT"/>
              </w:rPr>
              <w:t>Servizio di accompagnamento (par. 2.2 Capitolato tecnico)</w:t>
            </w:r>
          </w:p>
        </w:tc>
        <w:tc>
          <w:tcPr>
            <w:tcW w:w="1179" w:type="pct"/>
          </w:tcPr>
          <w:p w14:paraId="5C412835" w14:textId="77777777" w:rsidR="00913EE6" w:rsidRPr="00B16D12" w:rsidRDefault="00913EE6" w:rsidP="00913EE6">
            <w:pPr>
              <w:pStyle w:val="Default"/>
              <w:jc w:val="center"/>
              <w:rPr>
                <w:color w:val="auto"/>
                <w:sz w:val="20"/>
                <w:szCs w:val="20"/>
              </w:rPr>
            </w:pPr>
          </w:p>
        </w:tc>
        <w:tc>
          <w:tcPr>
            <w:tcW w:w="903" w:type="pct"/>
          </w:tcPr>
          <w:p w14:paraId="4AB0612E" w14:textId="77777777" w:rsidR="00913EE6" w:rsidRPr="00B16D12" w:rsidRDefault="00913EE6" w:rsidP="00446E73">
            <w:pPr>
              <w:pStyle w:val="Corpodeltesto"/>
              <w:spacing w:before="8"/>
              <w:jc w:val="center"/>
              <w:rPr>
                <w:rFonts w:ascii="Times New Roman" w:hAnsi="Times New Roman" w:cs="Times New Roman"/>
                <w:sz w:val="20"/>
                <w:szCs w:val="20"/>
                <w:lang w:val="it-IT"/>
              </w:rPr>
            </w:pPr>
          </w:p>
        </w:tc>
        <w:tc>
          <w:tcPr>
            <w:tcW w:w="977" w:type="pct"/>
          </w:tcPr>
          <w:p w14:paraId="6B8CF913" w14:textId="77777777" w:rsidR="00913EE6" w:rsidRPr="00B16D12" w:rsidRDefault="00913EE6" w:rsidP="00446E73">
            <w:pPr>
              <w:pStyle w:val="Corpodeltesto"/>
              <w:spacing w:before="8"/>
              <w:jc w:val="center"/>
              <w:rPr>
                <w:rFonts w:ascii="Times New Roman" w:hAnsi="Times New Roman" w:cs="Times New Roman"/>
                <w:sz w:val="20"/>
                <w:szCs w:val="20"/>
                <w:lang w:val="it-IT"/>
              </w:rPr>
            </w:pPr>
          </w:p>
        </w:tc>
      </w:tr>
      <w:tr w:rsidR="00B16D12" w:rsidRPr="00B16D12" w14:paraId="6E2F3B49" w14:textId="77777777" w:rsidTr="00B16D12">
        <w:trPr>
          <w:trHeight w:val="600"/>
        </w:trPr>
        <w:tc>
          <w:tcPr>
            <w:tcW w:w="1941" w:type="pct"/>
          </w:tcPr>
          <w:p w14:paraId="155C8144" w14:textId="30294210" w:rsidR="00913EE6" w:rsidRPr="00B16D12" w:rsidRDefault="00913EE6" w:rsidP="00446E73">
            <w:pPr>
              <w:pStyle w:val="Corpodeltesto"/>
              <w:spacing w:before="8"/>
              <w:ind w:left="142"/>
              <w:rPr>
                <w:rFonts w:ascii="Times New Roman" w:hAnsi="Times New Roman" w:cs="Times New Roman"/>
                <w:sz w:val="20"/>
                <w:szCs w:val="20"/>
                <w:lang w:val="it-IT"/>
              </w:rPr>
            </w:pPr>
            <w:r w:rsidRPr="00B16D12">
              <w:rPr>
                <w:rFonts w:ascii="Times New Roman" w:hAnsi="Times New Roman" w:cs="Times New Roman"/>
                <w:sz w:val="20"/>
                <w:szCs w:val="20"/>
                <w:lang w:val="it-IT"/>
              </w:rPr>
              <w:t>Servizio di trasporto presso strutture distaccate per fini scolastici (par. 2.3)</w:t>
            </w:r>
          </w:p>
        </w:tc>
        <w:tc>
          <w:tcPr>
            <w:tcW w:w="1179" w:type="pct"/>
          </w:tcPr>
          <w:p w14:paraId="18D7D689" w14:textId="77777777" w:rsidR="00913EE6" w:rsidRPr="00B16D12" w:rsidRDefault="00913EE6" w:rsidP="00446E73">
            <w:pPr>
              <w:pStyle w:val="Corpodeltesto"/>
              <w:spacing w:before="8"/>
              <w:jc w:val="center"/>
              <w:rPr>
                <w:rFonts w:ascii="Times New Roman" w:hAnsi="Times New Roman" w:cs="Times New Roman"/>
                <w:sz w:val="20"/>
                <w:szCs w:val="20"/>
                <w:lang w:val="it-IT"/>
              </w:rPr>
            </w:pPr>
          </w:p>
        </w:tc>
        <w:tc>
          <w:tcPr>
            <w:tcW w:w="903" w:type="pct"/>
          </w:tcPr>
          <w:p w14:paraId="2B4E0E87" w14:textId="77777777" w:rsidR="00913EE6" w:rsidRPr="00B16D12" w:rsidRDefault="00913EE6" w:rsidP="00446E73">
            <w:pPr>
              <w:pStyle w:val="Corpodeltesto"/>
              <w:spacing w:before="8"/>
              <w:jc w:val="center"/>
              <w:rPr>
                <w:rFonts w:ascii="Times New Roman" w:hAnsi="Times New Roman" w:cs="Times New Roman"/>
                <w:sz w:val="20"/>
                <w:szCs w:val="20"/>
                <w:lang w:val="it-IT"/>
              </w:rPr>
            </w:pPr>
          </w:p>
        </w:tc>
        <w:tc>
          <w:tcPr>
            <w:tcW w:w="977" w:type="pct"/>
          </w:tcPr>
          <w:p w14:paraId="6C9012D4" w14:textId="77777777" w:rsidR="00913EE6" w:rsidRPr="00B16D12" w:rsidRDefault="00913EE6" w:rsidP="00446E73">
            <w:pPr>
              <w:pStyle w:val="Corpodeltesto"/>
              <w:spacing w:before="8"/>
              <w:jc w:val="center"/>
              <w:rPr>
                <w:rFonts w:ascii="Times New Roman" w:hAnsi="Times New Roman" w:cs="Times New Roman"/>
                <w:sz w:val="20"/>
                <w:szCs w:val="20"/>
                <w:lang w:val="it-IT"/>
              </w:rPr>
            </w:pPr>
          </w:p>
        </w:tc>
      </w:tr>
      <w:tr w:rsidR="00B16D12" w:rsidRPr="00B16D12" w14:paraId="567B0A55" w14:textId="77777777" w:rsidTr="00B16D12">
        <w:trPr>
          <w:trHeight w:val="829"/>
        </w:trPr>
        <w:tc>
          <w:tcPr>
            <w:tcW w:w="1941" w:type="pct"/>
          </w:tcPr>
          <w:p w14:paraId="25024B7E" w14:textId="69EC2949" w:rsidR="00913EE6" w:rsidRPr="00B16D12" w:rsidRDefault="00913EE6" w:rsidP="00446E73">
            <w:pPr>
              <w:pStyle w:val="Corpodeltesto"/>
              <w:spacing w:before="8"/>
              <w:ind w:left="142"/>
              <w:rPr>
                <w:rFonts w:ascii="Times New Roman" w:hAnsi="Times New Roman" w:cs="Times New Roman"/>
                <w:sz w:val="20"/>
                <w:szCs w:val="20"/>
                <w:lang w:val="it-IT"/>
              </w:rPr>
            </w:pPr>
            <w:r w:rsidRPr="00B16D12">
              <w:rPr>
                <w:rFonts w:ascii="Times New Roman" w:hAnsi="Times New Roman" w:cs="Times New Roman"/>
                <w:sz w:val="20"/>
                <w:szCs w:val="20"/>
                <w:lang w:val="it-IT"/>
              </w:rPr>
              <w:t>Servizio disponibilità veicoli per attività curriculari e uscite didattiche giornaliere durante l’anno scolastico (par. 2.4 Capitolato tecnico)</w:t>
            </w:r>
          </w:p>
        </w:tc>
        <w:tc>
          <w:tcPr>
            <w:tcW w:w="1179" w:type="pct"/>
          </w:tcPr>
          <w:p w14:paraId="6416F0DF" w14:textId="77777777" w:rsidR="00913EE6" w:rsidRPr="00B16D12" w:rsidRDefault="00913EE6" w:rsidP="00446E73">
            <w:pPr>
              <w:pStyle w:val="Corpodeltesto"/>
              <w:spacing w:before="8"/>
              <w:jc w:val="center"/>
              <w:rPr>
                <w:rFonts w:ascii="Times New Roman" w:hAnsi="Times New Roman" w:cs="Times New Roman"/>
                <w:sz w:val="20"/>
                <w:szCs w:val="20"/>
                <w:lang w:val="it-IT"/>
              </w:rPr>
            </w:pPr>
            <w:r w:rsidRPr="00B16D12">
              <w:rPr>
                <w:rFonts w:ascii="Times New Roman" w:hAnsi="Times New Roman" w:cs="Times New Roman"/>
                <w:sz w:val="20"/>
                <w:szCs w:val="20"/>
                <w:lang w:val="it-IT"/>
              </w:rPr>
              <w:t>Euro 2.92(prezzo al km)</w:t>
            </w:r>
          </w:p>
          <w:p w14:paraId="5F237B85" w14:textId="77777777" w:rsidR="00913EE6" w:rsidRPr="00B16D12" w:rsidRDefault="00913EE6" w:rsidP="00446E73">
            <w:pPr>
              <w:pStyle w:val="Corpodeltesto"/>
              <w:spacing w:before="8"/>
              <w:jc w:val="center"/>
              <w:rPr>
                <w:rFonts w:ascii="Times New Roman" w:hAnsi="Times New Roman" w:cs="Times New Roman"/>
                <w:sz w:val="20"/>
                <w:szCs w:val="20"/>
                <w:lang w:val="it-IT"/>
              </w:rPr>
            </w:pPr>
            <w:r w:rsidRPr="00B16D12">
              <w:rPr>
                <w:rFonts w:ascii="Times New Roman" w:hAnsi="Times New Roman" w:cs="Times New Roman"/>
                <w:sz w:val="20"/>
                <w:szCs w:val="20"/>
                <w:lang w:val="it-IT"/>
              </w:rPr>
              <w:t>4.500 km all’anno</w:t>
            </w:r>
          </w:p>
        </w:tc>
        <w:tc>
          <w:tcPr>
            <w:tcW w:w="903" w:type="pct"/>
          </w:tcPr>
          <w:p w14:paraId="6F46755B" w14:textId="77777777" w:rsidR="00913EE6" w:rsidRPr="00B16D12" w:rsidRDefault="00913EE6" w:rsidP="00446E73">
            <w:pPr>
              <w:pStyle w:val="Corpodeltesto"/>
              <w:spacing w:before="8"/>
              <w:jc w:val="center"/>
              <w:rPr>
                <w:rFonts w:ascii="Times New Roman" w:hAnsi="Times New Roman" w:cs="Times New Roman"/>
                <w:sz w:val="20"/>
                <w:szCs w:val="20"/>
                <w:lang w:val="it-IT"/>
              </w:rPr>
            </w:pPr>
            <w:r w:rsidRPr="00B16D12">
              <w:rPr>
                <w:rFonts w:ascii="Times New Roman" w:hAnsi="Times New Roman" w:cs="Times New Roman"/>
                <w:sz w:val="20"/>
                <w:szCs w:val="20"/>
                <w:lang w:val="it-IT"/>
              </w:rPr>
              <w:t>Euro 13.140,00</w:t>
            </w:r>
          </w:p>
        </w:tc>
        <w:tc>
          <w:tcPr>
            <w:tcW w:w="977" w:type="pct"/>
          </w:tcPr>
          <w:p w14:paraId="7D110E4E" w14:textId="77777777" w:rsidR="00913EE6" w:rsidRPr="00B16D12" w:rsidRDefault="00913EE6" w:rsidP="00446E73">
            <w:pPr>
              <w:pStyle w:val="Corpodeltesto"/>
              <w:spacing w:before="8"/>
              <w:jc w:val="center"/>
              <w:rPr>
                <w:rFonts w:ascii="Times New Roman" w:hAnsi="Times New Roman" w:cs="Times New Roman"/>
                <w:sz w:val="20"/>
                <w:szCs w:val="20"/>
                <w:lang w:val="it-IT"/>
              </w:rPr>
            </w:pPr>
            <w:r w:rsidRPr="00B16D12">
              <w:rPr>
                <w:rFonts w:ascii="Times New Roman" w:hAnsi="Times New Roman" w:cs="Times New Roman"/>
                <w:sz w:val="20"/>
                <w:szCs w:val="20"/>
                <w:lang w:val="it-IT"/>
              </w:rPr>
              <w:t>Euro 65.700,00</w:t>
            </w:r>
          </w:p>
          <w:p w14:paraId="125EB60F" w14:textId="77777777" w:rsidR="00913EE6" w:rsidRPr="00B16D12" w:rsidRDefault="00913EE6" w:rsidP="00446E73">
            <w:pPr>
              <w:pStyle w:val="Corpodeltesto"/>
              <w:spacing w:before="8"/>
              <w:jc w:val="center"/>
              <w:rPr>
                <w:rFonts w:ascii="Times New Roman" w:hAnsi="Times New Roman" w:cs="Times New Roman"/>
                <w:sz w:val="20"/>
                <w:szCs w:val="20"/>
                <w:lang w:val="it-IT"/>
              </w:rPr>
            </w:pPr>
          </w:p>
        </w:tc>
      </w:tr>
      <w:tr w:rsidR="00B16D12" w:rsidRPr="00B16D12" w14:paraId="0A5E429E" w14:textId="77777777" w:rsidTr="00B16D12">
        <w:trPr>
          <w:trHeight w:val="841"/>
        </w:trPr>
        <w:tc>
          <w:tcPr>
            <w:tcW w:w="1941" w:type="pct"/>
          </w:tcPr>
          <w:p w14:paraId="49483126" w14:textId="11AE26E3" w:rsidR="00913EE6" w:rsidRPr="00B16D12" w:rsidRDefault="00913EE6" w:rsidP="00446E73">
            <w:pPr>
              <w:pStyle w:val="Corpodeltesto"/>
              <w:spacing w:before="8"/>
              <w:ind w:left="142"/>
              <w:rPr>
                <w:rFonts w:ascii="Times New Roman" w:hAnsi="Times New Roman" w:cs="Times New Roman"/>
                <w:sz w:val="20"/>
                <w:szCs w:val="20"/>
                <w:lang w:val="it-IT"/>
              </w:rPr>
            </w:pPr>
            <w:r w:rsidRPr="00B16D12">
              <w:rPr>
                <w:rFonts w:ascii="Times New Roman" w:hAnsi="Times New Roman" w:cs="Times New Roman"/>
                <w:sz w:val="20"/>
                <w:szCs w:val="20"/>
                <w:lang w:val="it-IT"/>
              </w:rPr>
              <w:t>Servizio disponibilità veicoli per attività curriculari e uscite didattiche oltre l’anno scolastico a carattere continuativo (par. 2.4 Capitolato tecnico)</w:t>
            </w:r>
          </w:p>
        </w:tc>
        <w:tc>
          <w:tcPr>
            <w:tcW w:w="1179" w:type="pct"/>
          </w:tcPr>
          <w:p w14:paraId="71926993" w14:textId="77777777" w:rsidR="00913EE6" w:rsidRPr="00B16D12" w:rsidRDefault="00913EE6" w:rsidP="00446E73">
            <w:pPr>
              <w:pStyle w:val="Corpodeltesto"/>
              <w:spacing w:before="8"/>
              <w:jc w:val="center"/>
              <w:rPr>
                <w:rFonts w:ascii="Times New Roman" w:hAnsi="Times New Roman" w:cs="Times New Roman"/>
                <w:sz w:val="20"/>
                <w:szCs w:val="20"/>
                <w:lang w:val="it-IT"/>
              </w:rPr>
            </w:pPr>
            <w:r w:rsidRPr="00B16D12">
              <w:rPr>
                <w:rFonts w:ascii="Times New Roman" w:hAnsi="Times New Roman" w:cs="Times New Roman"/>
                <w:sz w:val="20"/>
                <w:szCs w:val="20"/>
                <w:lang w:val="it-IT"/>
              </w:rPr>
              <w:t>Euro 2.92(prezzo al km)</w:t>
            </w:r>
          </w:p>
          <w:p w14:paraId="18E92663" w14:textId="136A8ABB" w:rsidR="00913EE6" w:rsidRPr="00B16D12" w:rsidRDefault="00913EE6" w:rsidP="00446E73">
            <w:pPr>
              <w:pStyle w:val="Corpodeltesto"/>
              <w:spacing w:before="8"/>
              <w:jc w:val="center"/>
              <w:rPr>
                <w:rFonts w:ascii="Times New Roman" w:hAnsi="Times New Roman" w:cs="Times New Roman"/>
                <w:sz w:val="20"/>
                <w:szCs w:val="20"/>
                <w:lang w:val="it-IT"/>
              </w:rPr>
            </w:pPr>
            <w:r w:rsidRPr="00B16D12">
              <w:rPr>
                <w:rFonts w:ascii="Times New Roman" w:hAnsi="Times New Roman" w:cs="Times New Roman"/>
                <w:sz w:val="20"/>
                <w:szCs w:val="20"/>
                <w:lang w:val="it-IT"/>
              </w:rPr>
              <w:t>9.000 km all’anno</w:t>
            </w:r>
          </w:p>
        </w:tc>
        <w:tc>
          <w:tcPr>
            <w:tcW w:w="903" w:type="pct"/>
          </w:tcPr>
          <w:p w14:paraId="437272B7" w14:textId="54F6F3DE" w:rsidR="00913EE6" w:rsidRPr="00B16D12" w:rsidRDefault="00913EE6" w:rsidP="00446E73">
            <w:pPr>
              <w:pStyle w:val="Corpodeltesto"/>
              <w:spacing w:before="8"/>
              <w:jc w:val="center"/>
              <w:rPr>
                <w:rFonts w:ascii="Times New Roman" w:hAnsi="Times New Roman" w:cs="Times New Roman"/>
                <w:sz w:val="20"/>
                <w:szCs w:val="20"/>
                <w:lang w:val="it-IT"/>
              </w:rPr>
            </w:pPr>
            <w:r w:rsidRPr="00B16D12">
              <w:rPr>
                <w:rFonts w:ascii="Times New Roman" w:hAnsi="Times New Roman" w:cs="Times New Roman"/>
                <w:sz w:val="20"/>
                <w:szCs w:val="20"/>
                <w:lang w:val="it-IT"/>
              </w:rPr>
              <w:t>Euro 26.280,00</w:t>
            </w:r>
          </w:p>
        </w:tc>
        <w:tc>
          <w:tcPr>
            <w:tcW w:w="977" w:type="pct"/>
          </w:tcPr>
          <w:p w14:paraId="18A7ACA7" w14:textId="75AA63AA" w:rsidR="00913EE6" w:rsidRPr="00B16D12" w:rsidRDefault="00913EE6" w:rsidP="00446E73">
            <w:pPr>
              <w:pStyle w:val="Corpodeltesto"/>
              <w:spacing w:before="8"/>
              <w:jc w:val="center"/>
              <w:rPr>
                <w:rFonts w:ascii="Times New Roman" w:hAnsi="Times New Roman" w:cs="Times New Roman"/>
                <w:sz w:val="20"/>
                <w:szCs w:val="20"/>
                <w:lang w:val="it-IT"/>
              </w:rPr>
            </w:pPr>
            <w:r w:rsidRPr="00B16D12">
              <w:rPr>
                <w:rFonts w:ascii="Times New Roman" w:hAnsi="Times New Roman" w:cs="Times New Roman"/>
                <w:sz w:val="20"/>
                <w:szCs w:val="20"/>
                <w:lang w:val="it-IT"/>
              </w:rPr>
              <w:t>Euro 131.400,00</w:t>
            </w:r>
          </w:p>
          <w:p w14:paraId="739731CC" w14:textId="77777777" w:rsidR="00913EE6" w:rsidRPr="00B16D12" w:rsidRDefault="00913EE6" w:rsidP="00446E73">
            <w:pPr>
              <w:pStyle w:val="Corpodeltesto"/>
              <w:spacing w:before="8"/>
              <w:jc w:val="center"/>
              <w:rPr>
                <w:rFonts w:ascii="Times New Roman" w:hAnsi="Times New Roman" w:cs="Times New Roman"/>
                <w:sz w:val="20"/>
                <w:szCs w:val="20"/>
                <w:lang w:val="it-IT"/>
              </w:rPr>
            </w:pPr>
          </w:p>
        </w:tc>
      </w:tr>
      <w:tr w:rsidR="00B16D12" w:rsidRPr="00B16D12" w14:paraId="7EA3F96B" w14:textId="77777777" w:rsidTr="00B16D12">
        <w:trPr>
          <w:trHeight w:val="598"/>
        </w:trPr>
        <w:tc>
          <w:tcPr>
            <w:tcW w:w="1941" w:type="pct"/>
          </w:tcPr>
          <w:p w14:paraId="5D2E6344" w14:textId="77B325CD" w:rsidR="00913EE6" w:rsidRPr="00B16D12" w:rsidRDefault="00913EE6" w:rsidP="00446E73">
            <w:pPr>
              <w:pStyle w:val="Corpodeltesto"/>
              <w:spacing w:before="8"/>
              <w:ind w:left="142"/>
              <w:rPr>
                <w:rFonts w:ascii="Times New Roman" w:hAnsi="Times New Roman" w:cs="Times New Roman"/>
                <w:sz w:val="20"/>
                <w:szCs w:val="20"/>
                <w:lang w:val="it-IT"/>
              </w:rPr>
            </w:pPr>
            <w:r w:rsidRPr="00B16D12">
              <w:rPr>
                <w:rFonts w:ascii="Times New Roman" w:hAnsi="Times New Roman" w:cs="Times New Roman"/>
                <w:sz w:val="20"/>
                <w:szCs w:val="20"/>
                <w:lang w:val="it-IT"/>
              </w:rPr>
              <w:t>Servizio disponibilità veicoli per attività curriculari e uscite didattiche oltre l’anno scolastico a carattere non continuativo  (par. 2.4 Capitolato tecnico)</w:t>
            </w:r>
          </w:p>
        </w:tc>
        <w:tc>
          <w:tcPr>
            <w:tcW w:w="1179" w:type="pct"/>
          </w:tcPr>
          <w:p w14:paraId="243F9A81" w14:textId="516876F9" w:rsidR="00913EE6" w:rsidRPr="00B16D12" w:rsidRDefault="00913EE6" w:rsidP="00446E73">
            <w:pPr>
              <w:pStyle w:val="Corpodeltesto"/>
              <w:spacing w:before="8"/>
              <w:jc w:val="center"/>
              <w:rPr>
                <w:rFonts w:ascii="Times New Roman" w:hAnsi="Times New Roman" w:cs="Times New Roman"/>
                <w:sz w:val="20"/>
                <w:szCs w:val="20"/>
                <w:lang w:val="it-IT"/>
              </w:rPr>
            </w:pPr>
          </w:p>
        </w:tc>
        <w:tc>
          <w:tcPr>
            <w:tcW w:w="903" w:type="pct"/>
          </w:tcPr>
          <w:p w14:paraId="371718B0" w14:textId="2EBE30F2" w:rsidR="00913EE6" w:rsidRPr="00B16D12" w:rsidRDefault="00913EE6" w:rsidP="00446E73">
            <w:pPr>
              <w:pStyle w:val="Corpodeltesto"/>
              <w:spacing w:before="8"/>
              <w:jc w:val="center"/>
              <w:rPr>
                <w:rFonts w:ascii="Times New Roman" w:hAnsi="Times New Roman" w:cs="Times New Roman"/>
                <w:sz w:val="20"/>
                <w:szCs w:val="20"/>
                <w:lang w:val="it-IT"/>
              </w:rPr>
            </w:pPr>
          </w:p>
        </w:tc>
        <w:tc>
          <w:tcPr>
            <w:tcW w:w="977" w:type="pct"/>
          </w:tcPr>
          <w:p w14:paraId="7CFFDBE6" w14:textId="77777777" w:rsidR="00913EE6" w:rsidRPr="00B16D12" w:rsidRDefault="00913EE6" w:rsidP="00446E73">
            <w:pPr>
              <w:pStyle w:val="Corpodeltesto"/>
              <w:spacing w:before="8"/>
              <w:jc w:val="center"/>
              <w:rPr>
                <w:rFonts w:ascii="Times New Roman" w:hAnsi="Times New Roman" w:cs="Times New Roman"/>
                <w:sz w:val="20"/>
                <w:szCs w:val="20"/>
                <w:lang w:val="it-IT"/>
              </w:rPr>
            </w:pPr>
          </w:p>
        </w:tc>
      </w:tr>
      <w:tr w:rsidR="00B16D12" w:rsidRPr="00B16D12" w14:paraId="2805202D" w14:textId="77777777" w:rsidTr="00B16D12">
        <w:trPr>
          <w:trHeight w:val="598"/>
        </w:trPr>
        <w:tc>
          <w:tcPr>
            <w:tcW w:w="1941" w:type="pct"/>
          </w:tcPr>
          <w:p w14:paraId="73A4693E" w14:textId="169ADCF4" w:rsidR="00913EE6" w:rsidRPr="00B16D12" w:rsidRDefault="00913EE6" w:rsidP="00446E73">
            <w:pPr>
              <w:pStyle w:val="Corpodeltesto"/>
              <w:spacing w:before="8"/>
              <w:ind w:left="142"/>
              <w:rPr>
                <w:rFonts w:ascii="Times New Roman" w:hAnsi="Times New Roman" w:cs="Times New Roman"/>
                <w:sz w:val="20"/>
                <w:szCs w:val="20"/>
                <w:lang w:val="it-IT"/>
              </w:rPr>
            </w:pPr>
            <w:r w:rsidRPr="00B16D12">
              <w:rPr>
                <w:rFonts w:ascii="Times New Roman" w:hAnsi="Times New Roman" w:cs="Times New Roman"/>
                <w:sz w:val="20"/>
                <w:szCs w:val="20"/>
                <w:lang w:val="it-IT"/>
              </w:rPr>
              <w:t>Servizio di sportello per la gestione delle iscrizioni (par. 2.5 Capitolato tecnico)</w:t>
            </w:r>
          </w:p>
        </w:tc>
        <w:tc>
          <w:tcPr>
            <w:tcW w:w="1179" w:type="pct"/>
          </w:tcPr>
          <w:p w14:paraId="41C87322" w14:textId="2823AB47" w:rsidR="00913EE6" w:rsidRPr="00B16D12" w:rsidRDefault="00913EE6" w:rsidP="00446E73">
            <w:pPr>
              <w:pStyle w:val="Default"/>
              <w:jc w:val="center"/>
              <w:rPr>
                <w:color w:val="auto"/>
                <w:sz w:val="20"/>
                <w:szCs w:val="20"/>
              </w:rPr>
            </w:pPr>
          </w:p>
        </w:tc>
        <w:tc>
          <w:tcPr>
            <w:tcW w:w="903" w:type="pct"/>
          </w:tcPr>
          <w:p w14:paraId="41F5BB5D" w14:textId="0536F362" w:rsidR="00913EE6" w:rsidRPr="00B16D12" w:rsidRDefault="00913EE6" w:rsidP="00446E73">
            <w:pPr>
              <w:pStyle w:val="Corpodeltesto"/>
              <w:spacing w:before="8"/>
              <w:jc w:val="center"/>
              <w:rPr>
                <w:rFonts w:ascii="Times New Roman" w:hAnsi="Times New Roman" w:cs="Times New Roman"/>
                <w:sz w:val="20"/>
                <w:szCs w:val="20"/>
                <w:lang w:val="it-IT"/>
              </w:rPr>
            </w:pPr>
          </w:p>
        </w:tc>
        <w:tc>
          <w:tcPr>
            <w:tcW w:w="977" w:type="pct"/>
          </w:tcPr>
          <w:p w14:paraId="0B21BABA" w14:textId="4E1B37C2" w:rsidR="00913EE6" w:rsidRPr="00B16D12" w:rsidRDefault="00913EE6" w:rsidP="00446E73">
            <w:pPr>
              <w:pStyle w:val="Corpodeltesto"/>
              <w:spacing w:before="8"/>
              <w:jc w:val="center"/>
              <w:rPr>
                <w:rFonts w:ascii="Times New Roman" w:hAnsi="Times New Roman" w:cs="Times New Roman"/>
                <w:sz w:val="20"/>
                <w:szCs w:val="20"/>
                <w:lang w:val="it-IT"/>
              </w:rPr>
            </w:pPr>
          </w:p>
        </w:tc>
      </w:tr>
      <w:tr w:rsidR="00B16D12" w:rsidRPr="00B16D12" w14:paraId="0987F412" w14:textId="77777777" w:rsidTr="00B16D12">
        <w:trPr>
          <w:trHeight w:val="321"/>
        </w:trPr>
        <w:tc>
          <w:tcPr>
            <w:tcW w:w="1941" w:type="pct"/>
          </w:tcPr>
          <w:p w14:paraId="67B0376F" w14:textId="77777777" w:rsidR="00913EE6" w:rsidRPr="00B16D12" w:rsidRDefault="00913EE6" w:rsidP="00446E73">
            <w:pPr>
              <w:pStyle w:val="Corpodeltesto"/>
              <w:spacing w:before="8"/>
              <w:jc w:val="center"/>
              <w:rPr>
                <w:rFonts w:ascii="Times New Roman" w:hAnsi="Times New Roman" w:cs="Times New Roman"/>
                <w:b/>
                <w:sz w:val="20"/>
                <w:szCs w:val="20"/>
              </w:rPr>
            </w:pPr>
            <w:r w:rsidRPr="00B16D12">
              <w:rPr>
                <w:rFonts w:ascii="Times New Roman" w:hAnsi="Times New Roman" w:cs="Times New Roman"/>
                <w:b/>
                <w:sz w:val="20"/>
                <w:szCs w:val="20"/>
              </w:rPr>
              <w:t>TOTALE GLOBALE SERVIZI</w:t>
            </w:r>
          </w:p>
        </w:tc>
        <w:tc>
          <w:tcPr>
            <w:tcW w:w="1179" w:type="pct"/>
          </w:tcPr>
          <w:p w14:paraId="6E4B9C66" w14:textId="77777777" w:rsidR="00913EE6" w:rsidRPr="00B16D12" w:rsidRDefault="00913EE6" w:rsidP="00446E73">
            <w:pPr>
              <w:pStyle w:val="Corpodeltesto"/>
              <w:spacing w:before="8"/>
              <w:jc w:val="center"/>
              <w:rPr>
                <w:rFonts w:ascii="Times New Roman" w:hAnsi="Times New Roman" w:cs="Times New Roman"/>
                <w:sz w:val="20"/>
                <w:szCs w:val="20"/>
              </w:rPr>
            </w:pPr>
          </w:p>
        </w:tc>
        <w:tc>
          <w:tcPr>
            <w:tcW w:w="903" w:type="pct"/>
          </w:tcPr>
          <w:p w14:paraId="65BBF7A7" w14:textId="329CBE31" w:rsidR="00913EE6" w:rsidRPr="00B16D12" w:rsidRDefault="00913EE6" w:rsidP="00446E73">
            <w:pPr>
              <w:pStyle w:val="Corpodeltesto"/>
              <w:spacing w:before="8"/>
              <w:jc w:val="center"/>
              <w:rPr>
                <w:rFonts w:ascii="Times New Roman" w:hAnsi="Times New Roman" w:cs="Times New Roman"/>
                <w:b/>
                <w:sz w:val="20"/>
                <w:szCs w:val="20"/>
              </w:rPr>
            </w:pPr>
            <w:r w:rsidRPr="00B16D12">
              <w:rPr>
                <w:rFonts w:ascii="Times New Roman" w:hAnsi="Times New Roman" w:cs="Times New Roman"/>
                <w:b/>
                <w:sz w:val="20"/>
                <w:szCs w:val="20"/>
              </w:rPr>
              <w:t>Euro 302.220,00</w:t>
            </w:r>
          </w:p>
        </w:tc>
        <w:tc>
          <w:tcPr>
            <w:tcW w:w="977" w:type="pct"/>
          </w:tcPr>
          <w:p w14:paraId="7718B295" w14:textId="23716AD4" w:rsidR="00913EE6" w:rsidRPr="00B16D12" w:rsidRDefault="00913EE6" w:rsidP="00446E73">
            <w:pPr>
              <w:pStyle w:val="Corpodeltesto"/>
              <w:spacing w:before="8"/>
              <w:jc w:val="center"/>
              <w:rPr>
                <w:rFonts w:ascii="Times New Roman" w:hAnsi="Times New Roman" w:cs="Times New Roman"/>
                <w:b/>
                <w:bCs/>
                <w:sz w:val="20"/>
                <w:szCs w:val="20"/>
              </w:rPr>
            </w:pPr>
            <w:r w:rsidRPr="00B16D12">
              <w:rPr>
                <w:rFonts w:ascii="Times New Roman" w:hAnsi="Times New Roman" w:cs="Times New Roman"/>
                <w:b/>
                <w:bCs/>
                <w:sz w:val="20"/>
                <w:szCs w:val="20"/>
              </w:rPr>
              <w:t>Euro 1.511.100,00</w:t>
            </w:r>
          </w:p>
        </w:tc>
      </w:tr>
    </w:tbl>
    <w:p w14:paraId="79D80EF5" w14:textId="77777777" w:rsidR="00457966" w:rsidRPr="00B16D12" w:rsidRDefault="00457966" w:rsidP="0077299D"/>
    <w:p w14:paraId="70C2CB1C" w14:textId="77777777" w:rsidR="00457966" w:rsidRPr="00B16D12" w:rsidRDefault="00457966" w:rsidP="0077299D"/>
    <w:p w14:paraId="76ABCBDD" w14:textId="77777777" w:rsidR="00AA73AD" w:rsidRPr="00B259B9" w:rsidRDefault="00AA73AD" w:rsidP="00AA73AD">
      <w:r w:rsidRPr="00B259B9">
        <w:t>Le tariffe per l’utenza, distinte per Comune sono le seguenti:</w:t>
      </w:r>
    </w:p>
    <w:p w14:paraId="2F040A3C" w14:textId="77777777" w:rsidR="0077299D" w:rsidRPr="00B259B9" w:rsidRDefault="0077299D" w:rsidP="0077299D"/>
    <w:p w14:paraId="5155BE58" w14:textId="77777777" w:rsidR="00AA73AD" w:rsidRPr="00B259B9" w:rsidRDefault="00AA73AD" w:rsidP="00AA73AD">
      <w:pPr>
        <w:ind w:left="283"/>
        <w:rPr>
          <w:rFonts w:eastAsia="Times New Roman"/>
          <w:i/>
          <w:iCs/>
          <w:u w:val="single"/>
        </w:rPr>
      </w:pPr>
      <w:r w:rsidRPr="00B259B9">
        <w:rPr>
          <w:rFonts w:eastAsia="Times New Roman"/>
          <w:b/>
          <w:i/>
          <w:iCs/>
          <w:u w:val="single"/>
        </w:rPr>
        <w:t xml:space="preserve">COMUNE DI POLVERIGI </w:t>
      </w:r>
    </w:p>
    <w:p w14:paraId="61741859" w14:textId="77777777" w:rsidR="00AA73AD" w:rsidRPr="00B259B9" w:rsidRDefault="00AA73AD" w:rsidP="00AA73AD">
      <w:pPr>
        <w:ind w:left="283"/>
        <w:rPr>
          <w:rFonts w:eastAsia="Times New Roman"/>
        </w:rPr>
      </w:pPr>
      <w:r w:rsidRPr="00B259B9">
        <w:rPr>
          <w:rFonts w:eastAsia="Times New Roman"/>
        </w:rPr>
        <w:t xml:space="preserve">TRASPORTO SCOLASTICO </w:t>
      </w:r>
    </w:p>
    <w:p w14:paraId="3DD6FB21" w14:textId="77777777" w:rsidR="00AA73AD" w:rsidRPr="00B259B9" w:rsidRDefault="00AA73AD" w:rsidP="00AA73AD">
      <w:pPr>
        <w:ind w:left="283"/>
        <w:rPr>
          <w:rFonts w:eastAsia="Times New Roman"/>
        </w:rPr>
      </w:pPr>
      <w:r w:rsidRPr="00B259B9">
        <w:rPr>
          <w:rFonts w:eastAsia="Times New Roman"/>
        </w:rPr>
        <w:t>- Per anno per 1 figlio euro 200,00</w:t>
      </w:r>
    </w:p>
    <w:p w14:paraId="7B6CF0EF" w14:textId="77777777" w:rsidR="00AA73AD" w:rsidRPr="00B259B9" w:rsidRDefault="00AA73AD" w:rsidP="00AA73AD">
      <w:pPr>
        <w:ind w:left="283"/>
        <w:rPr>
          <w:rFonts w:eastAsia="Times New Roman"/>
        </w:rPr>
      </w:pPr>
      <w:r w:rsidRPr="00B259B9">
        <w:rPr>
          <w:rFonts w:eastAsia="Times New Roman"/>
        </w:rPr>
        <w:t>- Per anno per 2 o più figli euro 310,00</w:t>
      </w:r>
    </w:p>
    <w:p w14:paraId="1D63F9C3" w14:textId="77777777" w:rsidR="00AA73AD" w:rsidRPr="00B259B9" w:rsidRDefault="00AA73AD" w:rsidP="00AA73AD">
      <w:pPr>
        <w:ind w:left="283"/>
        <w:rPr>
          <w:rFonts w:eastAsia="Times New Roman"/>
        </w:rPr>
      </w:pPr>
      <w:r w:rsidRPr="00B259B9">
        <w:rPr>
          <w:rFonts w:eastAsia="Times New Roman"/>
        </w:rPr>
        <w:t>- Servizio solo andata o solo ritorno euro 110,00</w:t>
      </w:r>
    </w:p>
    <w:p w14:paraId="1F7167E9" w14:textId="77777777" w:rsidR="00AA73AD" w:rsidRPr="00B259B9" w:rsidRDefault="00AA73AD" w:rsidP="00AA73AD">
      <w:pPr>
        <w:ind w:left="283"/>
        <w:rPr>
          <w:rFonts w:eastAsia="Times New Roman"/>
        </w:rPr>
      </w:pPr>
      <w:r w:rsidRPr="00B259B9">
        <w:rPr>
          <w:rFonts w:eastAsia="Times New Roman"/>
        </w:rPr>
        <w:t>- Servizio navetta euro 30,00</w:t>
      </w:r>
    </w:p>
    <w:p w14:paraId="5CAC26B7" w14:textId="77777777" w:rsidR="00AA73AD" w:rsidRPr="00B259B9" w:rsidRDefault="00AA73AD" w:rsidP="00AA73AD">
      <w:pPr>
        <w:ind w:left="283"/>
        <w:rPr>
          <w:rFonts w:eastAsia="Times New Roman"/>
        </w:rPr>
      </w:pPr>
      <w:r w:rsidRPr="00B259B9">
        <w:rPr>
          <w:rFonts w:eastAsia="Times New Roman"/>
        </w:rPr>
        <w:t xml:space="preserve">- Per gita per km 40,29 minimo euro 0,65 </w:t>
      </w:r>
    </w:p>
    <w:p w14:paraId="535628D9" w14:textId="77777777" w:rsidR="00AA73AD" w:rsidRPr="00B259B9" w:rsidRDefault="00AA73AD" w:rsidP="00AA73AD">
      <w:pPr>
        <w:ind w:left="283"/>
        <w:rPr>
          <w:rFonts w:eastAsia="Times New Roman"/>
        </w:rPr>
      </w:pPr>
      <w:r w:rsidRPr="00B259B9">
        <w:rPr>
          <w:rFonts w:eastAsia="Times New Roman"/>
        </w:rPr>
        <w:t xml:space="preserve">Note: TUTTE le tariffe sono aumentate dell'I.V.A. vigente nel tempo </w:t>
      </w:r>
    </w:p>
    <w:p w14:paraId="2B69FC07" w14:textId="77777777" w:rsidR="00AA73AD" w:rsidRPr="00B259B9" w:rsidRDefault="00AA73AD" w:rsidP="00AA73AD">
      <w:pPr>
        <w:ind w:left="283"/>
        <w:rPr>
          <w:rFonts w:eastAsia="Times New Roman"/>
        </w:rPr>
      </w:pPr>
    </w:p>
    <w:p w14:paraId="1BF6614D" w14:textId="77777777" w:rsidR="00AA73AD" w:rsidRPr="00B259B9" w:rsidRDefault="00AA73AD" w:rsidP="00AA73AD">
      <w:pPr>
        <w:ind w:left="283"/>
        <w:rPr>
          <w:rFonts w:eastAsia="Times New Roman"/>
          <w:i/>
          <w:iCs/>
          <w:u w:val="single"/>
        </w:rPr>
      </w:pPr>
      <w:r w:rsidRPr="00B259B9">
        <w:rPr>
          <w:rFonts w:eastAsia="Times New Roman"/>
          <w:b/>
          <w:i/>
          <w:iCs/>
          <w:u w:val="single"/>
        </w:rPr>
        <w:t xml:space="preserve">COMUNE DI AGUGLIANO </w:t>
      </w:r>
    </w:p>
    <w:p w14:paraId="55FF88C2" w14:textId="77777777" w:rsidR="00AA73AD" w:rsidRPr="00B259B9" w:rsidRDefault="00AA73AD" w:rsidP="00AA73AD">
      <w:pPr>
        <w:ind w:left="283"/>
        <w:rPr>
          <w:rFonts w:eastAsia="Times New Roman"/>
        </w:rPr>
      </w:pPr>
      <w:r w:rsidRPr="00B259B9">
        <w:rPr>
          <w:rFonts w:eastAsia="Times New Roman"/>
        </w:rPr>
        <w:t xml:space="preserve">TRASPORTO SCOLASTICO (comprese gite) </w:t>
      </w:r>
    </w:p>
    <w:p w14:paraId="472E66BF" w14:textId="77777777" w:rsidR="00AA73AD" w:rsidRPr="00B259B9" w:rsidRDefault="00AA73AD" w:rsidP="00AA73AD">
      <w:pPr>
        <w:ind w:left="283"/>
        <w:rPr>
          <w:rFonts w:eastAsia="Times New Roman"/>
        </w:rPr>
      </w:pPr>
      <w:r w:rsidRPr="00B259B9">
        <w:rPr>
          <w:rFonts w:eastAsia="Times New Roman"/>
        </w:rPr>
        <w:t xml:space="preserve">- euro 142,00 per il primo figlio; </w:t>
      </w:r>
    </w:p>
    <w:p w14:paraId="5A289948" w14:textId="77777777" w:rsidR="00AA73AD" w:rsidRPr="00B259B9" w:rsidRDefault="00AA73AD" w:rsidP="00AA73AD">
      <w:pPr>
        <w:ind w:left="283"/>
        <w:rPr>
          <w:rFonts w:eastAsia="Times New Roman"/>
        </w:rPr>
      </w:pPr>
      <w:r w:rsidRPr="00B259B9">
        <w:rPr>
          <w:rFonts w:eastAsia="Times New Roman"/>
        </w:rPr>
        <w:lastRenderedPageBreak/>
        <w:t xml:space="preserve">- euro 116,00 per il secondo figlio e successivi; </w:t>
      </w:r>
    </w:p>
    <w:p w14:paraId="628D4E93" w14:textId="77777777" w:rsidR="00AA73AD" w:rsidRPr="00B259B9" w:rsidRDefault="00AA73AD" w:rsidP="00AA73AD">
      <w:pPr>
        <w:ind w:left="283"/>
        <w:rPr>
          <w:rFonts w:eastAsia="Times New Roman"/>
        </w:rPr>
      </w:pPr>
      <w:r w:rsidRPr="00B259B9">
        <w:rPr>
          <w:rFonts w:eastAsia="Times New Roman"/>
        </w:rPr>
        <w:t xml:space="preserve">- euro 90,00 per il figlio che usufruisce del servizio o di solo andata o di solo ritorno; </w:t>
      </w:r>
    </w:p>
    <w:p w14:paraId="620C3B10" w14:textId="77777777" w:rsidR="00AA73AD" w:rsidRPr="00B259B9" w:rsidRDefault="00AA73AD" w:rsidP="00AA73AD">
      <w:pPr>
        <w:ind w:left="283"/>
        <w:rPr>
          <w:rFonts w:eastAsia="Times New Roman"/>
        </w:rPr>
      </w:pPr>
      <w:r w:rsidRPr="00B259B9">
        <w:rPr>
          <w:rFonts w:eastAsia="Times New Roman"/>
        </w:rPr>
        <w:t xml:space="preserve">- euro 0,74 per corsa singola (andata e ritorno) per il servizio di trasporto doposcuola. </w:t>
      </w:r>
    </w:p>
    <w:p w14:paraId="0A42B09A" w14:textId="77777777" w:rsidR="00AA73AD" w:rsidRPr="00B259B9" w:rsidRDefault="00AA73AD" w:rsidP="00AA73AD">
      <w:pPr>
        <w:ind w:left="283"/>
        <w:rPr>
          <w:rFonts w:eastAsia="Times New Roman"/>
        </w:rPr>
      </w:pPr>
      <w:r w:rsidRPr="00B259B9">
        <w:rPr>
          <w:rFonts w:eastAsia="Times New Roman"/>
        </w:rPr>
        <w:t xml:space="preserve">Le tariffe e le previsioni, potranno subire modifiche ed adeguamenti in funzione di una diversa programmazione da approvarsi prima dell’inizio delle attività. </w:t>
      </w:r>
    </w:p>
    <w:p w14:paraId="3B7DCAFA" w14:textId="77777777" w:rsidR="00AA73AD" w:rsidRPr="00B259B9" w:rsidRDefault="00AA73AD" w:rsidP="00AA73AD">
      <w:pPr>
        <w:ind w:left="283"/>
        <w:rPr>
          <w:rFonts w:eastAsia="Times New Roman"/>
        </w:rPr>
      </w:pPr>
    </w:p>
    <w:p w14:paraId="5C80AAA5" w14:textId="63E0BA26" w:rsidR="00AA73AD" w:rsidRPr="00B259B9" w:rsidRDefault="00AA73AD" w:rsidP="00AA73AD">
      <w:r w:rsidRPr="00B259B9">
        <w:rPr>
          <w:rFonts w:eastAsia="Times New Roman"/>
        </w:rPr>
        <w:t>A PARTIRE DALL’ANNO SCOLASTICO 2023-2024, a seguito del rinnovo della gara per il servizio di trasporto scolastico con adesione alla SUAM Regione Marche, le rette sono incassate direttamente dall’Unione</w:t>
      </w:r>
    </w:p>
    <w:p w14:paraId="6876A6F5" w14:textId="77777777" w:rsidR="00AA73AD" w:rsidRPr="00B259B9" w:rsidRDefault="00AA73AD" w:rsidP="0077299D"/>
    <w:p w14:paraId="2AEFECA2" w14:textId="77777777" w:rsidR="00AA73AD" w:rsidRPr="00B259B9" w:rsidRDefault="00AA73AD" w:rsidP="0077299D"/>
    <w:p w14:paraId="0B023A19" w14:textId="637C4646" w:rsidR="0077299D" w:rsidRPr="00B259B9" w:rsidRDefault="0077299D" w:rsidP="0077299D">
      <w:pPr>
        <w:pStyle w:val="Titolo3"/>
      </w:pPr>
      <w:r w:rsidRPr="00B259B9">
        <w:t>Sistema di monitoraggio e controllo</w:t>
      </w:r>
    </w:p>
    <w:p w14:paraId="01264CDB" w14:textId="50A5754B" w:rsidR="00457966" w:rsidRPr="00B259B9" w:rsidRDefault="00B16D12" w:rsidP="0077299D">
      <w:r w:rsidRPr="00B259B9">
        <w:t>Il controllo dello svolgimento del servizio è affidata al 1^ Settore che gestisce i servizi scolastici.</w:t>
      </w:r>
    </w:p>
    <w:p w14:paraId="0759055A" w14:textId="0F9FDDB5" w:rsidR="003C048E" w:rsidRPr="00B259B9" w:rsidRDefault="003C048E" w:rsidP="0077299D"/>
    <w:p w14:paraId="54780370" w14:textId="77777777" w:rsidR="003E570F" w:rsidRPr="00B259B9" w:rsidRDefault="003E570F" w:rsidP="0077299D"/>
    <w:p w14:paraId="079E1C79" w14:textId="62659172" w:rsidR="003E570F" w:rsidRPr="00B259B9" w:rsidRDefault="003E570F" w:rsidP="003E570F">
      <w:pPr>
        <w:pStyle w:val="Titolo3"/>
      </w:pPr>
      <w:r w:rsidRPr="00B259B9">
        <w:t>Informazioni sul soggetto affidatario</w:t>
      </w:r>
    </w:p>
    <w:p w14:paraId="7D2EFB9F" w14:textId="77777777" w:rsidR="003C048E" w:rsidRPr="00B259B9" w:rsidRDefault="003C048E" w:rsidP="003E570F"/>
    <w:p w14:paraId="645DF1FC" w14:textId="58C6FD13" w:rsidR="00B259B9" w:rsidRPr="00B259B9" w:rsidRDefault="003C048E" w:rsidP="003E570F">
      <w:r w:rsidRPr="00B259B9">
        <w:t xml:space="preserve">Il soggetto affidatario è </w:t>
      </w:r>
      <w:r w:rsidR="00970EE7">
        <w:t xml:space="preserve">il </w:t>
      </w:r>
      <w:r w:rsidR="00B259B9" w:rsidRPr="00B259B9">
        <w:rPr>
          <w:color w:val="000000"/>
        </w:rPr>
        <w:t>RTI TPL Marche, Raggruppamento Temporaneo</w:t>
      </w:r>
      <w:r w:rsidR="00970EE7">
        <w:rPr>
          <w:color w:val="000000"/>
        </w:rPr>
        <w:t xml:space="preserve">, </w:t>
      </w:r>
      <w:r w:rsidR="00B259B9" w:rsidRPr="00B259B9">
        <w:rPr>
          <w:color w:val="000000"/>
        </w:rPr>
        <w:t xml:space="preserve"> composto da: CONTRAM S.P.A., con sede legale in Camerino (MC), via Le Mosse, 19/21, CAP 62032, iscritta al Registro delle Imprese presso la C.C.I.A.A. delle Marche con codice fiscale, numero d'Iscrizione e partita IVA 00307880435, R.E.A. n. MC-91501, nella sua qualità di impresa mandataria capo-gruppo del Raggruppamento Temporaneo tra, oltre alla stessa, le mandanti S.A.P. S.r.l., sede legale Potenza Picena Via XXV Aprile cap 62018 , C.F./P.I. 00118790435, Steat S.p.a. con sede legale in Via Giovanni da Palestrina n.63 CAP 63900 Fermo, C.F./P.I. 01090950443, Autoservizi Portesi con sede in Montegiorgio (FM) Via Rossini n.5 cap 63833, C.F./P.I. 00445530447, S.A.S.P. S.r.l. con sede in San Ginesio (MC) Strada Statale 78 Picena SNC cap 62026, C.F./P.I. 00090320433, Conerobus Service S.r.l. con sede in Ancona (AN), Via Bocconi n.35 cap 60025, C.F./P.I. 00122950421, Autolinee F.lli Bucci Urbino Pesaro S.r.l. con sede in Pesaro, Strada delle Marche, 56 cap 61100, C.F./P.I. 00110400413, COOSS Marche Onlus S.c.p.a. con sede in Ancona (AN), Via Saffi n.4 cap 60121, C.F./P.I. 00459560421.</w:t>
      </w:r>
    </w:p>
    <w:p w14:paraId="7BDA1753" w14:textId="77777777" w:rsidR="00B259B9" w:rsidRDefault="00B259B9" w:rsidP="003E570F"/>
    <w:p w14:paraId="0E78103B" w14:textId="0D70171E" w:rsidR="003C048E" w:rsidRPr="00B16D12" w:rsidRDefault="003A1FAF" w:rsidP="003E570F">
      <w:r>
        <w:t>Il servizio del trasporto scolastico viene svolto dall’ impresa mandante “</w:t>
      </w:r>
      <w:r w:rsidR="003C048E" w:rsidRPr="00B16D12">
        <w:t>CONEROBUS SERVICE SRL</w:t>
      </w:r>
      <w:r>
        <w:t xml:space="preserve">”, </w:t>
      </w:r>
      <w:r w:rsidR="003C048E" w:rsidRPr="00B16D12">
        <w:t xml:space="preserve"> società di servizi della CONEROBUS SPA società partecipata dai Comuni di Agugliano e Polverigi rispettivamente con le quote dello 0,29</w:t>
      </w:r>
      <w:r w:rsidR="00913EE6" w:rsidRPr="00B16D12">
        <w:t>8</w:t>
      </w:r>
      <w:r w:rsidR="003C048E" w:rsidRPr="00B16D12">
        <w:t>% (Agugliano) e 0,</w:t>
      </w:r>
      <w:r w:rsidR="00913EE6" w:rsidRPr="00B16D12">
        <w:t>21</w:t>
      </w:r>
      <w:r w:rsidR="003C048E" w:rsidRPr="00B16D12">
        <w:t>% (Polverigi).</w:t>
      </w:r>
    </w:p>
    <w:p w14:paraId="03093410" w14:textId="77777777" w:rsidR="003C048E" w:rsidRPr="00B16D12" w:rsidRDefault="003C048E" w:rsidP="003E570F"/>
    <w:p w14:paraId="3E9614D9" w14:textId="77777777" w:rsidR="003E570F" w:rsidRPr="00B16D12" w:rsidRDefault="003E570F" w:rsidP="003E570F"/>
    <w:p w14:paraId="1565B8AF" w14:textId="08C03A74" w:rsidR="003E570F" w:rsidRPr="00B16D12" w:rsidRDefault="003E570F" w:rsidP="003E570F">
      <w:pPr>
        <w:pStyle w:val="Titolo3"/>
      </w:pPr>
      <w:r w:rsidRPr="00B16D12">
        <w:t>Andamento economico</w:t>
      </w:r>
    </w:p>
    <w:p w14:paraId="750C31A5" w14:textId="77777777" w:rsidR="00D51573" w:rsidRPr="00B16D12" w:rsidRDefault="00D51573" w:rsidP="003E570F"/>
    <w:p w14:paraId="2EF87187" w14:textId="277CAD2C" w:rsidR="003E570F" w:rsidRPr="00415C95" w:rsidRDefault="00D51573" w:rsidP="003E570F">
      <w:pPr>
        <w:rPr>
          <w:u w:val="single"/>
        </w:rPr>
      </w:pPr>
      <w:r w:rsidRPr="00415C95">
        <w:rPr>
          <w:u w:val="single"/>
        </w:rPr>
        <w:t>I</w:t>
      </w:r>
      <w:r w:rsidR="003E570F" w:rsidRPr="00415C95">
        <w:rPr>
          <w:u w:val="single"/>
        </w:rPr>
        <w:t>ndicazione dei costi e del loro andamento</w:t>
      </w:r>
    </w:p>
    <w:tbl>
      <w:tblPr>
        <w:tblStyle w:val="Grigliatabella"/>
        <w:tblW w:w="0" w:type="auto"/>
        <w:tblLook w:val="04A0" w:firstRow="1" w:lastRow="0" w:firstColumn="1" w:lastColumn="0" w:noHBand="0" w:noVBand="1"/>
      </w:tblPr>
      <w:tblGrid>
        <w:gridCol w:w="2494"/>
        <w:gridCol w:w="2473"/>
        <w:gridCol w:w="2473"/>
        <w:gridCol w:w="2473"/>
      </w:tblGrid>
      <w:tr w:rsidR="00B16D12" w:rsidRPr="00B16D12" w14:paraId="0FC7E913" w14:textId="77777777" w:rsidTr="00D51573">
        <w:tc>
          <w:tcPr>
            <w:tcW w:w="2494" w:type="dxa"/>
          </w:tcPr>
          <w:p w14:paraId="5D4C4E4F" w14:textId="0FB02E90" w:rsidR="003E570F" w:rsidRPr="00B16D12" w:rsidRDefault="003E570F" w:rsidP="003E570F">
            <w:pPr>
              <w:jc w:val="center"/>
            </w:pPr>
            <w:r w:rsidRPr="00B16D12">
              <w:t>TIPOLOGIA</w:t>
            </w:r>
          </w:p>
        </w:tc>
        <w:tc>
          <w:tcPr>
            <w:tcW w:w="2473" w:type="dxa"/>
          </w:tcPr>
          <w:p w14:paraId="53650B42" w14:textId="2A40C713" w:rsidR="003E570F" w:rsidRPr="00B16D12" w:rsidRDefault="003E570F" w:rsidP="003C048E">
            <w:pPr>
              <w:jc w:val="center"/>
            </w:pPr>
            <w:r w:rsidRPr="00B16D12">
              <w:t xml:space="preserve">ANNO </w:t>
            </w:r>
            <w:r w:rsidR="003C048E" w:rsidRPr="00B16D12">
              <w:t>2020</w:t>
            </w:r>
          </w:p>
        </w:tc>
        <w:tc>
          <w:tcPr>
            <w:tcW w:w="2473" w:type="dxa"/>
          </w:tcPr>
          <w:p w14:paraId="666DC5A8" w14:textId="3618844F" w:rsidR="003E570F" w:rsidRPr="00B16D12" w:rsidRDefault="003E570F" w:rsidP="003C048E">
            <w:pPr>
              <w:jc w:val="center"/>
            </w:pPr>
            <w:r w:rsidRPr="00B16D12">
              <w:t xml:space="preserve">ANNO </w:t>
            </w:r>
            <w:r w:rsidR="003C048E" w:rsidRPr="00B16D12">
              <w:t>2021</w:t>
            </w:r>
          </w:p>
        </w:tc>
        <w:tc>
          <w:tcPr>
            <w:tcW w:w="2473" w:type="dxa"/>
          </w:tcPr>
          <w:p w14:paraId="1C44A057" w14:textId="24D5983D" w:rsidR="003E570F" w:rsidRPr="00B16D12" w:rsidRDefault="003E570F" w:rsidP="003C048E">
            <w:pPr>
              <w:jc w:val="center"/>
            </w:pPr>
            <w:r w:rsidRPr="00B16D12">
              <w:t xml:space="preserve">ANNO </w:t>
            </w:r>
            <w:r w:rsidR="003C048E" w:rsidRPr="00B16D12">
              <w:t>2022</w:t>
            </w:r>
          </w:p>
        </w:tc>
      </w:tr>
      <w:tr w:rsidR="00B16D12" w:rsidRPr="00B16D12" w14:paraId="1C6156C7" w14:textId="77777777" w:rsidTr="00D51573">
        <w:tc>
          <w:tcPr>
            <w:tcW w:w="2494" w:type="dxa"/>
          </w:tcPr>
          <w:p w14:paraId="03452B9D" w14:textId="31A146F6" w:rsidR="003E570F" w:rsidRPr="00B16D12" w:rsidRDefault="00310620" w:rsidP="003E570F">
            <w:r w:rsidRPr="00B16D12">
              <w:t>Costo complessivo</w:t>
            </w:r>
          </w:p>
        </w:tc>
        <w:tc>
          <w:tcPr>
            <w:tcW w:w="2473" w:type="dxa"/>
          </w:tcPr>
          <w:p w14:paraId="0FA6D1DF" w14:textId="0A00474B" w:rsidR="003E570F" w:rsidRPr="00B16D12" w:rsidRDefault="00D51573" w:rsidP="003E570F">
            <w:r w:rsidRPr="00B16D12">
              <w:t>160.742,34</w:t>
            </w:r>
          </w:p>
        </w:tc>
        <w:tc>
          <w:tcPr>
            <w:tcW w:w="2473" w:type="dxa"/>
          </w:tcPr>
          <w:p w14:paraId="0DCE1575" w14:textId="74FD8524" w:rsidR="003E570F" w:rsidRPr="00B16D12" w:rsidRDefault="00D51573" w:rsidP="003E570F">
            <w:r w:rsidRPr="00B16D12">
              <w:t>249.577,84</w:t>
            </w:r>
          </w:p>
        </w:tc>
        <w:tc>
          <w:tcPr>
            <w:tcW w:w="2473" w:type="dxa"/>
          </w:tcPr>
          <w:p w14:paraId="3619F1E3" w14:textId="0F1AE156" w:rsidR="003E570F" w:rsidRPr="00B16D12" w:rsidRDefault="00D51573" w:rsidP="003E570F">
            <w:r w:rsidRPr="00B16D12">
              <w:t>243.982,21</w:t>
            </w:r>
          </w:p>
        </w:tc>
      </w:tr>
      <w:tr w:rsidR="00310620" w:rsidRPr="00B16D12" w14:paraId="78E86CDE" w14:textId="77777777" w:rsidTr="00D51573">
        <w:tc>
          <w:tcPr>
            <w:tcW w:w="2494" w:type="dxa"/>
          </w:tcPr>
          <w:p w14:paraId="7A8DC0E8" w14:textId="2666E5C9" w:rsidR="00310620" w:rsidRPr="00B16D12" w:rsidRDefault="00310620" w:rsidP="003E570F">
            <w:r w:rsidRPr="00B16D12">
              <w:t>Costo pro-capite</w:t>
            </w:r>
          </w:p>
        </w:tc>
        <w:tc>
          <w:tcPr>
            <w:tcW w:w="2473" w:type="dxa"/>
          </w:tcPr>
          <w:p w14:paraId="2B2E731A" w14:textId="77777777" w:rsidR="00310620" w:rsidRPr="00B16D12" w:rsidRDefault="00310620" w:rsidP="003E570F"/>
        </w:tc>
        <w:tc>
          <w:tcPr>
            <w:tcW w:w="2473" w:type="dxa"/>
          </w:tcPr>
          <w:p w14:paraId="300278CC" w14:textId="77777777" w:rsidR="00310620" w:rsidRPr="00B16D12" w:rsidRDefault="00310620" w:rsidP="003E570F"/>
        </w:tc>
        <w:tc>
          <w:tcPr>
            <w:tcW w:w="2473" w:type="dxa"/>
          </w:tcPr>
          <w:p w14:paraId="69E10778" w14:textId="77777777" w:rsidR="00310620" w:rsidRPr="00B16D12" w:rsidRDefault="00310620" w:rsidP="003E570F"/>
        </w:tc>
      </w:tr>
    </w:tbl>
    <w:p w14:paraId="40982857" w14:textId="77777777" w:rsidR="003E570F" w:rsidRPr="00B16D12" w:rsidRDefault="003E570F" w:rsidP="003E570F"/>
    <w:p w14:paraId="5BAB33C5" w14:textId="09E3F229" w:rsidR="00D51573" w:rsidRPr="00B16D12" w:rsidRDefault="00D51573" w:rsidP="003E570F">
      <w:r w:rsidRPr="00B16D12">
        <w:t>A fronte di un contratto di servizio a partire dall’anno 2019 pari a 285.000,00 euro iva inclusa al lordo degli incassi effettuati direttamente dalla ditta CONEROBUS SERVICE, gli anni 2020 e 2021 hanno subito un notevole calo a causa della sospensione scolastica per emergenza Co</w:t>
      </w:r>
      <w:r w:rsidR="00856E99">
        <w:t>vid-19</w:t>
      </w:r>
      <w:r w:rsidRPr="00B16D12">
        <w:t>, pertanto i dati non sono realisticamente confrontabili. Di contro nell’anno 2022 sono stati invece riconosciuti gli aumenti ISTAT previsti dal contratto</w:t>
      </w:r>
    </w:p>
    <w:p w14:paraId="325EAAE8" w14:textId="77777777" w:rsidR="00D51573" w:rsidRPr="00B16D12" w:rsidRDefault="00D51573" w:rsidP="003E570F"/>
    <w:p w14:paraId="41805246" w14:textId="75A50568" w:rsidR="00310620" w:rsidRPr="00415C95" w:rsidRDefault="00D51573" w:rsidP="00310620">
      <w:pPr>
        <w:rPr>
          <w:u w:val="single"/>
        </w:rPr>
      </w:pPr>
      <w:r w:rsidRPr="00415C95">
        <w:rPr>
          <w:u w:val="single"/>
        </w:rPr>
        <w:t>I</w:t>
      </w:r>
      <w:r w:rsidR="00310620" w:rsidRPr="00415C95">
        <w:rPr>
          <w:u w:val="single"/>
        </w:rPr>
        <w:t>ndicazione dei ricavi e del loro andamento</w:t>
      </w:r>
      <w:r w:rsidRPr="00415C95">
        <w:rPr>
          <w:u w:val="single"/>
        </w:rPr>
        <w:t>.</w:t>
      </w:r>
    </w:p>
    <w:p w14:paraId="07B170CD" w14:textId="089273BE" w:rsidR="00D51573" w:rsidRPr="00B16D12" w:rsidRDefault="00D51573" w:rsidP="00310620">
      <w:r w:rsidRPr="00B16D12">
        <w:t xml:space="preserve">Le tariffe, come indicato nella sezione c) sono state riscosse negli anni sempre dalla ditta che svolgeva il servizio e pertanto non risulta agevole ricostruire lo storico degli incassi, anche in relazione alla ridotta </w:t>
      </w:r>
      <w:r w:rsidRPr="00B16D12">
        <w:lastRenderedPageBreak/>
        <w:t>gestione degli anni 2020 e 2021 per l’emergenza Co</w:t>
      </w:r>
      <w:r w:rsidR="00856E99">
        <w:t>vid-19</w:t>
      </w:r>
      <w:r w:rsidRPr="00B16D12">
        <w:t>.</w:t>
      </w:r>
    </w:p>
    <w:p w14:paraId="530A74FF" w14:textId="3EE7A6E3" w:rsidR="00D51573" w:rsidRPr="00B16D12" w:rsidRDefault="00D51573" w:rsidP="00310620">
      <w:r w:rsidRPr="00B16D12">
        <w:t xml:space="preserve">Si rimanda per una analisi più precisa alle successive ricognizioni annuali, dal momento che </w:t>
      </w:r>
      <w:r w:rsidR="00FD1388" w:rsidRPr="00B16D12">
        <w:t>a partire dall’anno scolastico 2023-2024 – e quindi con l’avvio del nuovo affidamento – l’Ente incassa direttamente le tariffe dai contribuenti.</w:t>
      </w:r>
    </w:p>
    <w:p w14:paraId="12F1BFE1" w14:textId="77777777" w:rsidR="00D51573" w:rsidRPr="00B16D12" w:rsidRDefault="00D51573" w:rsidP="00310620"/>
    <w:p w14:paraId="2E0BB4E5" w14:textId="77777777" w:rsidR="00FD1388" w:rsidRPr="00B16D12" w:rsidRDefault="00FD1388" w:rsidP="003E570F">
      <w:pPr>
        <w:pStyle w:val="Corpotesto"/>
      </w:pPr>
    </w:p>
    <w:p w14:paraId="70D00A9E" w14:textId="75A20134" w:rsidR="00910D64" w:rsidRPr="00AF382E" w:rsidRDefault="00910D64" w:rsidP="00435445">
      <w:pPr>
        <w:pStyle w:val="Titolo3"/>
      </w:pPr>
      <w:r w:rsidRPr="00AF382E">
        <w:t>Andamento della qualità del servizio</w:t>
      </w:r>
    </w:p>
    <w:p w14:paraId="6D3EAC05" w14:textId="0F3A8504" w:rsidR="00910D64" w:rsidRPr="00AF382E" w:rsidRDefault="00550B15" w:rsidP="00910D64">
      <w:r w:rsidRPr="00AF382E">
        <w:t>Contiene l’indicazione</w:t>
      </w:r>
      <w:r w:rsidR="00910D64" w:rsidRPr="00AF382E">
        <w:t xml:space="preserve">, anche in formato tabellare, </w:t>
      </w:r>
      <w:r w:rsidRPr="00AF382E">
        <w:t>del</w:t>
      </w:r>
      <w:r w:rsidR="00910D64" w:rsidRPr="00AF382E">
        <w:t xml:space="preserve">l’andamento rispetto agli indicatori </w:t>
      </w:r>
      <w:r w:rsidR="00CC2AA3" w:rsidRPr="00AF382E">
        <w:t xml:space="preserve">(tempestività, accessibilità, trasparenza ed efficacia) </w:t>
      </w:r>
      <w:r w:rsidR="00910D64" w:rsidRPr="00AF382E">
        <w:t>previsti contrattualmente o, laddove ciò non sia possibile, utilizzando gli indicatori predisposti dal Ministero delle imprese e del Made in Italy nel già citato Decreto Direttoriale.</w:t>
      </w:r>
      <w:r w:rsidR="00CC2AA3" w:rsidRPr="00AF382E">
        <w:t xml:space="preserve"> </w:t>
      </w:r>
    </w:p>
    <w:p w14:paraId="56DC4194" w14:textId="77777777" w:rsidR="00CC2AA3" w:rsidRPr="00AF382E" w:rsidRDefault="00910D64" w:rsidP="00910D64">
      <w:r w:rsidRPr="00AF382E">
        <w:t>Per i servizi a rete gli indicatori sono stabiliti dalle autorità di governo dell’ambito.</w:t>
      </w:r>
      <w:r w:rsidR="00A83F41" w:rsidRPr="00AF382E">
        <w:t xml:space="preserve"> </w:t>
      </w:r>
    </w:p>
    <w:p w14:paraId="7B0F7ABB" w14:textId="77777777" w:rsidR="00CC2AA3" w:rsidRPr="00AF382E" w:rsidRDefault="00A83F41" w:rsidP="00910D64">
      <w:r w:rsidRPr="00AF382E">
        <w:t>Qui trovano spazio le informazioni relative al sistema di valutazione offerto all’utenza e al suo funzionamento.</w:t>
      </w:r>
      <w:r w:rsidR="00CC2AA3" w:rsidRPr="00AF382E">
        <w:t xml:space="preserve"> </w:t>
      </w:r>
    </w:p>
    <w:p w14:paraId="2CF0B3FC" w14:textId="5ACCBA2F" w:rsidR="00CC2AA3" w:rsidRPr="00AF382E" w:rsidRDefault="00CC2AA3" w:rsidP="00910D64">
      <w:r w:rsidRPr="00AF382E">
        <w:t>Si riporta di seguito l’esempio di tabella suggerito dall’ANCI nel recente quaderno n. 46.</w:t>
      </w:r>
    </w:p>
    <w:p w14:paraId="08C828F6" w14:textId="77777777" w:rsidR="00CC2AA3" w:rsidRPr="00AF382E" w:rsidRDefault="00CC2AA3" w:rsidP="00910D64"/>
    <w:tbl>
      <w:tblPr>
        <w:tblStyle w:val="TableNormal"/>
        <w:tblW w:w="966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2"/>
        <w:gridCol w:w="1269"/>
        <w:gridCol w:w="1134"/>
        <w:gridCol w:w="1417"/>
        <w:gridCol w:w="1418"/>
        <w:gridCol w:w="1276"/>
        <w:gridCol w:w="1417"/>
      </w:tblGrid>
      <w:tr w:rsidR="00CC2AA3" w:rsidRPr="00AF382E" w14:paraId="277AB5DD" w14:textId="77777777" w:rsidTr="00435445">
        <w:trPr>
          <w:trHeight w:val="971"/>
        </w:trPr>
        <w:tc>
          <w:tcPr>
            <w:tcW w:w="1732" w:type="dxa"/>
            <w:vAlign w:val="center"/>
          </w:tcPr>
          <w:p w14:paraId="01D81ADF" w14:textId="77777777" w:rsidR="00CC2AA3" w:rsidRPr="00AF382E" w:rsidRDefault="00CC2AA3" w:rsidP="00CC2AA3">
            <w:pPr>
              <w:jc w:val="center"/>
            </w:pPr>
          </w:p>
          <w:p w14:paraId="5A8B84A6" w14:textId="77777777" w:rsidR="00CC2AA3" w:rsidRPr="00AF382E" w:rsidRDefault="00CC2AA3" w:rsidP="00CC2AA3">
            <w:pPr>
              <w:jc w:val="center"/>
            </w:pPr>
            <w:r w:rsidRPr="00AF382E">
              <w:rPr>
                <w:noProof/>
                <w:lang w:eastAsia="it-IT"/>
              </w:rPr>
              <mc:AlternateContent>
                <mc:Choice Requires="wpg">
                  <w:drawing>
                    <wp:anchor distT="0" distB="0" distL="0" distR="0" simplePos="0" relativeHeight="251661312" behindDoc="1" locked="0" layoutInCell="1" allowOverlap="1" wp14:anchorId="1CB23C87" wp14:editId="7CC8BBCA">
                      <wp:simplePos x="0" y="0"/>
                      <wp:positionH relativeFrom="column">
                        <wp:posOffset>259842</wp:posOffset>
                      </wp:positionH>
                      <wp:positionV relativeFrom="paragraph">
                        <wp:posOffset>282940</wp:posOffset>
                      </wp:positionV>
                      <wp:extent cx="656590" cy="698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590" cy="6985"/>
                                <a:chOff x="0" y="0"/>
                                <a:chExt cx="656590" cy="6985"/>
                              </a:xfrm>
                            </wpg:grpSpPr>
                            <wps:wsp>
                              <wps:cNvPr id="44" name="Graphic 44"/>
                              <wps:cNvSpPr/>
                              <wps:spPr>
                                <a:xfrm>
                                  <a:off x="0" y="3288"/>
                                  <a:ext cx="656590" cy="1270"/>
                                </a:xfrm>
                                <a:custGeom>
                                  <a:avLst/>
                                  <a:gdLst/>
                                  <a:ahLst/>
                                  <a:cxnLst/>
                                  <a:rect l="l" t="t" r="r" b="b"/>
                                  <a:pathLst>
                                    <a:path w="656590">
                                      <a:moveTo>
                                        <a:pt x="0" y="0"/>
                                      </a:moveTo>
                                      <a:lnTo>
                                        <a:pt x="656414" y="0"/>
                                      </a:lnTo>
                                    </a:path>
                                  </a:pathLst>
                                </a:custGeom>
                                <a:ln w="6577">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sdtdh="http://schemas.microsoft.com/office/word/2020/wordml/sdtdatahash">
                  <w:pict>
                    <v:group w14:anchorId="074C23AC" id="Group 43" o:spid="_x0000_s1026" style="position:absolute;margin-left:20.45pt;margin-top:22.3pt;width:51.7pt;height:.55pt;z-index:-251655168;mso-wrap-distance-left:0;mso-wrap-distance-right:0" coordsize="656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fnbQIAAI0FAAAOAAAAZHJzL2Uyb0RvYy54bWykVMlu2zAQvRfoPxC817JdbxEsB0XcGAWC&#10;JEBc9ExT1IJSJDukLfvvO6QWO07QQ6qD8MgZzvLmkcvbYyXJQYAttUroaDCkRCiu01LlCf25vf+y&#10;oMQ6plImtRIJPQlLb1efPy1rE4uxLrRMBRAMomxcm4QWzpk4iiwvRMXsQBuh0JhpqJjDJeRRCqzG&#10;6JWMxsPhLKo1pAY0F9bi7rox0lWIn2WCu6css8IRmVCszYU/hP/O/6PVksU5MFOUvC2DfaCKipUK&#10;k/ah1swxsofyTaiq5KCtztyA6yrSWVZyEXrAbkbDq242oPcm9JLHdW56mpDaK54+HJY/HjZgXswz&#10;NNUjfND8t0Veotrk8aXdr/Oz8zGDyh/CJsgxMHrqGRVHRzhuzqaz6Q3yztE0u1lMG755gUN5c4YX&#10;3/9xKmJxkzCU1ZdRG9SNPVNj/4+al4IZERi3vvVnIGWa0MmEEsUqlO+mVQruIEM+OXp59tqVbYl8&#10;l5uv48WiIeA9ekbjeZBj3yiL+d66jdCBZXZ4sK5Ra9ohVnSIH1UHATXv1S6D2h0lqHagBNW+a5Ib&#10;5vw5PzoPSd2PyW9V+iC2Ohjd1YiwsrNVqksvnPNkhCx1CkDXxgGBT4JqakBIjPiyNamaGubzcIWs&#10;lmV6X0rpi7CQ7+4kkAPzFzh8vguM8MrNgHVrZovGL5haN6mCkm3cjMaPbKfTE062xlkm1P7ZMxCU&#10;yB8KteOfiA5AB3YdACfvdHhIAj+Yc3v8xcAQnz6hDsf6qDsJsbgbmW+99/Unlf62dzor/TxRzl1F&#10;7QLlHFC484hePSqX6+B1fkVXfwEAAP//AwBQSwMEFAAGAAgAAAAhAOHJdtDgAAAACAEAAA8AAABk&#10;cnMvZG93bnJldi54bWxMj0FPwkAQhe8m/ofNmHiTbaUg1m4JIeqJkAgmxNvQHdqG7mzTXdry711O&#10;eprMvJc338uWo2lET52rLSuIJxEI4sLqmksF3/uPpwUI55E1NpZJwZUcLPP7uwxTbQf+on7nSxFC&#10;2KWooPK+TaV0RUUG3cS2xEE72c6gD2tXSt3hEMJNI5+jaC4N1hw+VNjSuqLivLsYBZ8DDqtp/N5v&#10;zqf19Wc/2x42MSn1+DCu3kB4Gv2fGW74AR3ywHS0F9ZONAqS6DU4w0zmIG56kkxBHMNh9gIyz+T/&#10;AvkvAAAA//8DAFBLAQItABQABgAIAAAAIQC2gziS/gAAAOEBAAATAAAAAAAAAAAAAAAAAAAAAABb&#10;Q29udGVudF9UeXBlc10ueG1sUEsBAi0AFAAGAAgAAAAhADj9If/WAAAAlAEAAAsAAAAAAAAAAAAA&#10;AAAALwEAAF9yZWxzLy5yZWxzUEsBAi0AFAAGAAgAAAAhAABQJ+dtAgAAjQUAAA4AAAAAAAAAAAAA&#10;AAAALgIAAGRycy9lMm9Eb2MueG1sUEsBAi0AFAAGAAgAAAAhAOHJdtDgAAAACAEAAA8AAAAAAAAA&#10;AAAAAAAAxwQAAGRycy9kb3ducmV2LnhtbFBLBQYAAAAABAAEAPMAAADUBQAAAAA=&#10;">
                      <v:shape id="Graphic 44" o:spid="_x0000_s1027" style="position:absolute;top:32;width:6565;height:13;visibility:visible;mso-wrap-style:square;v-text-anchor:top" coordsize="656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P0/wwAAANsAAAAPAAAAZHJzL2Rvd25yZXYueG1sRI/dagIx&#10;FITvC32HcAreabZFpaxGWUoFfyhSFbw9bE6TpZuTZRPX9e2NUOjlMDPfMPNl72rRURsqzwpeRxkI&#10;4tLrio2C03E1fAcRIrLG2jMpuFGA5eL5aY659lf+pu4QjUgQDjkqsDE2uZShtOQwjHxDnLwf3zqM&#10;SbZG6havCe5q+ZZlU+mw4rRgsaEPS+Xv4eIUkNyuNj1+2rPeT3acfZmi6IxSg5e+mIGI1Mf/8F97&#10;rRWMx/D4kn6AXNwBAAD//wMAUEsBAi0AFAAGAAgAAAAhANvh9svuAAAAhQEAABMAAAAAAAAAAAAA&#10;AAAAAAAAAFtDb250ZW50X1R5cGVzXS54bWxQSwECLQAUAAYACAAAACEAWvQsW78AAAAVAQAACwAA&#10;AAAAAAAAAAAAAAAfAQAAX3JlbHMvLnJlbHNQSwECLQAUAAYACAAAACEA22j9P8MAAADbAAAADwAA&#10;AAAAAAAAAAAAAAAHAgAAZHJzL2Rvd25yZXYueG1sUEsFBgAAAAADAAMAtwAAAPcCAAAAAA==&#10;" path="m,l656414,e" filled="f" strokeweight=".18269mm">
                        <v:path arrowok="t"/>
                      </v:shape>
                    </v:group>
                  </w:pict>
                </mc:Fallback>
              </mc:AlternateContent>
            </w:r>
            <w:r w:rsidRPr="00AF382E">
              <w:t>Servizio</w:t>
            </w:r>
          </w:p>
        </w:tc>
        <w:tc>
          <w:tcPr>
            <w:tcW w:w="1269" w:type="dxa"/>
            <w:vAlign w:val="center"/>
          </w:tcPr>
          <w:p w14:paraId="356CB185" w14:textId="77777777" w:rsidR="00CC2AA3" w:rsidRPr="00AF382E" w:rsidRDefault="00CC2AA3" w:rsidP="00CC2AA3">
            <w:pPr>
              <w:jc w:val="center"/>
            </w:pPr>
          </w:p>
          <w:p w14:paraId="25E3044C" w14:textId="77777777" w:rsidR="00CC2AA3" w:rsidRPr="00AF382E" w:rsidRDefault="00CC2AA3" w:rsidP="00CC2AA3">
            <w:pPr>
              <w:jc w:val="center"/>
            </w:pPr>
            <w:r w:rsidRPr="00AF382E">
              <w:t>Qualità contrattuale</w:t>
            </w:r>
          </w:p>
        </w:tc>
        <w:tc>
          <w:tcPr>
            <w:tcW w:w="1134" w:type="dxa"/>
            <w:vAlign w:val="center"/>
          </w:tcPr>
          <w:p w14:paraId="1128AE4E" w14:textId="77777777" w:rsidR="00CC2AA3" w:rsidRPr="00AF382E" w:rsidRDefault="00CC2AA3" w:rsidP="00CC2AA3">
            <w:pPr>
              <w:jc w:val="center"/>
            </w:pPr>
          </w:p>
          <w:p w14:paraId="60B39FE1" w14:textId="77777777" w:rsidR="00CC2AA3" w:rsidRPr="00AF382E" w:rsidRDefault="00CC2AA3" w:rsidP="00CC2AA3">
            <w:pPr>
              <w:jc w:val="center"/>
            </w:pPr>
            <w:r w:rsidRPr="00AF382E">
              <w:t>Qualità tecnica</w:t>
            </w:r>
          </w:p>
        </w:tc>
        <w:tc>
          <w:tcPr>
            <w:tcW w:w="1417" w:type="dxa"/>
            <w:vAlign w:val="center"/>
          </w:tcPr>
          <w:p w14:paraId="660967C2" w14:textId="77777777" w:rsidR="00CC2AA3" w:rsidRPr="00AF382E" w:rsidRDefault="00CC2AA3" w:rsidP="00CC2AA3">
            <w:pPr>
              <w:jc w:val="center"/>
            </w:pPr>
            <w:r w:rsidRPr="00AF382E">
              <w:t>Obblighi di servizio pubblico</w:t>
            </w:r>
          </w:p>
          <w:p w14:paraId="11DE6255" w14:textId="77777777" w:rsidR="00CC2AA3" w:rsidRPr="00AF382E" w:rsidRDefault="00CC2AA3" w:rsidP="00CC2AA3">
            <w:pPr>
              <w:jc w:val="center"/>
            </w:pPr>
            <w:r w:rsidRPr="00AF382E">
              <w:t>(qualità)</w:t>
            </w:r>
          </w:p>
        </w:tc>
        <w:tc>
          <w:tcPr>
            <w:tcW w:w="1418" w:type="dxa"/>
            <w:vAlign w:val="center"/>
          </w:tcPr>
          <w:p w14:paraId="1B6F1D17" w14:textId="77777777" w:rsidR="00CC2AA3" w:rsidRPr="00AF382E" w:rsidRDefault="00CC2AA3" w:rsidP="00CC2AA3">
            <w:pPr>
              <w:jc w:val="center"/>
            </w:pPr>
            <w:r w:rsidRPr="00AF382E">
              <w:t>Rispetto dei tempi puntualità</w:t>
            </w:r>
          </w:p>
        </w:tc>
        <w:tc>
          <w:tcPr>
            <w:tcW w:w="1276" w:type="dxa"/>
            <w:vAlign w:val="center"/>
          </w:tcPr>
          <w:p w14:paraId="10BBB667" w14:textId="77777777" w:rsidR="00CC2AA3" w:rsidRPr="00AF382E" w:rsidRDefault="00CC2AA3" w:rsidP="00CC2AA3">
            <w:pPr>
              <w:jc w:val="center"/>
            </w:pPr>
          </w:p>
          <w:p w14:paraId="0C5145FE" w14:textId="77777777" w:rsidR="00CC2AA3" w:rsidRPr="00AF382E" w:rsidRDefault="00CC2AA3" w:rsidP="00CC2AA3">
            <w:pPr>
              <w:jc w:val="center"/>
            </w:pPr>
            <w:r w:rsidRPr="00AF382E">
              <w:t>Accessibilità servizio</w:t>
            </w:r>
          </w:p>
        </w:tc>
        <w:tc>
          <w:tcPr>
            <w:tcW w:w="1417" w:type="dxa"/>
            <w:vAlign w:val="center"/>
          </w:tcPr>
          <w:p w14:paraId="24F6DA12" w14:textId="77777777" w:rsidR="00CC2AA3" w:rsidRPr="00AF382E" w:rsidRDefault="00CC2AA3" w:rsidP="00CC2AA3">
            <w:pPr>
              <w:jc w:val="center"/>
            </w:pPr>
          </w:p>
          <w:p w14:paraId="2D18B23E" w14:textId="77777777" w:rsidR="00CC2AA3" w:rsidRPr="00AF382E" w:rsidRDefault="00CC2AA3" w:rsidP="00CC2AA3">
            <w:pPr>
              <w:jc w:val="center"/>
            </w:pPr>
            <w:r w:rsidRPr="00AF382E">
              <w:t>Soddisfazione dell’utenza</w:t>
            </w:r>
          </w:p>
        </w:tc>
      </w:tr>
      <w:tr w:rsidR="00CC2AA3" w:rsidRPr="00AF382E" w14:paraId="49B43443" w14:textId="77777777" w:rsidTr="00435445">
        <w:trPr>
          <w:trHeight w:val="483"/>
        </w:trPr>
        <w:tc>
          <w:tcPr>
            <w:tcW w:w="1732" w:type="dxa"/>
            <w:vAlign w:val="center"/>
          </w:tcPr>
          <w:p w14:paraId="4FC20A9F" w14:textId="77777777" w:rsidR="00CC2AA3" w:rsidRDefault="00CC2AA3" w:rsidP="00435445">
            <w:pPr>
              <w:jc w:val="center"/>
            </w:pPr>
            <w:r w:rsidRPr="00AF382E">
              <w:t>C</w:t>
            </w:r>
            <w:r w:rsidR="00321208">
              <w:t>apitolato tecnico della gara europea a procedura aperta per l’ affidamento del servizio di trasporto scolastico per i Comuni della Regione Marche.</w:t>
            </w:r>
          </w:p>
          <w:p w14:paraId="3E8D67E1" w14:textId="77777777" w:rsidR="00321208" w:rsidRDefault="00321208" w:rsidP="00435445">
            <w:pPr>
              <w:jc w:val="center"/>
            </w:pPr>
          </w:p>
          <w:p w14:paraId="299FA1C0" w14:textId="6F7CC003" w:rsidR="00321208" w:rsidRPr="00AF382E" w:rsidRDefault="00321208" w:rsidP="00321208">
            <w:r>
              <w:t>Convenzione procedura aperta per l’ affidamento del servizio di trasporto scolastico per i Comuni della Regione Marche per il lotto 7.</w:t>
            </w:r>
          </w:p>
        </w:tc>
        <w:tc>
          <w:tcPr>
            <w:tcW w:w="1269" w:type="dxa"/>
          </w:tcPr>
          <w:p w14:paraId="6C0CFAA5" w14:textId="77777777" w:rsidR="00CC2AA3" w:rsidRPr="00AF382E" w:rsidRDefault="00CC2AA3" w:rsidP="00CC2AA3"/>
        </w:tc>
        <w:tc>
          <w:tcPr>
            <w:tcW w:w="1134" w:type="dxa"/>
          </w:tcPr>
          <w:p w14:paraId="48F8791D" w14:textId="77777777" w:rsidR="00CC2AA3" w:rsidRPr="00AF382E" w:rsidRDefault="00CC2AA3" w:rsidP="00CC2AA3"/>
        </w:tc>
        <w:tc>
          <w:tcPr>
            <w:tcW w:w="1417" w:type="dxa"/>
          </w:tcPr>
          <w:p w14:paraId="7F4B1A09" w14:textId="77777777" w:rsidR="00CC2AA3" w:rsidRPr="00AF382E" w:rsidRDefault="00CC2AA3" w:rsidP="00CC2AA3"/>
        </w:tc>
        <w:tc>
          <w:tcPr>
            <w:tcW w:w="1418" w:type="dxa"/>
          </w:tcPr>
          <w:p w14:paraId="7F32B690" w14:textId="77777777" w:rsidR="00CC2AA3" w:rsidRPr="00AF382E" w:rsidRDefault="00CC2AA3" w:rsidP="00CC2AA3"/>
        </w:tc>
        <w:tc>
          <w:tcPr>
            <w:tcW w:w="1276" w:type="dxa"/>
          </w:tcPr>
          <w:p w14:paraId="5792B6B6" w14:textId="77777777" w:rsidR="00CC2AA3" w:rsidRPr="00AF382E" w:rsidRDefault="00CC2AA3" w:rsidP="00CC2AA3"/>
        </w:tc>
        <w:tc>
          <w:tcPr>
            <w:tcW w:w="1417" w:type="dxa"/>
          </w:tcPr>
          <w:p w14:paraId="32783C75" w14:textId="77777777" w:rsidR="00CC2AA3" w:rsidRPr="00AF382E" w:rsidRDefault="00CC2AA3" w:rsidP="00CC2AA3"/>
        </w:tc>
      </w:tr>
      <w:tr w:rsidR="00CC2AA3" w:rsidRPr="00AF382E" w14:paraId="18B913E0" w14:textId="77777777" w:rsidTr="00435445">
        <w:trPr>
          <w:trHeight w:val="485"/>
        </w:trPr>
        <w:tc>
          <w:tcPr>
            <w:tcW w:w="1732" w:type="dxa"/>
            <w:vAlign w:val="center"/>
          </w:tcPr>
          <w:p w14:paraId="2145CD6D" w14:textId="77777777" w:rsidR="00CC2AA3" w:rsidRPr="00AF382E" w:rsidRDefault="00CC2AA3" w:rsidP="00435445">
            <w:pPr>
              <w:jc w:val="center"/>
            </w:pPr>
            <w:r w:rsidRPr="00AF382E">
              <w:t>Benchmark (altri)</w:t>
            </w:r>
          </w:p>
        </w:tc>
        <w:tc>
          <w:tcPr>
            <w:tcW w:w="1269" w:type="dxa"/>
          </w:tcPr>
          <w:p w14:paraId="0DE69555" w14:textId="77777777" w:rsidR="00CC2AA3" w:rsidRPr="00AF382E" w:rsidRDefault="00CC2AA3" w:rsidP="00CC2AA3"/>
        </w:tc>
        <w:tc>
          <w:tcPr>
            <w:tcW w:w="1134" w:type="dxa"/>
          </w:tcPr>
          <w:p w14:paraId="61FBA356" w14:textId="77777777" w:rsidR="00CC2AA3" w:rsidRPr="00AF382E" w:rsidRDefault="00CC2AA3" w:rsidP="00CC2AA3"/>
        </w:tc>
        <w:tc>
          <w:tcPr>
            <w:tcW w:w="1417" w:type="dxa"/>
          </w:tcPr>
          <w:p w14:paraId="0DB602B2" w14:textId="77777777" w:rsidR="00CC2AA3" w:rsidRPr="00AF382E" w:rsidRDefault="00CC2AA3" w:rsidP="00CC2AA3"/>
        </w:tc>
        <w:tc>
          <w:tcPr>
            <w:tcW w:w="1418" w:type="dxa"/>
          </w:tcPr>
          <w:p w14:paraId="1A922216" w14:textId="77777777" w:rsidR="00CC2AA3" w:rsidRPr="00AF382E" w:rsidRDefault="00CC2AA3" w:rsidP="00CC2AA3"/>
        </w:tc>
        <w:tc>
          <w:tcPr>
            <w:tcW w:w="1276" w:type="dxa"/>
          </w:tcPr>
          <w:p w14:paraId="73325B0A" w14:textId="77777777" w:rsidR="00CC2AA3" w:rsidRPr="00AF382E" w:rsidRDefault="00CC2AA3" w:rsidP="00CC2AA3"/>
        </w:tc>
        <w:tc>
          <w:tcPr>
            <w:tcW w:w="1417" w:type="dxa"/>
          </w:tcPr>
          <w:p w14:paraId="6DDB7F8C" w14:textId="77777777" w:rsidR="00CC2AA3" w:rsidRPr="00AF382E" w:rsidRDefault="00CC2AA3" w:rsidP="00CC2AA3"/>
        </w:tc>
      </w:tr>
      <w:tr w:rsidR="00CC2AA3" w:rsidRPr="00AF382E" w14:paraId="6919C4E7" w14:textId="77777777" w:rsidTr="00435445">
        <w:trPr>
          <w:trHeight w:val="484"/>
        </w:trPr>
        <w:tc>
          <w:tcPr>
            <w:tcW w:w="1732" w:type="dxa"/>
            <w:vAlign w:val="center"/>
          </w:tcPr>
          <w:p w14:paraId="0F3C2F27" w14:textId="77777777" w:rsidR="00CC2AA3" w:rsidRPr="00AF382E" w:rsidRDefault="00CC2AA3" w:rsidP="00435445">
            <w:pPr>
              <w:jc w:val="center"/>
            </w:pPr>
            <w:r w:rsidRPr="00AF382E">
              <w:t>Risultati raggiunti</w:t>
            </w:r>
          </w:p>
        </w:tc>
        <w:tc>
          <w:tcPr>
            <w:tcW w:w="1269" w:type="dxa"/>
          </w:tcPr>
          <w:p w14:paraId="12E9962E" w14:textId="37DD39D5" w:rsidR="00CC2AA3" w:rsidRPr="00AF382E" w:rsidRDefault="000840F7" w:rsidP="000840F7">
            <w:pPr>
              <w:jc w:val="center"/>
            </w:pPr>
            <w:r>
              <w:t>Ottima qualità contrattuale</w:t>
            </w:r>
          </w:p>
        </w:tc>
        <w:tc>
          <w:tcPr>
            <w:tcW w:w="1134" w:type="dxa"/>
          </w:tcPr>
          <w:p w14:paraId="2633203B" w14:textId="7D729C39" w:rsidR="00CC2AA3" w:rsidRPr="00AF382E" w:rsidRDefault="000840F7" w:rsidP="000840F7">
            <w:pPr>
              <w:jc w:val="center"/>
            </w:pPr>
            <w:r>
              <w:t>Ottima qualità tecnica</w:t>
            </w:r>
          </w:p>
        </w:tc>
        <w:tc>
          <w:tcPr>
            <w:tcW w:w="1417" w:type="dxa"/>
          </w:tcPr>
          <w:p w14:paraId="12682FC8" w14:textId="43E0E075" w:rsidR="00CC2AA3" w:rsidRPr="00AF382E" w:rsidRDefault="000840F7" w:rsidP="000840F7">
            <w:pPr>
              <w:jc w:val="center"/>
            </w:pPr>
            <w:r>
              <w:t>Ottima qualità nell’ adempimento degli obblighi di servizio pubblico</w:t>
            </w:r>
          </w:p>
        </w:tc>
        <w:tc>
          <w:tcPr>
            <w:tcW w:w="1418" w:type="dxa"/>
          </w:tcPr>
          <w:p w14:paraId="41FDD5E9" w14:textId="3A56ECDC" w:rsidR="00CC2AA3" w:rsidRPr="00AF382E" w:rsidRDefault="000840F7" w:rsidP="000840F7">
            <w:pPr>
              <w:jc w:val="center"/>
            </w:pPr>
            <w:r>
              <w:t>Elevata puntualità nel rispetto dei tempi</w:t>
            </w:r>
          </w:p>
        </w:tc>
        <w:tc>
          <w:tcPr>
            <w:tcW w:w="1276" w:type="dxa"/>
          </w:tcPr>
          <w:p w14:paraId="420425B5" w14:textId="1EC90245" w:rsidR="00CC2AA3" w:rsidRPr="00AF382E" w:rsidRDefault="000840F7" w:rsidP="000840F7">
            <w:pPr>
              <w:jc w:val="center"/>
            </w:pPr>
            <w:r>
              <w:t>Elevata accessibilità del servizio</w:t>
            </w:r>
          </w:p>
        </w:tc>
        <w:tc>
          <w:tcPr>
            <w:tcW w:w="1417" w:type="dxa"/>
          </w:tcPr>
          <w:p w14:paraId="34277755" w14:textId="62E0818A" w:rsidR="00CC2AA3" w:rsidRPr="00AF382E" w:rsidRDefault="000840F7" w:rsidP="000840F7">
            <w:pPr>
              <w:jc w:val="center"/>
            </w:pPr>
            <w:r>
              <w:t>Notevole il grado di soddisfazione dell’ utenza</w:t>
            </w:r>
          </w:p>
        </w:tc>
      </w:tr>
      <w:tr w:rsidR="00CC2AA3" w:rsidRPr="00B16D12" w14:paraId="3B2569B7" w14:textId="77777777" w:rsidTr="00435445">
        <w:trPr>
          <w:trHeight w:val="546"/>
        </w:trPr>
        <w:tc>
          <w:tcPr>
            <w:tcW w:w="1732" w:type="dxa"/>
            <w:vAlign w:val="center"/>
          </w:tcPr>
          <w:p w14:paraId="1CA3C7A2" w14:textId="77777777" w:rsidR="00CC2AA3" w:rsidRPr="00AF382E" w:rsidRDefault="00CC2AA3" w:rsidP="00435445">
            <w:pPr>
              <w:jc w:val="center"/>
            </w:pPr>
            <w:r w:rsidRPr="00AF382E">
              <w:t>Scostamento</w:t>
            </w:r>
          </w:p>
        </w:tc>
        <w:tc>
          <w:tcPr>
            <w:tcW w:w="1269" w:type="dxa"/>
          </w:tcPr>
          <w:p w14:paraId="522E530A" w14:textId="1F69A51E" w:rsidR="00CC2AA3" w:rsidRPr="00AF382E" w:rsidRDefault="000641E4" w:rsidP="00CC2AA3">
            <w:r>
              <w:t xml:space="preserve">Non vi sono scostamenti </w:t>
            </w:r>
          </w:p>
        </w:tc>
        <w:tc>
          <w:tcPr>
            <w:tcW w:w="1134" w:type="dxa"/>
          </w:tcPr>
          <w:p w14:paraId="56348185" w14:textId="4F6F19AF" w:rsidR="00CC2AA3" w:rsidRPr="00AF382E" w:rsidRDefault="000641E4" w:rsidP="000641E4">
            <w:r>
              <w:t>Non vi sono scostamenti</w:t>
            </w:r>
          </w:p>
        </w:tc>
        <w:tc>
          <w:tcPr>
            <w:tcW w:w="1417" w:type="dxa"/>
          </w:tcPr>
          <w:p w14:paraId="3759B1D2" w14:textId="7CA789B5" w:rsidR="00CC2AA3" w:rsidRPr="00AF382E" w:rsidRDefault="000641E4" w:rsidP="00CC2AA3">
            <w:r>
              <w:t>Non vi sono scostamenti</w:t>
            </w:r>
          </w:p>
        </w:tc>
        <w:tc>
          <w:tcPr>
            <w:tcW w:w="1418" w:type="dxa"/>
          </w:tcPr>
          <w:p w14:paraId="07078B5A" w14:textId="425AE1A9" w:rsidR="00CC2AA3" w:rsidRPr="00AF382E" w:rsidRDefault="000641E4" w:rsidP="00CC2AA3">
            <w:r>
              <w:t>Non vi sono scostamenti</w:t>
            </w:r>
          </w:p>
        </w:tc>
        <w:tc>
          <w:tcPr>
            <w:tcW w:w="1276" w:type="dxa"/>
          </w:tcPr>
          <w:p w14:paraId="4779A8CD" w14:textId="338FE271" w:rsidR="00CC2AA3" w:rsidRPr="00AF382E" w:rsidRDefault="000641E4" w:rsidP="00CC2AA3">
            <w:r>
              <w:t>Non vi sono scostamenti</w:t>
            </w:r>
          </w:p>
        </w:tc>
        <w:tc>
          <w:tcPr>
            <w:tcW w:w="1417" w:type="dxa"/>
          </w:tcPr>
          <w:p w14:paraId="214DA7A7" w14:textId="31EEDEEB" w:rsidR="00CC2AA3" w:rsidRPr="00AF382E" w:rsidRDefault="000641E4" w:rsidP="00CC2AA3">
            <w:r>
              <w:t>Non vi sono scostamenti</w:t>
            </w:r>
          </w:p>
        </w:tc>
      </w:tr>
    </w:tbl>
    <w:p w14:paraId="30342EE9" w14:textId="77777777" w:rsidR="00FD1388" w:rsidRPr="00B16D12" w:rsidRDefault="00FD1388" w:rsidP="00FD1388">
      <w:pPr>
        <w:pStyle w:val="Titolo3"/>
        <w:numPr>
          <w:ilvl w:val="0"/>
          <w:numId w:val="0"/>
        </w:numPr>
        <w:ind w:left="284"/>
        <w:rPr>
          <w:highlight w:val="yellow"/>
        </w:rPr>
      </w:pPr>
    </w:p>
    <w:p w14:paraId="77C94F9E" w14:textId="14698C33" w:rsidR="00F977E4" w:rsidRPr="00AF382E" w:rsidRDefault="00CC2AA3" w:rsidP="00CC2AA3">
      <w:pPr>
        <w:pStyle w:val="Titolo3"/>
      </w:pPr>
      <w:r w:rsidRPr="00AF382E">
        <w:lastRenderedPageBreak/>
        <w:t>Rispetto degli obblighi contrattuali</w:t>
      </w:r>
    </w:p>
    <w:p w14:paraId="72B7654E" w14:textId="0B19109A" w:rsidR="00CC2AA3" w:rsidRPr="00AF382E" w:rsidRDefault="00550B15" w:rsidP="00CC2AA3">
      <w:r w:rsidRPr="00AF382E">
        <w:t>Contiene l’i</w:t>
      </w:r>
      <w:r w:rsidR="00CC2AA3" w:rsidRPr="00AF382E">
        <w:t>ndicazione, anche in formato tabellare, del grado di adempimento dei principali obblighi contrattuali.</w:t>
      </w:r>
    </w:p>
    <w:p w14:paraId="106468B4" w14:textId="77777777" w:rsidR="00CC2AA3" w:rsidRPr="00AF382E" w:rsidRDefault="00CC2AA3" w:rsidP="00CC2AA3">
      <w:r w:rsidRPr="00AF382E">
        <w:t>Si riporta di seguito l’esempio di tabella suggerito dall’ANCI nel recente quaderno n. 46.</w:t>
      </w:r>
    </w:p>
    <w:p w14:paraId="713D3836" w14:textId="77777777" w:rsidR="00550B15" w:rsidRPr="00AF382E" w:rsidRDefault="00550B15" w:rsidP="00CC2AA3"/>
    <w:tbl>
      <w:tblPr>
        <w:tblStyle w:val="TableNormal"/>
        <w:tblW w:w="980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9"/>
        <w:gridCol w:w="1521"/>
        <w:gridCol w:w="1523"/>
        <w:gridCol w:w="1410"/>
        <w:gridCol w:w="1199"/>
        <w:gridCol w:w="1114"/>
        <w:gridCol w:w="1429"/>
      </w:tblGrid>
      <w:tr w:rsidR="00CC2AA3" w:rsidRPr="00AF382E" w14:paraId="42CDA693" w14:textId="77777777" w:rsidTr="00550B15">
        <w:trPr>
          <w:trHeight w:val="1456"/>
        </w:trPr>
        <w:tc>
          <w:tcPr>
            <w:tcW w:w="1609" w:type="dxa"/>
            <w:vAlign w:val="center"/>
          </w:tcPr>
          <w:p w14:paraId="524A271F" w14:textId="77777777" w:rsidR="00CC2AA3" w:rsidRPr="00AF382E" w:rsidRDefault="00CC2AA3" w:rsidP="00CC2AA3">
            <w:pPr>
              <w:jc w:val="center"/>
            </w:pPr>
          </w:p>
        </w:tc>
        <w:tc>
          <w:tcPr>
            <w:tcW w:w="1521" w:type="dxa"/>
            <w:vAlign w:val="center"/>
          </w:tcPr>
          <w:p w14:paraId="01CBB2B9" w14:textId="77777777" w:rsidR="00CC2AA3" w:rsidRPr="00AF382E" w:rsidRDefault="00CC2AA3" w:rsidP="00CC2AA3">
            <w:pPr>
              <w:jc w:val="center"/>
            </w:pPr>
          </w:p>
          <w:p w14:paraId="7E940A3E" w14:textId="77777777" w:rsidR="00CC2AA3" w:rsidRPr="00AF382E" w:rsidRDefault="00CC2AA3" w:rsidP="00CC2AA3">
            <w:pPr>
              <w:jc w:val="center"/>
            </w:pPr>
            <w:r w:rsidRPr="00AF382E">
              <w:t>Volumi – quantità di attività (universalità)</w:t>
            </w:r>
          </w:p>
        </w:tc>
        <w:tc>
          <w:tcPr>
            <w:tcW w:w="1523" w:type="dxa"/>
            <w:vAlign w:val="center"/>
          </w:tcPr>
          <w:p w14:paraId="1059DEB8" w14:textId="77777777" w:rsidR="00CC2AA3" w:rsidRPr="00AF382E" w:rsidRDefault="00CC2AA3" w:rsidP="00CC2AA3">
            <w:pPr>
              <w:jc w:val="center"/>
            </w:pPr>
          </w:p>
          <w:p w14:paraId="62C1FC81" w14:textId="77777777" w:rsidR="00CC2AA3" w:rsidRPr="00AF382E" w:rsidRDefault="00CC2AA3" w:rsidP="00CC2AA3">
            <w:pPr>
              <w:jc w:val="center"/>
            </w:pPr>
            <w:r w:rsidRPr="00AF382E">
              <w:t>Territorio servito (universalità)</w:t>
            </w:r>
          </w:p>
        </w:tc>
        <w:tc>
          <w:tcPr>
            <w:tcW w:w="1410" w:type="dxa"/>
            <w:vAlign w:val="center"/>
          </w:tcPr>
          <w:p w14:paraId="4700BB87" w14:textId="77777777" w:rsidR="00CC2AA3" w:rsidRPr="00AF382E" w:rsidRDefault="00CC2AA3" w:rsidP="00CC2AA3">
            <w:pPr>
              <w:jc w:val="center"/>
            </w:pPr>
            <w:r w:rsidRPr="00AF382E">
              <w:t>Prestazioni specifiche da assicurare (socialità)</w:t>
            </w:r>
          </w:p>
        </w:tc>
        <w:tc>
          <w:tcPr>
            <w:tcW w:w="1199" w:type="dxa"/>
            <w:vAlign w:val="center"/>
          </w:tcPr>
          <w:p w14:paraId="0226FBA5" w14:textId="77777777" w:rsidR="00CC2AA3" w:rsidRPr="00AF382E" w:rsidRDefault="00CC2AA3" w:rsidP="00CC2AA3">
            <w:pPr>
              <w:jc w:val="center"/>
            </w:pPr>
            <w:r w:rsidRPr="00AF382E">
              <w:t>Obblighi di servizio pubblico (tutela</w:t>
            </w:r>
          </w:p>
          <w:p w14:paraId="2C909500" w14:textId="77777777" w:rsidR="00CC2AA3" w:rsidRPr="00AF382E" w:rsidRDefault="00CC2AA3" w:rsidP="00CC2AA3">
            <w:pPr>
              <w:jc w:val="center"/>
            </w:pPr>
            <w:r w:rsidRPr="00AF382E">
              <w:t>ambiente)</w:t>
            </w:r>
          </w:p>
        </w:tc>
        <w:tc>
          <w:tcPr>
            <w:tcW w:w="1114" w:type="dxa"/>
            <w:vAlign w:val="center"/>
          </w:tcPr>
          <w:p w14:paraId="41B0F359" w14:textId="77777777" w:rsidR="00CC2AA3" w:rsidRPr="00AF382E" w:rsidRDefault="00CC2AA3" w:rsidP="00CC2AA3">
            <w:pPr>
              <w:jc w:val="center"/>
            </w:pPr>
            <w:r w:rsidRPr="00AF382E">
              <w:t>Obblighi di servizio pubblico (altro)</w:t>
            </w:r>
          </w:p>
        </w:tc>
        <w:tc>
          <w:tcPr>
            <w:tcW w:w="1429" w:type="dxa"/>
            <w:vAlign w:val="center"/>
          </w:tcPr>
          <w:p w14:paraId="3C747FB7" w14:textId="77777777" w:rsidR="00CC2AA3" w:rsidRPr="00AF382E" w:rsidRDefault="00CC2AA3" w:rsidP="00CC2AA3">
            <w:pPr>
              <w:jc w:val="center"/>
            </w:pPr>
          </w:p>
          <w:p w14:paraId="5C5455E9" w14:textId="77777777" w:rsidR="00CC2AA3" w:rsidRPr="00AF382E" w:rsidRDefault="00CC2AA3" w:rsidP="00CC2AA3">
            <w:pPr>
              <w:jc w:val="center"/>
            </w:pPr>
          </w:p>
          <w:p w14:paraId="2A70C1F5" w14:textId="77777777" w:rsidR="00CC2AA3" w:rsidRPr="00AF382E" w:rsidRDefault="00CC2AA3" w:rsidP="00CC2AA3">
            <w:pPr>
              <w:jc w:val="center"/>
            </w:pPr>
            <w:r w:rsidRPr="00AF382E">
              <w:t>Piano degli investimenti</w:t>
            </w:r>
          </w:p>
        </w:tc>
      </w:tr>
      <w:tr w:rsidR="00CC2AA3" w:rsidRPr="00AF382E" w14:paraId="5F90E748" w14:textId="77777777" w:rsidTr="00550B15">
        <w:trPr>
          <w:trHeight w:val="484"/>
        </w:trPr>
        <w:tc>
          <w:tcPr>
            <w:tcW w:w="1609" w:type="dxa"/>
            <w:vAlign w:val="center"/>
          </w:tcPr>
          <w:p w14:paraId="23CE665D" w14:textId="77777777" w:rsidR="00156FF1" w:rsidRDefault="00156FF1" w:rsidP="00156FF1">
            <w:pPr>
              <w:jc w:val="center"/>
            </w:pPr>
            <w:r w:rsidRPr="00AF382E">
              <w:t>C</w:t>
            </w:r>
            <w:r>
              <w:t>apitolato tecnico della gara europea a procedura aperta per l’ affidamento del servizio di trasporto scolastico per i Comuni della Regione Marche.</w:t>
            </w:r>
          </w:p>
          <w:p w14:paraId="4039C5F1" w14:textId="77777777" w:rsidR="00156FF1" w:rsidRDefault="00156FF1" w:rsidP="00156FF1">
            <w:pPr>
              <w:jc w:val="center"/>
            </w:pPr>
          </w:p>
          <w:p w14:paraId="667C35AF" w14:textId="036B8552" w:rsidR="00CC2AA3" w:rsidRPr="00AF382E" w:rsidRDefault="00156FF1" w:rsidP="00156FF1">
            <w:pPr>
              <w:jc w:val="center"/>
            </w:pPr>
            <w:r>
              <w:t>Convenzione procedura aperta per l’ affidamento del servizio di trasporto scolastico per i Comuni della Regione Marche per il lotto 7.</w:t>
            </w:r>
          </w:p>
        </w:tc>
        <w:tc>
          <w:tcPr>
            <w:tcW w:w="1521" w:type="dxa"/>
            <w:vAlign w:val="center"/>
          </w:tcPr>
          <w:p w14:paraId="46246413" w14:textId="77777777" w:rsidR="00CC2AA3" w:rsidRPr="00AF382E" w:rsidRDefault="00CC2AA3" w:rsidP="00CC2AA3">
            <w:pPr>
              <w:jc w:val="center"/>
            </w:pPr>
          </w:p>
        </w:tc>
        <w:tc>
          <w:tcPr>
            <w:tcW w:w="1523" w:type="dxa"/>
            <w:vAlign w:val="center"/>
          </w:tcPr>
          <w:p w14:paraId="7D1FFD26" w14:textId="77777777" w:rsidR="00CC2AA3" w:rsidRPr="00AF382E" w:rsidRDefault="00CC2AA3" w:rsidP="00CC2AA3">
            <w:pPr>
              <w:jc w:val="center"/>
            </w:pPr>
          </w:p>
        </w:tc>
        <w:tc>
          <w:tcPr>
            <w:tcW w:w="1410" w:type="dxa"/>
            <w:vAlign w:val="center"/>
          </w:tcPr>
          <w:p w14:paraId="4F3F8940" w14:textId="77777777" w:rsidR="00CC2AA3" w:rsidRPr="00AF382E" w:rsidRDefault="00CC2AA3" w:rsidP="00CC2AA3">
            <w:pPr>
              <w:jc w:val="center"/>
            </w:pPr>
          </w:p>
        </w:tc>
        <w:tc>
          <w:tcPr>
            <w:tcW w:w="1199" w:type="dxa"/>
            <w:vAlign w:val="center"/>
          </w:tcPr>
          <w:p w14:paraId="53812C33" w14:textId="77777777" w:rsidR="00CC2AA3" w:rsidRPr="00AF382E" w:rsidRDefault="00CC2AA3" w:rsidP="00CC2AA3">
            <w:pPr>
              <w:jc w:val="center"/>
            </w:pPr>
          </w:p>
        </w:tc>
        <w:tc>
          <w:tcPr>
            <w:tcW w:w="1114" w:type="dxa"/>
            <w:vAlign w:val="center"/>
          </w:tcPr>
          <w:p w14:paraId="1D89731A" w14:textId="77777777" w:rsidR="00CC2AA3" w:rsidRPr="00AF382E" w:rsidRDefault="00CC2AA3" w:rsidP="00CC2AA3">
            <w:pPr>
              <w:jc w:val="center"/>
            </w:pPr>
          </w:p>
        </w:tc>
        <w:tc>
          <w:tcPr>
            <w:tcW w:w="1429" w:type="dxa"/>
            <w:vAlign w:val="center"/>
          </w:tcPr>
          <w:p w14:paraId="3D11665E" w14:textId="77777777" w:rsidR="00CC2AA3" w:rsidRPr="00AF382E" w:rsidRDefault="00CC2AA3" w:rsidP="00CC2AA3">
            <w:pPr>
              <w:jc w:val="center"/>
            </w:pPr>
          </w:p>
        </w:tc>
      </w:tr>
      <w:tr w:rsidR="00CC2AA3" w:rsidRPr="00AF382E" w14:paraId="788EBB89" w14:textId="77777777" w:rsidTr="00550B15">
        <w:trPr>
          <w:trHeight w:val="486"/>
        </w:trPr>
        <w:tc>
          <w:tcPr>
            <w:tcW w:w="1609" w:type="dxa"/>
            <w:vAlign w:val="center"/>
          </w:tcPr>
          <w:p w14:paraId="5505ABC4" w14:textId="77777777" w:rsidR="00CC2AA3" w:rsidRPr="00AF382E" w:rsidRDefault="00CC2AA3" w:rsidP="00CC2AA3">
            <w:pPr>
              <w:jc w:val="center"/>
            </w:pPr>
            <w:r w:rsidRPr="00AF382E">
              <w:t>Risultati raggiunti</w:t>
            </w:r>
          </w:p>
        </w:tc>
        <w:tc>
          <w:tcPr>
            <w:tcW w:w="1521" w:type="dxa"/>
            <w:vAlign w:val="center"/>
          </w:tcPr>
          <w:p w14:paraId="559B6CA5" w14:textId="22A16231" w:rsidR="00CC2AA3" w:rsidRPr="00AF382E" w:rsidRDefault="00A417B4" w:rsidP="007E5AA8">
            <w:r>
              <w:t>Elevato grado di raggiungimento dei risultati</w:t>
            </w:r>
          </w:p>
        </w:tc>
        <w:tc>
          <w:tcPr>
            <w:tcW w:w="1523" w:type="dxa"/>
            <w:vAlign w:val="center"/>
          </w:tcPr>
          <w:p w14:paraId="46A3EC1A" w14:textId="6A44154B" w:rsidR="00CC2AA3" w:rsidRPr="00AF382E" w:rsidRDefault="002B0C09" w:rsidP="00CC2AA3">
            <w:pPr>
              <w:jc w:val="center"/>
            </w:pPr>
            <w:r>
              <w:t>Elevato grado di raggiungimento dei risultati</w:t>
            </w:r>
          </w:p>
        </w:tc>
        <w:tc>
          <w:tcPr>
            <w:tcW w:w="1410" w:type="dxa"/>
            <w:vAlign w:val="center"/>
          </w:tcPr>
          <w:p w14:paraId="19A58C72" w14:textId="50F1C892" w:rsidR="00CC2AA3" w:rsidRPr="00AF382E" w:rsidRDefault="002B0C09" w:rsidP="00CC2AA3">
            <w:pPr>
              <w:jc w:val="center"/>
            </w:pPr>
            <w:r>
              <w:t>Elevato grado di raggiungimento dei risultati</w:t>
            </w:r>
          </w:p>
        </w:tc>
        <w:tc>
          <w:tcPr>
            <w:tcW w:w="1199" w:type="dxa"/>
            <w:vAlign w:val="center"/>
          </w:tcPr>
          <w:p w14:paraId="7F09B392" w14:textId="66A85936" w:rsidR="00CC2AA3" w:rsidRPr="00AF382E" w:rsidRDefault="002B0C09" w:rsidP="00CC2AA3">
            <w:pPr>
              <w:jc w:val="center"/>
            </w:pPr>
            <w:r>
              <w:t>Elevato grado di raggiungimento dei risultati</w:t>
            </w:r>
          </w:p>
        </w:tc>
        <w:tc>
          <w:tcPr>
            <w:tcW w:w="1114" w:type="dxa"/>
            <w:vAlign w:val="center"/>
          </w:tcPr>
          <w:p w14:paraId="323AF727" w14:textId="63735417" w:rsidR="00CC2AA3" w:rsidRPr="00AF382E" w:rsidRDefault="002B0C09" w:rsidP="00CC2AA3">
            <w:pPr>
              <w:jc w:val="center"/>
            </w:pPr>
            <w:r>
              <w:t>Elevato grado di raggiungimento dei risultati</w:t>
            </w:r>
          </w:p>
        </w:tc>
        <w:tc>
          <w:tcPr>
            <w:tcW w:w="1429" w:type="dxa"/>
            <w:vAlign w:val="center"/>
          </w:tcPr>
          <w:p w14:paraId="1B286A9D" w14:textId="5A6DF0A3" w:rsidR="00CC2AA3" w:rsidRPr="00AF382E" w:rsidRDefault="002B0C09" w:rsidP="00CC2AA3">
            <w:pPr>
              <w:jc w:val="center"/>
            </w:pPr>
            <w:r>
              <w:t>Elevato grado di raggiungimento dei risultati</w:t>
            </w:r>
          </w:p>
        </w:tc>
      </w:tr>
      <w:tr w:rsidR="00CC2AA3" w:rsidRPr="00B16D12" w14:paraId="53C5EF98" w14:textId="77777777" w:rsidTr="00550B15">
        <w:trPr>
          <w:trHeight w:val="551"/>
        </w:trPr>
        <w:tc>
          <w:tcPr>
            <w:tcW w:w="1609" w:type="dxa"/>
            <w:vAlign w:val="center"/>
          </w:tcPr>
          <w:p w14:paraId="16BD60F2" w14:textId="77777777" w:rsidR="00CC2AA3" w:rsidRPr="00AF382E" w:rsidRDefault="00CC2AA3" w:rsidP="00CC2AA3">
            <w:pPr>
              <w:jc w:val="center"/>
            </w:pPr>
            <w:r w:rsidRPr="00AF382E">
              <w:t>Scostamento</w:t>
            </w:r>
          </w:p>
        </w:tc>
        <w:tc>
          <w:tcPr>
            <w:tcW w:w="1521" w:type="dxa"/>
            <w:vAlign w:val="center"/>
          </w:tcPr>
          <w:p w14:paraId="7A3CE639" w14:textId="6A43045F" w:rsidR="00CC2AA3" w:rsidRPr="00AF382E" w:rsidRDefault="002B0C09" w:rsidP="00CC2AA3">
            <w:pPr>
              <w:jc w:val="center"/>
            </w:pPr>
            <w:r>
              <w:t>Non vi sono scostamenti</w:t>
            </w:r>
          </w:p>
        </w:tc>
        <w:tc>
          <w:tcPr>
            <w:tcW w:w="1523" w:type="dxa"/>
            <w:vAlign w:val="center"/>
          </w:tcPr>
          <w:p w14:paraId="0D590F66" w14:textId="280BAC4C" w:rsidR="00CC2AA3" w:rsidRPr="00AF382E" w:rsidRDefault="002B0C09" w:rsidP="00CC2AA3">
            <w:pPr>
              <w:jc w:val="center"/>
            </w:pPr>
            <w:r>
              <w:t>Non vi sono scostamenti</w:t>
            </w:r>
          </w:p>
        </w:tc>
        <w:tc>
          <w:tcPr>
            <w:tcW w:w="1410" w:type="dxa"/>
            <w:vAlign w:val="center"/>
          </w:tcPr>
          <w:p w14:paraId="2CB064BE" w14:textId="62DD95C8" w:rsidR="00CC2AA3" w:rsidRPr="00AF382E" w:rsidRDefault="002B0C09" w:rsidP="00CC2AA3">
            <w:pPr>
              <w:jc w:val="center"/>
            </w:pPr>
            <w:r>
              <w:t>Non vi sono scostamenti</w:t>
            </w:r>
          </w:p>
        </w:tc>
        <w:tc>
          <w:tcPr>
            <w:tcW w:w="1199" w:type="dxa"/>
            <w:vAlign w:val="center"/>
          </w:tcPr>
          <w:p w14:paraId="061598B4" w14:textId="69C80002" w:rsidR="00CC2AA3" w:rsidRPr="00AF382E" w:rsidRDefault="002B0C09" w:rsidP="00CC2AA3">
            <w:pPr>
              <w:jc w:val="center"/>
            </w:pPr>
            <w:r>
              <w:t>Non vi sono scostamenti</w:t>
            </w:r>
          </w:p>
        </w:tc>
        <w:tc>
          <w:tcPr>
            <w:tcW w:w="1114" w:type="dxa"/>
            <w:vAlign w:val="center"/>
          </w:tcPr>
          <w:p w14:paraId="058FF667" w14:textId="38B52B36" w:rsidR="00CC2AA3" w:rsidRPr="00AF382E" w:rsidRDefault="002B0C09" w:rsidP="00CC2AA3">
            <w:pPr>
              <w:jc w:val="center"/>
            </w:pPr>
            <w:r>
              <w:t>Non vi sono scostamenti</w:t>
            </w:r>
          </w:p>
        </w:tc>
        <w:tc>
          <w:tcPr>
            <w:tcW w:w="1429" w:type="dxa"/>
            <w:vAlign w:val="center"/>
          </w:tcPr>
          <w:p w14:paraId="7EEC8C0E" w14:textId="19479255" w:rsidR="00CC2AA3" w:rsidRPr="00AF382E" w:rsidRDefault="002B0C09" w:rsidP="00CC2AA3">
            <w:pPr>
              <w:jc w:val="center"/>
            </w:pPr>
            <w:r>
              <w:t>Non vi sono scostamenti</w:t>
            </w:r>
          </w:p>
        </w:tc>
      </w:tr>
    </w:tbl>
    <w:p w14:paraId="5F851ADD" w14:textId="77777777" w:rsidR="00CC2AA3" w:rsidRPr="00B16D12" w:rsidRDefault="00CC2AA3" w:rsidP="00CC2AA3">
      <w:pPr>
        <w:rPr>
          <w:highlight w:val="yellow"/>
        </w:rPr>
      </w:pPr>
    </w:p>
    <w:p w14:paraId="3AD42059" w14:textId="77777777" w:rsidR="00FD1388" w:rsidRPr="00B16D12" w:rsidRDefault="00FD1388" w:rsidP="00CC2AA3">
      <w:pPr>
        <w:rPr>
          <w:strike/>
        </w:rPr>
      </w:pPr>
    </w:p>
    <w:sectPr w:rsidR="00FD1388" w:rsidRPr="00B16D12" w:rsidSect="00D104AD">
      <w:footerReference w:type="default" r:id="rId13"/>
      <w:pgSz w:w="12240" w:h="15840"/>
      <w:pgMar w:top="1340" w:right="1183" w:bottom="1060" w:left="1134" w:header="0" w:footer="7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579F3" w14:textId="77777777" w:rsidR="00FD6BCB" w:rsidRDefault="00FD6BCB" w:rsidP="0077299D">
      <w:r>
        <w:separator/>
      </w:r>
    </w:p>
  </w:endnote>
  <w:endnote w:type="continuationSeparator" w:id="0">
    <w:p w14:paraId="14ADAE62" w14:textId="77777777" w:rsidR="00FD6BCB" w:rsidRDefault="00FD6BCB" w:rsidP="0077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UI">
    <w:altName w:val="MS UI Gothic"/>
    <w:charset w:val="80"/>
    <w:family w:val="swiss"/>
    <w:pitch w:val="variable"/>
    <w:sig w:usb0="E00002FF" w:usb1="6AC7FFFF"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8BAC0" w14:textId="3CA706E1" w:rsidR="00F977E4" w:rsidRPr="00FD1388" w:rsidRDefault="00F977E4" w:rsidP="00FD138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AF36D" w14:textId="77777777" w:rsidR="00FD6BCB" w:rsidRDefault="00FD6BCB" w:rsidP="0077299D">
      <w:r>
        <w:separator/>
      </w:r>
    </w:p>
  </w:footnote>
  <w:footnote w:type="continuationSeparator" w:id="0">
    <w:p w14:paraId="6B182C9B" w14:textId="77777777" w:rsidR="00FD6BCB" w:rsidRDefault="00FD6BCB" w:rsidP="00772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56EC2"/>
    <w:multiLevelType w:val="hybridMultilevel"/>
    <w:tmpl w:val="CDE8BF26"/>
    <w:lvl w:ilvl="0" w:tplc="8906422A">
      <w:numFmt w:val="bullet"/>
      <w:lvlText w:val="-"/>
      <w:lvlJc w:val="left"/>
      <w:pPr>
        <w:ind w:left="784" w:hanging="185"/>
      </w:pPr>
      <w:rPr>
        <w:rFonts w:ascii="Cambria" w:eastAsia="Cambria" w:hAnsi="Cambria" w:cs="Cambria" w:hint="default"/>
        <w:b w:val="0"/>
        <w:bCs w:val="0"/>
        <w:i w:val="0"/>
        <w:iCs w:val="0"/>
        <w:spacing w:val="0"/>
        <w:w w:val="124"/>
        <w:sz w:val="20"/>
        <w:szCs w:val="20"/>
        <w:lang w:val="it-IT" w:eastAsia="en-US" w:bidi="ar-SA"/>
      </w:rPr>
    </w:lvl>
    <w:lvl w:ilvl="1" w:tplc="9B8CE548">
      <w:numFmt w:val="bullet"/>
      <w:lvlText w:val="•"/>
      <w:lvlJc w:val="left"/>
      <w:pPr>
        <w:ind w:left="1792" w:hanging="185"/>
      </w:pPr>
      <w:rPr>
        <w:rFonts w:hint="default"/>
        <w:lang w:val="it-IT" w:eastAsia="en-US" w:bidi="ar-SA"/>
      </w:rPr>
    </w:lvl>
    <w:lvl w:ilvl="2" w:tplc="996C4DAC">
      <w:numFmt w:val="bullet"/>
      <w:lvlText w:val="•"/>
      <w:lvlJc w:val="left"/>
      <w:pPr>
        <w:ind w:left="2804" w:hanging="185"/>
      </w:pPr>
      <w:rPr>
        <w:rFonts w:hint="default"/>
        <w:lang w:val="it-IT" w:eastAsia="en-US" w:bidi="ar-SA"/>
      </w:rPr>
    </w:lvl>
    <w:lvl w:ilvl="3" w:tplc="3BFA5C28">
      <w:numFmt w:val="bullet"/>
      <w:lvlText w:val="•"/>
      <w:lvlJc w:val="left"/>
      <w:pPr>
        <w:ind w:left="3816" w:hanging="185"/>
      </w:pPr>
      <w:rPr>
        <w:rFonts w:hint="default"/>
        <w:lang w:val="it-IT" w:eastAsia="en-US" w:bidi="ar-SA"/>
      </w:rPr>
    </w:lvl>
    <w:lvl w:ilvl="4" w:tplc="CCBE2A06">
      <w:numFmt w:val="bullet"/>
      <w:lvlText w:val="•"/>
      <w:lvlJc w:val="left"/>
      <w:pPr>
        <w:ind w:left="4828" w:hanging="185"/>
      </w:pPr>
      <w:rPr>
        <w:rFonts w:hint="default"/>
        <w:lang w:val="it-IT" w:eastAsia="en-US" w:bidi="ar-SA"/>
      </w:rPr>
    </w:lvl>
    <w:lvl w:ilvl="5" w:tplc="A20E7000">
      <w:numFmt w:val="bullet"/>
      <w:lvlText w:val="•"/>
      <w:lvlJc w:val="left"/>
      <w:pPr>
        <w:ind w:left="5840" w:hanging="185"/>
      </w:pPr>
      <w:rPr>
        <w:rFonts w:hint="default"/>
        <w:lang w:val="it-IT" w:eastAsia="en-US" w:bidi="ar-SA"/>
      </w:rPr>
    </w:lvl>
    <w:lvl w:ilvl="6" w:tplc="3D369BAC">
      <w:numFmt w:val="bullet"/>
      <w:lvlText w:val="•"/>
      <w:lvlJc w:val="left"/>
      <w:pPr>
        <w:ind w:left="6852" w:hanging="185"/>
      </w:pPr>
      <w:rPr>
        <w:rFonts w:hint="default"/>
        <w:lang w:val="it-IT" w:eastAsia="en-US" w:bidi="ar-SA"/>
      </w:rPr>
    </w:lvl>
    <w:lvl w:ilvl="7" w:tplc="89A055D6">
      <w:numFmt w:val="bullet"/>
      <w:lvlText w:val="•"/>
      <w:lvlJc w:val="left"/>
      <w:pPr>
        <w:ind w:left="7864" w:hanging="185"/>
      </w:pPr>
      <w:rPr>
        <w:rFonts w:hint="default"/>
        <w:lang w:val="it-IT" w:eastAsia="en-US" w:bidi="ar-SA"/>
      </w:rPr>
    </w:lvl>
    <w:lvl w:ilvl="8" w:tplc="70A033D8">
      <w:numFmt w:val="bullet"/>
      <w:lvlText w:val="•"/>
      <w:lvlJc w:val="left"/>
      <w:pPr>
        <w:ind w:left="8876" w:hanging="185"/>
      </w:pPr>
      <w:rPr>
        <w:rFonts w:hint="default"/>
        <w:lang w:val="it-IT" w:eastAsia="en-US" w:bidi="ar-SA"/>
      </w:rPr>
    </w:lvl>
  </w:abstractNum>
  <w:abstractNum w:abstractNumId="1" w15:restartNumberingAfterBreak="0">
    <w:nsid w:val="09497631"/>
    <w:multiLevelType w:val="hybridMultilevel"/>
    <w:tmpl w:val="01CAE340"/>
    <w:lvl w:ilvl="0" w:tplc="C900BE12">
      <w:numFmt w:val="bullet"/>
      <w:lvlText w:val=""/>
      <w:lvlJc w:val="left"/>
      <w:pPr>
        <w:ind w:left="1460" w:hanging="339"/>
      </w:pPr>
      <w:rPr>
        <w:rFonts w:ascii="Wingdings" w:eastAsia="Wingdings" w:hAnsi="Wingdings" w:cs="Wingdings" w:hint="default"/>
        <w:b w:val="0"/>
        <w:bCs w:val="0"/>
        <w:i w:val="0"/>
        <w:iCs w:val="0"/>
        <w:spacing w:val="0"/>
        <w:w w:val="103"/>
        <w:sz w:val="20"/>
        <w:szCs w:val="20"/>
        <w:lang w:val="it-IT" w:eastAsia="en-US" w:bidi="ar-SA"/>
      </w:rPr>
    </w:lvl>
    <w:lvl w:ilvl="1" w:tplc="47CCE196">
      <w:numFmt w:val="bullet"/>
      <w:lvlText w:val="•"/>
      <w:lvlJc w:val="left"/>
      <w:pPr>
        <w:ind w:left="2404" w:hanging="339"/>
      </w:pPr>
      <w:rPr>
        <w:rFonts w:hint="default"/>
        <w:lang w:val="it-IT" w:eastAsia="en-US" w:bidi="ar-SA"/>
      </w:rPr>
    </w:lvl>
    <w:lvl w:ilvl="2" w:tplc="DA3A9E32">
      <w:numFmt w:val="bullet"/>
      <w:lvlText w:val="•"/>
      <w:lvlJc w:val="left"/>
      <w:pPr>
        <w:ind w:left="3348" w:hanging="339"/>
      </w:pPr>
      <w:rPr>
        <w:rFonts w:hint="default"/>
        <w:lang w:val="it-IT" w:eastAsia="en-US" w:bidi="ar-SA"/>
      </w:rPr>
    </w:lvl>
    <w:lvl w:ilvl="3" w:tplc="6952E336">
      <w:numFmt w:val="bullet"/>
      <w:lvlText w:val="•"/>
      <w:lvlJc w:val="left"/>
      <w:pPr>
        <w:ind w:left="4292" w:hanging="339"/>
      </w:pPr>
      <w:rPr>
        <w:rFonts w:hint="default"/>
        <w:lang w:val="it-IT" w:eastAsia="en-US" w:bidi="ar-SA"/>
      </w:rPr>
    </w:lvl>
    <w:lvl w:ilvl="4" w:tplc="53BCC364">
      <w:numFmt w:val="bullet"/>
      <w:lvlText w:val="•"/>
      <w:lvlJc w:val="left"/>
      <w:pPr>
        <w:ind w:left="5236" w:hanging="339"/>
      </w:pPr>
      <w:rPr>
        <w:rFonts w:hint="default"/>
        <w:lang w:val="it-IT" w:eastAsia="en-US" w:bidi="ar-SA"/>
      </w:rPr>
    </w:lvl>
    <w:lvl w:ilvl="5" w:tplc="553EB58E">
      <w:numFmt w:val="bullet"/>
      <w:lvlText w:val="•"/>
      <w:lvlJc w:val="left"/>
      <w:pPr>
        <w:ind w:left="6180" w:hanging="339"/>
      </w:pPr>
      <w:rPr>
        <w:rFonts w:hint="default"/>
        <w:lang w:val="it-IT" w:eastAsia="en-US" w:bidi="ar-SA"/>
      </w:rPr>
    </w:lvl>
    <w:lvl w:ilvl="6" w:tplc="B4EA24BE">
      <w:numFmt w:val="bullet"/>
      <w:lvlText w:val="•"/>
      <w:lvlJc w:val="left"/>
      <w:pPr>
        <w:ind w:left="7124" w:hanging="339"/>
      </w:pPr>
      <w:rPr>
        <w:rFonts w:hint="default"/>
        <w:lang w:val="it-IT" w:eastAsia="en-US" w:bidi="ar-SA"/>
      </w:rPr>
    </w:lvl>
    <w:lvl w:ilvl="7" w:tplc="10F4C412">
      <w:numFmt w:val="bullet"/>
      <w:lvlText w:val="•"/>
      <w:lvlJc w:val="left"/>
      <w:pPr>
        <w:ind w:left="8068" w:hanging="339"/>
      </w:pPr>
      <w:rPr>
        <w:rFonts w:hint="default"/>
        <w:lang w:val="it-IT" w:eastAsia="en-US" w:bidi="ar-SA"/>
      </w:rPr>
    </w:lvl>
    <w:lvl w:ilvl="8" w:tplc="97982E66">
      <w:numFmt w:val="bullet"/>
      <w:lvlText w:val="•"/>
      <w:lvlJc w:val="left"/>
      <w:pPr>
        <w:ind w:left="9012" w:hanging="339"/>
      </w:pPr>
      <w:rPr>
        <w:rFonts w:hint="default"/>
        <w:lang w:val="it-IT" w:eastAsia="en-US" w:bidi="ar-SA"/>
      </w:rPr>
    </w:lvl>
  </w:abstractNum>
  <w:abstractNum w:abstractNumId="2" w15:restartNumberingAfterBreak="0">
    <w:nsid w:val="0D45409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2575584"/>
    <w:multiLevelType w:val="hybridMultilevel"/>
    <w:tmpl w:val="5E72BE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A40187"/>
    <w:multiLevelType w:val="hybridMultilevel"/>
    <w:tmpl w:val="8B34D290"/>
    <w:lvl w:ilvl="0" w:tplc="69EAB432">
      <w:start w:val="1"/>
      <w:numFmt w:val="decimal"/>
      <w:lvlText w:val="%1."/>
      <w:lvlJc w:val="left"/>
      <w:pPr>
        <w:ind w:left="1184" w:hanging="401"/>
        <w:jc w:val="left"/>
      </w:pPr>
      <w:rPr>
        <w:rFonts w:ascii="Cambria" w:eastAsia="Cambria" w:hAnsi="Cambria" w:cs="Cambria" w:hint="default"/>
        <w:b w:val="0"/>
        <w:bCs w:val="0"/>
        <w:i w:val="0"/>
        <w:iCs w:val="0"/>
        <w:spacing w:val="0"/>
        <w:w w:val="116"/>
        <w:sz w:val="18"/>
        <w:szCs w:val="18"/>
        <w:lang w:val="it-IT" w:eastAsia="en-US" w:bidi="ar-SA"/>
      </w:rPr>
    </w:lvl>
    <w:lvl w:ilvl="1" w:tplc="876228A8">
      <w:start w:val="1"/>
      <w:numFmt w:val="decimal"/>
      <w:lvlText w:val="%2."/>
      <w:lvlJc w:val="left"/>
      <w:pPr>
        <w:ind w:left="1460" w:hanging="339"/>
        <w:jc w:val="right"/>
      </w:pPr>
      <w:rPr>
        <w:rFonts w:ascii="Cambria" w:eastAsia="Cambria" w:hAnsi="Cambria" w:cs="Cambria" w:hint="default"/>
        <w:b/>
        <w:bCs/>
        <w:i w:val="0"/>
        <w:iCs w:val="0"/>
        <w:spacing w:val="0"/>
        <w:w w:val="115"/>
        <w:sz w:val="20"/>
        <w:szCs w:val="20"/>
        <w:lang w:val="it-IT" w:eastAsia="en-US" w:bidi="ar-SA"/>
      </w:rPr>
    </w:lvl>
    <w:lvl w:ilvl="2" w:tplc="3998D092">
      <w:start w:val="1"/>
      <w:numFmt w:val="lowerLetter"/>
      <w:lvlText w:val="%3)"/>
      <w:lvlJc w:val="left"/>
      <w:pPr>
        <w:ind w:left="1460" w:hanging="339"/>
        <w:jc w:val="left"/>
      </w:pPr>
      <w:rPr>
        <w:rFonts w:ascii="Cambria" w:eastAsia="Cambria" w:hAnsi="Cambria" w:cs="Cambria" w:hint="default"/>
        <w:b/>
        <w:bCs/>
        <w:i w:val="0"/>
        <w:iCs w:val="0"/>
        <w:spacing w:val="0"/>
        <w:w w:val="81"/>
        <w:sz w:val="20"/>
        <w:szCs w:val="20"/>
        <w:lang w:val="it-IT" w:eastAsia="en-US" w:bidi="ar-SA"/>
      </w:rPr>
    </w:lvl>
    <w:lvl w:ilvl="3" w:tplc="F4B8EE7E">
      <w:numFmt w:val="bullet"/>
      <w:lvlText w:val="•"/>
      <w:lvlJc w:val="left"/>
      <w:pPr>
        <w:ind w:left="3557" w:hanging="339"/>
      </w:pPr>
      <w:rPr>
        <w:rFonts w:hint="default"/>
        <w:lang w:val="it-IT" w:eastAsia="en-US" w:bidi="ar-SA"/>
      </w:rPr>
    </w:lvl>
    <w:lvl w:ilvl="4" w:tplc="05F25162">
      <w:numFmt w:val="bullet"/>
      <w:lvlText w:val="•"/>
      <w:lvlJc w:val="left"/>
      <w:pPr>
        <w:ind w:left="4606" w:hanging="339"/>
      </w:pPr>
      <w:rPr>
        <w:rFonts w:hint="default"/>
        <w:lang w:val="it-IT" w:eastAsia="en-US" w:bidi="ar-SA"/>
      </w:rPr>
    </w:lvl>
    <w:lvl w:ilvl="5" w:tplc="AAC25322">
      <w:numFmt w:val="bullet"/>
      <w:lvlText w:val="•"/>
      <w:lvlJc w:val="left"/>
      <w:pPr>
        <w:ind w:left="5655" w:hanging="339"/>
      </w:pPr>
      <w:rPr>
        <w:rFonts w:hint="default"/>
        <w:lang w:val="it-IT" w:eastAsia="en-US" w:bidi="ar-SA"/>
      </w:rPr>
    </w:lvl>
    <w:lvl w:ilvl="6" w:tplc="C2582828">
      <w:numFmt w:val="bullet"/>
      <w:lvlText w:val="•"/>
      <w:lvlJc w:val="left"/>
      <w:pPr>
        <w:ind w:left="6704" w:hanging="339"/>
      </w:pPr>
      <w:rPr>
        <w:rFonts w:hint="default"/>
        <w:lang w:val="it-IT" w:eastAsia="en-US" w:bidi="ar-SA"/>
      </w:rPr>
    </w:lvl>
    <w:lvl w:ilvl="7" w:tplc="CF72F5DE">
      <w:numFmt w:val="bullet"/>
      <w:lvlText w:val="•"/>
      <w:lvlJc w:val="left"/>
      <w:pPr>
        <w:ind w:left="7753" w:hanging="339"/>
      </w:pPr>
      <w:rPr>
        <w:rFonts w:hint="default"/>
        <w:lang w:val="it-IT" w:eastAsia="en-US" w:bidi="ar-SA"/>
      </w:rPr>
    </w:lvl>
    <w:lvl w:ilvl="8" w:tplc="C704A1E4">
      <w:numFmt w:val="bullet"/>
      <w:lvlText w:val="•"/>
      <w:lvlJc w:val="left"/>
      <w:pPr>
        <w:ind w:left="8802" w:hanging="339"/>
      </w:pPr>
      <w:rPr>
        <w:rFonts w:hint="default"/>
        <w:lang w:val="it-IT" w:eastAsia="en-US" w:bidi="ar-SA"/>
      </w:rPr>
    </w:lvl>
  </w:abstractNum>
  <w:abstractNum w:abstractNumId="5" w15:restartNumberingAfterBreak="0">
    <w:nsid w:val="263E4281"/>
    <w:multiLevelType w:val="hybridMultilevel"/>
    <w:tmpl w:val="0B344232"/>
    <w:lvl w:ilvl="0" w:tplc="0602DB60">
      <w:numFmt w:val="bullet"/>
      <w:lvlText w:val=""/>
      <w:lvlJc w:val="left"/>
      <w:pPr>
        <w:ind w:left="1717" w:hanging="339"/>
      </w:pPr>
      <w:rPr>
        <w:rFonts w:ascii="Symbol" w:eastAsia="Symbol" w:hAnsi="Symbol" w:cs="Symbol" w:hint="default"/>
        <w:b w:val="0"/>
        <w:bCs w:val="0"/>
        <w:i w:val="0"/>
        <w:iCs w:val="0"/>
        <w:spacing w:val="0"/>
        <w:w w:val="103"/>
        <w:sz w:val="20"/>
        <w:szCs w:val="20"/>
        <w:lang w:val="it-IT" w:eastAsia="en-US" w:bidi="ar-SA"/>
      </w:rPr>
    </w:lvl>
    <w:lvl w:ilvl="1" w:tplc="A4D031D0">
      <w:numFmt w:val="bullet"/>
      <w:lvlText w:val="•"/>
      <w:lvlJc w:val="left"/>
      <w:pPr>
        <w:ind w:left="2638" w:hanging="339"/>
      </w:pPr>
      <w:rPr>
        <w:rFonts w:hint="default"/>
        <w:lang w:val="it-IT" w:eastAsia="en-US" w:bidi="ar-SA"/>
      </w:rPr>
    </w:lvl>
    <w:lvl w:ilvl="2" w:tplc="7EE24354">
      <w:numFmt w:val="bullet"/>
      <w:lvlText w:val="•"/>
      <w:lvlJc w:val="left"/>
      <w:pPr>
        <w:ind w:left="3556" w:hanging="339"/>
      </w:pPr>
      <w:rPr>
        <w:rFonts w:hint="default"/>
        <w:lang w:val="it-IT" w:eastAsia="en-US" w:bidi="ar-SA"/>
      </w:rPr>
    </w:lvl>
    <w:lvl w:ilvl="3" w:tplc="3EB4EFD4">
      <w:numFmt w:val="bullet"/>
      <w:lvlText w:val="•"/>
      <w:lvlJc w:val="left"/>
      <w:pPr>
        <w:ind w:left="4474" w:hanging="339"/>
      </w:pPr>
      <w:rPr>
        <w:rFonts w:hint="default"/>
        <w:lang w:val="it-IT" w:eastAsia="en-US" w:bidi="ar-SA"/>
      </w:rPr>
    </w:lvl>
    <w:lvl w:ilvl="4" w:tplc="4CACF928">
      <w:numFmt w:val="bullet"/>
      <w:lvlText w:val="•"/>
      <w:lvlJc w:val="left"/>
      <w:pPr>
        <w:ind w:left="5392" w:hanging="339"/>
      </w:pPr>
      <w:rPr>
        <w:rFonts w:hint="default"/>
        <w:lang w:val="it-IT" w:eastAsia="en-US" w:bidi="ar-SA"/>
      </w:rPr>
    </w:lvl>
    <w:lvl w:ilvl="5" w:tplc="033A29D8">
      <w:numFmt w:val="bullet"/>
      <w:lvlText w:val="•"/>
      <w:lvlJc w:val="left"/>
      <w:pPr>
        <w:ind w:left="6310" w:hanging="339"/>
      </w:pPr>
      <w:rPr>
        <w:rFonts w:hint="default"/>
        <w:lang w:val="it-IT" w:eastAsia="en-US" w:bidi="ar-SA"/>
      </w:rPr>
    </w:lvl>
    <w:lvl w:ilvl="6" w:tplc="A3207B06">
      <w:numFmt w:val="bullet"/>
      <w:lvlText w:val="•"/>
      <w:lvlJc w:val="left"/>
      <w:pPr>
        <w:ind w:left="7228" w:hanging="339"/>
      </w:pPr>
      <w:rPr>
        <w:rFonts w:hint="default"/>
        <w:lang w:val="it-IT" w:eastAsia="en-US" w:bidi="ar-SA"/>
      </w:rPr>
    </w:lvl>
    <w:lvl w:ilvl="7" w:tplc="02B2A6F0">
      <w:numFmt w:val="bullet"/>
      <w:lvlText w:val="•"/>
      <w:lvlJc w:val="left"/>
      <w:pPr>
        <w:ind w:left="8146" w:hanging="339"/>
      </w:pPr>
      <w:rPr>
        <w:rFonts w:hint="default"/>
        <w:lang w:val="it-IT" w:eastAsia="en-US" w:bidi="ar-SA"/>
      </w:rPr>
    </w:lvl>
    <w:lvl w:ilvl="8" w:tplc="DD0831FA">
      <w:numFmt w:val="bullet"/>
      <w:lvlText w:val="•"/>
      <w:lvlJc w:val="left"/>
      <w:pPr>
        <w:ind w:left="9064" w:hanging="339"/>
      </w:pPr>
      <w:rPr>
        <w:rFonts w:hint="default"/>
        <w:lang w:val="it-IT" w:eastAsia="en-US" w:bidi="ar-SA"/>
      </w:rPr>
    </w:lvl>
  </w:abstractNum>
  <w:abstractNum w:abstractNumId="6" w15:restartNumberingAfterBreak="0">
    <w:nsid w:val="272C76B0"/>
    <w:multiLevelType w:val="hybridMultilevel"/>
    <w:tmpl w:val="1C3C96D4"/>
    <w:lvl w:ilvl="0" w:tplc="C50C014A">
      <w:start w:val="1"/>
      <w:numFmt w:val="upperLetter"/>
      <w:lvlText w:val="%1)"/>
      <w:lvlJc w:val="left"/>
      <w:pPr>
        <w:ind w:left="1055" w:hanging="272"/>
        <w:jc w:val="left"/>
      </w:pPr>
      <w:rPr>
        <w:rFonts w:ascii="Cambria" w:eastAsia="Cambria" w:hAnsi="Cambria" w:cs="Cambria" w:hint="default"/>
        <w:b w:val="0"/>
        <w:bCs w:val="0"/>
        <w:i w:val="0"/>
        <w:iCs w:val="0"/>
        <w:spacing w:val="0"/>
        <w:w w:val="81"/>
        <w:sz w:val="20"/>
        <w:szCs w:val="20"/>
        <w:u w:val="single" w:color="000000"/>
        <w:lang w:val="it-IT" w:eastAsia="en-US" w:bidi="ar-SA"/>
      </w:rPr>
    </w:lvl>
    <w:lvl w:ilvl="1" w:tplc="E8C80922">
      <w:numFmt w:val="bullet"/>
      <w:lvlText w:val="•"/>
      <w:lvlJc w:val="left"/>
      <w:pPr>
        <w:ind w:left="2044" w:hanging="272"/>
      </w:pPr>
      <w:rPr>
        <w:rFonts w:hint="default"/>
        <w:lang w:val="it-IT" w:eastAsia="en-US" w:bidi="ar-SA"/>
      </w:rPr>
    </w:lvl>
    <w:lvl w:ilvl="2" w:tplc="9E8E1656">
      <w:numFmt w:val="bullet"/>
      <w:lvlText w:val="•"/>
      <w:lvlJc w:val="left"/>
      <w:pPr>
        <w:ind w:left="3028" w:hanging="272"/>
      </w:pPr>
      <w:rPr>
        <w:rFonts w:hint="default"/>
        <w:lang w:val="it-IT" w:eastAsia="en-US" w:bidi="ar-SA"/>
      </w:rPr>
    </w:lvl>
    <w:lvl w:ilvl="3" w:tplc="442803A6">
      <w:numFmt w:val="bullet"/>
      <w:lvlText w:val="•"/>
      <w:lvlJc w:val="left"/>
      <w:pPr>
        <w:ind w:left="4012" w:hanging="272"/>
      </w:pPr>
      <w:rPr>
        <w:rFonts w:hint="default"/>
        <w:lang w:val="it-IT" w:eastAsia="en-US" w:bidi="ar-SA"/>
      </w:rPr>
    </w:lvl>
    <w:lvl w:ilvl="4" w:tplc="3C701070">
      <w:numFmt w:val="bullet"/>
      <w:lvlText w:val="•"/>
      <w:lvlJc w:val="left"/>
      <w:pPr>
        <w:ind w:left="4996" w:hanging="272"/>
      </w:pPr>
      <w:rPr>
        <w:rFonts w:hint="default"/>
        <w:lang w:val="it-IT" w:eastAsia="en-US" w:bidi="ar-SA"/>
      </w:rPr>
    </w:lvl>
    <w:lvl w:ilvl="5" w:tplc="F3B05010">
      <w:numFmt w:val="bullet"/>
      <w:lvlText w:val="•"/>
      <w:lvlJc w:val="left"/>
      <w:pPr>
        <w:ind w:left="5980" w:hanging="272"/>
      </w:pPr>
      <w:rPr>
        <w:rFonts w:hint="default"/>
        <w:lang w:val="it-IT" w:eastAsia="en-US" w:bidi="ar-SA"/>
      </w:rPr>
    </w:lvl>
    <w:lvl w:ilvl="6" w:tplc="E752C6C4">
      <w:numFmt w:val="bullet"/>
      <w:lvlText w:val="•"/>
      <w:lvlJc w:val="left"/>
      <w:pPr>
        <w:ind w:left="6964" w:hanging="272"/>
      </w:pPr>
      <w:rPr>
        <w:rFonts w:hint="default"/>
        <w:lang w:val="it-IT" w:eastAsia="en-US" w:bidi="ar-SA"/>
      </w:rPr>
    </w:lvl>
    <w:lvl w:ilvl="7" w:tplc="E926FF58">
      <w:numFmt w:val="bullet"/>
      <w:lvlText w:val="•"/>
      <w:lvlJc w:val="left"/>
      <w:pPr>
        <w:ind w:left="7948" w:hanging="272"/>
      </w:pPr>
      <w:rPr>
        <w:rFonts w:hint="default"/>
        <w:lang w:val="it-IT" w:eastAsia="en-US" w:bidi="ar-SA"/>
      </w:rPr>
    </w:lvl>
    <w:lvl w:ilvl="8" w:tplc="9FB21696">
      <w:numFmt w:val="bullet"/>
      <w:lvlText w:val="•"/>
      <w:lvlJc w:val="left"/>
      <w:pPr>
        <w:ind w:left="8932" w:hanging="272"/>
      </w:pPr>
      <w:rPr>
        <w:rFonts w:hint="default"/>
        <w:lang w:val="it-IT" w:eastAsia="en-US" w:bidi="ar-SA"/>
      </w:rPr>
    </w:lvl>
  </w:abstractNum>
  <w:abstractNum w:abstractNumId="7" w15:restartNumberingAfterBreak="0">
    <w:nsid w:val="309A3937"/>
    <w:multiLevelType w:val="hybridMultilevel"/>
    <w:tmpl w:val="7CBE011E"/>
    <w:lvl w:ilvl="0" w:tplc="00762AF6">
      <w:numFmt w:val="bullet"/>
      <w:lvlText w:val="-"/>
      <w:lvlJc w:val="left"/>
      <w:pPr>
        <w:ind w:left="720" w:hanging="360"/>
      </w:pPr>
      <w:rPr>
        <w:rFonts w:ascii="Arial" w:eastAsia="Cambr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006283"/>
    <w:multiLevelType w:val="hybridMultilevel"/>
    <w:tmpl w:val="EE62E6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0B66CD"/>
    <w:multiLevelType w:val="hybridMultilevel"/>
    <w:tmpl w:val="2CE6CFE2"/>
    <w:lvl w:ilvl="0" w:tplc="93547ED0">
      <w:start w:val="2"/>
      <w:numFmt w:val="decimal"/>
      <w:lvlText w:val="%1."/>
      <w:lvlJc w:val="left"/>
      <w:pPr>
        <w:ind w:left="784" w:hanging="253"/>
        <w:jc w:val="left"/>
      </w:pPr>
      <w:rPr>
        <w:rFonts w:ascii="Cambria" w:eastAsia="Cambria" w:hAnsi="Cambria" w:cs="Cambria" w:hint="default"/>
        <w:b w:val="0"/>
        <w:bCs w:val="0"/>
        <w:i/>
        <w:iCs/>
        <w:spacing w:val="-3"/>
        <w:w w:val="121"/>
        <w:sz w:val="20"/>
        <w:szCs w:val="20"/>
        <w:lang w:val="it-IT" w:eastAsia="en-US" w:bidi="ar-SA"/>
      </w:rPr>
    </w:lvl>
    <w:lvl w:ilvl="1" w:tplc="8D265A70">
      <w:start w:val="1"/>
      <w:numFmt w:val="lowerLetter"/>
      <w:lvlText w:val="%2)"/>
      <w:lvlJc w:val="left"/>
      <w:pPr>
        <w:ind w:left="784" w:hanging="334"/>
        <w:jc w:val="left"/>
      </w:pPr>
      <w:rPr>
        <w:rFonts w:ascii="Cambria" w:eastAsia="Cambria" w:hAnsi="Cambria" w:cs="Cambria" w:hint="default"/>
        <w:b w:val="0"/>
        <w:bCs w:val="0"/>
        <w:i/>
        <w:iCs/>
        <w:spacing w:val="-7"/>
        <w:w w:val="77"/>
        <w:sz w:val="20"/>
        <w:szCs w:val="20"/>
        <w:lang w:val="it-IT" w:eastAsia="en-US" w:bidi="ar-SA"/>
      </w:rPr>
    </w:lvl>
    <w:lvl w:ilvl="2" w:tplc="F50454C6">
      <w:numFmt w:val="bullet"/>
      <w:lvlText w:val="•"/>
      <w:lvlJc w:val="left"/>
      <w:pPr>
        <w:ind w:left="2804" w:hanging="334"/>
      </w:pPr>
      <w:rPr>
        <w:rFonts w:hint="default"/>
        <w:lang w:val="it-IT" w:eastAsia="en-US" w:bidi="ar-SA"/>
      </w:rPr>
    </w:lvl>
    <w:lvl w:ilvl="3" w:tplc="8E082C90">
      <w:numFmt w:val="bullet"/>
      <w:lvlText w:val="•"/>
      <w:lvlJc w:val="left"/>
      <w:pPr>
        <w:ind w:left="3816" w:hanging="334"/>
      </w:pPr>
      <w:rPr>
        <w:rFonts w:hint="default"/>
        <w:lang w:val="it-IT" w:eastAsia="en-US" w:bidi="ar-SA"/>
      </w:rPr>
    </w:lvl>
    <w:lvl w:ilvl="4" w:tplc="1284C15E">
      <w:numFmt w:val="bullet"/>
      <w:lvlText w:val="•"/>
      <w:lvlJc w:val="left"/>
      <w:pPr>
        <w:ind w:left="4828" w:hanging="334"/>
      </w:pPr>
      <w:rPr>
        <w:rFonts w:hint="default"/>
        <w:lang w:val="it-IT" w:eastAsia="en-US" w:bidi="ar-SA"/>
      </w:rPr>
    </w:lvl>
    <w:lvl w:ilvl="5" w:tplc="E81068E4">
      <w:numFmt w:val="bullet"/>
      <w:lvlText w:val="•"/>
      <w:lvlJc w:val="left"/>
      <w:pPr>
        <w:ind w:left="5840" w:hanging="334"/>
      </w:pPr>
      <w:rPr>
        <w:rFonts w:hint="default"/>
        <w:lang w:val="it-IT" w:eastAsia="en-US" w:bidi="ar-SA"/>
      </w:rPr>
    </w:lvl>
    <w:lvl w:ilvl="6" w:tplc="8A02E8F8">
      <w:numFmt w:val="bullet"/>
      <w:lvlText w:val="•"/>
      <w:lvlJc w:val="left"/>
      <w:pPr>
        <w:ind w:left="6852" w:hanging="334"/>
      </w:pPr>
      <w:rPr>
        <w:rFonts w:hint="default"/>
        <w:lang w:val="it-IT" w:eastAsia="en-US" w:bidi="ar-SA"/>
      </w:rPr>
    </w:lvl>
    <w:lvl w:ilvl="7" w:tplc="10B2C664">
      <w:numFmt w:val="bullet"/>
      <w:lvlText w:val="•"/>
      <w:lvlJc w:val="left"/>
      <w:pPr>
        <w:ind w:left="7864" w:hanging="334"/>
      </w:pPr>
      <w:rPr>
        <w:rFonts w:hint="default"/>
        <w:lang w:val="it-IT" w:eastAsia="en-US" w:bidi="ar-SA"/>
      </w:rPr>
    </w:lvl>
    <w:lvl w:ilvl="8" w:tplc="942263C0">
      <w:numFmt w:val="bullet"/>
      <w:lvlText w:val="•"/>
      <w:lvlJc w:val="left"/>
      <w:pPr>
        <w:ind w:left="8876" w:hanging="334"/>
      </w:pPr>
      <w:rPr>
        <w:rFonts w:hint="default"/>
        <w:lang w:val="it-IT" w:eastAsia="en-US" w:bidi="ar-SA"/>
      </w:rPr>
    </w:lvl>
  </w:abstractNum>
  <w:abstractNum w:abstractNumId="10" w15:restartNumberingAfterBreak="0">
    <w:nsid w:val="3D2C7C07"/>
    <w:multiLevelType w:val="hybridMultilevel"/>
    <w:tmpl w:val="BDC4B26A"/>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1" w15:restartNumberingAfterBreak="0">
    <w:nsid w:val="42B13ADC"/>
    <w:multiLevelType w:val="hybridMultilevel"/>
    <w:tmpl w:val="8E864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4471810"/>
    <w:multiLevelType w:val="hybridMultilevel"/>
    <w:tmpl w:val="B01EEC06"/>
    <w:lvl w:ilvl="0" w:tplc="658C3B12">
      <w:start w:val="1"/>
      <w:numFmt w:val="decimal"/>
      <w:lvlText w:val="%1."/>
      <w:lvlJc w:val="left"/>
      <w:pPr>
        <w:ind w:left="784" w:hanging="205"/>
        <w:jc w:val="left"/>
      </w:pPr>
      <w:rPr>
        <w:rFonts w:ascii="Cambria" w:eastAsia="Cambria" w:hAnsi="Cambria" w:cs="Cambria" w:hint="default"/>
        <w:b w:val="0"/>
        <w:bCs w:val="0"/>
        <w:i w:val="0"/>
        <w:iCs w:val="0"/>
        <w:spacing w:val="0"/>
        <w:w w:val="111"/>
        <w:sz w:val="17"/>
        <w:szCs w:val="17"/>
        <w:lang w:val="it-IT" w:eastAsia="en-US" w:bidi="ar-SA"/>
      </w:rPr>
    </w:lvl>
    <w:lvl w:ilvl="1" w:tplc="80C0EDCE">
      <w:start w:val="1"/>
      <w:numFmt w:val="lowerLetter"/>
      <w:lvlText w:val="%2)"/>
      <w:lvlJc w:val="left"/>
      <w:pPr>
        <w:ind w:left="984" w:hanging="201"/>
        <w:jc w:val="left"/>
      </w:pPr>
      <w:rPr>
        <w:rFonts w:ascii="Cambria" w:eastAsia="Cambria" w:hAnsi="Cambria" w:cs="Cambria" w:hint="default"/>
        <w:b w:val="0"/>
        <w:bCs w:val="0"/>
        <w:i w:val="0"/>
        <w:iCs w:val="0"/>
        <w:spacing w:val="0"/>
        <w:w w:val="77"/>
        <w:sz w:val="17"/>
        <w:szCs w:val="17"/>
        <w:lang w:val="it-IT" w:eastAsia="en-US" w:bidi="ar-SA"/>
      </w:rPr>
    </w:lvl>
    <w:lvl w:ilvl="2" w:tplc="79A894E0">
      <w:numFmt w:val="bullet"/>
      <w:lvlText w:val="•"/>
      <w:lvlJc w:val="left"/>
      <w:pPr>
        <w:ind w:left="2082" w:hanging="201"/>
      </w:pPr>
      <w:rPr>
        <w:rFonts w:hint="default"/>
        <w:lang w:val="it-IT" w:eastAsia="en-US" w:bidi="ar-SA"/>
      </w:rPr>
    </w:lvl>
    <w:lvl w:ilvl="3" w:tplc="C6E867E8">
      <w:numFmt w:val="bullet"/>
      <w:lvlText w:val="•"/>
      <w:lvlJc w:val="left"/>
      <w:pPr>
        <w:ind w:left="3184" w:hanging="201"/>
      </w:pPr>
      <w:rPr>
        <w:rFonts w:hint="default"/>
        <w:lang w:val="it-IT" w:eastAsia="en-US" w:bidi="ar-SA"/>
      </w:rPr>
    </w:lvl>
    <w:lvl w:ilvl="4" w:tplc="9CD4DC5A">
      <w:numFmt w:val="bullet"/>
      <w:lvlText w:val="•"/>
      <w:lvlJc w:val="left"/>
      <w:pPr>
        <w:ind w:left="4286" w:hanging="201"/>
      </w:pPr>
      <w:rPr>
        <w:rFonts w:hint="default"/>
        <w:lang w:val="it-IT" w:eastAsia="en-US" w:bidi="ar-SA"/>
      </w:rPr>
    </w:lvl>
    <w:lvl w:ilvl="5" w:tplc="0A500FA2">
      <w:numFmt w:val="bullet"/>
      <w:lvlText w:val="•"/>
      <w:lvlJc w:val="left"/>
      <w:pPr>
        <w:ind w:left="5388" w:hanging="201"/>
      </w:pPr>
      <w:rPr>
        <w:rFonts w:hint="default"/>
        <w:lang w:val="it-IT" w:eastAsia="en-US" w:bidi="ar-SA"/>
      </w:rPr>
    </w:lvl>
    <w:lvl w:ilvl="6" w:tplc="0518DC4A">
      <w:numFmt w:val="bullet"/>
      <w:lvlText w:val="•"/>
      <w:lvlJc w:val="left"/>
      <w:pPr>
        <w:ind w:left="6491" w:hanging="201"/>
      </w:pPr>
      <w:rPr>
        <w:rFonts w:hint="default"/>
        <w:lang w:val="it-IT" w:eastAsia="en-US" w:bidi="ar-SA"/>
      </w:rPr>
    </w:lvl>
    <w:lvl w:ilvl="7" w:tplc="9F561E10">
      <w:numFmt w:val="bullet"/>
      <w:lvlText w:val="•"/>
      <w:lvlJc w:val="left"/>
      <w:pPr>
        <w:ind w:left="7593" w:hanging="201"/>
      </w:pPr>
      <w:rPr>
        <w:rFonts w:hint="default"/>
        <w:lang w:val="it-IT" w:eastAsia="en-US" w:bidi="ar-SA"/>
      </w:rPr>
    </w:lvl>
    <w:lvl w:ilvl="8" w:tplc="9B9C2F96">
      <w:numFmt w:val="bullet"/>
      <w:lvlText w:val="•"/>
      <w:lvlJc w:val="left"/>
      <w:pPr>
        <w:ind w:left="8695" w:hanging="201"/>
      </w:pPr>
      <w:rPr>
        <w:rFonts w:hint="default"/>
        <w:lang w:val="it-IT" w:eastAsia="en-US" w:bidi="ar-SA"/>
      </w:rPr>
    </w:lvl>
  </w:abstractNum>
  <w:abstractNum w:abstractNumId="13" w15:restartNumberingAfterBreak="0">
    <w:nsid w:val="55F4279C"/>
    <w:multiLevelType w:val="hybridMultilevel"/>
    <w:tmpl w:val="2EFA7962"/>
    <w:lvl w:ilvl="0" w:tplc="3E3E3780">
      <w:start w:val="1"/>
      <w:numFmt w:val="upperRoman"/>
      <w:pStyle w:val="Titolo1"/>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649064C"/>
    <w:multiLevelType w:val="hybridMultilevel"/>
    <w:tmpl w:val="841C9BB8"/>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5" w15:restartNumberingAfterBreak="0">
    <w:nsid w:val="56B116E5"/>
    <w:multiLevelType w:val="hybridMultilevel"/>
    <w:tmpl w:val="E3D40056"/>
    <w:lvl w:ilvl="0" w:tplc="394C61E8">
      <w:start w:val="1"/>
      <w:numFmt w:val="lowerLetter"/>
      <w:pStyle w:val="Titolo3"/>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DF1408A"/>
    <w:multiLevelType w:val="hybridMultilevel"/>
    <w:tmpl w:val="FFFFFFFF"/>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17" w15:restartNumberingAfterBreak="0">
    <w:nsid w:val="60FE4939"/>
    <w:multiLevelType w:val="hybridMultilevel"/>
    <w:tmpl w:val="324C07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26A4782"/>
    <w:multiLevelType w:val="hybridMultilevel"/>
    <w:tmpl w:val="F1889E5E"/>
    <w:lvl w:ilvl="0" w:tplc="0F34B30A">
      <w:numFmt w:val="bullet"/>
      <w:lvlText w:val=""/>
      <w:lvlJc w:val="left"/>
      <w:pPr>
        <w:ind w:left="1460" w:hanging="339"/>
      </w:pPr>
      <w:rPr>
        <w:rFonts w:ascii="Symbol" w:eastAsia="Symbol" w:hAnsi="Symbol" w:cs="Symbol" w:hint="default"/>
        <w:b w:val="0"/>
        <w:bCs w:val="0"/>
        <w:i w:val="0"/>
        <w:iCs w:val="0"/>
        <w:spacing w:val="0"/>
        <w:w w:val="103"/>
        <w:sz w:val="20"/>
        <w:szCs w:val="20"/>
        <w:lang w:val="it-IT" w:eastAsia="en-US" w:bidi="ar-SA"/>
      </w:rPr>
    </w:lvl>
    <w:lvl w:ilvl="1" w:tplc="FA46FE10">
      <w:numFmt w:val="bullet"/>
      <w:lvlText w:val="•"/>
      <w:lvlJc w:val="left"/>
      <w:pPr>
        <w:ind w:left="2404" w:hanging="339"/>
      </w:pPr>
      <w:rPr>
        <w:rFonts w:hint="default"/>
        <w:lang w:val="it-IT" w:eastAsia="en-US" w:bidi="ar-SA"/>
      </w:rPr>
    </w:lvl>
    <w:lvl w:ilvl="2" w:tplc="53EE68C6">
      <w:numFmt w:val="bullet"/>
      <w:lvlText w:val="•"/>
      <w:lvlJc w:val="left"/>
      <w:pPr>
        <w:ind w:left="3348" w:hanging="339"/>
      </w:pPr>
      <w:rPr>
        <w:rFonts w:hint="default"/>
        <w:lang w:val="it-IT" w:eastAsia="en-US" w:bidi="ar-SA"/>
      </w:rPr>
    </w:lvl>
    <w:lvl w:ilvl="3" w:tplc="09FA1036">
      <w:numFmt w:val="bullet"/>
      <w:lvlText w:val="•"/>
      <w:lvlJc w:val="left"/>
      <w:pPr>
        <w:ind w:left="4292" w:hanging="339"/>
      </w:pPr>
      <w:rPr>
        <w:rFonts w:hint="default"/>
        <w:lang w:val="it-IT" w:eastAsia="en-US" w:bidi="ar-SA"/>
      </w:rPr>
    </w:lvl>
    <w:lvl w:ilvl="4" w:tplc="26005040">
      <w:numFmt w:val="bullet"/>
      <w:lvlText w:val="•"/>
      <w:lvlJc w:val="left"/>
      <w:pPr>
        <w:ind w:left="5236" w:hanging="339"/>
      </w:pPr>
      <w:rPr>
        <w:rFonts w:hint="default"/>
        <w:lang w:val="it-IT" w:eastAsia="en-US" w:bidi="ar-SA"/>
      </w:rPr>
    </w:lvl>
    <w:lvl w:ilvl="5" w:tplc="3AEE0450">
      <w:numFmt w:val="bullet"/>
      <w:lvlText w:val="•"/>
      <w:lvlJc w:val="left"/>
      <w:pPr>
        <w:ind w:left="6180" w:hanging="339"/>
      </w:pPr>
      <w:rPr>
        <w:rFonts w:hint="default"/>
        <w:lang w:val="it-IT" w:eastAsia="en-US" w:bidi="ar-SA"/>
      </w:rPr>
    </w:lvl>
    <w:lvl w:ilvl="6" w:tplc="E9A4DA8A">
      <w:numFmt w:val="bullet"/>
      <w:lvlText w:val="•"/>
      <w:lvlJc w:val="left"/>
      <w:pPr>
        <w:ind w:left="7124" w:hanging="339"/>
      </w:pPr>
      <w:rPr>
        <w:rFonts w:hint="default"/>
        <w:lang w:val="it-IT" w:eastAsia="en-US" w:bidi="ar-SA"/>
      </w:rPr>
    </w:lvl>
    <w:lvl w:ilvl="7" w:tplc="681C91AA">
      <w:numFmt w:val="bullet"/>
      <w:lvlText w:val="•"/>
      <w:lvlJc w:val="left"/>
      <w:pPr>
        <w:ind w:left="8068" w:hanging="339"/>
      </w:pPr>
      <w:rPr>
        <w:rFonts w:hint="default"/>
        <w:lang w:val="it-IT" w:eastAsia="en-US" w:bidi="ar-SA"/>
      </w:rPr>
    </w:lvl>
    <w:lvl w:ilvl="8" w:tplc="95BA9C64">
      <w:numFmt w:val="bullet"/>
      <w:lvlText w:val="•"/>
      <w:lvlJc w:val="left"/>
      <w:pPr>
        <w:ind w:left="9012" w:hanging="339"/>
      </w:pPr>
      <w:rPr>
        <w:rFonts w:hint="default"/>
        <w:lang w:val="it-IT" w:eastAsia="en-US" w:bidi="ar-SA"/>
      </w:rPr>
    </w:lvl>
  </w:abstractNum>
  <w:abstractNum w:abstractNumId="19" w15:restartNumberingAfterBreak="0">
    <w:nsid w:val="66156F41"/>
    <w:multiLevelType w:val="hybridMultilevel"/>
    <w:tmpl w:val="9AD674DA"/>
    <w:lvl w:ilvl="0" w:tplc="6BB22A9C">
      <w:start w:val="1"/>
      <w:numFmt w:val="decimal"/>
      <w:lvlText w:val="%1."/>
      <w:lvlJc w:val="left"/>
      <w:pPr>
        <w:ind w:left="3859" w:hanging="278"/>
        <w:jc w:val="right"/>
      </w:pPr>
      <w:rPr>
        <w:rFonts w:ascii="Cambria" w:eastAsia="Cambria" w:hAnsi="Cambria" w:cs="Cambria" w:hint="default"/>
        <w:b/>
        <w:bCs/>
        <w:i w:val="0"/>
        <w:iCs w:val="0"/>
        <w:spacing w:val="0"/>
        <w:w w:val="115"/>
        <w:sz w:val="20"/>
        <w:szCs w:val="20"/>
        <w:lang w:val="it-IT" w:eastAsia="en-US" w:bidi="ar-SA"/>
      </w:rPr>
    </w:lvl>
    <w:lvl w:ilvl="1" w:tplc="12FA6C58">
      <w:numFmt w:val="bullet"/>
      <w:lvlText w:val="-"/>
      <w:lvlJc w:val="left"/>
      <w:pPr>
        <w:ind w:left="784" w:hanging="150"/>
      </w:pPr>
      <w:rPr>
        <w:rFonts w:ascii="Cambria" w:eastAsia="Cambria" w:hAnsi="Cambria" w:cs="Cambria" w:hint="default"/>
        <w:b w:val="0"/>
        <w:bCs w:val="0"/>
        <w:i w:val="0"/>
        <w:iCs w:val="0"/>
        <w:spacing w:val="0"/>
        <w:w w:val="124"/>
        <w:sz w:val="20"/>
        <w:szCs w:val="20"/>
        <w:lang w:val="it-IT" w:eastAsia="en-US" w:bidi="ar-SA"/>
      </w:rPr>
    </w:lvl>
    <w:lvl w:ilvl="2" w:tplc="D1B4776C">
      <w:numFmt w:val="bullet"/>
      <w:lvlText w:val="•"/>
      <w:lvlJc w:val="left"/>
      <w:pPr>
        <w:ind w:left="4642" w:hanging="150"/>
      </w:pPr>
      <w:rPr>
        <w:rFonts w:hint="default"/>
        <w:lang w:val="it-IT" w:eastAsia="en-US" w:bidi="ar-SA"/>
      </w:rPr>
    </w:lvl>
    <w:lvl w:ilvl="3" w:tplc="DD9E82C8">
      <w:numFmt w:val="bullet"/>
      <w:lvlText w:val="•"/>
      <w:lvlJc w:val="left"/>
      <w:pPr>
        <w:ind w:left="5424" w:hanging="150"/>
      </w:pPr>
      <w:rPr>
        <w:rFonts w:hint="default"/>
        <w:lang w:val="it-IT" w:eastAsia="en-US" w:bidi="ar-SA"/>
      </w:rPr>
    </w:lvl>
    <w:lvl w:ilvl="4" w:tplc="CF86C384">
      <w:numFmt w:val="bullet"/>
      <w:lvlText w:val="•"/>
      <w:lvlJc w:val="left"/>
      <w:pPr>
        <w:ind w:left="6206" w:hanging="150"/>
      </w:pPr>
      <w:rPr>
        <w:rFonts w:hint="default"/>
        <w:lang w:val="it-IT" w:eastAsia="en-US" w:bidi="ar-SA"/>
      </w:rPr>
    </w:lvl>
    <w:lvl w:ilvl="5" w:tplc="38EAD932">
      <w:numFmt w:val="bullet"/>
      <w:lvlText w:val="•"/>
      <w:lvlJc w:val="left"/>
      <w:pPr>
        <w:ind w:left="6988" w:hanging="150"/>
      </w:pPr>
      <w:rPr>
        <w:rFonts w:hint="default"/>
        <w:lang w:val="it-IT" w:eastAsia="en-US" w:bidi="ar-SA"/>
      </w:rPr>
    </w:lvl>
    <w:lvl w:ilvl="6" w:tplc="F36E8504">
      <w:numFmt w:val="bullet"/>
      <w:lvlText w:val="•"/>
      <w:lvlJc w:val="left"/>
      <w:pPr>
        <w:ind w:left="7771" w:hanging="150"/>
      </w:pPr>
      <w:rPr>
        <w:rFonts w:hint="default"/>
        <w:lang w:val="it-IT" w:eastAsia="en-US" w:bidi="ar-SA"/>
      </w:rPr>
    </w:lvl>
    <w:lvl w:ilvl="7" w:tplc="8D100A02">
      <w:numFmt w:val="bullet"/>
      <w:lvlText w:val="•"/>
      <w:lvlJc w:val="left"/>
      <w:pPr>
        <w:ind w:left="8553" w:hanging="150"/>
      </w:pPr>
      <w:rPr>
        <w:rFonts w:hint="default"/>
        <w:lang w:val="it-IT" w:eastAsia="en-US" w:bidi="ar-SA"/>
      </w:rPr>
    </w:lvl>
    <w:lvl w:ilvl="8" w:tplc="50845266">
      <w:numFmt w:val="bullet"/>
      <w:lvlText w:val="•"/>
      <w:lvlJc w:val="left"/>
      <w:pPr>
        <w:ind w:left="9335" w:hanging="150"/>
      </w:pPr>
      <w:rPr>
        <w:rFonts w:hint="default"/>
        <w:lang w:val="it-IT" w:eastAsia="en-US" w:bidi="ar-SA"/>
      </w:rPr>
    </w:lvl>
  </w:abstractNum>
  <w:abstractNum w:abstractNumId="20" w15:restartNumberingAfterBreak="0">
    <w:nsid w:val="69401532"/>
    <w:multiLevelType w:val="hybridMultilevel"/>
    <w:tmpl w:val="2446F072"/>
    <w:lvl w:ilvl="0" w:tplc="D37016C0">
      <w:start w:val="1"/>
      <w:numFmt w:val="decimal"/>
      <w:pStyle w:val="Titolo2"/>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FAA7D6F"/>
    <w:multiLevelType w:val="hybridMultilevel"/>
    <w:tmpl w:val="DE202A52"/>
    <w:lvl w:ilvl="0" w:tplc="DD1405AE">
      <w:start w:val="2"/>
      <w:numFmt w:val="decimal"/>
      <w:lvlText w:val="%1."/>
      <w:lvlJc w:val="left"/>
      <w:pPr>
        <w:ind w:left="784" w:hanging="452"/>
        <w:jc w:val="left"/>
      </w:pPr>
      <w:rPr>
        <w:rFonts w:ascii="Cambria" w:eastAsia="Cambria" w:hAnsi="Cambria" w:cs="Cambria" w:hint="default"/>
        <w:b w:val="0"/>
        <w:bCs w:val="0"/>
        <w:i/>
        <w:iCs/>
        <w:spacing w:val="-3"/>
        <w:w w:val="121"/>
        <w:sz w:val="20"/>
        <w:szCs w:val="20"/>
        <w:lang w:val="it-IT" w:eastAsia="en-US" w:bidi="ar-SA"/>
      </w:rPr>
    </w:lvl>
    <w:lvl w:ilvl="1" w:tplc="22627E74">
      <w:numFmt w:val="bullet"/>
      <w:lvlText w:val="•"/>
      <w:lvlJc w:val="left"/>
      <w:pPr>
        <w:ind w:left="1792" w:hanging="452"/>
      </w:pPr>
      <w:rPr>
        <w:rFonts w:hint="default"/>
        <w:lang w:val="it-IT" w:eastAsia="en-US" w:bidi="ar-SA"/>
      </w:rPr>
    </w:lvl>
    <w:lvl w:ilvl="2" w:tplc="97A07236">
      <w:numFmt w:val="bullet"/>
      <w:lvlText w:val="•"/>
      <w:lvlJc w:val="left"/>
      <w:pPr>
        <w:ind w:left="2804" w:hanging="452"/>
      </w:pPr>
      <w:rPr>
        <w:rFonts w:hint="default"/>
        <w:lang w:val="it-IT" w:eastAsia="en-US" w:bidi="ar-SA"/>
      </w:rPr>
    </w:lvl>
    <w:lvl w:ilvl="3" w:tplc="F0242CDC">
      <w:numFmt w:val="bullet"/>
      <w:lvlText w:val="•"/>
      <w:lvlJc w:val="left"/>
      <w:pPr>
        <w:ind w:left="3816" w:hanging="452"/>
      </w:pPr>
      <w:rPr>
        <w:rFonts w:hint="default"/>
        <w:lang w:val="it-IT" w:eastAsia="en-US" w:bidi="ar-SA"/>
      </w:rPr>
    </w:lvl>
    <w:lvl w:ilvl="4" w:tplc="6F3E084C">
      <w:numFmt w:val="bullet"/>
      <w:lvlText w:val="•"/>
      <w:lvlJc w:val="left"/>
      <w:pPr>
        <w:ind w:left="4828" w:hanging="452"/>
      </w:pPr>
      <w:rPr>
        <w:rFonts w:hint="default"/>
        <w:lang w:val="it-IT" w:eastAsia="en-US" w:bidi="ar-SA"/>
      </w:rPr>
    </w:lvl>
    <w:lvl w:ilvl="5" w:tplc="9D4865DE">
      <w:numFmt w:val="bullet"/>
      <w:lvlText w:val="•"/>
      <w:lvlJc w:val="left"/>
      <w:pPr>
        <w:ind w:left="5840" w:hanging="452"/>
      </w:pPr>
      <w:rPr>
        <w:rFonts w:hint="default"/>
        <w:lang w:val="it-IT" w:eastAsia="en-US" w:bidi="ar-SA"/>
      </w:rPr>
    </w:lvl>
    <w:lvl w:ilvl="6" w:tplc="5180F35C">
      <w:numFmt w:val="bullet"/>
      <w:lvlText w:val="•"/>
      <w:lvlJc w:val="left"/>
      <w:pPr>
        <w:ind w:left="6852" w:hanging="452"/>
      </w:pPr>
      <w:rPr>
        <w:rFonts w:hint="default"/>
        <w:lang w:val="it-IT" w:eastAsia="en-US" w:bidi="ar-SA"/>
      </w:rPr>
    </w:lvl>
    <w:lvl w:ilvl="7" w:tplc="C0CE31DC">
      <w:numFmt w:val="bullet"/>
      <w:lvlText w:val="•"/>
      <w:lvlJc w:val="left"/>
      <w:pPr>
        <w:ind w:left="7864" w:hanging="452"/>
      </w:pPr>
      <w:rPr>
        <w:rFonts w:hint="default"/>
        <w:lang w:val="it-IT" w:eastAsia="en-US" w:bidi="ar-SA"/>
      </w:rPr>
    </w:lvl>
    <w:lvl w:ilvl="8" w:tplc="341C6662">
      <w:numFmt w:val="bullet"/>
      <w:lvlText w:val="•"/>
      <w:lvlJc w:val="left"/>
      <w:pPr>
        <w:ind w:left="8876" w:hanging="452"/>
      </w:pPr>
      <w:rPr>
        <w:rFonts w:hint="default"/>
        <w:lang w:val="it-IT" w:eastAsia="en-US" w:bidi="ar-SA"/>
      </w:rPr>
    </w:lvl>
  </w:abstractNum>
  <w:num w:numId="1">
    <w:abstractNumId w:val="0"/>
  </w:num>
  <w:num w:numId="2">
    <w:abstractNumId w:val="6"/>
  </w:num>
  <w:num w:numId="3">
    <w:abstractNumId w:val="19"/>
  </w:num>
  <w:num w:numId="4">
    <w:abstractNumId w:val="9"/>
  </w:num>
  <w:num w:numId="5">
    <w:abstractNumId w:val="5"/>
  </w:num>
  <w:num w:numId="6">
    <w:abstractNumId w:val="18"/>
  </w:num>
  <w:num w:numId="7">
    <w:abstractNumId w:val="1"/>
  </w:num>
  <w:num w:numId="8">
    <w:abstractNumId w:val="12"/>
  </w:num>
  <w:num w:numId="9">
    <w:abstractNumId w:val="21"/>
  </w:num>
  <w:num w:numId="10">
    <w:abstractNumId w:val="4"/>
  </w:num>
  <w:num w:numId="11">
    <w:abstractNumId w:val="8"/>
  </w:num>
  <w:num w:numId="12">
    <w:abstractNumId w:val="17"/>
  </w:num>
  <w:num w:numId="13">
    <w:abstractNumId w:val="13"/>
  </w:num>
  <w:num w:numId="14">
    <w:abstractNumId w:val="20"/>
  </w:num>
  <w:num w:numId="15">
    <w:abstractNumId w:val="3"/>
  </w:num>
  <w:num w:numId="16">
    <w:abstractNumId w:val="15"/>
  </w:num>
  <w:num w:numId="17">
    <w:abstractNumId w:val="7"/>
  </w:num>
  <w:num w:numId="18">
    <w:abstractNumId w:val="11"/>
  </w:num>
  <w:num w:numId="19">
    <w:abstractNumId w:val="16"/>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7E4"/>
    <w:rsid w:val="00031B2E"/>
    <w:rsid w:val="000641E4"/>
    <w:rsid w:val="000733BC"/>
    <w:rsid w:val="000840F7"/>
    <w:rsid w:val="0008791B"/>
    <w:rsid w:val="000B5105"/>
    <w:rsid w:val="000C694F"/>
    <w:rsid w:val="000D3582"/>
    <w:rsid w:val="000E621F"/>
    <w:rsid w:val="001036C4"/>
    <w:rsid w:val="00126889"/>
    <w:rsid w:val="001279AE"/>
    <w:rsid w:val="0013616E"/>
    <w:rsid w:val="00156FF1"/>
    <w:rsid w:val="001825D0"/>
    <w:rsid w:val="001D1F0A"/>
    <w:rsid w:val="001E4761"/>
    <w:rsid w:val="002011A7"/>
    <w:rsid w:val="00205511"/>
    <w:rsid w:val="002A34E5"/>
    <w:rsid w:val="002B0C09"/>
    <w:rsid w:val="002D0628"/>
    <w:rsid w:val="00310620"/>
    <w:rsid w:val="00321208"/>
    <w:rsid w:val="00330B2A"/>
    <w:rsid w:val="00385333"/>
    <w:rsid w:val="003A1FAF"/>
    <w:rsid w:val="003C048E"/>
    <w:rsid w:val="003D3E49"/>
    <w:rsid w:val="003E570F"/>
    <w:rsid w:val="00415C95"/>
    <w:rsid w:val="00435445"/>
    <w:rsid w:val="00457966"/>
    <w:rsid w:val="00472503"/>
    <w:rsid w:val="004C137A"/>
    <w:rsid w:val="004F1AD0"/>
    <w:rsid w:val="00515560"/>
    <w:rsid w:val="00536E14"/>
    <w:rsid w:val="00550B15"/>
    <w:rsid w:val="005B0F3F"/>
    <w:rsid w:val="005B3748"/>
    <w:rsid w:val="00657786"/>
    <w:rsid w:val="0066305A"/>
    <w:rsid w:val="006D6071"/>
    <w:rsid w:val="00731DE3"/>
    <w:rsid w:val="007437B2"/>
    <w:rsid w:val="0077299D"/>
    <w:rsid w:val="00797389"/>
    <w:rsid w:val="007B739C"/>
    <w:rsid w:val="007E497B"/>
    <w:rsid w:val="007E5AA8"/>
    <w:rsid w:val="00856E99"/>
    <w:rsid w:val="00862DFA"/>
    <w:rsid w:val="00886F8F"/>
    <w:rsid w:val="008C1AA3"/>
    <w:rsid w:val="008E4DBC"/>
    <w:rsid w:val="008F7C47"/>
    <w:rsid w:val="00903E13"/>
    <w:rsid w:val="00910D64"/>
    <w:rsid w:val="00913EE6"/>
    <w:rsid w:val="00925AE8"/>
    <w:rsid w:val="00970EE7"/>
    <w:rsid w:val="009868AE"/>
    <w:rsid w:val="009D3A73"/>
    <w:rsid w:val="00A012A3"/>
    <w:rsid w:val="00A05860"/>
    <w:rsid w:val="00A417B4"/>
    <w:rsid w:val="00A77CAF"/>
    <w:rsid w:val="00A83F41"/>
    <w:rsid w:val="00A852BE"/>
    <w:rsid w:val="00AA73AD"/>
    <w:rsid w:val="00AB5C42"/>
    <w:rsid w:val="00AF382E"/>
    <w:rsid w:val="00B16D12"/>
    <w:rsid w:val="00B259B9"/>
    <w:rsid w:val="00B9400C"/>
    <w:rsid w:val="00C214B2"/>
    <w:rsid w:val="00C23748"/>
    <w:rsid w:val="00C3759A"/>
    <w:rsid w:val="00C626C2"/>
    <w:rsid w:val="00CB1E9C"/>
    <w:rsid w:val="00CB35C4"/>
    <w:rsid w:val="00CB5A41"/>
    <w:rsid w:val="00CB7BCF"/>
    <w:rsid w:val="00CC2AA3"/>
    <w:rsid w:val="00D104AD"/>
    <w:rsid w:val="00D51573"/>
    <w:rsid w:val="00D67781"/>
    <w:rsid w:val="00D96270"/>
    <w:rsid w:val="00DC1875"/>
    <w:rsid w:val="00E00EF4"/>
    <w:rsid w:val="00E202DC"/>
    <w:rsid w:val="00E2121A"/>
    <w:rsid w:val="00E76283"/>
    <w:rsid w:val="00EF0996"/>
    <w:rsid w:val="00F267E3"/>
    <w:rsid w:val="00F977E4"/>
    <w:rsid w:val="00FD0716"/>
    <w:rsid w:val="00FD1388"/>
    <w:rsid w:val="00FD5269"/>
    <w:rsid w:val="00FD6B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C8531"/>
  <w15:docId w15:val="{1ECA00B9-B522-4D68-A00E-1FE19148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299D"/>
    <w:pPr>
      <w:jc w:val="both"/>
    </w:pPr>
    <w:rPr>
      <w:rFonts w:ascii="Arial" w:eastAsia="Cambria" w:hAnsi="Arial" w:cs="Arial"/>
      <w:lang w:val="it-IT"/>
    </w:rPr>
  </w:style>
  <w:style w:type="paragraph" w:styleId="Titolo1">
    <w:name w:val="heading 1"/>
    <w:basedOn w:val="Paragrafoelenco"/>
    <w:uiPriority w:val="9"/>
    <w:qFormat/>
    <w:rsid w:val="00D96270"/>
    <w:pPr>
      <w:numPr>
        <w:numId w:val="13"/>
      </w:numPr>
      <w:ind w:left="284" w:hanging="284"/>
      <w:outlineLvl w:val="0"/>
    </w:pPr>
    <w:rPr>
      <w:b/>
      <w:bCs/>
      <w:u w:val="single"/>
    </w:rPr>
  </w:style>
  <w:style w:type="paragraph" w:styleId="Titolo2">
    <w:name w:val="heading 2"/>
    <w:basedOn w:val="Corpotesto"/>
    <w:uiPriority w:val="9"/>
    <w:unhideWhenUsed/>
    <w:qFormat/>
    <w:rsid w:val="00AB5C42"/>
    <w:pPr>
      <w:numPr>
        <w:numId w:val="14"/>
      </w:numPr>
      <w:ind w:left="284" w:hanging="284"/>
      <w:outlineLvl w:val="1"/>
    </w:pPr>
    <w:rPr>
      <w:b/>
      <w:bCs/>
      <w:sz w:val="22"/>
      <w:szCs w:val="22"/>
      <w:u w:val="single"/>
    </w:rPr>
  </w:style>
  <w:style w:type="paragraph" w:styleId="Titolo3">
    <w:name w:val="heading 3"/>
    <w:basedOn w:val="Titolo2"/>
    <w:uiPriority w:val="9"/>
    <w:unhideWhenUsed/>
    <w:qFormat/>
    <w:rsid w:val="00AB5C42"/>
    <w:pPr>
      <w:numPr>
        <w:numId w:val="16"/>
      </w:numPr>
      <w:ind w:left="284" w:hanging="284"/>
      <w:outlineLvl w:val="2"/>
    </w:pPr>
    <w:rPr>
      <w:b w:val="0"/>
      <w:bCs w:val="0"/>
    </w:rPr>
  </w:style>
  <w:style w:type="paragraph" w:styleId="Titolo4">
    <w:name w:val="heading 4"/>
    <w:basedOn w:val="Normale"/>
    <w:uiPriority w:val="9"/>
    <w:unhideWhenUsed/>
    <w:qFormat/>
    <w:pPr>
      <w:ind w:left="783"/>
      <w:outlineLvl w:val="3"/>
    </w:pPr>
  </w:style>
  <w:style w:type="paragraph" w:styleId="Titolo5">
    <w:name w:val="heading 5"/>
    <w:basedOn w:val="Normale"/>
    <w:uiPriority w:val="9"/>
    <w:unhideWhenUsed/>
    <w:qFormat/>
    <w:pPr>
      <w:spacing w:before="90"/>
      <w:ind w:left="783" w:hanging="277"/>
      <w:outlineLvl w:val="4"/>
    </w:pPr>
    <w:rPr>
      <w:b/>
      <w:bCs/>
      <w:sz w:val="20"/>
      <w:szCs w:val="20"/>
    </w:rPr>
  </w:style>
  <w:style w:type="paragraph" w:styleId="Titolo6">
    <w:name w:val="heading 6"/>
    <w:basedOn w:val="Normale"/>
    <w:uiPriority w:val="9"/>
    <w:unhideWhenUsed/>
    <w:qFormat/>
    <w:pPr>
      <w:ind w:left="1460" w:hanging="338"/>
      <w:outlineLvl w:val="5"/>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115"/>
      <w:ind w:right="286"/>
      <w:jc w:val="center"/>
    </w:pPr>
    <w:rPr>
      <w:sz w:val="18"/>
      <w:szCs w:val="18"/>
    </w:rPr>
  </w:style>
  <w:style w:type="paragraph" w:styleId="Sommario2">
    <w:name w:val="toc 2"/>
    <w:basedOn w:val="Normale"/>
    <w:uiPriority w:val="1"/>
    <w:qFormat/>
    <w:pPr>
      <w:spacing w:before="233"/>
      <w:ind w:left="1184" w:hanging="401"/>
    </w:pPr>
    <w:rPr>
      <w:sz w:val="18"/>
      <w:szCs w:val="18"/>
    </w:rPr>
  </w:style>
  <w:style w:type="paragraph" w:styleId="Sommario3">
    <w:name w:val="toc 3"/>
    <w:basedOn w:val="Normale"/>
    <w:uiPriority w:val="1"/>
    <w:qFormat/>
    <w:pPr>
      <w:spacing w:before="120"/>
      <w:ind w:left="990"/>
    </w:pPr>
    <w:rPr>
      <w:i/>
      <w:iCs/>
      <w:sz w:val="18"/>
      <w:szCs w:val="18"/>
    </w:rPr>
  </w:style>
  <w:style w:type="paragraph" w:styleId="Sommario4">
    <w:name w:val="toc 4"/>
    <w:basedOn w:val="Normale"/>
    <w:uiPriority w:val="1"/>
    <w:qFormat/>
    <w:pPr>
      <w:spacing w:before="235"/>
      <w:ind w:left="990"/>
    </w:pPr>
    <w:rPr>
      <w:b/>
      <w:bCs/>
      <w:i/>
      <w:iCs/>
    </w:rPr>
  </w:style>
  <w:style w:type="paragraph" w:styleId="Corpotesto">
    <w:name w:val="Body Text"/>
    <w:basedOn w:val="Normale"/>
    <w:uiPriority w:val="1"/>
    <w:qFormat/>
    <w:rPr>
      <w:sz w:val="20"/>
      <w:szCs w:val="20"/>
    </w:rPr>
  </w:style>
  <w:style w:type="paragraph" w:styleId="Titolo">
    <w:name w:val="Title"/>
    <w:basedOn w:val="Normale"/>
    <w:uiPriority w:val="10"/>
    <w:qFormat/>
    <w:pPr>
      <w:ind w:left="274"/>
    </w:pPr>
    <w:rPr>
      <w:rFonts w:ascii="Meiryo UI" w:eastAsia="Meiryo UI" w:hAnsi="Meiryo UI" w:cs="Meiryo UI"/>
      <w:b/>
      <w:bCs/>
      <w:i/>
      <w:iCs/>
      <w:sz w:val="60"/>
      <w:szCs w:val="60"/>
    </w:rPr>
  </w:style>
  <w:style w:type="paragraph" w:styleId="Paragrafoelenco">
    <w:name w:val="List Paragraph"/>
    <w:basedOn w:val="Normale"/>
    <w:uiPriority w:val="1"/>
    <w:qFormat/>
    <w:pPr>
      <w:ind w:left="783"/>
    </w:pPr>
  </w:style>
  <w:style w:type="paragraph" w:customStyle="1" w:styleId="TableParagraph">
    <w:name w:val="Table Paragraph"/>
    <w:basedOn w:val="Normale"/>
    <w:uiPriority w:val="1"/>
    <w:qFormat/>
  </w:style>
  <w:style w:type="table" w:styleId="Grigliatabella">
    <w:name w:val="Table Grid"/>
    <w:basedOn w:val="Tabellanormale"/>
    <w:uiPriority w:val="39"/>
    <w:rsid w:val="00385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CC2AA3"/>
    <w:pPr>
      <w:tabs>
        <w:tab w:val="center" w:pos="4819"/>
        <w:tab w:val="right" w:pos="9638"/>
      </w:tabs>
    </w:pPr>
  </w:style>
  <w:style w:type="character" w:customStyle="1" w:styleId="IntestazioneCarattere">
    <w:name w:val="Intestazione Carattere"/>
    <w:basedOn w:val="Carpredefinitoparagrafo"/>
    <w:link w:val="Intestazione"/>
    <w:uiPriority w:val="99"/>
    <w:rsid w:val="00CC2AA3"/>
    <w:rPr>
      <w:rFonts w:ascii="Arial" w:eastAsia="Cambria" w:hAnsi="Arial" w:cs="Arial"/>
      <w:lang w:val="it-IT"/>
    </w:rPr>
  </w:style>
  <w:style w:type="paragraph" w:styleId="Pidipagina">
    <w:name w:val="footer"/>
    <w:basedOn w:val="Normale"/>
    <w:link w:val="PidipaginaCarattere"/>
    <w:uiPriority w:val="99"/>
    <w:unhideWhenUsed/>
    <w:rsid w:val="00CC2AA3"/>
    <w:pPr>
      <w:tabs>
        <w:tab w:val="center" w:pos="4819"/>
        <w:tab w:val="right" w:pos="9638"/>
      </w:tabs>
    </w:pPr>
  </w:style>
  <w:style w:type="character" w:customStyle="1" w:styleId="PidipaginaCarattere">
    <w:name w:val="Piè di pagina Carattere"/>
    <w:basedOn w:val="Carpredefinitoparagrafo"/>
    <w:link w:val="Pidipagina"/>
    <w:uiPriority w:val="99"/>
    <w:rsid w:val="00CC2AA3"/>
    <w:rPr>
      <w:rFonts w:ascii="Arial" w:eastAsia="Cambria" w:hAnsi="Arial" w:cs="Arial"/>
      <w:lang w:val="it-IT"/>
    </w:rPr>
  </w:style>
  <w:style w:type="paragraph" w:customStyle="1" w:styleId="Corpodeltesto">
    <w:name w:val="Corpo del testo"/>
    <w:basedOn w:val="Normale"/>
    <w:link w:val="CorpodeltestoCarattere"/>
    <w:uiPriority w:val="1"/>
    <w:qFormat/>
    <w:rsid w:val="00913EE6"/>
    <w:pPr>
      <w:jc w:val="left"/>
    </w:pPr>
    <w:rPr>
      <w:rFonts w:ascii="Trebuchet MS" w:eastAsia="Trebuchet MS" w:hAnsi="Trebuchet MS" w:cs="Trebuchet MS"/>
      <w:sz w:val="21"/>
      <w:szCs w:val="21"/>
      <w:lang w:val="en-US"/>
    </w:rPr>
  </w:style>
  <w:style w:type="character" w:customStyle="1" w:styleId="CorpodeltestoCarattere">
    <w:name w:val="Corpo del testo Carattere"/>
    <w:basedOn w:val="Carpredefinitoparagrafo"/>
    <w:link w:val="Corpodeltesto"/>
    <w:uiPriority w:val="1"/>
    <w:rsid w:val="00913EE6"/>
    <w:rPr>
      <w:rFonts w:ascii="Trebuchet MS" w:eastAsia="Trebuchet MS" w:hAnsi="Trebuchet MS" w:cs="Trebuchet MS"/>
      <w:sz w:val="21"/>
      <w:szCs w:val="21"/>
    </w:rPr>
  </w:style>
  <w:style w:type="paragraph" w:customStyle="1" w:styleId="Default">
    <w:name w:val="Default"/>
    <w:rsid w:val="00913EE6"/>
    <w:pPr>
      <w:widowControl/>
      <w:adjustRightInd w:val="0"/>
    </w:pPr>
    <w:rPr>
      <w:rFonts w:ascii="Times New Roman" w:eastAsia="Calibri" w:hAnsi="Times New Roman" w:cs="Times New Roman"/>
      <w:color w:val="000000"/>
      <w:sz w:val="24"/>
      <w:szCs w:val="24"/>
      <w:lang w:val="it-IT" w:eastAsia="it-IT"/>
    </w:rPr>
  </w:style>
  <w:style w:type="character" w:styleId="Enfasicorsivo">
    <w:name w:val="Emphasis"/>
    <w:basedOn w:val="Carpredefinitoparagrafo"/>
    <w:uiPriority w:val="20"/>
    <w:qFormat/>
    <w:rsid w:val="00A012A3"/>
    <w:rPr>
      <w:i/>
      <w:iCs w:val="0"/>
    </w:rPr>
  </w:style>
  <w:style w:type="character" w:customStyle="1" w:styleId="rtf1linkneltesto">
    <w:name w:val="rtf1 link_nel_testo"/>
    <w:rsid w:val="002D0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410540">
      <w:bodyDiv w:val="1"/>
      <w:marLeft w:val="0"/>
      <w:marRight w:val="0"/>
      <w:marTop w:val="0"/>
      <w:marBottom w:val="0"/>
      <w:divBdr>
        <w:top w:val="none" w:sz="0" w:space="0" w:color="auto"/>
        <w:left w:val="none" w:sz="0" w:space="0" w:color="auto"/>
        <w:bottom w:val="none" w:sz="0" w:space="0" w:color="auto"/>
        <w:right w:val="none" w:sz="0" w:space="0" w:color="auto"/>
      </w:divBdr>
    </w:div>
    <w:div w:id="717777923">
      <w:bodyDiv w:val="1"/>
      <w:marLeft w:val="0"/>
      <w:marRight w:val="0"/>
      <w:marTop w:val="0"/>
      <w:marBottom w:val="0"/>
      <w:divBdr>
        <w:top w:val="none" w:sz="0" w:space="0" w:color="auto"/>
        <w:left w:val="none" w:sz="0" w:space="0" w:color="auto"/>
        <w:bottom w:val="none" w:sz="0" w:space="0" w:color="auto"/>
        <w:right w:val="none" w:sz="0" w:space="0" w:color="auto"/>
      </w:divBdr>
    </w:div>
    <w:div w:id="1228801131">
      <w:bodyDiv w:val="1"/>
      <w:marLeft w:val="0"/>
      <w:marRight w:val="0"/>
      <w:marTop w:val="0"/>
      <w:marBottom w:val="0"/>
      <w:divBdr>
        <w:top w:val="none" w:sz="0" w:space="0" w:color="auto"/>
        <w:left w:val="none" w:sz="0" w:space="0" w:color="auto"/>
        <w:bottom w:val="none" w:sz="0" w:space="0" w:color="auto"/>
        <w:right w:val="none" w:sz="0" w:space="0" w:color="auto"/>
      </w:divBdr>
    </w:div>
    <w:div w:id="1789740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d01.leggiditalia.it/cgi-bin/FulShow?TIPO=5&amp;NOTXT=1&amp;KEY=01LX0000143551ART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d01.leggiditalia.it/cgi-bin/FulShow?TIPO=5&amp;NOTXT=1&amp;KEY=01LX0000143551ART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CA8BECFFC647A4D8790F33423DB17CC" ma:contentTypeVersion="6" ma:contentTypeDescription="Creare un nuovo documento." ma:contentTypeScope="" ma:versionID="0f873698ec361c03694d3c56bc858c66">
  <xsd:schema xmlns:xsd="http://www.w3.org/2001/XMLSchema" xmlns:xs="http://www.w3.org/2001/XMLSchema" xmlns:p="http://schemas.microsoft.com/office/2006/metadata/properties" xmlns:ns2="0ee3fee3-0fa6-4837-815e-659e4a53a02e" xmlns:ns3="52e76d8d-b6c8-4be8-99db-f51aca73b2aa" targetNamespace="http://schemas.microsoft.com/office/2006/metadata/properties" ma:root="true" ma:fieldsID="1e75cdebcd9004b1ebcd7d06b16081ec" ns2:_="" ns3:_="">
    <xsd:import namespace="0ee3fee3-0fa6-4837-815e-659e4a53a02e"/>
    <xsd:import namespace="52e76d8d-b6c8-4be8-99db-f51aca73b2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3fee3-0fa6-4837-815e-659e4a53a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e76d8d-b6c8-4be8-99db-f51aca73b2aa"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5054B8-D443-4CB1-8A3B-FF98E5E07EF4}">
  <ds:schemaRefs>
    <ds:schemaRef ds:uri="http://schemas.openxmlformats.org/officeDocument/2006/bibliography"/>
  </ds:schemaRefs>
</ds:datastoreItem>
</file>

<file path=customXml/itemProps2.xml><?xml version="1.0" encoding="utf-8"?>
<ds:datastoreItem xmlns:ds="http://schemas.openxmlformats.org/officeDocument/2006/customXml" ds:itemID="{965FDF56-70A3-44BE-BC51-A1E469A59DB5}"/>
</file>

<file path=customXml/itemProps3.xml><?xml version="1.0" encoding="utf-8"?>
<ds:datastoreItem xmlns:ds="http://schemas.openxmlformats.org/officeDocument/2006/customXml" ds:itemID="{0C013BDA-B5AB-4D17-B507-93B905F77C7F}">
  <ds:schemaRefs>
    <ds:schemaRef ds:uri="http://schemas.microsoft.com/sharepoint/v3/contenttype/forms"/>
  </ds:schemaRefs>
</ds:datastoreItem>
</file>

<file path=customXml/itemProps4.xml><?xml version="1.0" encoding="utf-8"?>
<ds:datastoreItem xmlns:ds="http://schemas.openxmlformats.org/officeDocument/2006/customXml" ds:itemID="{18B75628-FF00-46DF-AD84-41711268F686}">
  <ds:schemaRefs>
    <ds:schemaRef ds:uri="http://schemas.microsoft.com/office/2006/metadata/properties"/>
    <ds:schemaRef ds:uri="http://schemas.microsoft.com/office/infopath/2007/PartnerControls"/>
    <ds:schemaRef ds:uri="f11edd2a-b4bb-481f-8007-66c6e644d8c0"/>
    <ds:schemaRef ds:uri="0cceaf2c-1d48-461a-92e1-daa26dabef38"/>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3847</Words>
  <Characters>21930</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Cover n 46 def manuale</vt:lpstr>
    </vt:vector>
  </TitlesOfParts>
  <Company/>
  <LinksUpToDate>false</LinksUpToDate>
  <CharactersWithSpaces>25726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n 46 def manuale</dc:title>
  <dc:creator>Elena Masini</dc:creator>
  <cp:lastModifiedBy>utente</cp:lastModifiedBy>
  <cp:revision>70</cp:revision>
  <dcterms:created xsi:type="dcterms:W3CDTF">2023-12-29T19:03:00Z</dcterms:created>
  <dcterms:modified xsi:type="dcterms:W3CDTF">2023-12-29T21:39:00Z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Adobe Illustrator 28.0 (Macintosh)</vt:lpwstr>
  </property>
  <property fmtid="{D5CDD505-2E9C-101B-9397-08002B2CF9AE}" pid="4" name="LastSaved">
    <vt:filetime>2023-11-15T00:00:00Z</vt:filetime>
  </property>
  <property fmtid="{D5CDD505-2E9C-101B-9397-08002B2CF9AE}" pid="5" name="Producer">
    <vt:lpwstr>Adobe PDF library 17.00</vt:lpwstr>
  </property>
  <property fmtid="{D5CDD505-2E9C-101B-9397-08002B2CF9AE}" pid="6" name="ContentTypeId">
    <vt:lpwstr>0x0101004CA8BECFFC647A4D8790F33423DB17CC</vt:lpwstr>
  </property>
</Properties>
</file>