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BDA4" w14:textId="77777777" w:rsidR="00BF1455" w:rsidRDefault="00BF1455" w:rsidP="00BF1455">
      <w:pPr>
        <w:tabs>
          <w:tab w:val="center" w:pos="4678"/>
        </w:tabs>
        <w:ind w:right="282"/>
        <w:jc w:val="center"/>
        <w:rPr>
          <w:rFonts w:ascii="Kunstler Script" w:hAnsi="Kunstler Script"/>
          <w:b/>
          <w:color w:val="1F497D"/>
          <w:w w:val="66"/>
          <w:sz w:val="28"/>
          <w:szCs w:val="28"/>
        </w:rPr>
      </w:pPr>
    </w:p>
    <w:p w14:paraId="2F6B3F2F" w14:textId="54A25F11" w:rsidR="00475208" w:rsidRPr="00BB014D" w:rsidRDefault="00475208" w:rsidP="006608AF">
      <w:pPr>
        <w:pStyle w:val="Default"/>
        <w:tabs>
          <w:tab w:val="left" w:pos="774"/>
        </w:tabs>
        <w:jc w:val="center"/>
        <w:rPr>
          <w:rFonts w:ascii="Titillium" w:hAnsi="Titillium"/>
          <w:b/>
          <w:i/>
          <w:sz w:val="28"/>
          <w:szCs w:val="28"/>
        </w:rPr>
      </w:pPr>
      <w:r w:rsidRPr="00BB014D">
        <w:rPr>
          <w:rFonts w:ascii="Titillium" w:hAnsi="Titillium"/>
          <w:b/>
          <w:bCs/>
          <w:i/>
          <w:sz w:val="28"/>
          <w:szCs w:val="28"/>
        </w:rPr>
        <w:t>Scheda per la predisposizione</w:t>
      </w:r>
      <w:r w:rsidR="00933F47" w:rsidRPr="00BB014D">
        <w:rPr>
          <w:rFonts w:ascii="Titillium" w:hAnsi="Titillium"/>
          <w:b/>
          <w:bCs/>
          <w:i/>
          <w:sz w:val="28"/>
          <w:szCs w:val="28"/>
        </w:rPr>
        <w:t xml:space="preserve"> e la pubblicazione</w:t>
      </w:r>
      <w:r w:rsidRPr="00BB014D">
        <w:rPr>
          <w:rFonts w:ascii="Titillium" w:hAnsi="Titillium"/>
          <w:b/>
          <w:bCs/>
          <w:i/>
          <w:sz w:val="28"/>
          <w:szCs w:val="28"/>
        </w:rPr>
        <w:t xml:space="preserve"> della Relazione annuale</w:t>
      </w:r>
      <w:r w:rsidR="00BF1455" w:rsidRPr="00BB014D">
        <w:rPr>
          <w:rFonts w:ascii="Titillium" w:hAnsi="Titillium"/>
          <w:b/>
          <w:bCs/>
          <w:i/>
          <w:sz w:val="28"/>
          <w:szCs w:val="28"/>
        </w:rPr>
        <w:t xml:space="preserve"> </w:t>
      </w:r>
      <w:r w:rsidRPr="00BB014D">
        <w:rPr>
          <w:rFonts w:ascii="Titillium" w:hAnsi="Titillium"/>
          <w:b/>
          <w:bCs/>
          <w:i/>
          <w:sz w:val="28"/>
          <w:szCs w:val="28"/>
        </w:rPr>
        <w:t>del Responsabile della prevenzione della corruzione</w:t>
      </w:r>
      <w:r w:rsidR="007D0508" w:rsidRPr="00BB014D">
        <w:rPr>
          <w:rFonts w:ascii="Titillium" w:hAnsi="Titillium"/>
          <w:b/>
          <w:bCs/>
          <w:i/>
          <w:sz w:val="28"/>
          <w:szCs w:val="28"/>
        </w:rPr>
        <w:t xml:space="preserve"> e della trasparenza</w:t>
      </w:r>
    </w:p>
    <w:p w14:paraId="4063AD8A" w14:textId="77777777" w:rsidR="00475208" w:rsidRPr="00B32312" w:rsidRDefault="00475208" w:rsidP="00475208">
      <w:pPr>
        <w:pStyle w:val="Default"/>
        <w:jc w:val="center"/>
        <w:rPr>
          <w:rFonts w:ascii="Titillium" w:hAnsi="Titillium"/>
        </w:rPr>
      </w:pPr>
    </w:p>
    <w:p w14:paraId="4B055B34" w14:textId="77777777" w:rsidR="00475208" w:rsidRPr="00BB014D" w:rsidRDefault="00475208" w:rsidP="00475208">
      <w:pPr>
        <w:pStyle w:val="Default"/>
        <w:jc w:val="center"/>
        <w:rPr>
          <w:rFonts w:ascii="Titillium" w:hAnsi="Titillium"/>
          <w:b/>
          <w:bCs/>
          <w:i/>
        </w:rPr>
      </w:pPr>
      <w:r w:rsidRPr="00BB014D">
        <w:rPr>
          <w:rFonts w:ascii="Titillium" w:hAnsi="Titillium"/>
          <w:b/>
          <w:bCs/>
          <w:i/>
        </w:rPr>
        <w:t>Istruzioni per la compilazione</w:t>
      </w:r>
    </w:p>
    <w:p w14:paraId="2788AC17" w14:textId="77777777" w:rsidR="00475208" w:rsidRPr="00B32312" w:rsidRDefault="00475208" w:rsidP="00475208">
      <w:pPr>
        <w:pStyle w:val="Default"/>
        <w:jc w:val="center"/>
        <w:rPr>
          <w:rFonts w:ascii="Titillium" w:hAnsi="Titillium"/>
          <w:b/>
          <w:bCs/>
        </w:rPr>
      </w:pPr>
    </w:p>
    <w:p w14:paraId="413EABCC" w14:textId="77777777" w:rsidR="00475208" w:rsidRPr="00B32312" w:rsidRDefault="00475208" w:rsidP="00475208">
      <w:pPr>
        <w:pStyle w:val="Default"/>
        <w:jc w:val="center"/>
        <w:rPr>
          <w:rFonts w:ascii="Titillium" w:hAnsi="Titillium"/>
        </w:rPr>
      </w:pPr>
    </w:p>
    <w:p w14:paraId="1C5188DA" w14:textId="4DD98512" w:rsidR="00475208" w:rsidRPr="00B32312" w:rsidRDefault="00475208" w:rsidP="00475208">
      <w:pPr>
        <w:pStyle w:val="Default"/>
        <w:spacing w:after="120"/>
        <w:jc w:val="both"/>
        <w:rPr>
          <w:rFonts w:ascii="Titillium" w:hAnsi="Titillium"/>
        </w:rPr>
      </w:pPr>
      <w:r w:rsidRPr="00B32312">
        <w:rPr>
          <w:rFonts w:ascii="Titillium" w:hAnsi="Titillium"/>
          <w:b/>
          <w:bCs/>
        </w:rPr>
        <w:t xml:space="preserve">Pubblicazione della scheda </w:t>
      </w:r>
      <w:r w:rsidR="00BB014D" w:rsidRPr="006608AF">
        <w:rPr>
          <w:rFonts w:ascii="Titillium" w:hAnsi="Titillium"/>
          <w:b/>
          <w:bCs/>
          <w:i/>
        </w:rPr>
        <w:t>Excel</w:t>
      </w:r>
    </w:p>
    <w:p w14:paraId="7EFBE191" w14:textId="69E7FCEC" w:rsidR="00475208" w:rsidRPr="00B32312" w:rsidRDefault="00475208" w:rsidP="00475208">
      <w:pPr>
        <w:pStyle w:val="Default"/>
        <w:spacing w:after="120"/>
        <w:jc w:val="both"/>
        <w:rPr>
          <w:rFonts w:ascii="Titillium" w:hAnsi="Titillium"/>
        </w:rPr>
      </w:pPr>
      <w:r w:rsidRPr="00B32312">
        <w:rPr>
          <w:rFonts w:ascii="Titillium" w:hAnsi="Titillium"/>
        </w:rPr>
        <w:t xml:space="preserve">Dopo essere stata prelevata dal sito istituzionale dell’Autorità, la scheda in formato </w:t>
      </w:r>
      <w:r w:rsidR="00BB014D" w:rsidRPr="00B32312">
        <w:rPr>
          <w:rFonts w:ascii="Titillium" w:hAnsi="Titillium"/>
          <w:i/>
        </w:rPr>
        <w:t>Excel</w:t>
      </w:r>
      <w:r w:rsidRPr="00B32312">
        <w:rPr>
          <w:rFonts w:ascii="Titillium" w:hAnsi="Titillium"/>
        </w:rPr>
        <w:t xml:space="preserve"> va compilata in ogni sua parte. </w:t>
      </w:r>
    </w:p>
    <w:p w14:paraId="200977BB" w14:textId="5133EDD8" w:rsidR="00566B9E" w:rsidRPr="00B32312" w:rsidRDefault="00475208" w:rsidP="00566B9E">
      <w:pPr>
        <w:pStyle w:val="Default"/>
        <w:spacing w:after="120"/>
        <w:jc w:val="both"/>
        <w:rPr>
          <w:rFonts w:ascii="Titillium" w:hAnsi="Titillium"/>
        </w:rPr>
      </w:pPr>
      <w:r w:rsidRPr="00B32312">
        <w:rPr>
          <w:rFonts w:ascii="Titillium" w:hAnsi="Titillium"/>
        </w:rPr>
        <w:t>Le società e gli altri enti di diritto privato in controllo pubblico</w:t>
      </w:r>
      <w:r w:rsidR="00BB014D">
        <w:rPr>
          <w:rFonts w:ascii="Titillium" w:hAnsi="Titillium"/>
        </w:rPr>
        <w:t>,</w:t>
      </w:r>
      <w:r w:rsidRPr="00B32312">
        <w:rPr>
          <w:rFonts w:ascii="Titillium" w:hAnsi="Titillium"/>
        </w:rPr>
        <w:t xml:space="preserve"> nonché gli enti pubblici economici utilizzano, per quanto compatibile, la scheda con riferimento alle misure anticorruzione adottate in base </w:t>
      </w:r>
      <w:r w:rsidR="00E15DAB">
        <w:rPr>
          <w:rFonts w:ascii="Titillium" w:hAnsi="Titillium"/>
        </w:rPr>
        <w:t>al PNA 2019</w:t>
      </w:r>
      <w:r w:rsidR="00BB014D">
        <w:rPr>
          <w:rFonts w:ascii="Titillium" w:hAnsi="Titillium"/>
        </w:rPr>
        <w:t>/2021</w:t>
      </w:r>
      <w:r w:rsidR="00E15DAB">
        <w:rPr>
          <w:rFonts w:ascii="Titillium" w:hAnsi="Titillium"/>
        </w:rPr>
        <w:t xml:space="preserve"> (</w:t>
      </w:r>
      <w:r w:rsidR="000D04E7">
        <w:rPr>
          <w:rFonts w:ascii="Titillium" w:hAnsi="Titillium"/>
        </w:rPr>
        <w:t>Delibera ANAC</w:t>
      </w:r>
      <w:r w:rsidR="00B40CD2">
        <w:rPr>
          <w:rFonts w:ascii="Titillium" w:hAnsi="Titillium"/>
        </w:rPr>
        <w:t xml:space="preserve"> n. 1064 del 13 novembre 2019</w:t>
      </w:r>
      <w:r w:rsidR="00E15DAB">
        <w:rPr>
          <w:rFonts w:ascii="Titillium" w:hAnsi="Titillium"/>
        </w:rPr>
        <w:t>).</w:t>
      </w:r>
    </w:p>
    <w:p w14:paraId="264304BF" w14:textId="18BA789C" w:rsidR="00475208" w:rsidRPr="00903B60" w:rsidRDefault="00E15DAB" w:rsidP="00475208">
      <w:pPr>
        <w:pStyle w:val="Default"/>
        <w:spacing w:after="120"/>
        <w:jc w:val="both"/>
        <w:rPr>
          <w:rFonts w:ascii="Titillium" w:hAnsi="Titillium"/>
          <w:i/>
        </w:rPr>
      </w:pPr>
      <w:r>
        <w:rPr>
          <w:rFonts w:ascii="Titillium" w:hAnsi="Titillium"/>
        </w:rPr>
        <w:t>L’amministrazione/società/ente, ul</w:t>
      </w:r>
      <w:r w:rsidR="00475208" w:rsidRPr="00B32312">
        <w:rPr>
          <w:rFonts w:ascii="Titillium" w:hAnsi="Titillium"/>
        </w:rPr>
        <w:t xml:space="preserve">timata la compilazione, </w:t>
      </w:r>
      <w:r>
        <w:rPr>
          <w:rFonts w:ascii="Titillium" w:hAnsi="Titillium"/>
        </w:rPr>
        <w:t>pubblica</w:t>
      </w:r>
      <w:r w:rsidR="00475208" w:rsidRPr="00B32312">
        <w:rPr>
          <w:rFonts w:ascii="Titillium" w:hAnsi="Titillium"/>
        </w:rPr>
        <w:t xml:space="preserve"> </w:t>
      </w:r>
      <w:r w:rsidRPr="00B32312">
        <w:rPr>
          <w:rFonts w:ascii="Titillium" w:hAnsi="Titillium"/>
        </w:rPr>
        <w:t>la scheda</w:t>
      </w:r>
      <w:r>
        <w:rPr>
          <w:rFonts w:ascii="Titillium" w:hAnsi="Titillium"/>
        </w:rPr>
        <w:t>,</w:t>
      </w:r>
      <w:r w:rsidRPr="00B32312">
        <w:rPr>
          <w:rFonts w:ascii="Titillium" w:hAnsi="Titillium"/>
        </w:rPr>
        <w:t xml:space="preserve"> </w:t>
      </w:r>
      <w:r w:rsidR="00475208" w:rsidRPr="00B32312">
        <w:rPr>
          <w:rFonts w:ascii="Titillium" w:hAnsi="Titillium"/>
        </w:rPr>
        <w:t xml:space="preserve">nello stesso formato </w:t>
      </w:r>
      <w:r w:rsidR="00BB014D" w:rsidRPr="00B32312">
        <w:rPr>
          <w:rFonts w:ascii="Titillium" w:hAnsi="Titillium"/>
          <w:i/>
        </w:rPr>
        <w:t>Excel</w:t>
      </w:r>
      <w:r w:rsidR="00475208" w:rsidRPr="00B32312">
        <w:rPr>
          <w:rFonts w:ascii="Titillium" w:hAnsi="Titillium"/>
        </w:rPr>
        <w:t xml:space="preserve"> rilasciato dall’Autorità</w:t>
      </w:r>
      <w:r>
        <w:rPr>
          <w:rFonts w:ascii="Titillium" w:hAnsi="Titillium"/>
        </w:rPr>
        <w:t>,</w:t>
      </w:r>
      <w:r w:rsidR="00475208" w:rsidRPr="00B32312">
        <w:rPr>
          <w:rFonts w:ascii="Titillium" w:hAnsi="Titillium"/>
        </w:rPr>
        <w:t xml:space="preserve"> sul sito istituzionale</w:t>
      </w:r>
      <w:r w:rsidR="00BB014D">
        <w:rPr>
          <w:rFonts w:ascii="Titillium" w:hAnsi="Titillium"/>
        </w:rPr>
        <w:t>,</w:t>
      </w:r>
      <w:r w:rsidR="00566B9E" w:rsidRPr="00B32312">
        <w:rPr>
          <w:rFonts w:ascii="Titillium" w:hAnsi="Titillium"/>
        </w:rPr>
        <w:t xml:space="preserve"> </w:t>
      </w:r>
      <w:r w:rsidR="00475208" w:rsidRPr="00B32312">
        <w:rPr>
          <w:rFonts w:ascii="Titillium" w:hAnsi="Titillium"/>
        </w:rPr>
        <w:t>all’interno</w:t>
      </w:r>
      <w:r w:rsidR="00903B60">
        <w:rPr>
          <w:rFonts w:ascii="Titillium" w:hAnsi="Titillium"/>
        </w:rPr>
        <w:t xml:space="preserve"> della sezione “</w:t>
      </w:r>
      <w:r w:rsidR="00E77965">
        <w:rPr>
          <w:rFonts w:ascii="Titillium" w:hAnsi="Titillium"/>
          <w:i/>
        </w:rPr>
        <w:t xml:space="preserve">Amministrazione </w:t>
      </w:r>
      <w:proofErr w:type="gramStart"/>
      <w:r w:rsidR="00475208" w:rsidRPr="00903B60">
        <w:rPr>
          <w:rFonts w:ascii="Titillium" w:hAnsi="Titillium"/>
          <w:i/>
        </w:rPr>
        <w:t>trasparente”</w:t>
      </w:r>
      <w:r w:rsidR="00437DBC" w:rsidRPr="00903B60">
        <w:rPr>
          <w:rFonts w:ascii="Titillium" w:hAnsi="Titillium"/>
          <w:i/>
        </w:rPr>
        <w:t>/</w:t>
      </w:r>
      <w:proofErr w:type="gramEnd"/>
      <w:r w:rsidR="00566B9E" w:rsidRPr="00903B60">
        <w:rPr>
          <w:rFonts w:ascii="Titillium" w:hAnsi="Titillium"/>
          <w:i/>
        </w:rPr>
        <w:t>”</w:t>
      </w:r>
      <w:r w:rsidR="00475208" w:rsidRPr="00903B60">
        <w:rPr>
          <w:rFonts w:ascii="Titillium" w:hAnsi="Titillium"/>
          <w:i/>
        </w:rPr>
        <w:t>Società trasparente</w:t>
      </w:r>
      <w:r w:rsidR="00E77965">
        <w:rPr>
          <w:rFonts w:ascii="Titillium" w:hAnsi="Titillium"/>
        </w:rPr>
        <w:t xml:space="preserve">”, </w:t>
      </w:r>
      <w:r w:rsidR="00475208" w:rsidRPr="00B32312">
        <w:rPr>
          <w:rFonts w:ascii="Titillium" w:hAnsi="Titillium"/>
        </w:rPr>
        <w:t>sotto-sezione “</w:t>
      </w:r>
      <w:r w:rsidR="00475208" w:rsidRPr="00903B60">
        <w:rPr>
          <w:rFonts w:ascii="Titillium" w:hAnsi="Titillium"/>
          <w:i/>
        </w:rPr>
        <w:t xml:space="preserve">Altri contenuti – </w:t>
      </w:r>
      <w:r w:rsidR="00BB014D">
        <w:rPr>
          <w:rFonts w:ascii="Titillium" w:hAnsi="Titillium"/>
          <w:i/>
        </w:rPr>
        <w:t>prevenzione della c</w:t>
      </w:r>
      <w:r w:rsidR="00475208" w:rsidRPr="00903B60">
        <w:rPr>
          <w:rFonts w:ascii="Titillium" w:hAnsi="Titillium"/>
          <w:i/>
        </w:rPr>
        <w:t>orruzione”.</w:t>
      </w:r>
    </w:p>
    <w:p w14:paraId="7419D59F" w14:textId="77777777" w:rsidR="00475208" w:rsidRPr="00B32312" w:rsidRDefault="00475208" w:rsidP="00475208">
      <w:pPr>
        <w:pStyle w:val="Default"/>
        <w:spacing w:after="120"/>
        <w:jc w:val="both"/>
        <w:rPr>
          <w:rFonts w:ascii="Titillium" w:hAnsi="Titillium"/>
        </w:rPr>
      </w:pPr>
      <w:r w:rsidRPr="00B32312">
        <w:rPr>
          <w:rFonts w:ascii="Titillium" w:hAnsi="Titillium"/>
        </w:rPr>
        <w:t xml:space="preserve">La scheda </w:t>
      </w:r>
      <w:r w:rsidRPr="00B32312">
        <w:rPr>
          <w:rFonts w:ascii="Titillium" w:hAnsi="Titillium"/>
          <w:u w:val="single"/>
        </w:rPr>
        <w:t>non</w:t>
      </w:r>
      <w:r w:rsidRPr="00B32312">
        <w:rPr>
          <w:rFonts w:ascii="Titillium" w:hAnsi="Titillium"/>
        </w:rPr>
        <w:t xml:space="preserve"> va stampata in formato cartaceo </w:t>
      </w:r>
      <w:r w:rsidR="00566B9E" w:rsidRPr="00B32312">
        <w:rPr>
          <w:rFonts w:ascii="Titillium" w:hAnsi="Titillium"/>
        </w:rPr>
        <w:t xml:space="preserve">e </w:t>
      </w:r>
      <w:r w:rsidRPr="00B32312">
        <w:rPr>
          <w:rFonts w:ascii="Titillium" w:hAnsi="Titillium"/>
        </w:rPr>
        <w:t>scannerizza</w:t>
      </w:r>
      <w:r w:rsidR="00566B9E" w:rsidRPr="00B32312">
        <w:rPr>
          <w:rFonts w:ascii="Titillium" w:hAnsi="Titillium"/>
        </w:rPr>
        <w:t>ta</w:t>
      </w:r>
      <w:r w:rsidRPr="00B32312">
        <w:rPr>
          <w:rFonts w:ascii="Titillium" w:hAnsi="Titillium"/>
        </w:rPr>
        <w:t xml:space="preserve"> per poi pubblicare sul sito istituzionale un file in formato immagine o PDF. </w:t>
      </w:r>
    </w:p>
    <w:p w14:paraId="7A940E11" w14:textId="77777777" w:rsidR="006608AF" w:rsidRDefault="006608AF" w:rsidP="00475208">
      <w:pPr>
        <w:pStyle w:val="Default"/>
        <w:spacing w:after="120"/>
        <w:jc w:val="both"/>
        <w:rPr>
          <w:rFonts w:ascii="Titillium" w:hAnsi="Titillium"/>
          <w:b/>
          <w:bCs/>
        </w:rPr>
      </w:pPr>
    </w:p>
    <w:p w14:paraId="11F555EF" w14:textId="46A672EF" w:rsidR="00475208" w:rsidRPr="00B32312" w:rsidRDefault="00475208" w:rsidP="00475208">
      <w:pPr>
        <w:pStyle w:val="Default"/>
        <w:spacing w:after="120"/>
        <w:jc w:val="both"/>
        <w:rPr>
          <w:rFonts w:ascii="Titillium" w:hAnsi="Titillium"/>
        </w:rPr>
      </w:pPr>
      <w:r w:rsidRPr="00B32312">
        <w:rPr>
          <w:rFonts w:ascii="Titillium" w:hAnsi="Titillium"/>
          <w:b/>
          <w:bCs/>
        </w:rPr>
        <w:t>Struttura della scheda</w:t>
      </w:r>
      <w:r w:rsidRPr="006608AF">
        <w:rPr>
          <w:rFonts w:ascii="Titillium" w:hAnsi="Titillium"/>
          <w:b/>
          <w:bCs/>
          <w:i/>
        </w:rPr>
        <w:t xml:space="preserve"> </w:t>
      </w:r>
      <w:r w:rsidR="00BB014D" w:rsidRPr="006608AF">
        <w:rPr>
          <w:rFonts w:ascii="Titillium" w:hAnsi="Titillium"/>
          <w:b/>
          <w:bCs/>
          <w:i/>
        </w:rPr>
        <w:t>Excel</w:t>
      </w:r>
    </w:p>
    <w:p w14:paraId="0BEE5DBC" w14:textId="46D67FF2" w:rsidR="00475208" w:rsidRPr="00B32312" w:rsidRDefault="00475208" w:rsidP="00475208">
      <w:pPr>
        <w:pStyle w:val="Default"/>
        <w:spacing w:after="120"/>
        <w:jc w:val="both"/>
        <w:rPr>
          <w:rFonts w:ascii="Titillium" w:hAnsi="Titillium"/>
        </w:rPr>
      </w:pPr>
      <w:r w:rsidRPr="00B32312">
        <w:rPr>
          <w:rFonts w:ascii="Titillium" w:hAnsi="Titillium"/>
        </w:rPr>
        <w:t xml:space="preserve">La scheda è composta da tre fogli </w:t>
      </w:r>
      <w:r w:rsidR="00BB014D" w:rsidRPr="00B32312">
        <w:rPr>
          <w:rFonts w:ascii="Titillium" w:hAnsi="Titillium"/>
          <w:i/>
        </w:rPr>
        <w:t>Excel</w:t>
      </w:r>
      <w:r w:rsidRPr="00B32312">
        <w:rPr>
          <w:rFonts w:ascii="Titillium" w:hAnsi="Titillium"/>
        </w:rPr>
        <w:t xml:space="preserve">: </w:t>
      </w:r>
    </w:p>
    <w:p w14:paraId="528EB9B5" w14:textId="2DD2DDEB" w:rsidR="00475208" w:rsidRPr="000D04E7" w:rsidRDefault="00475208" w:rsidP="00025A92">
      <w:pPr>
        <w:pStyle w:val="Default"/>
        <w:spacing w:after="120"/>
        <w:jc w:val="both"/>
        <w:rPr>
          <w:rFonts w:ascii="Titillium" w:hAnsi="Titillium"/>
          <w:color w:val="auto"/>
        </w:rPr>
      </w:pPr>
      <w:r w:rsidRPr="00B32312">
        <w:rPr>
          <w:rFonts w:ascii="Titillium" w:hAnsi="Titillium"/>
        </w:rPr>
        <w:t xml:space="preserve">1. Anagrafica. In questo foglio vanno inserite le informazioni relative al Responsabile della prevenzione della corruzione </w:t>
      </w:r>
      <w:r w:rsidR="00933F47" w:rsidRPr="00B32312">
        <w:rPr>
          <w:rFonts w:ascii="Titillium" w:hAnsi="Titillium"/>
        </w:rPr>
        <w:t xml:space="preserve">e della trasparenza </w:t>
      </w:r>
      <w:r w:rsidR="00025A92" w:rsidRPr="00B32312">
        <w:rPr>
          <w:rFonts w:ascii="Titillium" w:hAnsi="Titillium"/>
        </w:rPr>
        <w:t>o</w:t>
      </w:r>
      <w:r w:rsidR="00025A92" w:rsidRPr="000D04E7">
        <w:rPr>
          <w:rFonts w:ascii="Titillium" w:hAnsi="Titillium"/>
          <w:color w:val="auto"/>
        </w:rPr>
        <w:t xml:space="preserve">, laddove questa figura sia assente nella </w:t>
      </w:r>
      <w:r w:rsidR="00E15DAB">
        <w:rPr>
          <w:rFonts w:ascii="Titillium" w:hAnsi="Titillium"/>
          <w:color w:val="auto"/>
        </w:rPr>
        <w:t xml:space="preserve">amministrazione/società/ente, </w:t>
      </w:r>
      <w:r w:rsidR="00E15DAB" w:rsidRPr="000D04E7">
        <w:rPr>
          <w:rFonts w:ascii="Titillium" w:hAnsi="Titillium"/>
          <w:color w:val="auto"/>
        </w:rPr>
        <w:t>all’organo di indirizzo</w:t>
      </w:r>
      <w:r w:rsidR="00E15DAB">
        <w:rPr>
          <w:rFonts w:ascii="Titillium" w:hAnsi="Titillium"/>
          <w:color w:val="auto"/>
        </w:rPr>
        <w:t>.</w:t>
      </w:r>
    </w:p>
    <w:p w14:paraId="48772860" w14:textId="77777777" w:rsidR="00475208" w:rsidRPr="00B32312" w:rsidRDefault="00475208" w:rsidP="00475208">
      <w:pPr>
        <w:pStyle w:val="Default"/>
        <w:spacing w:after="120"/>
        <w:jc w:val="both"/>
        <w:rPr>
          <w:rFonts w:ascii="Titillium" w:hAnsi="Titillium"/>
        </w:rPr>
      </w:pPr>
      <w:r w:rsidRPr="00B32312">
        <w:rPr>
          <w:rFonts w:ascii="Titillium" w:hAnsi="Titillium"/>
        </w:rPr>
        <w:t xml:space="preserve">2. Considerazioni generali. In questo foglio vanno inserite le valutazioni </w:t>
      </w:r>
      <w:r w:rsidR="008166CE" w:rsidRPr="00B32312">
        <w:rPr>
          <w:rFonts w:ascii="Titillium" w:hAnsi="Titillium"/>
        </w:rPr>
        <w:t xml:space="preserve">generali </w:t>
      </w:r>
      <w:r w:rsidRPr="00B32312">
        <w:rPr>
          <w:rFonts w:ascii="Titillium" w:hAnsi="Titillium"/>
        </w:rPr>
        <w:t xml:space="preserve">del Responsabile della prevenzione della corruzione </w:t>
      </w:r>
      <w:r w:rsidR="00933F47" w:rsidRPr="00B32312">
        <w:rPr>
          <w:rFonts w:ascii="Titillium" w:hAnsi="Titillium"/>
        </w:rPr>
        <w:t xml:space="preserve">e della trasparenza </w:t>
      </w:r>
      <w:r w:rsidR="008166CE" w:rsidRPr="00B32312">
        <w:rPr>
          <w:rFonts w:ascii="Titillium" w:hAnsi="Titillium"/>
          <w:color w:val="auto"/>
        </w:rPr>
        <w:t xml:space="preserve">in merito </w:t>
      </w:r>
      <w:r w:rsidR="000739AC" w:rsidRPr="00B32312">
        <w:rPr>
          <w:rFonts w:ascii="Titillium" w:hAnsi="Titillium"/>
          <w:color w:val="auto"/>
        </w:rPr>
        <w:t xml:space="preserve">all’effettiva </w:t>
      </w:r>
      <w:r w:rsidRPr="00B32312">
        <w:rPr>
          <w:rFonts w:ascii="Titillium" w:hAnsi="Titillium"/>
          <w:color w:val="auto"/>
        </w:rPr>
        <w:t xml:space="preserve">attuazione </w:t>
      </w:r>
      <w:r w:rsidRPr="00B32312">
        <w:rPr>
          <w:rFonts w:ascii="Titillium" w:hAnsi="Titillium"/>
        </w:rPr>
        <w:t xml:space="preserve">delle misure </w:t>
      </w:r>
      <w:r w:rsidR="00025A92" w:rsidRPr="00B32312">
        <w:rPr>
          <w:rFonts w:ascii="Titillium" w:hAnsi="Titillium"/>
        </w:rPr>
        <w:t>di prevenzione della corruzione</w:t>
      </w:r>
      <w:r w:rsidR="008166CE" w:rsidRPr="00B32312">
        <w:rPr>
          <w:rFonts w:ascii="Titillium" w:hAnsi="Titillium"/>
        </w:rPr>
        <w:t xml:space="preserve"> e</w:t>
      </w:r>
      <w:r w:rsidR="00025A92" w:rsidRPr="00B32312">
        <w:rPr>
          <w:rFonts w:ascii="Titillium" w:hAnsi="Titillium"/>
        </w:rPr>
        <w:t xml:space="preserve"> </w:t>
      </w:r>
      <w:r w:rsidR="008166CE" w:rsidRPr="00B32312">
        <w:rPr>
          <w:rFonts w:ascii="Titillium" w:hAnsi="Titillium"/>
        </w:rPr>
        <w:t xml:space="preserve">al </w:t>
      </w:r>
      <w:r w:rsidRPr="00B32312">
        <w:rPr>
          <w:rFonts w:ascii="Titillium" w:hAnsi="Titillium"/>
        </w:rPr>
        <w:t xml:space="preserve">proprio ruolo all’interno dell’amministrazione/società/ente. </w:t>
      </w:r>
    </w:p>
    <w:p w14:paraId="1E54B9A1" w14:textId="539E5B62" w:rsidR="00475208" w:rsidRPr="00B32312" w:rsidRDefault="00475208" w:rsidP="00475208">
      <w:pPr>
        <w:pStyle w:val="Default"/>
        <w:spacing w:after="120"/>
        <w:jc w:val="both"/>
        <w:rPr>
          <w:rFonts w:ascii="Titillium" w:hAnsi="Titillium"/>
        </w:rPr>
      </w:pPr>
      <w:r w:rsidRPr="00B32312">
        <w:rPr>
          <w:rFonts w:ascii="Titillium" w:hAnsi="Titillium"/>
        </w:rPr>
        <w:t>3. Misure anticorruzione. In questo foglio vanno inserite informazioni sull’adozione e attuazione delle misure di prevenzione della corruzione</w:t>
      </w:r>
      <w:r w:rsidR="00D20A1E">
        <w:rPr>
          <w:rFonts w:ascii="Titillium" w:hAnsi="Titillium"/>
        </w:rPr>
        <w:t>,</w:t>
      </w:r>
      <w:r w:rsidR="00E15DAB">
        <w:rPr>
          <w:rFonts w:ascii="Titillium" w:hAnsi="Titillium"/>
        </w:rPr>
        <w:t xml:space="preserve"> formulando un giudizio sul </w:t>
      </w:r>
      <w:r w:rsidR="00E15DAB" w:rsidRPr="00E15DAB">
        <w:rPr>
          <w:rFonts w:ascii="Titillium" w:hAnsi="Titillium"/>
        </w:rPr>
        <w:t>livello di adempimento</w:t>
      </w:r>
      <w:r w:rsidRPr="00B32312">
        <w:rPr>
          <w:rFonts w:ascii="Titillium" w:hAnsi="Titillium"/>
        </w:rPr>
        <w:t xml:space="preserve"> oppure, laddove le misure non siano state attuate, sulle motivazioni della mancata attuazione. </w:t>
      </w:r>
    </w:p>
    <w:p w14:paraId="0CA77A8D" w14:textId="77777777" w:rsidR="005414FC" w:rsidRDefault="005414FC" w:rsidP="00475208">
      <w:pPr>
        <w:pStyle w:val="Default"/>
        <w:spacing w:after="120"/>
        <w:jc w:val="both"/>
        <w:rPr>
          <w:rFonts w:ascii="Titillium" w:hAnsi="Titillium"/>
          <w:b/>
          <w:bCs/>
        </w:rPr>
      </w:pPr>
    </w:p>
    <w:p w14:paraId="3DCE648D" w14:textId="77777777" w:rsidR="005414FC" w:rsidRDefault="005414FC" w:rsidP="00475208">
      <w:pPr>
        <w:pStyle w:val="Default"/>
        <w:spacing w:after="120"/>
        <w:jc w:val="both"/>
        <w:rPr>
          <w:rFonts w:ascii="Titillium" w:hAnsi="Titillium"/>
          <w:b/>
          <w:bCs/>
        </w:rPr>
      </w:pPr>
    </w:p>
    <w:p w14:paraId="3362054B" w14:textId="6E549469" w:rsidR="00475208" w:rsidRPr="00B32312" w:rsidRDefault="00475208" w:rsidP="00475208">
      <w:pPr>
        <w:pStyle w:val="Default"/>
        <w:spacing w:after="120"/>
        <w:jc w:val="both"/>
        <w:rPr>
          <w:rFonts w:ascii="Titillium" w:hAnsi="Titillium"/>
        </w:rPr>
      </w:pPr>
      <w:r w:rsidRPr="00B32312">
        <w:rPr>
          <w:rFonts w:ascii="Titillium" w:hAnsi="Titillium"/>
          <w:b/>
          <w:bCs/>
        </w:rPr>
        <w:lastRenderedPageBreak/>
        <w:t xml:space="preserve">Compilazione del foglio “Misure anticorruzione” </w:t>
      </w:r>
    </w:p>
    <w:p w14:paraId="553A4DF0" w14:textId="4001D042" w:rsidR="00E15DAB" w:rsidRDefault="00E15DAB" w:rsidP="00475208">
      <w:pPr>
        <w:pStyle w:val="Default"/>
        <w:spacing w:after="120"/>
        <w:jc w:val="both"/>
        <w:rPr>
          <w:rFonts w:ascii="Titillium" w:hAnsi="Titillium"/>
        </w:rPr>
      </w:pPr>
      <w:r>
        <w:rPr>
          <w:rFonts w:ascii="Titillium" w:hAnsi="Titillium"/>
        </w:rPr>
        <w:t xml:space="preserve">In un’ottica di semplificazione alcune domande sono state rese facoltative, riportando la seguente dicitura: </w:t>
      </w:r>
      <w:r w:rsidRPr="00E15DAB">
        <w:rPr>
          <w:rFonts w:ascii="Titillium" w:hAnsi="Titillium"/>
          <w:i/>
          <w:u w:val="single"/>
        </w:rPr>
        <w:t>“domanda facoltativa”</w:t>
      </w:r>
      <w:r>
        <w:rPr>
          <w:rFonts w:ascii="Titillium" w:hAnsi="Titillium"/>
        </w:rPr>
        <w:t xml:space="preserve">. Si auspica, comunque, ove possibile, la compilazione anche di tali quesiti, al fine di avere un quadro delle informazioni il più completo possibile. </w:t>
      </w:r>
    </w:p>
    <w:p w14:paraId="5271E3BD" w14:textId="6F10091B" w:rsidR="00475208" w:rsidRPr="00B32312" w:rsidRDefault="00475208" w:rsidP="00475208">
      <w:pPr>
        <w:pStyle w:val="Default"/>
        <w:spacing w:after="120"/>
        <w:jc w:val="both"/>
        <w:rPr>
          <w:rFonts w:ascii="Titillium" w:hAnsi="Titillium"/>
        </w:rPr>
      </w:pPr>
      <w:r w:rsidRPr="00B32312">
        <w:rPr>
          <w:rFonts w:ascii="Titillium" w:hAnsi="Titillium"/>
        </w:rPr>
        <w:t>Le informazioni vanno inserite</w:t>
      </w:r>
      <w:r w:rsidR="004724A3" w:rsidRPr="00B32312">
        <w:rPr>
          <w:rFonts w:ascii="Titillium" w:hAnsi="Titillium"/>
        </w:rPr>
        <w:t xml:space="preserve"> nelle due colonne “Risposta” </w:t>
      </w:r>
      <w:proofErr w:type="gramStart"/>
      <w:r w:rsidR="004724A3" w:rsidRPr="00B32312">
        <w:rPr>
          <w:rFonts w:ascii="Titillium" w:hAnsi="Titillium"/>
        </w:rPr>
        <w:t>e</w:t>
      </w:r>
      <w:r w:rsidR="00D20A1E">
        <w:rPr>
          <w:rFonts w:ascii="Titillium" w:hAnsi="Titillium"/>
        </w:rPr>
        <w:t xml:space="preserve"> </w:t>
      </w:r>
      <w:r w:rsidRPr="00B32312">
        <w:rPr>
          <w:rFonts w:ascii="Titillium" w:hAnsi="Titillium"/>
        </w:rPr>
        <w:t>“</w:t>
      </w:r>
      <w:proofErr w:type="gramEnd"/>
      <w:r w:rsidRPr="00B32312">
        <w:rPr>
          <w:rFonts w:ascii="Titillium" w:hAnsi="Titillium"/>
        </w:rPr>
        <w:t xml:space="preserve">Ulteriori informazioni”. </w:t>
      </w:r>
    </w:p>
    <w:p w14:paraId="763AAD29" w14:textId="22EAF53B" w:rsidR="00475208" w:rsidRPr="00B32312" w:rsidRDefault="00475208" w:rsidP="00566B9E">
      <w:pPr>
        <w:pStyle w:val="Default"/>
        <w:spacing w:after="120"/>
        <w:jc w:val="both"/>
        <w:rPr>
          <w:rFonts w:ascii="Titillium" w:hAnsi="Titillium"/>
        </w:rPr>
      </w:pPr>
      <w:r w:rsidRPr="00B32312">
        <w:rPr>
          <w:rFonts w:ascii="Titillium" w:hAnsi="Titillium"/>
        </w:rPr>
        <w:t>Nella colonna “Risposta”</w:t>
      </w:r>
      <w:r w:rsidR="0051258E">
        <w:rPr>
          <w:rFonts w:ascii="Titillium" w:hAnsi="Titillium"/>
        </w:rPr>
        <w:t xml:space="preserve"> </w:t>
      </w:r>
      <w:r w:rsidR="00E15DAB">
        <w:rPr>
          <w:rFonts w:ascii="Titillium" w:hAnsi="Titillium"/>
          <w:color w:val="auto"/>
        </w:rPr>
        <w:t xml:space="preserve">è previsto un </w:t>
      </w:r>
      <w:proofErr w:type="spellStart"/>
      <w:r w:rsidR="00E15DAB">
        <w:rPr>
          <w:rFonts w:ascii="Titillium" w:hAnsi="Titillium"/>
          <w:color w:val="auto"/>
        </w:rPr>
        <w:t>menù</w:t>
      </w:r>
      <w:proofErr w:type="spellEnd"/>
      <w:r w:rsidR="00E15DAB">
        <w:rPr>
          <w:rFonts w:ascii="Titillium" w:hAnsi="Titillium"/>
          <w:color w:val="auto"/>
        </w:rPr>
        <w:t xml:space="preserve"> </w:t>
      </w:r>
      <w:r w:rsidR="0051258E">
        <w:rPr>
          <w:rFonts w:ascii="Titillium" w:hAnsi="Titillium"/>
          <w:color w:val="auto"/>
        </w:rPr>
        <w:t>a tendina</w:t>
      </w:r>
      <w:r w:rsidR="00E15DAB">
        <w:rPr>
          <w:rFonts w:ascii="Titillium" w:hAnsi="Titillium"/>
          <w:color w:val="auto"/>
        </w:rPr>
        <w:t xml:space="preserve"> da cui selezionare, tra quelle indicate, l’opzione scelta. Ove non sia presente il </w:t>
      </w:r>
      <w:proofErr w:type="spellStart"/>
      <w:r w:rsidR="00E15DAB">
        <w:rPr>
          <w:rFonts w:ascii="Titillium" w:hAnsi="Titillium"/>
          <w:color w:val="auto"/>
        </w:rPr>
        <w:t>menù</w:t>
      </w:r>
      <w:proofErr w:type="spellEnd"/>
      <w:r w:rsidR="00E15DAB">
        <w:rPr>
          <w:rFonts w:ascii="Titillium" w:hAnsi="Titillium"/>
          <w:color w:val="auto"/>
        </w:rPr>
        <w:t xml:space="preserve"> a tendina, va indicato il valore richiesto. </w:t>
      </w:r>
      <w:r w:rsidR="001A41BE">
        <w:rPr>
          <w:rFonts w:ascii="Titillium" w:hAnsi="Titillium"/>
          <w:color w:val="auto"/>
        </w:rPr>
        <w:t xml:space="preserve"> </w:t>
      </w:r>
    </w:p>
    <w:p w14:paraId="4412067D" w14:textId="5A6D6F55" w:rsidR="00475208" w:rsidRPr="000D04E7" w:rsidRDefault="00475208" w:rsidP="00475208">
      <w:pPr>
        <w:pStyle w:val="Default"/>
        <w:spacing w:after="120"/>
        <w:jc w:val="both"/>
        <w:rPr>
          <w:rFonts w:ascii="Titillium" w:hAnsi="Titillium"/>
          <w:color w:val="auto"/>
        </w:rPr>
      </w:pPr>
      <w:r w:rsidRPr="00B32312">
        <w:rPr>
          <w:rFonts w:ascii="Titillium" w:hAnsi="Titillium"/>
        </w:rPr>
        <w:t>Nella colonna “Ulteriori informazioni” vanno</w:t>
      </w:r>
      <w:r w:rsidR="00BB014D">
        <w:rPr>
          <w:rFonts w:ascii="Titillium" w:hAnsi="Titillium"/>
        </w:rPr>
        <w:t>,</w:t>
      </w:r>
      <w:r w:rsidRPr="00B32312">
        <w:rPr>
          <w:rFonts w:ascii="Titillium" w:hAnsi="Titillium"/>
        </w:rPr>
        <w:t xml:space="preserve"> invece</w:t>
      </w:r>
      <w:r w:rsidR="00BB014D">
        <w:rPr>
          <w:rFonts w:ascii="Titillium" w:hAnsi="Titillium"/>
        </w:rPr>
        <w:t>,</w:t>
      </w:r>
      <w:r w:rsidRPr="00B32312">
        <w:rPr>
          <w:rFonts w:ascii="Titillium" w:hAnsi="Titillium"/>
        </w:rPr>
        <w:t xml:space="preserve"> riportati in formato testo</w:t>
      </w:r>
      <w:r w:rsidR="001A41BE">
        <w:rPr>
          <w:rFonts w:ascii="Titillium" w:hAnsi="Titillium"/>
        </w:rPr>
        <w:t xml:space="preserve"> </w:t>
      </w:r>
      <w:r w:rsidR="001A61BB" w:rsidRPr="000D04E7">
        <w:rPr>
          <w:rFonts w:ascii="Titillium" w:hAnsi="Titillium"/>
          <w:color w:val="auto"/>
        </w:rPr>
        <w:t>gl</w:t>
      </w:r>
      <w:r w:rsidRPr="000D04E7">
        <w:rPr>
          <w:rFonts w:ascii="Titillium" w:hAnsi="Titillium"/>
          <w:color w:val="auto"/>
        </w:rPr>
        <w:t xml:space="preserve">i </w:t>
      </w:r>
      <w:r w:rsidR="001A61BB" w:rsidRPr="000D04E7">
        <w:rPr>
          <w:rFonts w:ascii="Titillium" w:hAnsi="Titillium"/>
          <w:color w:val="auto"/>
        </w:rPr>
        <w:t xml:space="preserve">ulteriori </w:t>
      </w:r>
      <w:r w:rsidR="003525D4">
        <w:rPr>
          <w:rFonts w:ascii="Titillium" w:hAnsi="Titillium"/>
          <w:color w:val="auto"/>
        </w:rPr>
        <w:t>dati di cui si chiede l’indicazione nei quesiti o</w:t>
      </w:r>
      <w:r w:rsidRPr="000D04E7">
        <w:rPr>
          <w:rFonts w:ascii="Titillium" w:hAnsi="Titillium"/>
          <w:color w:val="auto"/>
        </w:rPr>
        <w:t xml:space="preserve"> </w:t>
      </w:r>
      <w:r w:rsidR="001A61BB" w:rsidRPr="000D04E7">
        <w:rPr>
          <w:rFonts w:ascii="Titillium" w:hAnsi="Titillium"/>
          <w:color w:val="auto"/>
        </w:rPr>
        <w:t xml:space="preserve">nelle </w:t>
      </w:r>
      <w:r w:rsidRPr="000D04E7">
        <w:rPr>
          <w:rFonts w:ascii="Titillium" w:hAnsi="Titillium"/>
          <w:color w:val="auto"/>
        </w:rPr>
        <w:t xml:space="preserve">opzioni di risposta. </w:t>
      </w:r>
    </w:p>
    <w:p w14:paraId="028FC859" w14:textId="578B5E09" w:rsidR="00475208" w:rsidRPr="00B32312" w:rsidRDefault="00475208" w:rsidP="006608AF">
      <w:pPr>
        <w:pStyle w:val="Default"/>
        <w:pBdr>
          <w:top w:val="single" w:sz="4" w:space="1" w:color="auto"/>
          <w:left w:val="single" w:sz="4" w:space="0" w:color="auto"/>
          <w:bottom w:val="single" w:sz="4" w:space="1" w:color="auto"/>
          <w:right w:val="single" w:sz="4" w:space="4" w:color="auto"/>
        </w:pBdr>
        <w:jc w:val="both"/>
        <w:rPr>
          <w:rFonts w:ascii="Titillium" w:hAnsi="Titillium"/>
        </w:rPr>
      </w:pPr>
      <w:r w:rsidRPr="00B32312">
        <w:rPr>
          <w:rFonts w:ascii="Titillium" w:hAnsi="Titillium"/>
        </w:rPr>
        <w:t xml:space="preserve">Esempio </w:t>
      </w:r>
      <w:r w:rsidR="005F6A21">
        <w:rPr>
          <w:rFonts w:ascii="Titillium" w:hAnsi="Titillium"/>
        </w:rPr>
        <w:t>1</w:t>
      </w:r>
    </w:p>
    <w:p w14:paraId="6105B720" w14:textId="76E2C0C8" w:rsidR="001A61BB" w:rsidRDefault="00475208" w:rsidP="005D2F44">
      <w:pPr>
        <w:pStyle w:val="Default"/>
        <w:pBdr>
          <w:top w:val="single" w:sz="4" w:space="1" w:color="auto"/>
          <w:left w:val="single" w:sz="4" w:space="0" w:color="auto"/>
          <w:bottom w:val="single" w:sz="4" w:space="1" w:color="auto"/>
          <w:right w:val="single" w:sz="4" w:space="4" w:color="auto"/>
        </w:pBdr>
        <w:spacing w:after="120" w:line="276" w:lineRule="auto"/>
        <w:jc w:val="both"/>
        <w:rPr>
          <w:rFonts w:ascii="Titillium" w:hAnsi="Titillium"/>
        </w:rPr>
      </w:pPr>
      <w:r w:rsidRPr="00B32312">
        <w:rPr>
          <w:rFonts w:ascii="Titillium" w:hAnsi="Titillium"/>
        </w:rPr>
        <w:t xml:space="preserve">Qualora venga </w:t>
      </w:r>
      <w:r w:rsidR="003525D4">
        <w:rPr>
          <w:rFonts w:ascii="Titillium" w:hAnsi="Titillium"/>
        </w:rPr>
        <w:t xml:space="preserve">richiesto nel quesito </w:t>
      </w:r>
      <w:r w:rsidR="003525D4" w:rsidRPr="003525D4">
        <w:rPr>
          <w:rFonts w:ascii="Titillium" w:hAnsi="Titillium"/>
          <w:i/>
        </w:rPr>
        <w:t>“Se è stata erogata la formazione in materia di prevenzione della corruzione, formulare un giudizio sulla formazione erogata con particolare riferimento all’appropriatezza di destinatari e contenuti, sulla base di eventua</w:t>
      </w:r>
      <w:r w:rsidR="00657977">
        <w:rPr>
          <w:rFonts w:ascii="Titillium" w:hAnsi="Titillium"/>
          <w:i/>
        </w:rPr>
        <w:t xml:space="preserve">li questionari somministrati ai </w:t>
      </w:r>
      <w:proofErr w:type="gramStart"/>
      <w:r w:rsidR="00657977">
        <w:rPr>
          <w:rFonts w:ascii="Titillium" w:hAnsi="Titillium"/>
          <w:i/>
        </w:rPr>
        <w:t>partecipanti</w:t>
      </w:r>
      <w:r w:rsidR="00657977" w:rsidRPr="003525D4">
        <w:rPr>
          <w:rFonts w:ascii="Titillium" w:hAnsi="Titillium"/>
          <w:i/>
        </w:rPr>
        <w:t>“</w:t>
      </w:r>
      <w:proofErr w:type="gramEnd"/>
      <w:r w:rsidR="00657977">
        <w:rPr>
          <w:rFonts w:ascii="Titillium" w:hAnsi="Titillium"/>
          <w:i/>
        </w:rPr>
        <w:t xml:space="preserve">, </w:t>
      </w:r>
      <w:r w:rsidR="003525D4">
        <w:rPr>
          <w:rFonts w:ascii="Titillium" w:hAnsi="Titillium"/>
        </w:rPr>
        <w:t xml:space="preserve">occorrerà esprimere tale giudizio </w:t>
      </w:r>
      <w:r w:rsidR="001A41BE">
        <w:rPr>
          <w:rFonts w:ascii="Titillium" w:hAnsi="Titillium"/>
          <w:color w:val="auto"/>
        </w:rPr>
        <w:t xml:space="preserve">direttamente </w:t>
      </w:r>
      <w:r w:rsidR="00685506" w:rsidRPr="000D04E7">
        <w:rPr>
          <w:rFonts w:ascii="Titillium" w:hAnsi="Titillium"/>
          <w:color w:val="auto"/>
        </w:rPr>
        <w:t>nella colonna “Ulteriori informazioni”</w:t>
      </w:r>
      <w:r w:rsidR="00685506">
        <w:rPr>
          <w:rFonts w:ascii="Titillium" w:hAnsi="Titillium"/>
        </w:rPr>
        <w:t xml:space="preserve">. </w:t>
      </w:r>
    </w:p>
    <w:p w14:paraId="5D6D2356" w14:textId="7B6C969E" w:rsidR="00475208" w:rsidRPr="00B32312" w:rsidRDefault="00475208" w:rsidP="006608AF">
      <w:pPr>
        <w:pStyle w:val="Default"/>
        <w:pBdr>
          <w:top w:val="single" w:sz="4" w:space="1" w:color="auto"/>
          <w:left w:val="single" w:sz="4" w:space="0" w:color="auto"/>
          <w:bottom w:val="single" w:sz="4" w:space="1" w:color="auto"/>
          <w:right w:val="single" w:sz="4" w:space="4" w:color="auto"/>
        </w:pBdr>
        <w:jc w:val="both"/>
        <w:rPr>
          <w:rFonts w:ascii="Titillium" w:hAnsi="Titillium"/>
        </w:rPr>
      </w:pPr>
      <w:r w:rsidRPr="00B32312">
        <w:rPr>
          <w:rFonts w:ascii="Titillium" w:hAnsi="Titillium"/>
        </w:rPr>
        <w:t xml:space="preserve">Esempio </w:t>
      </w:r>
      <w:r w:rsidR="005F6A21">
        <w:rPr>
          <w:rFonts w:ascii="Titillium" w:hAnsi="Titillium"/>
        </w:rPr>
        <w:t>2</w:t>
      </w:r>
    </w:p>
    <w:p w14:paraId="347FFC8A" w14:textId="675536FB" w:rsidR="003D495A" w:rsidRPr="003D495A" w:rsidRDefault="005F6A21" w:rsidP="005D2F44">
      <w:pPr>
        <w:pBdr>
          <w:top w:val="single" w:sz="4" w:space="1" w:color="auto"/>
          <w:left w:val="single" w:sz="4" w:space="0" w:color="auto"/>
          <w:bottom w:val="single" w:sz="4" w:space="1" w:color="auto"/>
          <w:right w:val="single" w:sz="4" w:space="4" w:color="auto"/>
        </w:pBdr>
        <w:spacing w:after="120"/>
        <w:jc w:val="both"/>
        <w:rPr>
          <w:rFonts w:ascii="Garamond" w:hAnsi="Garamond"/>
          <w:sz w:val="24"/>
          <w:szCs w:val="24"/>
        </w:rPr>
      </w:pPr>
      <w:r>
        <w:rPr>
          <w:rFonts w:ascii="Titillium" w:hAnsi="Titillium"/>
          <w:sz w:val="24"/>
          <w:szCs w:val="24"/>
        </w:rPr>
        <w:t xml:space="preserve">Se </w:t>
      </w:r>
      <w:r w:rsidR="00E91D93" w:rsidRPr="00B32312">
        <w:rPr>
          <w:rFonts w:ascii="Titillium" w:hAnsi="Titillium"/>
          <w:sz w:val="24"/>
          <w:szCs w:val="24"/>
        </w:rPr>
        <w:t xml:space="preserve">al </w:t>
      </w:r>
      <w:r w:rsidR="00E91D93" w:rsidRPr="00E83866">
        <w:rPr>
          <w:rFonts w:ascii="Titillium" w:hAnsi="Titillium"/>
          <w:sz w:val="24"/>
          <w:szCs w:val="24"/>
        </w:rPr>
        <w:t xml:space="preserve">quesito </w:t>
      </w:r>
      <w:r w:rsidR="00475208" w:rsidRPr="00E83866">
        <w:rPr>
          <w:rFonts w:ascii="Titillium" w:hAnsi="Titillium"/>
          <w:sz w:val="24"/>
          <w:szCs w:val="24"/>
        </w:rPr>
        <w:t>“</w:t>
      </w:r>
      <w:r w:rsidRPr="005F6A21">
        <w:rPr>
          <w:rFonts w:ascii="Titillium" w:hAnsi="Titillium"/>
          <w:i/>
          <w:sz w:val="24"/>
          <w:szCs w:val="24"/>
        </w:rPr>
        <w:t>Se si sono verificati eventi corruttivi</w:t>
      </w:r>
      <w:r w:rsidR="003525D4">
        <w:rPr>
          <w:rFonts w:ascii="Titillium" w:hAnsi="Titillium"/>
          <w:i/>
          <w:sz w:val="24"/>
          <w:szCs w:val="24"/>
        </w:rPr>
        <w:t xml:space="preserve">, indicare se nel PTPCT 2021 erano state previste misure per il loro contrasto” </w:t>
      </w:r>
      <w:r w:rsidR="003525D4">
        <w:rPr>
          <w:rFonts w:ascii="Titillium" w:hAnsi="Titillium"/>
          <w:sz w:val="24"/>
          <w:szCs w:val="24"/>
        </w:rPr>
        <w:t>si risponde “</w:t>
      </w:r>
      <w:r w:rsidR="003525D4" w:rsidRPr="003525D4">
        <w:rPr>
          <w:rFonts w:ascii="Titillium" w:hAnsi="Titillium"/>
          <w:i/>
          <w:sz w:val="24"/>
          <w:szCs w:val="24"/>
        </w:rPr>
        <w:t>Sì indicare quali</w:t>
      </w:r>
      <w:r w:rsidR="003525D4">
        <w:rPr>
          <w:rFonts w:ascii="Titillium" w:hAnsi="Titillium"/>
          <w:sz w:val="24"/>
          <w:szCs w:val="24"/>
        </w:rPr>
        <w:t xml:space="preserve">”, tale indicazione andrà inserita nella colonna “Ulteriori informazioni”. </w:t>
      </w:r>
      <w:r w:rsidRPr="005F6A21">
        <w:rPr>
          <w:rFonts w:ascii="Titillium" w:hAnsi="Titillium"/>
          <w:i/>
          <w:sz w:val="24"/>
          <w:szCs w:val="24"/>
        </w:rPr>
        <w:t xml:space="preserve"> </w:t>
      </w:r>
    </w:p>
    <w:p w14:paraId="0CD0905C" w14:textId="4B2B3312" w:rsidR="003D495A" w:rsidRDefault="003D495A" w:rsidP="006608AF">
      <w:pPr>
        <w:tabs>
          <w:tab w:val="left" w:pos="2758"/>
        </w:tabs>
        <w:spacing w:before="240" w:after="120"/>
        <w:rPr>
          <w:rFonts w:ascii="Titillium" w:hAnsi="Titillium" w:cs="Garamond"/>
          <w:b/>
          <w:bCs/>
          <w:color w:val="000000"/>
          <w:sz w:val="24"/>
          <w:szCs w:val="24"/>
        </w:rPr>
      </w:pPr>
      <w:r w:rsidRPr="003D495A">
        <w:rPr>
          <w:rFonts w:ascii="Titillium" w:hAnsi="Titillium" w:cs="Garamond"/>
          <w:b/>
          <w:bCs/>
          <w:color w:val="000000"/>
          <w:sz w:val="24"/>
          <w:szCs w:val="24"/>
        </w:rPr>
        <w:t>Piattaforma di acquisizione dei dati sui PTPCT</w:t>
      </w:r>
    </w:p>
    <w:p w14:paraId="01124AEE" w14:textId="5F1943D9" w:rsidR="00330D34" w:rsidRPr="006608AF" w:rsidRDefault="00330D34" w:rsidP="006608AF">
      <w:pPr>
        <w:pStyle w:val="Default"/>
        <w:spacing w:line="276" w:lineRule="auto"/>
        <w:jc w:val="both"/>
        <w:rPr>
          <w:rFonts w:ascii="Titillium" w:hAnsi="Titillium"/>
          <w:bCs/>
        </w:rPr>
      </w:pPr>
      <w:r w:rsidRPr="006608AF">
        <w:rPr>
          <w:rFonts w:ascii="Titillium" w:hAnsi="Titillium"/>
          <w:bCs/>
        </w:rPr>
        <w:t xml:space="preserve">In alternativa alla compilazione della Scheda </w:t>
      </w:r>
      <w:r w:rsidRPr="006608AF">
        <w:rPr>
          <w:rFonts w:ascii="Titillium" w:hAnsi="Titillium"/>
          <w:bCs/>
          <w:i/>
        </w:rPr>
        <w:t>Excel</w:t>
      </w:r>
      <w:r w:rsidRPr="006608AF">
        <w:rPr>
          <w:rFonts w:ascii="Titillium" w:hAnsi="Titillium"/>
          <w:bCs/>
        </w:rPr>
        <w:t>, i RPCT che utilizzano la Piattaforma di acquisizione dei PTPCT possono usufruire del servizio d</w:t>
      </w:r>
      <w:r w:rsidR="006608AF">
        <w:rPr>
          <w:rFonts w:ascii="Titillium" w:hAnsi="Titillium"/>
          <w:bCs/>
        </w:rPr>
        <w:t>i generazione automatica della R</w:t>
      </w:r>
      <w:r w:rsidRPr="006608AF">
        <w:rPr>
          <w:rFonts w:ascii="Titillium" w:hAnsi="Titillium"/>
          <w:bCs/>
        </w:rPr>
        <w:t>elazione annuale dopo aver completato l’inserimento dei dati relativi ai PTPCT e alle misure di attuazione.</w:t>
      </w:r>
    </w:p>
    <w:p w14:paraId="5D4B8849" w14:textId="425C59F1" w:rsidR="00330D34" w:rsidRPr="006608AF" w:rsidRDefault="00330D34" w:rsidP="006608AF">
      <w:pPr>
        <w:pStyle w:val="Default"/>
        <w:spacing w:line="276" w:lineRule="auto"/>
        <w:jc w:val="both"/>
        <w:rPr>
          <w:rFonts w:ascii="Titillium" w:hAnsi="Titillium"/>
          <w:bCs/>
        </w:rPr>
      </w:pPr>
      <w:r w:rsidRPr="006608AF">
        <w:rPr>
          <w:rFonts w:ascii="Titillium" w:hAnsi="Titillium"/>
          <w:bCs/>
        </w:rPr>
        <w:t>Il contenuto della Relazione si genera sulla base dei dati inseriti dal RPCT nella Piattaforma stessa. Il RPCT, in tal caso, pubblica la Relazione annuale utilizzando il documento in formato word predisposto dalla Piattaforma</w:t>
      </w:r>
      <w:r>
        <w:rPr>
          <w:rFonts w:ascii="Titillium" w:hAnsi="Titillium"/>
          <w:bCs/>
        </w:rPr>
        <w:t>.</w:t>
      </w:r>
    </w:p>
    <w:p w14:paraId="580B08FF" w14:textId="77777777" w:rsidR="00330D34" w:rsidRDefault="00330D34" w:rsidP="006608AF">
      <w:pPr>
        <w:pStyle w:val="Default"/>
        <w:jc w:val="both"/>
        <w:rPr>
          <w:rFonts w:ascii="Titillium" w:hAnsi="Titillium"/>
          <w:color w:val="FF0000"/>
        </w:rPr>
      </w:pPr>
    </w:p>
    <w:p w14:paraId="5E1DE16E" w14:textId="10A19D24" w:rsidR="003D495A" w:rsidRPr="003D495A" w:rsidRDefault="005414FC" w:rsidP="006608AF">
      <w:pPr>
        <w:tabs>
          <w:tab w:val="left" w:pos="2758"/>
        </w:tabs>
        <w:jc w:val="both"/>
        <w:rPr>
          <w:rFonts w:ascii="Titillium" w:hAnsi="Titillium" w:cs="Garamond"/>
          <w:bCs/>
          <w:color w:val="000000"/>
          <w:sz w:val="24"/>
          <w:szCs w:val="24"/>
        </w:rPr>
      </w:pPr>
      <w:r>
        <w:rPr>
          <w:rFonts w:ascii="Titillium" w:hAnsi="Titillium" w:cs="Garamond"/>
          <w:bCs/>
          <w:color w:val="000000"/>
          <w:sz w:val="24"/>
          <w:szCs w:val="24"/>
        </w:rPr>
        <w:t xml:space="preserve">Giova evidenziare che i RPCT </w:t>
      </w:r>
      <w:r w:rsidRPr="006608AF">
        <w:rPr>
          <w:rFonts w:ascii="Titillium" w:hAnsi="Titillium" w:cs="Garamond"/>
          <w:bCs/>
          <w:color w:val="000000"/>
          <w:sz w:val="24"/>
          <w:szCs w:val="24"/>
          <w:u w:val="single"/>
        </w:rPr>
        <w:t xml:space="preserve">sono tenuti a mantenere </w:t>
      </w:r>
      <w:r>
        <w:rPr>
          <w:rFonts w:ascii="Titillium" w:hAnsi="Titillium" w:cs="Garamond"/>
          <w:bCs/>
          <w:color w:val="000000"/>
          <w:sz w:val="24"/>
          <w:szCs w:val="24"/>
          <w:u w:val="single"/>
        </w:rPr>
        <w:t xml:space="preserve">e dunque a non alterare </w:t>
      </w:r>
      <w:r w:rsidRPr="006608AF">
        <w:rPr>
          <w:rFonts w:ascii="Titillium" w:hAnsi="Titillium" w:cs="Garamond"/>
          <w:bCs/>
          <w:color w:val="000000"/>
          <w:sz w:val="24"/>
          <w:szCs w:val="24"/>
          <w:u w:val="single"/>
        </w:rPr>
        <w:t xml:space="preserve">il contenuto della </w:t>
      </w:r>
      <w:r w:rsidR="006608AF">
        <w:rPr>
          <w:rFonts w:ascii="Titillium" w:hAnsi="Titillium" w:cs="Garamond"/>
          <w:bCs/>
          <w:color w:val="000000"/>
          <w:sz w:val="24"/>
          <w:szCs w:val="24"/>
          <w:u w:val="single"/>
        </w:rPr>
        <w:t>R</w:t>
      </w:r>
      <w:r w:rsidRPr="006608AF">
        <w:rPr>
          <w:rFonts w:ascii="Titillium" w:hAnsi="Titillium" w:cs="Garamond"/>
          <w:bCs/>
          <w:color w:val="000000"/>
          <w:sz w:val="24"/>
          <w:szCs w:val="24"/>
          <w:u w:val="single"/>
        </w:rPr>
        <w:t>elazione generata dalla Piattaforma</w:t>
      </w:r>
      <w:r>
        <w:rPr>
          <w:rFonts w:ascii="Titillium" w:hAnsi="Titillium" w:cs="Garamond"/>
          <w:bCs/>
          <w:color w:val="000000"/>
          <w:sz w:val="24"/>
          <w:szCs w:val="24"/>
        </w:rPr>
        <w:t xml:space="preserve">. </w:t>
      </w:r>
      <w:r w:rsidRPr="006608AF">
        <w:rPr>
          <w:rFonts w:ascii="Titillium" w:hAnsi="Titillium" w:cs="Garamond"/>
          <w:bCs/>
          <w:color w:val="000000"/>
          <w:sz w:val="24"/>
          <w:szCs w:val="24"/>
          <w:u w:val="single"/>
        </w:rPr>
        <w:t>Le uniche modifiche ammissibili sono</w:t>
      </w:r>
      <w:r>
        <w:rPr>
          <w:rFonts w:ascii="Titillium" w:hAnsi="Titillium" w:cs="Garamond"/>
          <w:bCs/>
          <w:color w:val="000000"/>
          <w:sz w:val="24"/>
          <w:szCs w:val="24"/>
        </w:rPr>
        <w:t xml:space="preserve"> solo quelle volte ad integrare </w:t>
      </w:r>
      <w:r w:rsidR="003D495A">
        <w:rPr>
          <w:rFonts w:ascii="Titillium" w:hAnsi="Titillium" w:cs="Garamond"/>
          <w:bCs/>
          <w:color w:val="000000"/>
          <w:sz w:val="24"/>
          <w:szCs w:val="24"/>
        </w:rPr>
        <w:t xml:space="preserve">il contenuto </w:t>
      </w:r>
      <w:r w:rsidR="006608AF">
        <w:rPr>
          <w:rFonts w:ascii="Titillium" w:hAnsi="Titillium" w:cs="Garamond"/>
          <w:bCs/>
          <w:color w:val="000000"/>
          <w:sz w:val="24"/>
          <w:szCs w:val="24"/>
        </w:rPr>
        <w:t>della R</w:t>
      </w:r>
      <w:r>
        <w:rPr>
          <w:rFonts w:ascii="Titillium" w:hAnsi="Titillium" w:cs="Garamond"/>
          <w:bCs/>
          <w:color w:val="000000"/>
          <w:sz w:val="24"/>
          <w:szCs w:val="24"/>
        </w:rPr>
        <w:t xml:space="preserve">elazione, </w:t>
      </w:r>
      <w:r w:rsidR="003D495A">
        <w:rPr>
          <w:rFonts w:ascii="Titillium" w:hAnsi="Titillium" w:cs="Garamond"/>
          <w:bCs/>
          <w:color w:val="000000"/>
          <w:sz w:val="24"/>
          <w:szCs w:val="24"/>
        </w:rPr>
        <w:t>inserendo ulteriori informazioni nelle apposite note previste alla fine di ogni paragrafo</w:t>
      </w:r>
      <w:r w:rsidR="006608AF">
        <w:rPr>
          <w:rFonts w:ascii="Titillium" w:hAnsi="Titillium" w:cs="Garamond"/>
          <w:bCs/>
          <w:color w:val="000000"/>
          <w:sz w:val="24"/>
          <w:szCs w:val="24"/>
        </w:rPr>
        <w:t>,</w:t>
      </w:r>
      <w:bookmarkStart w:id="0" w:name="_GoBack"/>
      <w:bookmarkEnd w:id="0"/>
      <w:r w:rsidR="003D495A">
        <w:rPr>
          <w:rFonts w:ascii="Titillium" w:hAnsi="Titillium" w:cs="Garamond"/>
          <w:bCs/>
          <w:color w:val="000000"/>
          <w:sz w:val="24"/>
          <w:szCs w:val="24"/>
        </w:rPr>
        <w:t xml:space="preserve"> e </w:t>
      </w:r>
      <w:r>
        <w:rPr>
          <w:rFonts w:ascii="Titillium" w:hAnsi="Titillium" w:cs="Garamond"/>
          <w:bCs/>
          <w:color w:val="000000"/>
          <w:sz w:val="24"/>
          <w:szCs w:val="24"/>
        </w:rPr>
        <w:t xml:space="preserve">quelle </w:t>
      </w:r>
      <w:r w:rsidR="006608AF">
        <w:rPr>
          <w:rFonts w:ascii="Titillium" w:hAnsi="Titillium" w:cs="Garamond"/>
          <w:bCs/>
          <w:color w:val="000000"/>
          <w:sz w:val="24"/>
          <w:szCs w:val="24"/>
        </w:rPr>
        <w:t>utili</w:t>
      </w:r>
      <w:r>
        <w:rPr>
          <w:rFonts w:ascii="Titillium" w:hAnsi="Titillium" w:cs="Garamond"/>
          <w:bCs/>
          <w:color w:val="000000"/>
          <w:sz w:val="24"/>
          <w:szCs w:val="24"/>
        </w:rPr>
        <w:t xml:space="preserve"> a </w:t>
      </w:r>
      <w:r w:rsidR="003D495A">
        <w:rPr>
          <w:rFonts w:ascii="Titillium" w:hAnsi="Titillium" w:cs="Garamond"/>
          <w:bCs/>
          <w:color w:val="000000"/>
          <w:sz w:val="24"/>
          <w:szCs w:val="24"/>
        </w:rPr>
        <w:t>migliorare la formattazione e la presentazione del documento</w:t>
      </w:r>
      <w:r>
        <w:rPr>
          <w:rFonts w:ascii="Titillium" w:hAnsi="Titillium" w:cs="Garamond"/>
          <w:bCs/>
          <w:color w:val="000000"/>
          <w:sz w:val="24"/>
          <w:szCs w:val="24"/>
        </w:rPr>
        <w:t xml:space="preserve">. </w:t>
      </w:r>
    </w:p>
    <w:sectPr w:rsidR="003D495A" w:rsidRPr="003D495A" w:rsidSect="00BF1455">
      <w:headerReference w:type="default" r:id="rId6"/>
      <w:footerReference w:type="default" r:id="rId7"/>
      <w:pgSz w:w="11906" w:h="16838"/>
      <w:pgMar w:top="426"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A85E" w14:textId="77777777" w:rsidR="0096699C" w:rsidRDefault="0096699C" w:rsidP="00BF1455">
      <w:pPr>
        <w:spacing w:after="0" w:line="240" w:lineRule="auto"/>
      </w:pPr>
      <w:r>
        <w:separator/>
      </w:r>
    </w:p>
  </w:endnote>
  <w:endnote w:type="continuationSeparator" w:id="0">
    <w:p w14:paraId="05EB1357" w14:textId="77777777" w:rsidR="0096699C" w:rsidRDefault="0096699C" w:rsidP="00BF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Titillium">
    <w:altName w:val="Courier New"/>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ADE9" w14:textId="53AEF130" w:rsidR="00657977" w:rsidRDefault="006608AF">
    <w:pPr>
      <w:pStyle w:val="Pidipagina"/>
      <w:jc w:val="right"/>
    </w:pPr>
    <w:sdt>
      <w:sdtPr>
        <w:id w:val="1140006773"/>
        <w:docPartObj>
          <w:docPartGallery w:val="Page Numbers (Bottom of Page)"/>
          <w:docPartUnique/>
        </w:docPartObj>
      </w:sdtPr>
      <w:sdtEndPr>
        <w:rPr>
          <w:rFonts w:ascii="Titillium" w:hAnsi="Titillium"/>
          <w:sz w:val="18"/>
          <w:szCs w:val="18"/>
        </w:rPr>
      </w:sdtEndPr>
      <w:sdtContent>
        <w:r w:rsidR="00657977" w:rsidRPr="00657977">
          <w:rPr>
            <w:rFonts w:ascii="Titillium" w:hAnsi="Titillium"/>
            <w:sz w:val="18"/>
            <w:szCs w:val="18"/>
          </w:rPr>
          <w:fldChar w:fldCharType="begin"/>
        </w:r>
        <w:r w:rsidR="00657977" w:rsidRPr="00657977">
          <w:rPr>
            <w:rFonts w:ascii="Titillium" w:hAnsi="Titillium"/>
            <w:sz w:val="18"/>
            <w:szCs w:val="18"/>
          </w:rPr>
          <w:instrText>PAGE   \* MERGEFORMAT</w:instrText>
        </w:r>
        <w:r w:rsidR="00657977" w:rsidRPr="00657977">
          <w:rPr>
            <w:rFonts w:ascii="Titillium" w:hAnsi="Titillium"/>
            <w:sz w:val="18"/>
            <w:szCs w:val="18"/>
          </w:rPr>
          <w:fldChar w:fldCharType="separate"/>
        </w:r>
        <w:r>
          <w:rPr>
            <w:rFonts w:ascii="Titillium" w:hAnsi="Titillium"/>
            <w:noProof/>
            <w:sz w:val="18"/>
            <w:szCs w:val="18"/>
          </w:rPr>
          <w:t>1</w:t>
        </w:r>
        <w:r w:rsidR="00657977" w:rsidRPr="00657977">
          <w:rPr>
            <w:rFonts w:ascii="Titillium" w:hAnsi="Titillium"/>
            <w:sz w:val="18"/>
            <w:szCs w:val="18"/>
          </w:rPr>
          <w:fldChar w:fldCharType="end"/>
        </w:r>
      </w:sdtContent>
    </w:sdt>
    <w:r w:rsidR="00657977" w:rsidRPr="00657977">
      <w:rPr>
        <w:rFonts w:ascii="Titillium" w:hAnsi="Titillium"/>
        <w:sz w:val="18"/>
        <w:szCs w:val="18"/>
      </w:rPr>
      <w:t xml:space="preserve"> AUTORITA’ NAZIONALE ANTICORRUZIONE</w:t>
    </w:r>
  </w:p>
  <w:p w14:paraId="110EF9C2" w14:textId="77777777" w:rsidR="00657977" w:rsidRDefault="006579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B7EBA" w14:textId="77777777" w:rsidR="0096699C" w:rsidRDefault="0096699C" w:rsidP="00BF1455">
      <w:pPr>
        <w:spacing w:after="0" w:line="240" w:lineRule="auto"/>
      </w:pPr>
      <w:r>
        <w:separator/>
      </w:r>
    </w:p>
  </w:footnote>
  <w:footnote w:type="continuationSeparator" w:id="0">
    <w:p w14:paraId="55F94CAF" w14:textId="77777777" w:rsidR="0096699C" w:rsidRDefault="0096699C" w:rsidP="00BF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DB5A" w14:textId="77777777" w:rsidR="0065276F" w:rsidRDefault="0065276F">
    <w:pPr>
      <w:pStyle w:val="Intestazione"/>
    </w:pPr>
    <w:r>
      <w:ptab w:relativeTo="margin" w:alignment="center" w:leader="none"/>
    </w:r>
  </w:p>
  <w:p w14:paraId="776BF5DE" w14:textId="77777777" w:rsidR="0065276F" w:rsidRDefault="0065276F">
    <w:pPr>
      <w:pStyle w:val="Intestazione"/>
    </w:pPr>
  </w:p>
  <w:p w14:paraId="03C42E54" w14:textId="77777777" w:rsidR="0065276F" w:rsidRDefault="0065276F">
    <w:pPr>
      <w:pStyle w:val="Intestazione"/>
    </w:pPr>
  </w:p>
  <w:p w14:paraId="1831F68E" w14:textId="77777777" w:rsidR="0065276F" w:rsidRDefault="0065276F">
    <w:pPr>
      <w:pStyle w:val="Intestazione"/>
    </w:pPr>
    <w:r>
      <w:rPr>
        <w:noProof/>
        <w:lang w:eastAsia="it-IT"/>
      </w:rPr>
      <w:drawing>
        <wp:inline distT="0" distB="0" distL="0" distR="0" wp14:anchorId="54FDCF65" wp14:editId="2C8C8A51">
          <wp:extent cx="2877820" cy="341630"/>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341630"/>
                  </a:xfrm>
                  <a:prstGeom prst="rect">
                    <a:avLst/>
                  </a:prstGeom>
                  <a:noFill/>
                </pic:spPr>
              </pic:pic>
            </a:graphicData>
          </a:graphic>
        </wp:inline>
      </w:drawing>
    </w:r>
  </w:p>
  <w:p w14:paraId="4FCC553D" w14:textId="77777777" w:rsidR="0065276F" w:rsidRDefault="0065276F">
    <w:pPr>
      <w:pStyle w:val="Intestazione"/>
    </w:pPr>
  </w:p>
  <w:p w14:paraId="6CEEF314" w14:textId="77777777" w:rsidR="0065276F" w:rsidRDefault="0065276F">
    <w:pPr>
      <w:pStyle w:val="Intestazione"/>
    </w:pPr>
  </w:p>
  <w:p w14:paraId="25F03204" w14:textId="77777777" w:rsidR="0065276F" w:rsidRDefault="0065276F">
    <w:pPr>
      <w:pStyle w:val="Intestazione"/>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08"/>
    <w:rsid w:val="00025A92"/>
    <w:rsid w:val="000739AC"/>
    <w:rsid w:val="000965BB"/>
    <w:rsid w:val="000B7701"/>
    <w:rsid w:val="000C0B4A"/>
    <w:rsid w:val="000D04E7"/>
    <w:rsid w:val="00163FAE"/>
    <w:rsid w:val="0016514D"/>
    <w:rsid w:val="001A41BE"/>
    <w:rsid w:val="001A61BB"/>
    <w:rsid w:val="00330D34"/>
    <w:rsid w:val="003525D4"/>
    <w:rsid w:val="00394122"/>
    <w:rsid w:val="003B27D4"/>
    <w:rsid w:val="003D495A"/>
    <w:rsid w:val="003F1CE5"/>
    <w:rsid w:val="00437DBC"/>
    <w:rsid w:val="004724A3"/>
    <w:rsid w:val="004724E1"/>
    <w:rsid w:val="00475208"/>
    <w:rsid w:val="0051258E"/>
    <w:rsid w:val="005414FC"/>
    <w:rsid w:val="00563069"/>
    <w:rsid w:val="00566B9E"/>
    <w:rsid w:val="005748A5"/>
    <w:rsid w:val="005D2F44"/>
    <w:rsid w:val="005F6A21"/>
    <w:rsid w:val="00616C0A"/>
    <w:rsid w:val="0065276F"/>
    <w:rsid w:val="00657977"/>
    <w:rsid w:val="006608AF"/>
    <w:rsid w:val="00685506"/>
    <w:rsid w:val="006C79F1"/>
    <w:rsid w:val="007B5CDA"/>
    <w:rsid w:val="007D0508"/>
    <w:rsid w:val="007F099A"/>
    <w:rsid w:val="008166CE"/>
    <w:rsid w:val="00857052"/>
    <w:rsid w:val="00903B60"/>
    <w:rsid w:val="00933F47"/>
    <w:rsid w:val="0096699C"/>
    <w:rsid w:val="009A02B7"/>
    <w:rsid w:val="009A03D3"/>
    <w:rsid w:val="009A39CF"/>
    <w:rsid w:val="00B32312"/>
    <w:rsid w:val="00B40CD2"/>
    <w:rsid w:val="00BB014D"/>
    <w:rsid w:val="00BB7C61"/>
    <w:rsid w:val="00BF1455"/>
    <w:rsid w:val="00C0166F"/>
    <w:rsid w:val="00C52E77"/>
    <w:rsid w:val="00CB5C23"/>
    <w:rsid w:val="00CF6BEE"/>
    <w:rsid w:val="00D20A1E"/>
    <w:rsid w:val="00E05A29"/>
    <w:rsid w:val="00E15DAB"/>
    <w:rsid w:val="00E77965"/>
    <w:rsid w:val="00E83866"/>
    <w:rsid w:val="00E91D93"/>
    <w:rsid w:val="00F76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8ED8EA"/>
  <w15:docId w15:val="{D039FC47-8D3F-414D-BFD2-0DCD80D8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75208"/>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BF14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1455"/>
  </w:style>
  <w:style w:type="paragraph" w:styleId="Pidipagina">
    <w:name w:val="footer"/>
    <w:basedOn w:val="Normale"/>
    <w:link w:val="PidipaginaCarattere"/>
    <w:uiPriority w:val="99"/>
    <w:unhideWhenUsed/>
    <w:rsid w:val="00BF14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1455"/>
  </w:style>
  <w:style w:type="paragraph" w:styleId="Testofumetto">
    <w:name w:val="Balloon Text"/>
    <w:basedOn w:val="Normale"/>
    <w:link w:val="TestofumettoCarattere"/>
    <w:uiPriority w:val="99"/>
    <w:semiHidden/>
    <w:unhideWhenUsed/>
    <w:rsid w:val="00BF14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455"/>
    <w:rPr>
      <w:rFonts w:ascii="Tahoma" w:hAnsi="Tahoma" w:cs="Tahoma"/>
      <w:sz w:val="16"/>
      <w:szCs w:val="16"/>
    </w:rPr>
  </w:style>
  <w:style w:type="character" w:styleId="Rimandocommento">
    <w:name w:val="annotation reference"/>
    <w:basedOn w:val="Carpredefinitoparagrafo"/>
    <w:uiPriority w:val="99"/>
    <w:semiHidden/>
    <w:unhideWhenUsed/>
    <w:rsid w:val="00330D34"/>
    <w:rPr>
      <w:sz w:val="16"/>
      <w:szCs w:val="16"/>
    </w:rPr>
  </w:style>
  <w:style w:type="paragraph" w:styleId="Testocommento">
    <w:name w:val="annotation text"/>
    <w:basedOn w:val="Normale"/>
    <w:link w:val="TestocommentoCarattere"/>
    <w:uiPriority w:val="99"/>
    <w:semiHidden/>
    <w:unhideWhenUsed/>
    <w:rsid w:val="00330D3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30D34"/>
    <w:rPr>
      <w:sz w:val="20"/>
      <w:szCs w:val="20"/>
    </w:rPr>
  </w:style>
  <w:style w:type="paragraph" w:styleId="Soggettocommento">
    <w:name w:val="annotation subject"/>
    <w:basedOn w:val="Testocommento"/>
    <w:next w:val="Testocommento"/>
    <w:link w:val="SoggettocommentoCarattere"/>
    <w:uiPriority w:val="99"/>
    <w:semiHidden/>
    <w:unhideWhenUsed/>
    <w:rsid w:val="00330D34"/>
    <w:rPr>
      <w:b/>
      <w:bCs/>
    </w:rPr>
  </w:style>
  <w:style w:type="character" w:customStyle="1" w:styleId="SoggettocommentoCarattere">
    <w:name w:val="Soggetto commento Carattere"/>
    <w:basedOn w:val="TestocommentoCarattere"/>
    <w:link w:val="Soggettocommento"/>
    <w:uiPriority w:val="99"/>
    <w:semiHidden/>
    <w:rsid w:val="00330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3E4C7D9B32CB48A1155CEF57466293" ma:contentTypeVersion="10" ma:contentTypeDescription="Creare un nuovo documento." ma:contentTypeScope="" ma:versionID="f38b25c39e7f2bafd38b065aa3be2dcd">
  <xsd:schema xmlns:xsd="http://www.w3.org/2001/XMLSchema" xmlns:xs="http://www.w3.org/2001/XMLSchema" xmlns:p="http://schemas.microsoft.com/office/2006/metadata/properties" xmlns:ns2="856d7638-341e-4c6a-9d94-e49471d54c4a" xmlns:ns3="818e3c02-01f5-4b74-a803-ff90016994ef" targetNamespace="http://schemas.microsoft.com/office/2006/metadata/properties" ma:root="true" ma:fieldsID="b8e079676b968049d1814ab2718b392e" ns2:_="" ns3:_="">
    <xsd:import namespace="856d7638-341e-4c6a-9d94-e49471d54c4a"/>
    <xsd:import namespace="818e3c02-01f5-4b74-a803-ff9001699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7638-341e-4c6a-9d94-e49471d54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8e3c02-01f5-4b74-a803-ff90016994ef"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C13B6-7AFB-4F3C-A31E-D9C15F76BCF4}"/>
</file>

<file path=customXml/itemProps2.xml><?xml version="1.0" encoding="utf-8"?>
<ds:datastoreItem xmlns:ds="http://schemas.openxmlformats.org/officeDocument/2006/customXml" ds:itemID="{F8D118CE-69BF-4AF5-9EE3-F36D1C339D21}"/>
</file>

<file path=customXml/itemProps3.xml><?xml version="1.0" encoding="utf-8"?>
<ds:datastoreItem xmlns:ds="http://schemas.openxmlformats.org/officeDocument/2006/customXml" ds:itemID="{61595506-A510-4A5E-B8E4-FE3AD60B3CC6}"/>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3709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Basile Marco</dc:creator>
  <cp:lastModifiedBy>URAC</cp:lastModifiedBy>
  <cp:revision>3</cp:revision>
  <cp:lastPrinted>2019-11-06T08:49:00Z</cp:lastPrinted>
  <dcterms:created xsi:type="dcterms:W3CDTF">2021-11-09T10:32:00Z</dcterms:created>
  <dcterms:modified xsi:type="dcterms:W3CDTF">2021-11-09T10:39:00Z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0x010100EF3E4C7D9B32CB48A1155CEF57466293</vt:lpwstr>
  </property>
</Properties>
</file>