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9F" w:rsidRPr="0040699F" w:rsidRDefault="00BB7FB4" w:rsidP="0040699F">
      <w:pPr>
        <w:tabs>
          <w:tab w:val="left" w:pos="2774"/>
        </w:tabs>
        <w:spacing w:before="120" w:after="120" w:line="276" w:lineRule="auto"/>
        <w:jc w:val="center"/>
        <w:rPr>
          <w:rFonts w:ascii="Gotham Light" w:hAnsi="Gotham Light"/>
          <w:b/>
          <w:sz w:val="36"/>
          <w:szCs w:val="36"/>
        </w:rPr>
      </w:pPr>
      <w:r>
        <w:rPr>
          <w:rFonts w:ascii="Gotham Light" w:hAnsi="Gotham Light" w:cs="Arial"/>
          <w:b/>
          <w:color w:val="2E74B5"/>
          <w:sz w:val="36"/>
          <w:szCs w:val="36"/>
        </w:rPr>
        <w:t>IL SEGRETARIO GENERALE</w:t>
      </w:r>
    </w:p>
    <w:p w:rsidR="009A4D19" w:rsidRPr="008331DA" w:rsidRDefault="009A4D19" w:rsidP="009A4D19">
      <w:pPr>
        <w:spacing w:after="100" w:line="276" w:lineRule="auto"/>
        <w:jc w:val="both"/>
        <w:rPr>
          <w:rFonts w:ascii="Titillium" w:hAnsi="Titillium"/>
          <w:sz w:val="20"/>
          <w:szCs w:val="20"/>
        </w:rPr>
      </w:pPr>
      <w:r w:rsidRPr="009A4D19">
        <w:rPr>
          <w:rFonts w:ascii="Titillium" w:hAnsi="Titillium"/>
          <w:b/>
          <w:sz w:val="20"/>
          <w:szCs w:val="20"/>
        </w:rPr>
        <w:t>VISTO</w:t>
      </w:r>
      <w:r w:rsidR="00E55C0A">
        <w:rPr>
          <w:rFonts w:ascii="Titillium" w:hAnsi="Titillium"/>
          <w:sz w:val="20"/>
          <w:szCs w:val="20"/>
        </w:rPr>
        <w:t xml:space="preserve"> il </w:t>
      </w:r>
      <w:r w:rsidRPr="009A4D19">
        <w:rPr>
          <w:rFonts w:ascii="Titillium" w:hAnsi="Titillium"/>
          <w:sz w:val="20"/>
          <w:szCs w:val="20"/>
        </w:rPr>
        <w:t>Regolamento per la disciplina dei contratti pubblici di servizi e forniture stipulati dall’Autorità approvato con Delibera n. 538 del 7.7.2021 e pubblicato in data 21.7.2021;</w:t>
      </w:r>
    </w:p>
    <w:p w:rsidR="009A4D19" w:rsidRPr="008331DA" w:rsidRDefault="009A4D19" w:rsidP="009A4D19">
      <w:pPr>
        <w:spacing w:after="120" w:line="276" w:lineRule="auto"/>
        <w:jc w:val="both"/>
        <w:rPr>
          <w:rFonts w:ascii="Titillium" w:hAnsi="Titillium"/>
          <w:sz w:val="20"/>
          <w:szCs w:val="20"/>
        </w:rPr>
      </w:pPr>
      <w:r w:rsidRPr="008331DA">
        <w:rPr>
          <w:rFonts w:ascii="Titillium" w:hAnsi="Titillium"/>
          <w:b/>
          <w:sz w:val="20"/>
          <w:szCs w:val="20"/>
        </w:rPr>
        <w:t>VISTO</w:t>
      </w:r>
      <w:r w:rsidRPr="008331DA">
        <w:rPr>
          <w:rFonts w:ascii="Titillium" w:hAnsi="Titillium"/>
          <w:sz w:val="20"/>
          <w:szCs w:val="20"/>
        </w:rPr>
        <w:t xml:space="preserve"> il decreto legislativo 18 aprile 2016 n. 50 e </w:t>
      </w:r>
      <w:proofErr w:type="spellStart"/>
      <w:r w:rsidRPr="008331DA">
        <w:rPr>
          <w:rFonts w:ascii="Titillium" w:hAnsi="Titillium"/>
          <w:sz w:val="20"/>
          <w:szCs w:val="20"/>
        </w:rPr>
        <w:t>ss.mm.ii</w:t>
      </w:r>
      <w:proofErr w:type="spellEnd"/>
      <w:r w:rsidRPr="008331DA">
        <w:rPr>
          <w:rFonts w:ascii="Titillium" w:hAnsi="Titillium"/>
          <w:sz w:val="20"/>
          <w:szCs w:val="20"/>
        </w:rPr>
        <w:t>.</w:t>
      </w:r>
      <w:r w:rsidR="00E55C0A">
        <w:rPr>
          <w:rFonts w:ascii="Titillium" w:hAnsi="Titillium"/>
          <w:sz w:val="20"/>
          <w:szCs w:val="20"/>
        </w:rPr>
        <w:t xml:space="preserve"> ed in particolare il relativo art. 77</w:t>
      </w:r>
      <w:r w:rsidRPr="008331DA">
        <w:rPr>
          <w:rFonts w:ascii="Titillium" w:hAnsi="Titillium"/>
          <w:sz w:val="20"/>
          <w:szCs w:val="20"/>
        </w:rPr>
        <w:t>;</w:t>
      </w:r>
    </w:p>
    <w:p w:rsidR="00B37CA5" w:rsidRPr="00B80660" w:rsidRDefault="00E55C0A" w:rsidP="00B7127D">
      <w:pPr>
        <w:pStyle w:val="NormaleWeb"/>
        <w:spacing w:before="0" w:beforeAutospacing="0" w:after="100" w:line="276" w:lineRule="auto"/>
        <w:jc w:val="both"/>
        <w:rPr>
          <w:rFonts w:ascii="Titillium" w:eastAsia="Times New Roman" w:hAnsi="Titillium"/>
          <w:sz w:val="20"/>
          <w:szCs w:val="20"/>
        </w:rPr>
      </w:pPr>
      <w:r w:rsidRPr="00E55C0A">
        <w:rPr>
          <w:rFonts w:ascii="Titillium" w:eastAsia="Times New Roman" w:hAnsi="Titillium"/>
          <w:b/>
          <w:sz w:val="20"/>
          <w:szCs w:val="20"/>
        </w:rPr>
        <w:t>VISTO</w:t>
      </w:r>
      <w:r w:rsidR="00B7127D" w:rsidRPr="00B80660">
        <w:rPr>
          <w:rFonts w:ascii="Titillium" w:eastAsia="Times New Roman" w:hAnsi="Titillium"/>
          <w:sz w:val="20"/>
          <w:szCs w:val="20"/>
        </w:rPr>
        <w:t xml:space="preserve"> l’Atto </w:t>
      </w:r>
      <w:r w:rsidRPr="00E55C0A">
        <w:rPr>
          <w:rFonts w:ascii="Titillium" w:eastAsia="Times New Roman" w:hAnsi="Titillium"/>
          <w:sz w:val="20"/>
          <w:szCs w:val="20"/>
        </w:rPr>
        <w:t xml:space="preserve">di programmazione biennale 2022-23 degli acquisti dell’Autorità, che ha previsto l’acquisizione dei servizi di pulizia e </w:t>
      </w:r>
      <w:proofErr w:type="spellStart"/>
      <w:r w:rsidRPr="00E55C0A">
        <w:rPr>
          <w:rFonts w:ascii="Titillium" w:eastAsia="Times New Roman" w:hAnsi="Titillium"/>
          <w:sz w:val="20"/>
          <w:szCs w:val="20"/>
        </w:rPr>
        <w:t>ausiliariato</w:t>
      </w:r>
      <w:proofErr w:type="spellEnd"/>
      <w:r w:rsidRPr="00E55C0A">
        <w:rPr>
          <w:rFonts w:ascii="Titillium" w:eastAsia="Times New Roman" w:hAnsi="Titillium"/>
          <w:sz w:val="20"/>
          <w:szCs w:val="20"/>
        </w:rPr>
        <w:t xml:space="preserve"> per un periodo di n. 36 mesi, tramite l’espletamento  di un Appalto Specifico basato sullo </w:t>
      </w:r>
      <w:proofErr w:type="spellStart"/>
      <w:r w:rsidRPr="00E55C0A">
        <w:rPr>
          <w:rFonts w:ascii="Titillium" w:eastAsia="Times New Roman" w:hAnsi="Titillium"/>
          <w:sz w:val="20"/>
          <w:szCs w:val="20"/>
        </w:rPr>
        <w:t>SDA</w:t>
      </w:r>
      <w:proofErr w:type="spellEnd"/>
      <w:r w:rsidRPr="00E55C0A">
        <w:rPr>
          <w:rFonts w:ascii="Titillium" w:eastAsia="Times New Roman" w:hAnsi="Titillium"/>
          <w:sz w:val="20"/>
          <w:szCs w:val="20"/>
        </w:rPr>
        <w:t xml:space="preserve"> “Servizi di pulizia, igiene ambientale e servizi connessi di </w:t>
      </w:r>
      <w:proofErr w:type="spellStart"/>
      <w:r w:rsidRPr="00E55C0A">
        <w:rPr>
          <w:rFonts w:ascii="Titillium" w:eastAsia="Times New Roman" w:hAnsi="Titillium"/>
          <w:sz w:val="20"/>
          <w:szCs w:val="20"/>
        </w:rPr>
        <w:t>ausiliariato</w:t>
      </w:r>
      <w:proofErr w:type="spellEnd"/>
      <w:r w:rsidRPr="00E55C0A">
        <w:rPr>
          <w:rFonts w:ascii="Titillium" w:eastAsia="Times New Roman" w:hAnsi="Titillium"/>
          <w:sz w:val="20"/>
          <w:szCs w:val="20"/>
        </w:rPr>
        <w:t xml:space="preserve"> per gli immobili in uso, a qualsiasi titolo, alle pubbliche amministrazioni”;</w:t>
      </w:r>
    </w:p>
    <w:p w:rsidR="009A4D19" w:rsidRPr="00F02CD2" w:rsidRDefault="009A4D19" w:rsidP="00212EAF">
      <w:pPr>
        <w:spacing w:after="100" w:line="276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b/>
          <w:sz w:val="20"/>
          <w:szCs w:val="20"/>
        </w:rPr>
        <w:t>VISTA</w:t>
      </w:r>
      <w:r>
        <w:rPr>
          <w:rFonts w:ascii="Titillium" w:hAnsi="Titillium"/>
          <w:sz w:val="20"/>
          <w:szCs w:val="20"/>
        </w:rPr>
        <w:t xml:space="preserve"> la </w:t>
      </w:r>
      <w:r w:rsidR="00E55C0A" w:rsidRPr="00E55C0A">
        <w:rPr>
          <w:rFonts w:ascii="Titillium" w:hAnsi="Titillium"/>
          <w:sz w:val="20"/>
          <w:szCs w:val="20"/>
        </w:rPr>
        <w:t xml:space="preserve">determina a contrarre </w:t>
      </w:r>
      <w:proofErr w:type="spellStart"/>
      <w:r w:rsidR="00E55C0A" w:rsidRPr="00E55C0A">
        <w:rPr>
          <w:rFonts w:ascii="Titillium" w:hAnsi="Titillium"/>
          <w:sz w:val="20"/>
          <w:szCs w:val="20"/>
        </w:rPr>
        <w:t>prot</w:t>
      </w:r>
      <w:proofErr w:type="spellEnd"/>
      <w:r w:rsidR="00E55C0A" w:rsidRPr="00E55C0A">
        <w:rPr>
          <w:rFonts w:ascii="Titillium" w:hAnsi="Titillium"/>
          <w:sz w:val="20"/>
          <w:szCs w:val="20"/>
        </w:rPr>
        <w:t>. n. 4971 del 24.1.2022, con la quale si è determinato di avviare un apposito Appalto Specifico basato sul Sistema Dinamico di Acquisizione “</w:t>
      </w:r>
      <w:r w:rsidR="00E55C0A" w:rsidRPr="00E55C0A">
        <w:rPr>
          <w:rFonts w:ascii="Titillium" w:hAnsi="Titillium"/>
          <w:i/>
          <w:sz w:val="20"/>
          <w:szCs w:val="20"/>
        </w:rPr>
        <w:t xml:space="preserve">Servizi di pulizia, igiene ambientale e servizi connessi di </w:t>
      </w:r>
      <w:proofErr w:type="spellStart"/>
      <w:r w:rsidR="00E55C0A" w:rsidRPr="00E55C0A">
        <w:rPr>
          <w:rFonts w:ascii="Titillium" w:hAnsi="Titillium"/>
          <w:i/>
          <w:sz w:val="20"/>
          <w:szCs w:val="20"/>
        </w:rPr>
        <w:t>ausiliariato</w:t>
      </w:r>
      <w:proofErr w:type="spellEnd"/>
      <w:r w:rsidR="00E55C0A" w:rsidRPr="00E55C0A">
        <w:rPr>
          <w:rFonts w:ascii="Titillium" w:hAnsi="Titillium"/>
          <w:i/>
          <w:sz w:val="20"/>
          <w:szCs w:val="20"/>
        </w:rPr>
        <w:t xml:space="preserve"> per </w:t>
      </w:r>
      <w:r w:rsidR="00E55C0A" w:rsidRPr="00F02CD2">
        <w:rPr>
          <w:rFonts w:ascii="Titillium" w:hAnsi="Titillium"/>
          <w:i/>
          <w:sz w:val="20"/>
          <w:szCs w:val="20"/>
        </w:rPr>
        <w:t>gli immobili in uso, a qualsiasi titolo, alle pubbliche amministrazioni</w:t>
      </w:r>
      <w:r w:rsidR="00E55C0A" w:rsidRPr="00F02CD2">
        <w:rPr>
          <w:rFonts w:ascii="Titillium" w:hAnsi="Titillium"/>
          <w:sz w:val="20"/>
          <w:szCs w:val="20"/>
        </w:rPr>
        <w:t>”, messo a disposizione da Consip S.p.A., per l’acquisizione congiunta per n. 36 mesi dei servizi di pulizia, igiene ambientale, facchinaggio e reception, da aggiudicare con il criterio dell’offerta economicamente più vantaggiosa;</w:t>
      </w:r>
    </w:p>
    <w:p w:rsidR="00E55C0A" w:rsidRPr="00F02CD2" w:rsidRDefault="00E55C0A" w:rsidP="00212EAF">
      <w:pPr>
        <w:spacing w:after="100" w:line="276" w:lineRule="auto"/>
        <w:jc w:val="both"/>
        <w:rPr>
          <w:rFonts w:ascii="Titillium" w:hAnsi="Titillium"/>
          <w:sz w:val="20"/>
          <w:szCs w:val="20"/>
        </w:rPr>
      </w:pPr>
      <w:r w:rsidRPr="00F02CD2">
        <w:rPr>
          <w:rFonts w:ascii="Titillium" w:hAnsi="Titillium"/>
          <w:b/>
          <w:sz w:val="20"/>
          <w:szCs w:val="20"/>
        </w:rPr>
        <w:t>VISTO</w:t>
      </w:r>
      <w:r w:rsidRPr="00F02CD2">
        <w:rPr>
          <w:rFonts w:ascii="Titillium" w:hAnsi="Titillium"/>
          <w:sz w:val="20"/>
          <w:szCs w:val="20"/>
        </w:rPr>
        <w:t xml:space="preserve"> l’Atto </w:t>
      </w:r>
      <w:proofErr w:type="spellStart"/>
      <w:r w:rsidRPr="00F02CD2">
        <w:rPr>
          <w:rFonts w:ascii="Titillium" w:hAnsi="Titillium"/>
          <w:sz w:val="20"/>
          <w:szCs w:val="20"/>
        </w:rPr>
        <w:t>prot</w:t>
      </w:r>
      <w:proofErr w:type="spellEnd"/>
      <w:r w:rsidRPr="00F02CD2">
        <w:rPr>
          <w:rFonts w:ascii="Titillium" w:hAnsi="Titillium"/>
          <w:sz w:val="20"/>
          <w:szCs w:val="20"/>
        </w:rPr>
        <w:t>. n. 9104 del 8.2.2022, con cui l’Autorità ha proceduto ad una rettifica della predetta determina a contrarre;</w:t>
      </w:r>
    </w:p>
    <w:p w:rsidR="00E55C0A" w:rsidRPr="00F02CD2" w:rsidRDefault="00E55C0A" w:rsidP="00212EAF">
      <w:pPr>
        <w:spacing w:after="100" w:line="276" w:lineRule="auto"/>
        <w:jc w:val="both"/>
        <w:rPr>
          <w:rFonts w:ascii="Titillium" w:hAnsi="Titillium"/>
          <w:sz w:val="20"/>
          <w:szCs w:val="20"/>
        </w:rPr>
      </w:pPr>
      <w:r w:rsidRPr="00F02CD2">
        <w:rPr>
          <w:rFonts w:ascii="Titillium" w:hAnsi="Titillium"/>
          <w:b/>
          <w:sz w:val="20"/>
          <w:szCs w:val="20"/>
        </w:rPr>
        <w:t>CONSIDERATO</w:t>
      </w:r>
      <w:r w:rsidRPr="00F02CD2">
        <w:rPr>
          <w:rFonts w:ascii="Titillium" w:hAnsi="Titillium"/>
          <w:sz w:val="20"/>
          <w:szCs w:val="20"/>
        </w:rPr>
        <w:t xml:space="preserve"> che in data 4.3.2022 è spirato il termine di presentazione delle offerte dell’Appalto Specifico in oggetto ed è quindi </w:t>
      </w:r>
      <w:r w:rsidR="009A4D19" w:rsidRPr="00F02CD2">
        <w:rPr>
          <w:rFonts w:ascii="Titillium" w:hAnsi="Titillium"/>
          <w:sz w:val="20"/>
          <w:szCs w:val="20"/>
        </w:rPr>
        <w:t>necessario procedere alla nomina dei membri della commissione giudicatrice;</w:t>
      </w:r>
    </w:p>
    <w:p w:rsidR="00B80660" w:rsidRPr="0040699F" w:rsidRDefault="00E55C0A" w:rsidP="0040699F">
      <w:pPr>
        <w:spacing w:after="100" w:line="276" w:lineRule="auto"/>
        <w:jc w:val="both"/>
        <w:rPr>
          <w:rFonts w:ascii="Titillium" w:hAnsi="Titillium"/>
          <w:sz w:val="20"/>
          <w:szCs w:val="20"/>
        </w:rPr>
      </w:pPr>
      <w:r w:rsidRPr="00F02CD2">
        <w:rPr>
          <w:rFonts w:ascii="Titillium" w:hAnsi="Titillium"/>
          <w:b/>
          <w:sz w:val="20"/>
          <w:szCs w:val="20"/>
        </w:rPr>
        <w:t>VISTO</w:t>
      </w:r>
      <w:r w:rsidR="00F02CD2" w:rsidRPr="00F02CD2">
        <w:rPr>
          <w:rFonts w:ascii="Titillium" w:hAnsi="Titillium"/>
          <w:sz w:val="20"/>
          <w:szCs w:val="20"/>
        </w:rPr>
        <w:t xml:space="preserve"> l’Atto </w:t>
      </w:r>
      <w:proofErr w:type="spellStart"/>
      <w:r w:rsidR="00F02CD2" w:rsidRPr="00F02CD2">
        <w:rPr>
          <w:rFonts w:ascii="Titillium" w:hAnsi="Titillium"/>
          <w:sz w:val="20"/>
          <w:szCs w:val="20"/>
        </w:rPr>
        <w:t>prot</w:t>
      </w:r>
      <w:proofErr w:type="spellEnd"/>
      <w:r w:rsidR="00F02CD2" w:rsidRPr="00F02CD2">
        <w:rPr>
          <w:rFonts w:ascii="Titillium" w:hAnsi="Titillium"/>
          <w:sz w:val="20"/>
          <w:szCs w:val="20"/>
        </w:rPr>
        <w:t>. n. 17323 del 9.3.2022</w:t>
      </w:r>
      <w:r w:rsidRPr="00F02CD2">
        <w:rPr>
          <w:rFonts w:ascii="Titillium" w:hAnsi="Titillium"/>
          <w:sz w:val="20"/>
          <w:szCs w:val="20"/>
        </w:rPr>
        <w:t xml:space="preserve">, recante la proposta del </w:t>
      </w:r>
      <w:proofErr w:type="spellStart"/>
      <w:r w:rsidRPr="00F02CD2">
        <w:rPr>
          <w:rFonts w:ascii="Titillium" w:hAnsi="Titillium"/>
          <w:sz w:val="20"/>
          <w:szCs w:val="20"/>
        </w:rPr>
        <w:t>RUP</w:t>
      </w:r>
      <w:proofErr w:type="spellEnd"/>
      <w:r w:rsidRPr="00F02CD2">
        <w:rPr>
          <w:rFonts w:ascii="Titillium" w:hAnsi="Titillium"/>
          <w:sz w:val="20"/>
          <w:szCs w:val="20"/>
        </w:rPr>
        <w:t xml:space="preserve"> in ordine alla composizione della commissione giudicatrice</w:t>
      </w:r>
      <w:r w:rsidR="0040699F" w:rsidRPr="00F02CD2">
        <w:rPr>
          <w:rFonts w:ascii="Titillium" w:hAnsi="Titillium"/>
          <w:sz w:val="20"/>
          <w:szCs w:val="20"/>
        </w:rPr>
        <w:t>;</w:t>
      </w:r>
    </w:p>
    <w:p w:rsidR="0012593E" w:rsidRPr="0040699F" w:rsidRDefault="00332723" w:rsidP="0040699F">
      <w:pPr>
        <w:spacing w:before="120" w:after="120" w:line="276" w:lineRule="auto"/>
        <w:jc w:val="center"/>
        <w:rPr>
          <w:rFonts w:ascii="Gotham Light" w:hAnsi="Gotham Light" w:cs="Arial"/>
          <w:b/>
          <w:color w:val="2E74B5"/>
        </w:rPr>
      </w:pPr>
      <w:r w:rsidRPr="00B6390B">
        <w:rPr>
          <w:rFonts w:ascii="Gotham Light" w:hAnsi="Gotham Light" w:cs="Arial"/>
          <w:b/>
          <w:color w:val="2E74B5"/>
        </w:rPr>
        <w:t>D I S P O N E</w:t>
      </w:r>
    </w:p>
    <w:p w:rsidR="009A4D19" w:rsidRPr="009A4D19" w:rsidRDefault="009A4D19" w:rsidP="009A4D19">
      <w:pPr>
        <w:pStyle w:val="Paragrafoelenco"/>
        <w:spacing w:after="240" w:line="276" w:lineRule="auto"/>
        <w:ind w:left="284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la nomina </w:t>
      </w:r>
      <w:r w:rsidRPr="009A4D19">
        <w:rPr>
          <w:rFonts w:ascii="Titillium" w:hAnsi="Titillium"/>
          <w:sz w:val="20"/>
          <w:szCs w:val="20"/>
        </w:rPr>
        <w:t>della Commissione giudicatrice della procedura indicata in premessa, come di seguito indicato:</w:t>
      </w:r>
    </w:p>
    <w:p w:rsidR="009A4D19" w:rsidRPr="009A4D19" w:rsidRDefault="009A4D19" w:rsidP="009A4D19">
      <w:pPr>
        <w:pStyle w:val="Paragrafoelenco"/>
        <w:spacing w:after="240" w:line="276" w:lineRule="auto"/>
        <w:ind w:left="284"/>
        <w:jc w:val="both"/>
        <w:rPr>
          <w:rFonts w:ascii="Titillium" w:hAnsi="Titillium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2111"/>
        <w:gridCol w:w="2111"/>
        <w:gridCol w:w="3859"/>
      </w:tblGrid>
      <w:tr w:rsidR="009A4D19" w:rsidRPr="00F02CD2" w:rsidTr="00421998">
        <w:tc>
          <w:tcPr>
            <w:tcW w:w="808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b/>
                <w:sz w:val="20"/>
                <w:szCs w:val="20"/>
              </w:rPr>
            </w:pPr>
            <w:bookmarkStart w:id="0" w:name="_GoBack"/>
            <w:bookmarkEnd w:id="0"/>
            <w:r w:rsidRPr="00F02CD2">
              <w:rPr>
                <w:rFonts w:ascii="Titillium" w:hAnsi="Titillium"/>
                <w:b/>
                <w:sz w:val="20"/>
                <w:szCs w:val="20"/>
              </w:rPr>
              <w:t>Presidente:</w:t>
            </w:r>
          </w:p>
        </w:tc>
        <w:tc>
          <w:tcPr>
            <w:tcW w:w="1095" w:type="pct"/>
          </w:tcPr>
          <w:p w:rsidR="009A4D19" w:rsidRPr="00F02CD2" w:rsidRDefault="00F02CD2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Federico Dini</w:t>
            </w:r>
          </w:p>
        </w:tc>
        <w:tc>
          <w:tcPr>
            <w:tcW w:w="1095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  <w:tc>
          <w:tcPr>
            <w:tcW w:w="2002" w:type="pct"/>
          </w:tcPr>
          <w:p w:rsidR="009A4D19" w:rsidRPr="00F02CD2" w:rsidRDefault="00F02CD2" w:rsidP="00102BB3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Dirigente</w:t>
            </w:r>
            <w:r w:rsidR="009A4D19" w:rsidRPr="00F02CD2">
              <w:rPr>
                <w:rFonts w:ascii="Titillium" w:hAnsi="Titillium"/>
                <w:sz w:val="20"/>
                <w:szCs w:val="20"/>
              </w:rPr>
              <w:t xml:space="preserve"> </w:t>
            </w:r>
            <w:proofErr w:type="spellStart"/>
            <w:r w:rsidRPr="00F02CD2">
              <w:rPr>
                <w:rFonts w:ascii="Titillium" w:hAnsi="Titillium"/>
                <w:sz w:val="20"/>
                <w:szCs w:val="20"/>
              </w:rPr>
              <w:t>UOS</w:t>
            </w:r>
            <w:proofErr w:type="spellEnd"/>
          </w:p>
        </w:tc>
      </w:tr>
      <w:tr w:rsidR="009A4D19" w:rsidRPr="00F02CD2" w:rsidTr="00421998">
        <w:tc>
          <w:tcPr>
            <w:tcW w:w="808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b/>
                <w:sz w:val="20"/>
                <w:szCs w:val="20"/>
              </w:rPr>
            </w:pPr>
            <w:r w:rsidRPr="00F02CD2">
              <w:rPr>
                <w:rFonts w:ascii="Titillium" w:hAnsi="Titillium"/>
                <w:b/>
                <w:sz w:val="20"/>
                <w:szCs w:val="20"/>
              </w:rPr>
              <w:t xml:space="preserve">Componente: </w:t>
            </w:r>
          </w:p>
        </w:tc>
        <w:tc>
          <w:tcPr>
            <w:tcW w:w="1095" w:type="pct"/>
          </w:tcPr>
          <w:p w:rsidR="009A4D19" w:rsidRPr="00F02CD2" w:rsidRDefault="00F02CD2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Maria Rosa Simonetti</w:t>
            </w:r>
          </w:p>
        </w:tc>
        <w:tc>
          <w:tcPr>
            <w:tcW w:w="1095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  <w:tc>
          <w:tcPr>
            <w:tcW w:w="2002" w:type="pct"/>
          </w:tcPr>
          <w:p w:rsidR="009A4D19" w:rsidRPr="00F02CD2" w:rsidRDefault="00F02CD2" w:rsidP="00F02CD2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Funzionaria</w:t>
            </w:r>
            <w:r w:rsidR="009A4D19" w:rsidRPr="00F02CD2">
              <w:rPr>
                <w:rFonts w:ascii="Titillium" w:hAnsi="Titillium"/>
                <w:sz w:val="20"/>
                <w:szCs w:val="20"/>
              </w:rPr>
              <w:t xml:space="preserve"> </w:t>
            </w:r>
            <w:proofErr w:type="spellStart"/>
            <w:r w:rsidRPr="00F02CD2">
              <w:rPr>
                <w:rFonts w:ascii="Titillium" w:hAnsi="Titillium"/>
                <w:sz w:val="20"/>
                <w:szCs w:val="20"/>
              </w:rPr>
              <w:t>UVLA</w:t>
            </w:r>
            <w:proofErr w:type="spellEnd"/>
          </w:p>
        </w:tc>
      </w:tr>
      <w:tr w:rsidR="009A4D19" w:rsidRPr="00F02CD2" w:rsidTr="00421998">
        <w:tc>
          <w:tcPr>
            <w:tcW w:w="808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b/>
                <w:sz w:val="20"/>
                <w:szCs w:val="20"/>
              </w:rPr>
            </w:pPr>
            <w:r w:rsidRPr="00F02CD2">
              <w:rPr>
                <w:rFonts w:ascii="Titillium" w:hAnsi="Titillium"/>
                <w:b/>
                <w:sz w:val="20"/>
                <w:szCs w:val="20"/>
              </w:rPr>
              <w:t>Componente:</w:t>
            </w:r>
          </w:p>
        </w:tc>
        <w:tc>
          <w:tcPr>
            <w:tcW w:w="1095" w:type="pct"/>
          </w:tcPr>
          <w:p w:rsidR="009A4D19" w:rsidRPr="00F02CD2" w:rsidRDefault="00F02CD2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Roberto Mariotti</w:t>
            </w:r>
          </w:p>
        </w:tc>
        <w:tc>
          <w:tcPr>
            <w:tcW w:w="1095" w:type="pct"/>
          </w:tcPr>
          <w:p w:rsidR="009A4D19" w:rsidRPr="00F02CD2" w:rsidRDefault="009A4D19" w:rsidP="00421998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  <w:tc>
          <w:tcPr>
            <w:tcW w:w="2002" w:type="pct"/>
          </w:tcPr>
          <w:p w:rsidR="009A4D19" w:rsidRPr="00F02CD2" w:rsidRDefault="00B969C1" w:rsidP="00102BB3">
            <w:pPr>
              <w:pStyle w:val="Paragrafoelenco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ascii="Titillium" w:hAnsi="Titillium"/>
                <w:sz w:val="20"/>
                <w:szCs w:val="20"/>
              </w:rPr>
            </w:pPr>
            <w:r w:rsidRPr="00F02CD2">
              <w:rPr>
                <w:rFonts w:ascii="Titillium" w:hAnsi="Titillium"/>
                <w:sz w:val="20"/>
                <w:szCs w:val="20"/>
              </w:rPr>
              <w:t>Funzionario</w:t>
            </w:r>
            <w:r w:rsidR="009A4D19" w:rsidRPr="00F02CD2">
              <w:rPr>
                <w:rFonts w:ascii="Titillium" w:hAnsi="Titillium"/>
                <w:sz w:val="20"/>
                <w:szCs w:val="20"/>
              </w:rPr>
              <w:t xml:space="preserve"> </w:t>
            </w:r>
            <w:proofErr w:type="spellStart"/>
            <w:r w:rsidR="00F02CD2" w:rsidRPr="00F02CD2">
              <w:rPr>
                <w:rFonts w:ascii="Titillium" w:hAnsi="Titillium"/>
                <w:sz w:val="20"/>
                <w:szCs w:val="20"/>
              </w:rPr>
              <w:t>UVSOA</w:t>
            </w:r>
            <w:proofErr w:type="spellEnd"/>
          </w:p>
        </w:tc>
      </w:tr>
    </w:tbl>
    <w:p w:rsidR="009A4D19" w:rsidRPr="00F02CD2" w:rsidRDefault="009A4D19" w:rsidP="009A4D19">
      <w:pPr>
        <w:pStyle w:val="Paragrafoelenco"/>
        <w:spacing w:after="240" w:line="276" w:lineRule="auto"/>
        <w:ind w:left="284"/>
        <w:jc w:val="both"/>
        <w:rPr>
          <w:rFonts w:ascii="Titillium" w:hAnsi="Titillium"/>
          <w:sz w:val="20"/>
          <w:szCs w:val="20"/>
        </w:rPr>
      </w:pPr>
    </w:p>
    <w:p w:rsidR="009A4D19" w:rsidRDefault="009A4D19" w:rsidP="009A4D19">
      <w:pPr>
        <w:pStyle w:val="Paragrafoelenco"/>
        <w:spacing w:after="240" w:line="276" w:lineRule="auto"/>
        <w:ind w:left="284"/>
        <w:contextualSpacing w:val="0"/>
        <w:jc w:val="both"/>
        <w:rPr>
          <w:rFonts w:ascii="Titillium" w:hAnsi="Titillium"/>
          <w:sz w:val="20"/>
          <w:szCs w:val="20"/>
        </w:rPr>
      </w:pPr>
      <w:r w:rsidRPr="00F02CD2">
        <w:rPr>
          <w:rFonts w:ascii="Titillium" w:hAnsi="Titillium"/>
          <w:sz w:val="20"/>
          <w:szCs w:val="20"/>
        </w:rPr>
        <w:t>Svolge le funzion</w:t>
      </w:r>
      <w:r w:rsidR="00F02CD2" w:rsidRPr="00F02CD2">
        <w:rPr>
          <w:rFonts w:ascii="Titillium" w:hAnsi="Titillium"/>
          <w:sz w:val="20"/>
          <w:szCs w:val="20"/>
        </w:rPr>
        <w:t>i di Segretario: Marco Di Russo</w:t>
      </w:r>
      <w:r w:rsidRPr="00F02CD2">
        <w:rPr>
          <w:rFonts w:ascii="Titillium" w:hAnsi="Titillium"/>
          <w:sz w:val="20"/>
          <w:szCs w:val="20"/>
        </w:rPr>
        <w:t xml:space="preserve">, </w:t>
      </w:r>
      <w:r w:rsidR="00B969C1" w:rsidRPr="00F02CD2">
        <w:rPr>
          <w:rFonts w:ascii="Titillium" w:hAnsi="Titillium"/>
          <w:sz w:val="20"/>
          <w:szCs w:val="20"/>
        </w:rPr>
        <w:t>in servizio</w:t>
      </w:r>
      <w:r w:rsidR="00F02CD2" w:rsidRPr="00F02CD2">
        <w:rPr>
          <w:rFonts w:ascii="Titillium" w:hAnsi="Titillium"/>
          <w:sz w:val="20"/>
          <w:szCs w:val="20"/>
        </w:rPr>
        <w:t xml:space="preserve"> presso l’Ufficio </w:t>
      </w:r>
      <w:proofErr w:type="spellStart"/>
      <w:r w:rsidR="00F02CD2" w:rsidRPr="00F02CD2">
        <w:rPr>
          <w:rFonts w:ascii="Titillium" w:hAnsi="Titillium"/>
          <w:sz w:val="20"/>
          <w:szCs w:val="20"/>
        </w:rPr>
        <w:t>UTE</w:t>
      </w:r>
      <w:proofErr w:type="spellEnd"/>
      <w:r w:rsidR="00102BB3" w:rsidRPr="00F02CD2">
        <w:rPr>
          <w:rFonts w:ascii="Titillium" w:hAnsi="Titillium"/>
          <w:sz w:val="20"/>
          <w:szCs w:val="20"/>
        </w:rPr>
        <w:t>.</w:t>
      </w:r>
      <w:r w:rsidR="00102BB3">
        <w:rPr>
          <w:rFonts w:ascii="Titillium" w:hAnsi="Titillium"/>
          <w:sz w:val="20"/>
          <w:szCs w:val="20"/>
        </w:rPr>
        <w:t xml:space="preserve"> </w:t>
      </w:r>
    </w:p>
    <w:p w:rsidR="00E70CFA" w:rsidRPr="00B969C1" w:rsidRDefault="00102BB3" w:rsidP="00B969C1">
      <w:pPr>
        <w:pStyle w:val="Paragrafoelenco"/>
        <w:spacing w:after="240" w:line="276" w:lineRule="auto"/>
        <w:ind w:left="284"/>
        <w:contextualSpacing w:val="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Gli atti esaminati ed i relativi verbali di gara andranno restituiti all’Ufficio Gare e Logistica per i successivi adempimenti di competenza.</w:t>
      </w:r>
    </w:p>
    <w:tbl>
      <w:tblPr>
        <w:tblW w:w="4854" w:type="pct"/>
        <w:tblInd w:w="14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2549"/>
        <w:gridCol w:w="2697"/>
      </w:tblGrid>
      <w:tr w:rsidR="00E70CFA" w:rsidRPr="00B23DE4" w:rsidTr="00E70CFA">
        <w:trPr>
          <w:trHeight w:val="658"/>
        </w:trPr>
        <w:tc>
          <w:tcPr>
            <w:tcW w:w="2197" w:type="pct"/>
            <w:shd w:val="clear" w:color="auto" w:fill="2770B7"/>
            <w:vAlign w:val="center"/>
          </w:tcPr>
          <w:p w:rsidR="00E70CFA" w:rsidRPr="003E4C0E" w:rsidRDefault="00E70CFA" w:rsidP="009536A8">
            <w:pPr>
              <w:pStyle w:val="ANCATABELLATITOLOBIANCO"/>
              <w:ind w:left="0"/>
              <w:rPr>
                <w:lang w:val="it-IT"/>
              </w:rPr>
            </w:pPr>
          </w:p>
        </w:tc>
        <w:tc>
          <w:tcPr>
            <w:tcW w:w="1362" w:type="pct"/>
            <w:shd w:val="clear" w:color="auto" w:fill="2770B7"/>
          </w:tcPr>
          <w:p w:rsidR="00E70CFA" w:rsidRPr="003E4C0E" w:rsidRDefault="00E70CFA" w:rsidP="009536A8">
            <w:pPr>
              <w:pStyle w:val="ANCATABELLATITOLOBIANCO"/>
              <w:ind w:left="0"/>
              <w:rPr>
                <w:lang w:val="it-IT"/>
              </w:rPr>
            </w:pPr>
          </w:p>
        </w:tc>
        <w:tc>
          <w:tcPr>
            <w:tcW w:w="1441" w:type="pct"/>
            <w:shd w:val="clear" w:color="auto" w:fill="2770B7"/>
            <w:vAlign w:val="center"/>
          </w:tcPr>
          <w:p w:rsidR="00E70CFA" w:rsidRPr="00B23DE4" w:rsidRDefault="00E70CFA" w:rsidP="009536A8">
            <w:pPr>
              <w:pStyle w:val="ANCATABELLATITOLOBIANCO"/>
              <w:ind w:left="0"/>
              <w:rPr>
                <w:lang w:val="it-IT"/>
              </w:rPr>
            </w:pPr>
            <w:r w:rsidRPr="00B23DE4">
              <w:rPr>
                <w:lang w:val="it-IT"/>
              </w:rPr>
              <w:t xml:space="preserve">Il </w:t>
            </w:r>
            <w:r>
              <w:rPr>
                <w:lang w:val="it-IT"/>
              </w:rPr>
              <w:t>Segretario Generale</w:t>
            </w:r>
            <w:r w:rsidRPr="00B23DE4">
              <w:rPr>
                <w:lang w:val="it-IT"/>
              </w:rPr>
              <w:t xml:space="preserve"> </w:t>
            </w:r>
          </w:p>
        </w:tc>
      </w:tr>
    </w:tbl>
    <w:p w:rsidR="004A53E6" w:rsidRPr="00B969C1" w:rsidRDefault="004A53E6" w:rsidP="00B969C1">
      <w:pPr>
        <w:spacing w:before="120" w:after="120" w:line="276" w:lineRule="auto"/>
        <w:rPr>
          <w:rFonts w:ascii="Titillium" w:hAnsi="Titillium"/>
          <w:sz w:val="20"/>
          <w:szCs w:val="20"/>
        </w:rPr>
      </w:pPr>
      <w:r w:rsidRPr="00C95049">
        <w:rPr>
          <w:rFonts w:ascii="Titilium Regular" w:hAnsi="Titilium Regular"/>
          <w:i/>
        </w:rPr>
        <w:tab/>
      </w:r>
      <w:r w:rsidRPr="00C95049">
        <w:rPr>
          <w:rFonts w:ascii="Titilium Regular" w:hAnsi="Titilium Regular"/>
          <w:i/>
        </w:rPr>
        <w:tab/>
      </w:r>
      <w:r w:rsidRPr="00C95049">
        <w:rPr>
          <w:rFonts w:ascii="Titilium Regular" w:hAnsi="Titilium Regular"/>
          <w:i/>
        </w:rPr>
        <w:tab/>
      </w:r>
      <w:r w:rsidRPr="00C95049">
        <w:rPr>
          <w:rFonts w:ascii="Titilium Regular" w:hAnsi="Titilium Regular"/>
          <w:i/>
        </w:rPr>
        <w:tab/>
      </w:r>
      <w:r w:rsidR="00E70CFA">
        <w:rPr>
          <w:rFonts w:ascii="Titilium Regular" w:hAnsi="Titilium Regular"/>
          <w:i/>
        </w:rPr>
        <w:t xml:space="preserve">                                </w:t>
      </w:r>
      <w:r w:rsidR="004072EB">
        <w:rPr>
          <w:rFonts w:ascii="Titilium Regular" w:hAnsi="Titilium Regular"/>
          <w:i/>
        </w:rPr>
        <w:t xml:space="preserve">                        </w:t>
      </w:r>
      <w:r w:rsidR="00E70CFA">
        <w:rPr>
          <w:rFonts w:ascii="Titilium Regular" w:hAnsi="Titilium Regular"/>
          <w:i/>
        </w:rPr>
        <w:t xml:space="preserve"> </w:t>
      </w:r>
      <w:r w:rsidR="00385D7E">
        <w:rPr>
          <w:rFonts w:ascii="Titilium Regular" w:hAnsi="Titilium Regular"/>
        </w:rPr>
        <w:t xml:space="preserve">           </w:t>
      </w:r>
      <w:r w:rsidR="00385D7E" w:rsidRPr="00385D7E">
        <w:rPr>
          <w:rFonts w:ascii="Titillium" w:hAnsi="Titillium"/>
          <w:sz w:val="20"/>
          <w:szCs w:val="20"/>
        </w:rPr>
        <w:t>Cons. Renato Catalano</w:t>
      </w:r>
    </w:p>
    <w:sectPr w:rsidR="004A53E6" w:rsidRPr="00B969C1" w:rsidSect="003E4C0E">
      <w:headerReference w:type="default" r:id="rId8"/>
      <w:pgSz w:w="11906" w:h="16838"/>
      <w:pgMar w:top="2410" w:right="1134" w:bottom="1276" w:left="1134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F9" w:rsidRDefault="00952CF9" w:rsidP="00332723">
      <w:r>
        <w:separator/>
      </w:r>
    </w:p>
  </w:endnote>
  <w:endnote w:type="continuationSeparator" w:id="0">
    <w:p w:rsidR="00952CF9" w:rsidRDefault="00952CF9" w:rsidP="0033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ium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F9" w:rsidRDefault="00952CF9" w:rsidP="00332723">
      <w:r>
        <w:separator/>
      </w:r>
    </w:p>
  </w:footnote>
  <w:footnote w:type="continuationSeparator" w:id="0">
    <w:p w:rsidR="00952CF9" w:rsidRDefault="00952CF9" w:rsidP="0033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9F" w:rsidRPr="0040699F" w:rsidRDefault="00C95049" w:rsidP="008B6ABE">
    <w:pPr>
      <w:tabs>
        <w:tab w:val="center" w:pos="4678"/>
      </w:tabs>
      <w:spacing w:before="120"/>
      <w:ind w:right="284"/>
      <w:rPr>
        <w:i/>
        <w:color w:val="1F497D"/>
        <w:sz w:val="20"/>
        <w:szCs w:val="20"/>
      </w:rPr>
    </w:pPr>
    <w:r>
      <w:rPr>
        <w:noProof/>
      </w:rPr>
      <w:drawing>
        <wp:inline distT="0" distB="0" distL="0" distR="0" wp14:anchorId="6CF98EE3" wp14:editId="3CEB9739">
          <wp:extent cx="3169920" cy="40259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17300A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3466D"/>
    <w:multiLevelType w:val="hybridMultilevel"/>
    <w:tmpl w:val="AFEEC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52"/>
    <w:rsid w:val="000209F6"/>
    <w:rsid w:val="00022368"/>
    <w:rsid w:val="000458D6"/>
    <w:rsid w:val="000650BE"/>
    <w:rsid w:val="00102BB3"/>
    <w:rsid w:val="00110EE1"/>
    <w:rsid w:val="0012593E"/>
    <w:rsid w:val="001F06BC"/>
    <w:rsid w:val="001F74B3"/>
    <w:rsid w:val="00211561"/>
    <w:rsid w:val="00212000"/>
    <w:rsid w:val="00212EAF"/>
    <w:rsid w:val="002175C6"/>
    <w:rsid w:val="00223C0D"/>
    <w:rsid w:val="00231CCC"/>
    <w:rsid w:val="0023328A"/>
    <w:rsid w:val="002578C0"/>
    <w:rsid w:val="0026529A"/>
    <w:rsid w:val="00315207"/>
    <w:rsid w:val="00332723"/>
    <w:rsid w:val="003574BE"/>
    <w:rsid w:val="00366BF6"/>
    <w:rsid w:val="00385D7E"/>
    <w:rsid w:val="003953F4"/>
    <w:rsid w:val="003A7A5A"/>
    <w:rsid w:val="003B4801"/>
    <w:rsid w:val="003D4614"/>
    <w:rsid w:val="003E4C0E"/>
    <w:rsid w:val="003E5D79"/>
    <w:rsid w:val="00404289"/>
    <w:rsid w:val="00406276"/>
    <w:rsid w:val="0040699F"/>
    <w:rsid w:val="004072EB"/>
    <w:rsid w:val="00414BA9"/>
    <w:rsid w:val="00463CE9"/>
    <w:rsid w:val="00465FCD"/>
    <w:rsid w:val="00472286"/>
    <w:rsid w:val="004843CF"/>
    <w:rsid w:val="004854B5"/>
    <w:rsid w:val="00485612"/>
    <w:rsid w:val="00487647"/>
    <w:rsid w:val="004A53E6"/>
    <w:rsid w:val="004D7473"/>
    <w:rsid w:val="004E0347"/>
    <w:rsid w:val="004E12C3"/>
    <w:rsid w:val="0052461B"/>
    <w:rsid w:val="005273C2"/>
    <w:rsid w:val="005565FA"/>
    <w:rsid w:val="0058739E"/>
    <w:rsid w:val="005A2153"/>
    <w:rsid w:val="005E6E80"/>
    <w:rsid w:val="005F5C0C"/>
    <w:rsid w:val="00632F5C"/>
    <w:rsid w:val="0063524C"/>
    <w:rsid w:val="00695A16"/>
    <w:rsid w:val="006979D2"/>
    <w:rsid w:val="006A4252"/>
    <w:rsid w:val="007228DC"/>
    <w:rsid w:val="00723555"/>
    <w:rsid w:val="00727CF5"/>
    <w:rsid w:val="00727FF0"/>
    <w:rsid w:val="007679A2"/>
    <w:rsid w:val="007840EA"/>
    <w:rsid w:val="00793F70"/>
    <w:rsid w:val="007B5FA8"/>
    <w:rsid w:val="007E37F5"/>
    <w:rsid w:val="008460B1"/>
    <w:rsid w:val="008B6ABE"/>
    <w:rsid w:val="008D46D1"/>
    <w:rsid w:val="00952CF9"/>
    <w:rsid w:val="009723AB"/>
    <w:rsid w:val="009A4D19"/>
    <w:rsid w:val="009B2060"/>
    <w:rsid w:val="009B7148"/>
    <w:rsid w:val="00A6677D"/>
    <w:rsid w:val="00A67C23"/>
    <w:rsid w:val="00A80E47"/>
    <w:rsid w:val="00A90DE9"/>
    <w:rsid w:val="00AE6E4B"/>
    <w:rsid w:val="00B37CA5"/>
    <w:rsid w:val="00B40E23"/>
    <w:rsid w:val="00B613FA"/>
    <w:rsid w:val="00B6390B"/>
    <w:rsid w:val="00B7127D"/>
    <w:rsid w:val="00B80660"/>
    <w:rsid w:val="00B80C02"/>
    <w:rsid w:val="00B9335C"/>
    <w:rsid w:val="00B969C1"/>
    <w:rsid w:val="00BA5196"/>
    <w:rsid w:val="00BB7FB4"/>
    <w:rsid w:val="00BC1267"/>
    <w:rsid w:val="00BD1180"/>
    <w:rsid w:val="00BF15B5"/>
    <w:rsid w:val="00C108D7"/>
    <w:rsid w:val="00C17086"/>
    <w:rsid w:val="00C60786"/>
    <w:rsid w:val="00C95049"/>
    <w:rsid w:val="00CA5AA2"/>
    <w:rsid w:val="00CC05E6"/>
    <w:rsid w:val="00D03AB2"/>
    <w:rsid w:val="00D17E5C"/>
    <w:rsid w:val="00D844E1"/>
    <w:rsid w:val="00DB1F58"/>
    <w:rsid w:val="00DD2A6C"/>
    <w:rsid w:val="00E0103A"/>
    <w:rsid w:val="00E07DDB"/>
    <w:rsid w:val="00E27E0A"/>
    <w:rsid w:val="00E471BD"/>
    <w:rsid w:val="00E54758"/>
    <w:rsid w:val="00E55C0A"/>
    <w:rsid w:val="00E637CD"/>
    <w:rsid w:val="00E70CFA"/>
    <w:rsid w:val="00EA39F0"/>
    <w:rsid w:val="00EE5A02"/>
    <w:rsid w:val="00F02CD2"/>
    <w:rsid w:val="00F50B94"/>
    <w:rsid w:val="00F72632"/>
    <w:rsid w:val="00F779A2"/>
    <w:rsid w:val="00F77C35"/>
    <w:rsid w:val="00F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6F08"/>
  <w15:chartTrackingRefBased/>
  <w15:docId w15:val="{0E96DBE6-CEEE-4BB2-BAFC-3A680CF9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2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27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327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27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27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4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4B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727FF0"/>
    <w:pPr>
      <w:spacing w:before="100" w:beforeAutospacing="1" w:after="119"/>
    </w:pPr>
    <w:rPr>
      <w:rFonts w:eastAsiaTheme="minorHAnsi"/>
    </w:rPr>
  </w:style>
  <w:style w:type="paragraph" w:customStyle="1" w:styleId="ANCATABELLATITOLOBIANCO">
    <w:name w:val="ANCA_TABELLA_TITOLO BIANCO"/>
    <w:basedOn w:val="Normale"/>
    <w:qFormat/>
    <w:rsid w:val="008B6ABE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Gotham Book" w:eastAsiaTheme="minorHAnsi" w:hAnsi="Gotham Book" w:cs="Titillium Web"/>
      <w:color w:val="FFFFFF" w:themeColor="background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ACF32E60-0576-458F-B6CA-FA2FC576B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C3982-8017-4645-A6DE-EF645A89C7D9}"/>
</file>

<file path=customXml/itemProps3.xml><?xml version="1.0" encoding="utf-8"?>
<ds:datastoreItem xmlns:ds="http://schemas.openxmlformats.org/officeDocument/2006/customXml" ds:itemID="{DADD37C7-522F-48CD-B669-94EDB76EE812}"/>
</file>

<file path=customXml/itemProps4.xml><?xml version="1.0" encoding="utf-8"?>
<ds:datastoreItem xmlns:ds="http://schemas.openxmlformats.org/officeDocument/2006/customXml" ds:itemID="{8046B689-EE86-4A06-B4BE-E2DC974F4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Nazionale Anticorruzione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dc:description/>
  <cp:lastModifiedBy>Fontana Paolo</cp:lastModifiedBy>
  <cp:revision>5</cp:revision>
  <cp:lastPrinted>2021-11-23T15:00:00Z</cp:lastPrinted>
  <dcterms:created xsi:type="dcterms:W3CDTF">2022-01-07T16:04:00Z</dcterms:created>
  <dcterms:modified xsi:type="dcterms:W3CDTF">2022-03-09T08:32:00Z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