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F8FE" w14:textId="77777777" w:rsidR="00D17091" w:rsidRDefault="00D17091" w:rsidP="00D17091">
      <w:pPr>
        <w:rPr>
          <w:rFonts w:ascii="Titillium" w:hAnsi="Titillium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67E99711" wp14:editId="075564AF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DFAFF" w14:textId="13DB6733" w:rsidR="00D17091" w:rsidRDefault="00D17091" w:rsidP="00D17091">
      <w:pPr>
        <w:rPr>
          <w:rFonts w:ascii="Titillium" w:hAnsi="Titillium"/>
          <w:sz w:val="18"/>
          <w:szCs w:val="18"/>
        </w:rPr>
      </w:pPr>
    </w:p>
    <w:p w14:paraId="6312CF5D" w14:textId="46550061" w:rsidR="00773936" w:rsidRPr="008A5383" w:rsidRDefault="00773936" w:rsidP="00773936">
      <w:pPr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  <w:szCs w:val="24"/>
        </w:rPr>
      </w:pPr>
      <w:r w:rsidRPr="008A5383">
        <w:rPr>
          <w:rFonts w:ascii="Gotham Light" w:eastAsiaTheme="majorEastAsia" w:hAnsi="Gotham Light" w:cstheme="majorBidi"/>
          <w:b/>
          <w:color w:val="2E74B5" w:themeColor="accent1" w:themeShade="BF"/>
          <w:sz w:val="28"/>
          <w:szCs w:val="24"/>
        </w:rPr>
        <w:t>MODELLO C</w:t>
      </w:r>
    </w:p>
    <w:p w14:paraId="2AC2D07F" w14:textId="4769E84D" w:rsidR="00D17091" w:rsidRPr="00D17091" w:rsidRDefault="00773936" w:rsidP="00D17091">
      <w:pPr>
        <w:pStyle w:val="Default"/>
        <w:jc w:val="both"/>
        <w:rPr>
          <w:rFonts w:ascii="Gotham Light" w:eastAsiaTheme="majorEastAsia" w:hAnsi="Gotham Light" w:cstheme="majorBidi"/>
          <w:color w:val="2E74B5" w:themeColor="accent1" w:themeShade="BF"/>
          <w:sz w:val="28"/>
        </w:rPr>
      </w:pPr>
      <w:r>
        <w:rPr>
          <w:rFonts w:ascii="Gotham Light" w:eastAsiaTheme="majorEastAsia" w:hAnsi="Gotham Light" w:cstheme="majorBidi"/>
          <w:color w:val="2E74B5" w:themeColor="accent1" w:themeShade="BF"/>
          <w:sz w:val="28"/>
        </w:rPr>
        <w:t>C</w:t>
      </w:r>
      <w:r w:rsidR="00D17091" w:rsidRPr="00D17091">
        <w:rPr>
          <w:rFonts w:ascii="Gotham Light" w:eastAsiaTheme="majorEastAsia" w:hAnsi="Gotham Light" w:cstheme="majorBidi"/>
          <w:color w:val="2E74B5" w:themeColor="accent1" w:themeShade="BF"/>
          <w:sz w:val="28"/>
        </w:rPr>
        <w:t>omunicazione delle notizie rilevanti ai sensi dell’articolo 213, comma 10 del codice dei contratti pubblici.</w:t>
      </w:r>
    </w:p>
    <w:p w14:paraId="0EC55309" w14:textId="77777777" w:rsidR="00D17091" w:rsidRPr="00D17091" w:rsidRDefault="00D17091" w:rsidP="00D17091">
      <w:pPr>
        <w:rPr>
          <w:rFonts w:ascii="Titillium" w:hAnsi="Titillium"/>
        </w:rPr>
      </w:pPr>
    </w:p>
    <w:p w14:paraId="430F2AE7" w14:textId="77777777" w:rsidR="00D17091" w:rsidRPr="00D17091" w:rsidRDefault="00D17091" w:rsidP="00D17091">
      <w:pPr>
        <w:rPr>
          <w:rFonts w:ascii="Titillium" w:hAnsi="Titillium"/>
        </w:rPr>
      </w:pPr>
    </w:p>
    <w:p w14:paraId="7F670423" w14:textId="77777777" w:rsidR="00587B46" w:rsidRDefault="00D17091" w:rsidP="00587B46">
      <w:pPr>
        <w:spacing w:after="0"/>
        <w:ind w:left="5528"/>
        <w:jc w:val="right"/>
        <w:rPr>
          <w:rFonts w:ascii="Titillium" w:hAnsi="Titillium"/>
        </w:rPr>
      </w:pPr>
      <w:r w:rsidRPr="00D17091">
        <w:rPr>
          <w:rFonts w:ascii="Titillium" w:hAnsi="Titillium"/>
        </w:rPr>
        <w:t>All’Au</w:t>
      </w:r>
      <w:r w:rsidR="00587B46">
        <w:rPr>
          <w:rFonts w:ascii="Titillium" w:hAnsi="Titillium"/>
        </w:rPr>
        <w:t>torità Nazionale Anticorruzione</w:t>
      </w:r>
    </w:p>
    <w:p w14:paraId="37EDC752" w14:textId="31E07269" w:rsidR="00D17091" w:rsidRDefault="00587B46" w:rsidP="00587B46">
      <w:pPr>
        <w:spacing w:after="120" w:line="240" w:lineRule="auto"/>
        <w:ind w:left="5529"/>
        <w:jc w:val="right"/>
        <w:rPr>
          <w:rFonts w:ascii="Titillium" w:hAnsi="Titillium"/>
        </w:rPr>
      </w:pPr>
      <w:r>
        <w:rPr>
          <w:rFonts w:ascii="Titillium" w:hAnsi="Titillium"/>
        </w:rPr>
        <w:t xml:space="preserve">Ufficio </w:t>
      </w:r>
      <w:r w:rsidR="00D17091" w:rsidRPr="00D17091">
        <w:rPr>
          <w:rFonts w:ascii="Titillium" w:hAnsi="Titillium"/>
        </w:rPr>
        <w:t>Sanzioni SOA e operatori economici qualificati e annotazion</w:t>
      </w:r>
      <w:r>
        <w:rPr>
          <w:rFonts w:ascii="Titillium" w:hAnsi="Titillium"/>
        </w:rPr>
        <w:t>i (USAN</w:t>
      </w:r>
      <w:r w:rsidR="00D17091">
        <w:rPr>
          <w:rFonts w:ascii="Titillium" w:hAnsi="Titillium"/>
        </w:rPr>
        <w:t>SOA)</w:t>
      </w:r>
    </w:p>
    <w:p w14:paraId="380461BE" w14:textId="77777777" w:rsidR="00D17091" w:rsidRPr="00D17091" w:rsidRDefault="00D17091" w:rsidP="00587B46">
      <w:pPr>
        <w:spacing w:after="120" w:line="240" w:lineRule="auto"/>
        <w:ind w:left="5529"/>
        <w:jc w:val="right"/>
        <w:rPr>
          <w:rFonts w:ascii="Titillium" w:hAnsi="Titillium"/>
        </w:rPr>
      </w:pPr>
      <w:r w:rsidRPr="00D17091">
        <w:rPr>
          <w:rFonts w:ascii="Titillium" w:hAnsi="Titillium"/>
        </w:rPr>
        <w:t xml:space="preserve">via </w:t>
      </w:r>
      <w:proofErr w:type="spellStart"/>
      <w:r w:rsidRPr="00D17091">
        <w:rPr>
          <w:rFonts w:ascii="Titillium" w:hAnsi="Titillium"/>
        </w:rPr>
        <w:t>Minghetti</w:t>
      </w:r>
      <w:proofErr w:type="spellEnd"/>
      <w:r w:rsidRPr="00D17091">
        <w:rPr>
          <w:rFonts w:ascii="Titillium" w:hAnsi="Titillium"/>
        </w:rPr>
        <w:t xml:space="preserve"> ,10 </w:t>
      </w:r>
    </w:p>
    <w:p w14:paraId="1B267E68" w14:textId="77777777" w:rsidR="00D17091" w:rsidRPr="00D17091" w:rsidRDefault="00D17091" w:rsidP="00587B46">
      <w:pPr>
        <w:spacing w:after="120" w:line="240" w:lineRule="auto"/>
        <w:jc w:val="right"/>
        <w:rPr>
          <w:rFonts w:ascii="Titillium" w:hAnsi="Titillium"/>
        </w:rPr>
      </w:pPr>
      <w:r w:rsidRPr="00D17091">
        <w:rPr>
          <w:rFonts w:ascii="Titillium" w:hAnsi="Titillium"/>
        </w:rPr>
        <w:t xml:space="preserve">00187 – Roma </w:t>
      </w:r>
    </w:p>
    <w:p w14:paraId="2ECC2117" w14:textId="77777777" w:rsidR="00D17091" w:rsidRPr="00D17091" w:rsidRDefault="00D17091" w:rsidP="00587B46">
      <w:pPr>
        <w:spacing w:after="120" w:line="240" w:lineRule="auto"/>
        <w:jc w:val="right"/>
        <w:rPr>
          <w:rFonts w:ascii="Titillium" w:hAnsi="Titillium"/>
        </w:rPr>
      </w:pPr>
      <w:proofErr w:type="spellStart"/>
      <w:r w:rsidRPr="00D17091">
        <w:rPr>
          <w:rFonts w:ascii="Titillium" w:hAnsi="Titillium"/>
        </w:rPr>
        <w:t>pec</w:t>
      </w:r>
      <w:proofErr w:type="spellEnd"/>
      <w:r w:rsidRPr="00D17091">
        <w:rPr>
          <w:rFonts w:ascii="Titillium" w:hAnsi="Titillium"/>
        </w:rPr>
        <w:t xml:space="preserve">: protocollo@pec.anticorruzione.it </w:t>
      </w:r>
    </w:p>
    <w:p w14:paraId="681E49DE" w14:textId="77777777" w:rsidR="00D17091" w:rsidRPr="00D17091" w:rsidRDefault="00D17091" w:rsidP="00D17091">
      <w:pPr>
        <w:jc w:val="right"/>
        <w:rPr>
          <w:rFonts w:ascii="Titillium" w:hAnsi="Titillium"/>
        </w:rPr>
      </w:pPr>
    </w:p>
    <w:p w14:paraId="6D04B3AB" w14:textId="77777777" w:rsidR="00D17091" w:rsidRPr="00D17091" w:rsidRDefault="00D17091" w:rsidP="00D17091">
      <w:pPr>
        <w:jc w:val="right"/>
        <w:rPr>
          <w:rFonts w:ascii="Titillium" w:hAnsi="Titillium"/>
        </w:rPr>
      </w:pPr>
    </w:p>
    <w:p w14:paraId="686DA825" w14:textId="77984AF9" w:rsidR="00D17091" w:rsidRDefault="00D17091" w:rsidP="00D17091">
      <w:pPr>
        <w:jc w:val="right"/>
        <w:rPr>
          <w:rFonts w:ascii="Titillium" w:hAnsi="Titillium"/>
        </w:rPr>
      </w:pPr>
      <w:r w:rsidRPr="00D17091">
        <w:rPr>
          <w:rFonts w:ascii="Titillium" w:hAnsi="Titillium"/>
        </w:rPr>
        <w:t>e p.c</w:t>
      </w:r>
      <w:r w:rsidR="00587B46">
        <w:rPr>
          <w:rFonts w:ascii="Titillium" w:hAnsi="Titillium"/>
        </w:rPr>
        <w:t>. Operatore Economico segnalato</w:t>
      </w:r>
    </w:p>
    <w:p w14:paraId="288118A9" w14:textId="32D27C5F" w:rsidR="00587B46" w:rsidRDefault="00587B46" w:rsidP="00D17091">
      <w:pPr>
        <w:jc w:val="right"/>
        <w:rPr>
          <w:rFonts w:ascii="Titillium" w:hAnsi="Titillium"/>
        </w:rPr>
      </w:pPr>
    </w:p>
    <w:p w14:paraId="4FFA1AB5" w14:textId="77777777" w:rsidR="00587B46" w:rsidRPr="00D17091" w:rsidRDefault="00587B46" w:rsidP="00D17091">
      <w:pPr>
        <w:jc w:val="right"/>
        <w:rPr>
          <w:rFonts w:ascii="Titillium" w:hAnsi="Titillium"/>
        </w:rPr>
      </w:pPr>
    </w:p>
    <w:p w14:paraId="7B6E8094" w14:textId="77777777" w:rsidR="00D17091" w:rsidRPr="00E345CA" w:rsidRDefault="00282DA1" w:rsidP="00154E4A">
      <w:pPr>
        <w:pStyle w:val="Titolo1"/>
      </w:pPr>
      <w:r w:rsidRPr="00E345CA">
        <w:t>Dati Stazione Appaltante</w:t>
      </w:r>
    </w:p>
    <w:p w14:paraId="59479E3B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Codice Fiscale </w:t>
      </w:r>
      <w:r w:rsidRPr="00E345CA">
        <w:rPr>
          <w:szCs w:val="22"/>
        </w:rPr>
        <w:tab/>
      </w:r>
    </w:p>
    <w:p w14:paraId="2B8E3000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Denominazione </w:t>
      </w:r>
      <w:r w:rsidRPr="00E345CA">
        <w:rPr>
          <w:szCs w:val="22"/>
        </w:rPr>
        <w:tab/>
      </w:r>
    </w:p>
    <w:p w14:paraId="08D43F6D" w14:textId="1D0D6DA4" w:rsidR="00D17091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Indirizzo </w:t>
      </w:r>
      <w:r w:rsidRPr="00E345CA">
        <w:rPr>
          <w:szCs w:val="22"/>
        </w:rPr>
        <w:tab/>
      </w:r>
    </w:p>
    <w:p w14:paraId="2733DB43" w14:textId="77777777" w:rsidR="00E345CA" w:rsidRPr="00E345CA" w:rsidRDefault="00E345CA" w:rsidP="00E345CA">
      <w:pPr>
        <w:spacing w:after="0"/>
      </w:pPr>
    </w:p>
    <w:p w14:paraId="6933C2E1" w14:textId="77777777" w:rsidR="00D17091" w:rsidRPr="00E345CA" w:rsidRDefault="00D17091" w:rsidP="00154E4A">
      <w:pPr>
        <w:pStyle w:val="Titolo1"/>
      </w:pPr>
      <w:r w:rsidRPr="00E345CA">
        <w:t>Responsabile del Proced</w:t>
      </w:r>
      <w:r w:rsidR="00282DA1" w:rsidRPr="00E345CA">
        <w:t>imento/altra figura equivalente</w:t>
      </w:r>
    </w:p>
    <w:p w14:paraId="01C8189E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responsabile del procedimento </w:t>
      </w:r>
      <w:r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746527EF" w14:textId="77777777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418"/>
        <w:rPr>
          <w:szCs w:val="22"/>
        </w:rPr>
      </w:pPr>
      <w:r w:rsidRPr="00E345CA">
        <w:rPr>
          <w:szCs w:val="22"/>
        </w:rPr>
        <w:t xml:space="preserve">altra figura equivalente: </w:t>
      </w:r>
      <w:r w:rsidRPr="00E345CA">
        <w:rPr>
          <w:szCs w:val="22"/>
        </w:rPr>
        <w:tab/>
      </w:r>
    </w:p>
    <w:p w14:paraId="67B9E10D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 xml:space="preserve">Nome e Cognome </w:t>
      </w:r>
      <w:r w:rsidRPr="00E345CA">
        <w:rPr>
          <w:szCs w:val="22"/>
        </w:rPr>
        <w:tab/>
      </w:r>
    </w:p>
    <w:p w14:paraId="60FBAFC6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Ufficio/Settore preposto Ufficio Acquisti/RUP </w:t>
      </w:r>
      <w:r w:rsidRPr="00E345CA">
        <w:rPr>
          <w:szCs w:val="22"/>
        </w:rPr>
        <w:tab/>
      </w:r>
    </w:p>
    <w:p w14:paraId="32932907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N° telefono </w:t>
      </w:r>
      <w:r w:rsidRPr="00E345CA">
        <w:rPr>
          <w:szCs w:val="22"/>
        </w:rPr>
        <w:tab/>
      </w:r>
    </w:p>
    <w:p w14:paraId="5299D32C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proofErr w:type="spellStart"/>
      <w:r w:rsidRPr="00E345CA">
        <w:rPr>
          <w:szCs w:val="22"/>
        </w:rPr>
        <w:t>pec</w:t>
      </w:r>
      <w:proofErr w:type="spellEnd"/>
      <w:r w:rsidRPr="00E345CA">
        <w:rPr>
          <w:szCs w:val="22"/>
        </w:rPr>
        <w:t xml:space="preserve"> </w:t>
      </w:r>
      <w:r w:rsidRPr="00E345CA">
        <w:rPr>
          <w:szCs w:val="22"/>
        </w:rPr>
        <w:tab/>
      </w:r>
    </w:p>
    <w:p w14:paraId="724732D2" w14:textId="6D424836" w:rsidR="00D17091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>e-mail</w:t>
      </w:r>
      <w:r w:rsidRPr="00E345CA">
        <w:rPr>
          <w:szCs w:val="22"/>
        </w:rPr>
        <w:tab/>
      </w:r>
    </w:p>
    <w:p w14:paraId="22D93661" w14:textId="77777777" w:rsidR="00E345CA" w:rsidRPr="00E345CA" w:rsidRDefault="00E345CA" w:rsidP="00CB010D">
      <w:pPr>
        <w:spacing w:after="0" w:line="240" w:lineRule="auto"/>
      </w:pPr>
    </w:p>
    <w:p w14:paraId="2AD959AE" w14:textId="77777777" w:rsidR="00D17091" w:rsidRPr="00E345CA" w:rsidRDefault="00D17091" w:rsidP="00154E4A">
      <w:pPr>
        <w:pStyle w:val="Titolo1"/>
      </w:pPr>
      <w:r w:rsidRPr="00E345CA">
        <w:t>Dati della gara e/o</w:t>
      </w:r>
      <w:r w:rsidR="00282DA1" w:rsidRPr="00E345CA">
        <w:t xml:space="preserve"> dell’esecuzione del contratto</w:t>
      </w:r>
    </w:p>
    <w:p w14:paraId="6F5225F3" w14:textId="77777777" w:rsidR="00D17091" w:rsidRPr="00E345CA" w:rsidRDefault="008306F9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CIG</w:t>
      </w:r>
      <w:r w:rsidR="00D17091" w:rsidRPr="00E345CA">
        <w:rPr>
          <w:szCs w:val="22"/>
        </w:rPr>
        <w:t xml:space="preserve"> </w:t>
      </w:r>
      <w:r w:rsidRPr="00E345CA">
        <w:rPr>
          <w:szCs w:val="22"/>
        </w:rPr>
        <w:tab/>
      </w:r>
    </w:p>
    <w:p w14:paraId="3D86CEE4" w14:textId="77777777" w:rsidR="00D17091" w:rsidRPr="00E345CA" w:rsidRDefault="008306F9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CUP</w:t>
      </w:r>
      <w:r w:rsidR="00D17091" w:rsidRPr="00E345CA">
        <w:rPr>
          <w:szCs w:val="22"/>
        </w:rPr>
        <w:t xml:space="preserve"> </w:t>
      </w:r>
      <w:r w:rsidRPr="00E345CA">
        <w:rPr>
          <w:szCs w:val="22"/>
        </w:rPr>
        <w:tab/>
      </w:r>
    </w:p>
    <w:p w14:paraId="77BBE527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 xml:space="preserve">Codice progetto (ove l’appalto sia finanziato o cofinanziato con fondi europei) </w:t>
      </w:r>
      <w:r w:rsidR="008306F9" w:rsidRPr="00E345CA">
        <w:rPr>
          <w:szCs w:val="22"/>
        </w:rPr>
        <w:tab/>
      </w:r>
    </w:p>
    <w:p w14:paraId="7E5311AF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Settore </w:t>
      </w:r>
    </w:p>
    <w:p w14:paraId="53DA64FA" w14:textId="77777777" w:rsidR="00D17091" w:rsidRPr="00E345CA" w:rsidRDefault="008306F9" w:rsidP="00CB010D">
      <w:pPr>
        <w:pStyle w:val="Titolo3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>Lavori</w:t>
      </w:r>
      <w:r w:rsidR="00D17091" w:rsidRPr="00E345CA">
        <w:rPr>
          <w:szCs w:val="22"/>
        </w:rPr>
        <w:t xml:space="preserve"> </w:t>
      </w:r>
      <w:r w:rsidRPr="00E345CA">
        <w:rPr>
          <w:szCs w:val="22"/>
        </w:rPr>
        <w:tab/>
      </w:r>
      <w:r w:rsidR="00D17091" w:rsidRPr="00E345CA">
        <w:rPr>
          <w:rFonts w:ascii="Courier New" w:hAnsi="Courier New" w:cs="Courier New"/>
          <w:szCs w:val="22"/>
        </w:rPr>
        <w:t>□</w:t>
      </w:r>
    </w:p>
    <w:p w14:paraId="7C60B524" w14:textId="77777777" w:rsidR="00D17091" w:rsidRPr="00E345CA" w:rsidRDefault="008306F9" w:rsidP="00CB010D">
      <w:pPr>
        <w:pStyle w:val="Titolo3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lastRenderedPageBreak/>
        <w:t>Servizi</w:t>
      </w:r>
      <w:r w:rsidR="00D17091" w:rsidRPr="00E345CA">
        <w:rPr>
          <w:szCs w:val="22"/>
        </w:rPr>
        <w:t xml:space="preserve"> </w:t>
      </w:r>
      <w:r w:rsidRPr="00E345CA">
        <w:rPr>
          <w:szCs w:val="22"/>
        </w:rPr>
        <w:tab/>
      </w:r>
      <w:r w:rsidR="00D17091" w:rsidRPr="00E345CA">
        <w:rPr>
          <w:rFonts w:ascii="Courier New" w:hAnsi="Courier New" w:cs="Courier New"/>
          <w:szCs w:val="22"/>
        </w:rPr>
        <w:t>□</w:t>
      </w:r>
    </w:p>
    <w:p w14:paraId="25121C9E" w14:textId="77777777" w:rsidR="00D17091" w:rsidRPr="00E345CA" w:rsidRDefault="008306F9" w:rsidP="00CB010D">
      <w:pPr>
        <w:pStyle w:val="Titolo3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Forniture </w:t>
      </w:r>
      <w:r w:rsidRPr="00E345CA">
        <w:rPr>
          <w:szCs w:val="22"/>
        </w:rPr>
        <w:tab/>
      </w:r>
      <w:r w:rsidR="00D17091" w:rsidRPr="00E345CA">
        <w:rPr>
          <w:rFonts w:ascii="Courier New" w:hAnsi="Courier New" w:cs="Courier New"/>
          <w:szCs w:val="22"/>
        </w:rPr>
        <w:t>□</w:t>
      </w:r>
    </w:p>
    <w:p w14:paraId="42E09AA9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Oggetto della gara </w:t>
      </w:r>
      <w:r w:rsidR="008306F9" w:rsidRPr="00E345CA">
        <w:rPr>
          <w:szCs w:val="22"/>
        </w:rPr>
        <w:tab/>
      </w:r>
    </w:p>
    <w:p w14:paraId="3D9A2740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Eventuale/i lotto/i </w:t>
      </w:r>
      <w:proofErr w:type="spellStart"/>
      <w:r w:rsidRPr="00E345CA">
        <w:rPr>
          <w:szCs w:val="22"/>
        </w:rPr>
        <w:t>nn</w:t>
      </w:r>
      <w:proofErr w:type="spellEnd"/>
      <w:r w:rsidRPr="00E345CA">
        <w:rPr>
          <w:szCs w:val="22"/>
        </w:rPr>
        <w:t xml:space="preserve">. </w:t>
      </w:r>
      <w:r w:rsidR="008306F9" w:rsidRPr="00E345CA">
        <w:rPr>
          <w:szCs w:val="22"/>
        </w:rPr>
        <w:tab/>
      </w:r>
    </w:p>
    <w:p w14:paraId="5DE0A4A1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Data pubblicazione bando </w:t>
      </w:r>
      <w:r w:rsidR="008306F9" w:rsidRPr="00E345CA">
        <w:rPr>
          <w:szCs w:val="22"/>
        </w:rPr>
        <w:tab/>
      </w:r>
    </w:p>
    <w:p w14:paraId="0E18A14A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>Termine scadenza presentazione offerte</w:t>
      </w:r>
      <w:r w:rsidR="008306F9" w:rsidRPr="00E345CA">
        <w:rPr>
          <w:szCs w:val="22"/>
        </w:rPr>
        <w:t xml:space="preserve"> </w:t>
      </w:r>
      <w:r w:rsidR="008306F9" w:rsidRPr="00E345CA">
        <w:rPr>
          <w:szCs w:val="22"/>
        </w:rPr>
        <w:tab/>
      </w:r>
    </w:p>
    <w:p w14:paraId="61F03D77" w14:textId="77777777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Importo appalto o lotto/i IVA esclusa </w:t>
      </w:r>
      <w:r w:rsidR="008306F9" w:rsidRPr="00E345CA">
        <w:rPr>
          <w:szCs w:val="22"/>
        </w:rPr>
        <w:tab/>
      </w:r>
    </w:p>
    <w:p w14:paraId="5872F72A" w14:textId="77777777" w:rsidR="00D17091" w:rsidRPr="00E345CA" w:rsidRDefault="008306F9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>In caso di subappalto</w:t>
      </w:r>
    </w:p>
    <w:p w14:paraId="4D80E68A" w14:textId="77777777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>prestazioni o lavorazioni che si intende subappaltare</w:t>
      </w:r>
      <w:r w:rsidR="00282DA1" w:rsidRPr="00E345CA">
        <w:rPr>
          <w:szCs w:val="22"/>
        </w:rPr>
        <w:tab/>
      </w:r>
    </w:p>
    <w:p w14:paraId="651925A1" w14:textId="77777777" w:rsidR="00D17091" w:rsidRPr="00E345CA" w:rsidRDefault="00282DA1" w:rsidP="00CB010D">
      <w:pPr>
        <w:pStyle w:val="Titolo3"/>
        <w:keepNext w:val="0"/>
        <w:keepLines w:val="0"/>
        <w:widowControl w:val="0"/>
        <w:numPr>
          <w:ilvl w:val="0"/>
          <w:numId w:val="0"/>
        </w:numPr>
        <w:tabs>
          <w:tab w:val="left" w:leader="underscore" w:pos="9072"/>
        </w:tabs>
        <w:spacing w:before="0" w:line="240" w:lineRule="auto"/>
        <w:ind w:left="981"/>
        <w:rPr>
          <w:szCs w:val="22"/>
        </w:rPr>
      </w:pPr>
      <w:r w:rsidRPr="00E345CA">
        <w:rPr>
          <w:szCs w:val="22"/>
        </w:rPr>
        <w:tab/>
      </w:r>
    </w:p>
    <w:p w14:paraId="10C5881A" w14:textId="77777777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>Importo subappalto</w:t>
      </w:r>
      <w:r w:rsidR="00282DA1" w:rsidRPr="00E345CA">
        <w:rPr>
          <w:szCs w:val="22"/>
        </w:rPr>
        <w:t xml:space="preserve"> </w:t>
      </w:r>
      <w:r w:rsidR="00282DA1" w:rsidRPr="00E345CA">
        <w:rPr>
          <w:szCs w:val="22"/>
        </w:rPr>
        <w:tab/>
      </w:r>
    </w:p>
    <w:p w14:paraId="05031588" w14:textId="7E8D012E" w:rsidR="00D17091" w:rsidRDefault="00282DA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>Relativa quota (</w:t>
      </w:r>
      <w:r w:rsidR="00D17091" w:rsidRPr="00E345CA">
        <w:rPr>
          <w:szCs w:val="22"/>
        </w:rPr>
        <w:t>in percentuale) sull’importo contrattuale</w:t>
      </w:r>
      <w:r w:rsidRPr="00E345CA">
        <w:rPr>
          <w:szCs w:val="22"/>
        </w:rPr>
        <w:tab/>
      </w:r>
    </w:p>
    <w:p w14:paraId="7BD88E50" w14:textId="77777777" w:rsidR="00E345CA" w:rsidRPr="00E345CA" w:rsidRDefault="00E345CA" w:rsidP="00CB010D">
      <w:pPr>
        <w:spacing w:after="0" w:line="240" w:lineRule="auto"/>
      </w:pPr>
    </w:p>
    <w:p w14:paraId="3E96421A" w14:textId="77777777" w:rsidR="00D17091" w:rsidRPr="00E345CA" w:rsidRDefault="00D17091" w:rsidP="00154E4A">
      <w:pPr>
        <w:pStyle w:val="Titolo1"/>
      </w:pPr>
      <w:r w:rsidRPr="00E345CA">
        <w:t>Dat</w:t>
      </w:r>
      <w:r w:rsidR="00282DA1" w:rsidRPr="00E345CA">
        <w:t>i operatore economico segnalato</w:t>
      </w:r>
    </w:p>
    <w:p w14:paraId="2572C7F9" w14:textId="70D453D5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codice fiscale</w:t>
      </w:r>
      <w:r w:rsidR="00775EB8" w:rsidRPr="00E345CA">
        <w:rPr>
          <w:szCs w:val="22"/>
        </w:rPr>
        <w:t xml:space="preserve"> </w:t>
      </w:r>
      <w:r w:rsidR="00775EB8" w:rsidRPr="00E345CA">
        <w:rPr>
          <w:szCs w:val="22"/>
        </w:rPr>
        <w:tab/>
      </w:r>
    </w:p>
    <w:p w14:paraId="3F6E5DD8" w14:textId="7B383CFF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partita IVA</w:t>
      </w:r>
      <w:r w:rsidR="00775EB8" w:rsidRPr="00E345CA">
        <w:rPr>
          <w:szCs w:val="22"/>
        </w:rPr>
        <w:t xml:space="preserve"> </w:t>
      </w:r>
      <w:r w:rsidR="00775EB8" w:rsidRPr="00E345CA">
        <w:rPr>
          <w:szCs w:val="22"/>
        </w:rPr>
        <w:tab/>
      </w:r>
    </w:p>
    <w:p w14:paraId="0812FEC4" w14:textId="1B1B193B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 xml:space="preserve">denominazione e ragione sociale </w:t>
      </w:r>
      <w:r w:rsidR="00775EB8" w:rsidRPr="00E345CA">
        <w:rPr>
          <w:szCs w:val="22"/>
        </w:rPr>
        <w:tab/>
      </w:r>
    </w:p>
    <w:p w14:paraId="5BC449C4" w14:textId="61056759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 xml:space="preserve">sede legale </w:t>
      </w:r>
      <w:r w:rsidR="00775EB8" w:rsidRPr="00E345CA">
        <w:rPr>
          <w:szCs w:val="22"/>
        </w:rPr>
        <w:tab/>
      </w:r>
    </w:p>
    <w:p w14:paraId="144ED69F" w14:textId="0DE86DA4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n° telefonico</w:t>
      </w:r>
      <w:r w:rsidR="00802A4D" w:rsidRPr="00E345CA">
        <w:rPr>
          <w:szCs w:val="22"/>
        </w:rPr>
        <w:tab/>
      </w:r>
      <w:r w:rsidRPr="00E345CA">
        <w:rPr>
          <w:szCs w:val="22"/>
        </w:rPr>
        <w:t xml:space="preserve"> </w:t>
      </w:r>
    </w:p>
    <w:p w14:paraId="2F8C5340" w14:textId="5F762123" w:rsidR="00D17091" w:rsidRPr="00E345CA" w:rsidRDefault="00802A4D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proofErr w:type="spellStart"/>
      <w:r w:rsidRPr="00E345CA">
        <w:rPr>
          <w:szCs w:val="22"/>
        </w:rPr>
        <w:t>P</w:t>
      </w:r>
      <w:r w:rsidR="00D17091" w:rsidRPr="00E345CA">
        <w:rPr>
          <w:szCs w:val="22"/>
        </w:rPr>
        <w:t>ec</w:t>
      </w:r>
      <w:proofErr w:type="spellEnd"/>
      <w:r w:rsidRPr="00E345CA">
        <w:rPr>
          <w:szCs w:val="22"/>
        </w:rPr>
        <w:t xml:space="preserve"> </w:t>
      </w:r>
      <w:r w:rsidRPr="00E345CA">
        <w:rPr>
          <w:szCs w:val="22"/>
        </w:rPr>
        <w:tab/>
      </w:r>
    </w:p>
    <w:p w14:paraId="35628EA6" w14:textId="63D6B844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 xml:space="preserve">e-mail </w:t>
      </w:r>
      <w:r w:rsidR="00802A4D" w:rsidRPr="00E345CA">
        <w:rPr>
          <w:szCs w:val="22"/>
        </w:rPr>
        <w:tab/>
      </w:r>
    </w:p>
    <w:p w14:paraId="21074C53" w14:textId="1AFF8367" w:rsidR="00D17091" w:rsidRPr="00E345CA" w:rsidRDefault="00802A4D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indirizzo Internet o sito web</w:t>
      </w:r>
      <w:r w:rsidR="00D17091" w:rsidRPr="00E345CA">
        <w:rPr>
          <w:szCs w:val="22"/>
        </w:rPr>
        <w:t xml:space="preserve"> (ove esistente) </w:t>
      </w:r>
      <w:r w:rsidRPr="00E345CA">
        <w:rPr>
          <w:szCs w:val="22"/>
        </w:rPr>
        <w:tab/>
      </w:r>
    </w:p>
    <w:p w14:paraId="3007D3B6" w14:textId="20429B38" w:rsidR="00D17091" w:rsidRPr="00E345CA" w:rsidRDefault="00802A4D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nome e cognome</w:t>
      </w:r>
    </w:p>
    <w:p w14:paraId="3751B280" w14:textId="1ED1FA1C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legale/i rappresentante </w:t>
      </w:r>
    </w:p>
    <w:p w14:paraId="5439B9FB" w14:textId="2BC9C6C7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>oppure altro soggetto che sottoscrive la dichiarazione</w:t>
      </w:r>
      <w:r w:rsidR="00802A4D" w:rsidRPr="00E345CA">
        <w:rPr>
          <w:szCs w:val="22"/>
        </w:rPr>
        <w:tab/>
      </w:r>
    </w:p>
    <w:p w14:paraId="76DB99FB" w14:textId="20431580" w:rsidR="00802A4D" w:rsidRPr="00E345CA" w:rsidRDefault="00802A4D" w:rsidP="00CB010D">
      <w:pPr>
        <w:pStyle w:val="Titolo3"/>
        <w:keepNext w:val="0"/>
        <w:keepLines w:val="0"/>
        <w:widowControl w:val="0"/>
        <w:numPr>
          <w:ilvl w:val="0"/>
          <w:numId w:val="0"/>
        </w:numPr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ab/>
      </w:r>
    </w:p>
    <w:p w14:paraId="45A0B816" w14:textId="58C6B94B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titolo ad agire </w:t>
      </w:r>
      <w:r w:rsidR="00802A4D" w:rsidRPr="00E345CA">
        <w:rPr>
          <w:szCs w:val="22"/>
        </w:rPr>
        <w:tab/>
      </w:r>
    </w:p>
    <w:p w14:paraId="41C2FF08" w14:textId="0F7F35C3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 xml:space="preserve">codice fiscale </w:t>
      </w:r>
      <w:r w:rsidR="00657C3D" w:rsidRPr="00E345CA">
        <w:rPr>
          <w:szCs w:val="22"/>
        </w:rPr>
        <w:tab/>
      </w:r>
    </w:p>
    <w:p w14:paraId="70BEA3FB" w14:textId="5666F0D2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dot" w:pos="8080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 xml:space="preserve">impresa qualificata </w:t>
      </w:r>
      <w:r w:rsidR="00657C3D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  <w:r w:rsidRPr="00E345CA">
        <w:rPr>
          <w:szCs w:val="22"/>
        </w:rPr>
        <w:t xml:space="preserve"> SI     </w:t>
      </w:r>
      <w:r w:rsidRPr="00E345CA">
        <w:rPr>
          <w:rFonts w:ascii="Courier New" w:hAnsi="Courier New" w:cs="Courier New"/>
          <w:szCs w:val="22"/>
        </w:rPr>
        <w:t>□</w:t>
      </w:r>
      <w:r w:rsidR="00657C3D" w:rsidRPr="00E345CA">
        <w:rPr>
          <w:szCs w:val="22"/>
        </w:rPr>
        <w:t xml:space="preserve"> NO</w:t>
      </w:r>
    </w:p>
    <w:p w14:paraId="5CA5B85C" w14:textId="775A363D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 attestato SOA</w:t>
      </w:r>
      <w:r w:rsidR="00657C3D" w:rsidRPr="00E345CA">
        <w:rPr>
          <w:szCs w:val="22"/>
        </w:rPr>
        <w:t xml:space="preserve"> </w:t>
      </w:r>
      <w:r w:rsidR="00657C3D" w:rsidRPr="00E345CA">
        <w:rPr>
          <w:szCs w:val="22"/>
        </w:rPr>
        <w:tab/>
      </w:r>
    </w:p>
    <w:p w14:paraId="5C9E9C14" w14:textId="5EE2DFE0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rilasciato il </w:t>
      </w:r>
      <w:r w:rsidR="00657C3D" w:rsidRPr="00E345CA">
        <w:rPr>
          <w:szCs w:val="22"/>
        </w:rPr>
        <w:tab/>
      </w:r>
    </w:p>
    <w:p w14:paraId="4BD6925E" w14:textId="0B860881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denominazione SOA </w:t>
      </w:r>
      <w:r w:rsidR="00657C3D" w:rsidRPr="00E345CA">
        <w:rPr>
          <w:szCs w:val="22"/>
        </w:rPr>
        <w:tab/>
      </w:r>
    </w:p>
    <w:p w14:paraId="01B9F798" w14:textId="1C096AFA" w:rsidR="00D17091" w:rsidRPr="00E345CA" w:rsidRDefault="00D17091" w:rsidP="00D53EEC">
      <w:pPr>
        <w:pStyle w:val="Titolo2"/>
        <w:keepNext w:val="0"/>
        <w:keepLines w:val="0"/>
        <w:widowControl w:val="0"/>
        <w:tabs>
          <w:tab w:val="left" w:leader="dot" w:pos="8080"/>
        </w:tabs>
        <w:spacing w:before="0" w:line="240" w:lineRule="auto"/>
        <w:ind w:left="998" w:right="424" w:hanging="578"/>
        <w:jc w:val="both"/>
        <w:rPr>
          <w:szCs w:val="22"/>
        </w:rPr>
      </w:pPr>
      <w:r w:rsidRPr="00E345CA">
        <w:rPr>
          <w:szCs w:val="22"/>
        </w:rPr>
        <w:t xml:space="preserve">operatore economico iscritto in un elenco ufficiale di imprenditori, fornitori, o prestatori di servizi o possiede una certificazione rilasciata da organismi ai accreditati, sensi dell’articolo 90 del D. </w:t>
      </w:r>
      <w:proofErr w:type="spellStart"/>
      <w:r w:rsidRPr="00E345CA">
        <w:rPr>
          <w:szCs w:val="22"/>
        </w:rPr>
        <w:t>Lgs</w:t>
      </w:r>
      <w:proofErr w:type="spellEnd"/>
      <w:r w:rsidRPr="00E345CA">
        <w:rPr>
          <w:szCs w:val="22"/>
        </w:rPr>
        <w:t xml:space="preserve">. n. 50 del 2016 </w:t>
      </w:r>
      <w:r w:rsidR="00657C3D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  <w:r w:rsidRPr="00E345CA">
        <w:rPr>
          <w:szCs w:val="22"/>
        </w:rPr>
        <w:t xml:space="preserve"> SI     </w:t>
      </w:r>
      <w:r w:rsidRPr="00E345CA">
        <w:rPr>
          <w:rFonts w:ascii="Courier New" w:hAnsi="Courier New" w:cs="Courier New"/>
          <w:szCs w:val="22"/>
        </w:rPr>
        <w:t>□</w:t>
      </w:r>
      <w:r w:rsidRPr="00E345CA">
        <w:rPr>
          <w:szCs w:val="22"/>
        </w:rPr>
        <w:t xml:space="preserve"> NO</w:t>
      </w:r>
    </w:p>
    <w:p w14:paraId="565C34B8" w14:textId="6782498C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denominazione dell’elenco o del certificato </w:t>
      </w:r>
      <w:r w:rsidR="00657C3D" w:rsidRPr="00E345CA">
        <w:rPr>
          <w:szCs w:val="22"/>
        </w:rPr>
        <w:tab/>
      </w:r>
    </w:p>
    <w:p w14:paraId="2A5F6105" w14:textId="05A58B9D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numero di iscrizione </w:t>
      </w:r>
      <w:r w:rsidR="00657C3D" w:rsidRPr="00E345CA">
        <w:rPr>
          <w:szCs w:val="22"/>
        </w:rPr>
        <w:tab/>
      </w:r>
    </w:p>
    <w:p w14:paraId="2819D60F" w14:textId="09D7C472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numero della certificazione </w:t>
      </w:r>
      <w:r w:rsidR="00657C3D" w:rsidRPr="00E345CA">
        <w:rPr>
          <w:szCs w:val="22"/>
        </w:rPr>
        <w:tab/>
      </w:r>
    </w:p>
    <w:p w14:paraId="0235BDBE" w14:textId="0653D8A7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riferimenti con cui è stata ottenuta l’iscrizione o la certificazione </w:t>
      </w:r>
      <w:r w:rsidR="00657C3D" w:rsidRPr="00E345CA">
        <w:rPr>
          <w:szCs w:val="22"/>
        </w:rPr>
        <w:tab/>
      </w:r>
    </w:p>
    <w:p w14:paraId="62BCCFA7" w14:textId="7CAE28C5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classificazione nell’elenco ufficiale </w:t>
      </w:r>
      <w:r w:rsidR="00B676C3" w:rsidRPr="00E345CA">
        <w:rPr>
          <w:szCs w:val="22"/>
        </w:rPr>
        <w:tab/>
      </w:r>
    </w:p>
    <w:p w14:paraId="00772B44" w14:textId="0EA6202F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disponibilità elettronica del certificato di iscrizione o della certificazione </w:t>
      </w:r>
      <w:r w:rsidRPr="00E345CA">
        <w:rPr>
          <w:rFonts w:ascii="Courier New" w:hAnsi="Courier New" w:cs="Courier New"/>
          <w:szCs w:val="22"/>
        </w:rPr>
        <w:t>□</w:t>
      </w:r>
      <w:r w:rsidRPr="00E345CA">
        <w:rPr>
          <w:szCs w:val="22"/>
        </w:rPr>
        <w:t xml:space="preserve"> SI    </w:t>
      </w:r>
      <w:r w:rsidRPr="00E345CA">
        <w:rPr>
          <w:rFonts w:ascii="Courier New" w:hAnsi="Courier New" w:cs="Courier New"/>
          <w:szCs w:val="22"/>
        </w:rPr>
        <w:t>□</w:t>
      </w:r>
      <w:r w:rsidRPr="00E345CA">
        <w:rPr>
          <w:szCs w:val="22"/>
        </w:rPr>
        <w:t xml:space="preserve"> NO</w:t>
      </w:r>
    </w:p>
    <w:p w14:paraId="76C381E7" w14:textId="5E1D86EA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autorità o organismo di emanazione </w:t>
      </w:r>
      <w:r w:rsidR="00B676C3" w:rsidRPr="00E345CA">
        <w:rPr>
          <w:szCs w:val="22"/>
        </w:rPr>
        <w:tab/>
      </w:r>
    </w:p>
    <w:p w14:paraId="455B6F95" w14:textId="0F2E3D69" w:rsidR="00D17091" w:rsidRPr="00E345CA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indirizzo web </w:t>
      </w:r>
      <w:r w:rsidR="00B676C3" w:rsidRPr="00E345CA">
        <w:rPr>
          <w:szCs w:val="22"/>
        </w:rPr>
        <w:tab/>
      </w:r>
    </w:p>
    <w:p w14:paraId="5FD48576" w14:textId="418A763A" w:rsidR="00D17091" w:rsidRPr="00E345CA" w:rsidRDefault="00D17091" w:rsidP="00E345CA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/>
        <w:ind w:left="1701"/>
        <w:rPr>
          <w:szCs w:val="22"/>
        </w:rPr>
      </w:pPr>
      <w:r w:rsidRPr="00E345CA">
        <w:rPr>
          <w:szCs w:val="22"/>
        </w:rPr>
        <w:t xml:space="preserve">riferimento preciso della documentazione </w:t>
      </w:r>
      <w:r w:rsidR="00B676C3" w:rsidRPr="00E345CA">
        <w:rPr>
          <w:szCs w:val="22"/>
        </w:rPr>
        <w:tab/>
      </w:r>
    </w:p>
    <w:p w14:paraId="77E6726C" w14:textId="206A23EB" w:rsidR="00E345CA" w:rsidRDefault="00E345CA" w:rsidP="00E345CA">
      <w:pPr>
        <w:spacing w:after="0"/>
        <w:rPr>
          <w:rFonts w:ascii="Titillium" w:hAnsi="Titillium"/>
        </w:rPr>
      </w:pPr>
    </w:p>
    <w:p w14:paraId="22F0BACD" w14:textId="77777777" w:rsidR="008A5383" w:rsidRPr="00E345CA" w:rsidRDefault="008A5383" w:rsidP="00E345CA">
      <w:pPr>
        <w:spacing w:after="0"/>
        <w:rPr>
          <w:rFonts w:ascii="Titillium" w:hAnsi="Titillium"/>
        </w:rPr>
      </w:pPr>
    </w:p>
    <w:p w14:paraId="6C604CAF" w14:textId="61A1DA45" w:rsidR="00D17091" w:rsidRPr="00E345CA" w:rsidRDefault="00D17091" w:rsidP="00154E4A">
      <w:pPr>
        <w:pStyle w:val="Titolo1"/>
      </w:pPr>
      <w:r w:rsidRPr="00E345CA">
        <w:lastRenderedPageBreak/>
        <w:t>For</w:t>
      </w:r>
      <w:r w:rsidR="00B676C3" w:rsidRPr="00E345CA">
        <w:t>ma del partecipante alla gara/dell’esecutore del contratto/</w:t>
      </w:r>
      <w:r w:rsidRPr="00E345CA">
        <w:t>del subappaltatore</w:t>
      </w:r>
    </w:p>
    <w:p w14:paraId="456ABB2D" w14:textId="07B49758" w:rsidR="00D17091" w:rsidRPr="00E345CA" w:rsidRDefault="00B676C3" w:rsidP="00CB010D">
      <w:pPr>
        <w:pStyle w:val="Titolo2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Soggetto singolo </w:t>
      </w:r>
      <w:r w:rsidRPr="00E345CA">
        <w:rPr>
          <w:szCs w:val="22"/>
        </w:rPr>
        <w:tab/>
      </w:r>
      <w:r w:rsidR="00D17091" w:rsidRPr="00E345CA">
        <w:rPr>
          <w:rFonts w:ascii="Courier New" w:hAnsi="Courier New" w:cs="Courier New"/>
          <w:szCs w:val="22"/>
        </w:rPr>
        <w:t>□</w:t>
      </w:r>
    </w:p>
    <w:p w14:paraId="2A9B92E1" w14:textId="05A9BB72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Componente ATI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2D5E79F0" w14:textId="7F8C93EE" w:rsidR="00D17091" w:rsidRPr="00E345CA" w:rsidRDefault="00D17091" w:rsidP="00CB010D">
      <w:pPr>
        <w:pStyle w:val="Titolo3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Mandataria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1C78A882" w14:textId="7917D698" w:rsidR="00D17091" w:rsidRPr="00E345CA" w:rsidRDefault="00D17091" w:rsidP="00CB010D">
      <w:pPr>
        <w:pStyle w:val="Titolo3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Mandante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5BE53F2B" w14:textId="54194326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Consorzio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04B53A74" w14:textId="07DA3BDE" w:rsidR="00D17091" w:rsidRPr="00E345CA" w:rsidRDefault="00D17091" w:rsidP="00CB010D">
      <w:pPr>
        <w:pStyle w:val="Titolo3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Consorziato designato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379021D9" w14:textId="2C03616A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993"/>
        <w:rPr>
          <w:szCs w:val="22"/>
        </w:rPr>
      </w:pPr>
      <w:r w:rsidRPr="00E345CA">
        <w:rPr>
          <w:szCs w:val="22"/>
        </w:rPr>
        <w:t xml:space="preserve">Avvalimento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2F6F5408" w14:textId="45AC8AFC" w:rsidR="00D17091" w:rsidRPr="00E345CA" w:rsidRDefault="00D17091" w:rsidP="00CB010D">
      <w:pPr>
        <w:pStyle w:val="Titolo3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proofErr w:type="spellStart"/>
      <w:r w:rsidRPr="00E345CA">
        <w:rPr>
          <w:szCs w:val="22"/>
        </w:rPr>
        <w:t>Ausiliato</w:t>
      </w:r>
      <w:proofErr w:type="spellEnd"/>
      <w:r w:rsidRPr="00E345CA">
        <w:rPr>
          <w:szCs w:val="22"/>
        </w:rPr>
        <w:t xml:space="preserve">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5CF77459" w14:textId="57A0AD49" w:rsidR="00D17091" w:rsidRPr="00E345CA" w:rsidRDefault="00D17091" w:rsidP="00CB010D">
      <w:pPr>
        <w:pStyle w:val="Titolo3"/>
        <w:tabs>
          <w:tab w:val="left" w:leader="dot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Ausiliario </w:t>
      </w:r>
      <w:r w:rsidR="00B676C3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1C375213" w14:textId="68FB191E" w:rsidR="00D17091" w:rsidRPr="00E345CA" w:rsidRDefault="00D17091" w:rsidP="00CB010D">
      <w:pPr>
        <w:pStyle w:val="Titolo3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requisiti oggetto di avvalimento </w:t>
      </w:r>
      <w:r w:rsidR="00B676C3" w:rsidRPr="00E345CA">
        <w:rPr>
          <w:szCs w:val="22"/>
        </w:rPr>
        <w:tab/>
      </w:r>
    </w:p>
    <w:p w14:paraId="03FF808C" w14:textId="01E3CB8B" w:rsidR="00B676C3" w:rsidRPr="00E345CA" w:rsidRDefault="00B676C3" w:rsidP="00CB010D">
      <w:pPr>
        <w:pStyle w:val="Titolo3"/>
        <w:numPr>
          <w:ilvl w:val="0"/>
          <w:numId w:val="0"/>
        </w:numPr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ab/>
      </w:r>
    </w:p>
    <w:p w14:paraId="6F8A8A7B" w14:textId="25ECA5C1" w:rsidR="00D17091" w:rsidRPr="00E345CA" w:rsidRDefault="00D17091" w:rsidP="00183F51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right="424" w:hanging="578"/>
        <w:jc w:val="both"/>
        <w:rPr>
          <w:szCs w:val="22"/>
        </w:rPr>
      </w:pPr>
      <w:r w:rsidRPr="00E345CA">
        <w:rPr>
          <w:szCs w:val="22"/>
        </w:rPr>
        <w:t>Indicare gli altri operatori economici che compartecipano alla procedura di appalto o all’esecuzione</w:t>
      </w:r>
      <w:r w:rsidR="00B676C3" w:rsidRPr="00E345CA">
        <w:rPr>
          <w:szCs w:val="22"/>
        </w:rPr>
        <w:t xml:space="preserve"> </w:t>
      </w:r>
      <w:r w:rsidRPr="00E345CA">
        <w:rPr>
          <w:szCs w:val="22"/>
        </w:rPr>
        <w:t>del contratto (es. consorzio, ausiliario, mandanti, appaltatore in caso di subappaltatore segnalato, ecc.):</w:t>
      </w:r>
    </w:p>
    <w:p w14:paraId="30EF7AC9" w14:textId="62CCA613" w:rsidR="00D17091" w:rsidRPr="00E345CA" w:rsidRDefault="00D17091" w:rsidP="00CB010D">
      <w:pPr>
        <w:pStyle w:val="Titolo3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codice fiscale </w:t>
      </w:r>
      <w:r w:rsidR="00EA0ADA" w:rsidRPr="00E345CA">
        <w:rPr>
          <w:szCs w:val="22"/>
        </w:rPr>
        <w:tab/>
      </w:r>
    </w:p>
    <w:p w14:paraId="6E462C49" w14:textId="282DBFF5" w:rsidR="00D17091" w:rsidRPr="00E345CA" w:rsidRDefault="00D17091" w:rsidP="00CB010D">
      <w:pPr>
        <w:pStyle w:val="Titolo3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 xml:space="preserve">partita IVA </w:t>
      </w:r>
      <w:r w:rsidR="00EA0ADA" w:rsidRPr="00E345CA">
        <w:rPr>
          <w:szCs w:val="22"/>
        </w:rPr>
        <w:tab/>
      </w:r>
    </w:p>
    <w:p w14:paraId="151DE05D" w14:textId="03529C65" w:rsidR="00D17091" w:rsidRPr="00E345CA" w:rsidRDefault="00EA0ADA" w:rsidP="00CB010D">
      <w:pPr>
        <w:pStyle w:val="Titolo3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>Denominazione/</w:t>
      </w:r>
      <w:r w:rsidR="00D17091" w:rsidRPr="00E345CA">
        <w:rPr>
          <w:szCs w:val="22"/>
        </w:rPr>
        <w:t xml:space="preserve">ragione sociale </w:t>
      </w:r>
      <w:r w:rsidRPr="00E345CA">
        <w:rPr>
          <w:szCs w:val="22"/>
        </w:rPr>
        <w:tab/>
      </w:r>
    </w:p>
    <w:p w14:paraId="3634FC5E" w14:textId="399CC60B" w:rsidR="00D17091" w:rsidRPr="00E345CA" w:rsidRDefault="00EA0ADA" w:rsidP="00CB010D">
      <w:pPr>
        <w:pStyle w:val="Titolo3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t>ruolo (</w:t>
      </w:r>
      <w:r w:rsidR="00D17091" w:rsidRPr="00E345CA">
        <w:rPr>
          <w:szCs w:val="22"/>
        </w:rPr>
        <w:t xml:space="preserve">consorzio o mandante, </w:t>
      </w:r>
      <w:proofErr w:type="spellStart"/>
      <w:r w:rsidRPr="00E345CA">
        <w:rPr>
          <w:szCs w:val="22"/>
        </w:rPr>
        <w:t>etc</w:t>
      </w:r>
      <w:proofErr w:type="spellEnd"/>
      <w:r w:rsidRPr="00E345CA">
        <w:rPr>
          <w:szCs w:val="22"/>
        </w:rPr>
        <w:t xml:space="preserve">) </w:t>
      </w:r>
      <w:r w:rsidRPr="00E345CA">
        <w:rPr>
          <w:szCs w:val="22"/>
        </w:rPr>
        <w:tab/>
      </w:r>
    </w:p>
    <w:p w14:paraId="5A067B80" w14:textId="77777777" w:rsidR="00CC7232" w:rsidRPr="00E345CA" w:rsidRDefault="00CC7232" w:rsidP="00E345CA">
      <w:pPr>
        <w:spacing w:after="0"/>
        <w:rPr>
          <w:rFonts w:ascii="Titillium" w:hAnsi="Titillium"/>
        </w:rPr>
      </w:pPr>
    </w:p>
    <w:p w14:paraId="67454448" w14:textId="24209BE7" w:rsidR="00E345CA" w:rsidRPr="00E345CA" w:rsidRDefault="00D17091" w:rsidP="00E345CA">
      <w:pPr>
        <w:pBdr>
          <w:bottom w:val="single" w:sz="4" w:space="1" w:color="44546A" w:themeColor="text2"/>
        </w:pBdr>
        <w:spacing w:after="0"/>
        <w:rPr>
          <w:rFonts w:ascii="Titillium" w:hAnsi="Titillium" w:cstheme="majorHAnsi"/>
          <w:b/>
          <w:color w:val="2E74B5" w:themeColor="accent1" w:themeShade="BF"/>
        </w:rPr>
      </w:pPr>
      <w:r w:rsidRPr="00E345CA">
        <w:rPr>
          <w:rFonts w:ascii="Titillium" w:hAnsi="Titillium" w:cstheme="majorHAnsi"/>
          <w:b/>
          <w:color w:val="2E74B5" w:themeColor="accent1" w:themeShade="BF"/>
        </w:rPr>
        <w:t>Motivo della segnalazione</w:t>
      </w:r>
    </w:p>
    <w:p w14:paraId="130FFA56" w14:textId="77777777" w:rsidR="00E345CA" w:rsidRDefault="00E345CA" w:rsidP="00154E4A">
      <w:pPr>
        <w:pStyle w:val="Titolo1"/>
        <w:numPr>
          <w:ilvl w:val="0"/>
          <w:numId w:val="0"/>
        </w:numPr>
        <w:ind w:left="431"/>
      </w:pPr>
    </w:p>
    <w:p w14:paraId="309F22B7" w14:textId="3D1CC074" w:rsidR="00D17091" w:rsidRPr="00E345CA" w:rsidRDefault="00D17091" w:rsidP="00154E4A">
      <w:pPr>
        <w:pStyle w:val="Titolo1"/>
      </w:pPr>
      <w:r w:rsidRPr="00E345CA">
        <w:t xml:space="preserve">Esclusione dalla procedura di evidenza pubblica per la presenza di provvedimenti dell’Autorità giudiziaria </w:t>
      </w:r>
      <w:r w:rsidR="00EA0ADA" w:rsidRPr="00E345CA">
        <w:tab/>
      </w:r>
      <w:r w:rsidRPr="00E345CA">
        <w:rPr>
          <w:rFonts w:ascii="Courier New" w:hAnsi="Courier New" w:cs="Courier New"/>
        </w:rPr>
        <w:t>□</w:t>
      </w:r>
    </w:p>
    <w:p w14:paraId="796F63DD" w14:textId="1A26FC29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Tipologia di provvedimento avente carattere definitivo:</w:t>
      </w:r>
    </w:p>
    <w:p w14:paraId="4157145D" w14:textId="754C992C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dot" w:pos="9072"/>
        </w:tabs>
        <w:spacing w:after="0" w:line="240" w:lineRule="auto"/>
        <w:ind w:left="1418" w:right="849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sentenza di condanna definitiva per reati non previsti dall’art. 8</w:t>
      </w:r>
      <w:r w:rsidR="00EA0ADA" w:rsidRPr="00E345CA">
        <w:rPr>
          <w:rFonts w:ascii="Titillium" w:hAnsi="Titillium"/>
        </w:rPr>
        <w:t xml:space="preserve">0, comma 1, d.lgs. n. 50/2016 </w:t>
      </w:r>
      <w:r w:rsidR="00EA0ADA" w:rsidRPr="00E345CA">
        <w:rPr>
          <w:rFonts w:ascii="Titillium" w:hAnsi="Titillium"/>
        </w:rPr>
        <w:tab/>
      </w:r>
      <w:r w:rsidRPr="00E345CA">
        <w:rPr>
          <w:rFonts w:ascii="Courier New" w:hAnsi="Courier New" w:cs="Courier New"/>
        </w:rPr>
        <w:t>□</w:t>
      </w:r>
    </w:p>
    <w:p w14:paraId="44B51006" w14:textId="07E589BC" w:rsidR="00D17091" w:rsidRPr="00E345CA" w:rsidRDefault="00D17091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 xml:space="preserve">autorità emittente, data </w:t>
      </w:r>
      <w:proofErr w:type="gramStart"/>
      <w:r w:rsidRPr="00E345CA">
        <w:rPr>
          <w:rFonts w:ascii="Titillium" w:hAnsi="Titillium"/>
        </w:rPr>
        <w:t>e</w:t>
      </w:r>
      <w:proofErr w:type="gramEnd"/>
      <w:r w:rsidRPr="00E345CA">
        <w:rPr>
          <w:rFonts w:ascii="Titillium" w:hAnsi="Titillium"/>
        </w:rPr>
        <w:t xml:space="preserve"> numero della sentenza </w:t>
      </w:r>
      <w:r w:rsidR="00EA0ADA" w:rsidRPr="00E345CA">
        <w:rPr>
          <w:rFonts w:ascii="Titillium" w:hAnsi="Titillium"/>
        </w:rPr>
        <w:tab/>
      </w:r>
    </w:p>
    <w:p w14:paraId="713480A8" w14:textId="1007C430" w:rsidR="00D17091" w:rsidRPr="00E345CA" w:rsidRDefault="00D17091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>pena comminata</w:t>
      </w:r>
      <w:r w:rsidR="00EA0ADA" w:rsidRPr="00E345CA">
        <w:rPr>
          <w:rFonts w:ascii="Titillium" w:hAnsi="Titillium"/>
        </w:rPr>
        <w:t xml:space="preserve"> </w:t>
      </w:r>
      <w:r w:rsidR="00EA0ADA" w:rsidRPr="00E345CA">
        <w:rPr>
          <w:rFonts w:ascii="Titillium" w:hAnsi="Titillium"/>
        </w:rPr>
        <w:tab/>
      </w:r>
    </w:p>
    <w:p w14:paraId="44C5864A" w14:textId="14FE2534" w:rsidR="00D17091" w:rsidRPr="00E345CA" w:rsidRDefault="00D17091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>Tipologia di reato</w:t>
      </w:r>
      <w:r w:rsidR="00EA0ADA" w:rsidRPr="00E345CA">
        <w:rPr>
          <w:rFonts w:ascii="Titillium" w:hAnsi="Titillium"/>
        </w:rPr>
        <w:t xml:space="preserve"> </w:t>
      </w:r>
      <w:r w:rsidR="00EA0ADA" w:rsidRPr="00E345CA">
        <w:rPr>
          <w:rFonts w:ascii="Titillium" w:hAnsi="Titillium"/>
        </w:rPr>
        <w:tab/>
      </w:r>
    </w:p>
    <w:p w14:paraId="68BD9A00" w14:textId="08F271A4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Soggetto nei confronti</w:t>
      </w:r>
      <w:r w:rsidR="00EA0ADA" w:rsidRPr="00E345CA">
        <w:rPr>
          <w:rFonts w:ascii="Titillium" w:hAnsi="Titillium"/>
        </w:rPr>
        <w:t xml:space="preserve"> del quale è emessa la condanna</w:t>
      </w:r>
      <w:r w:rsidRPr="00E345CA">
        <w:rPr>
          <w:rFonts w:ascii="Titillium" w:hAnsi="Titillium"/>
        </w:rPr>
        <w:t xml:space="preserve"> </w:t>
      </w:r>
      <w:r w:rsidR="00520409" w:rsidRPr="00E345CA">
        <w:rPr>
          <w:rFonts w:ascii="Titillium" w:hAnsi="Titillium"/>
        </w:rPr>
        <w:tab/>
      </w:r>
    </w:p>
    <w:p w14:paraId="4CC9D907" w14:textId="57FE557A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underscore" w:pos="8789"/>
        </w:tabs>
        <w:spacing w:after="0" w:line="240" w:lineRule="auto"/>
        <w:ind w:left="1418" w:right="849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Carica sociale ricoperta</w:t>
      </w:r>
      <w:r w:rsidR="00EA0ADA" w:rsidRPr="00E345CA">
        <w:rPr>
          <w:rFonts w:ascii="Titillium" w:hAnsi="Titillium"/>
        </w:rPr>
        <w:t xml:space="preserve"> </w:t>
      </w:r>
      <w:r w:rsidR="00520409" w:rsidRPr="00E345CA">
        <w:rPr>
          <w:rFonts w:ascii="Titillium" w:hAnsi="Titillium"/>
        </w:rPr>
        <w:tab/>
      </w:r>
    </w:p>
    <w:p w14:paraId="34952071" w14:textId="49A75DD4" w:rsidR="00D17091" w:rsidRPr="00E345CA" w:rsidRDefault="00D17091" w:rsidP="00CB010D">
      <w:pPr>
        <w:pStyle w:val="Titolo2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998" w:hanging="578"/>
        <w:rPr>
          <w:szCs w:val="22"/>
        </w:rPr>
      </w:pPr>
      <w:r w:rsidRPr="00E345CA">
        <w:rPr>
          <w:szCs w:val="22"/>
        </w:rPr>
        <w:t>Tipologia di provvedimento avente carattere non definitivo:</w:t>
      </w:r>
    </w:p>
    <w:p w14:paraId="580A528F" w14:textId="58DBD105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dot" w:pos="9072"/>
        </w:tabs>
        <w:spacing w:after="0" w:line="240" w:lineRule="auto"/>
        <w:ind w:left="1418" w:right="849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sentenza di condanna non definitiva</w:t>
      </w:r>
      <w:r w:rsidR="00520409" w:rsidRPr="00E345CA">
        <w:rPr>
          <w:rFonts w:ascii="Titillium" w:hAnsi="Titillium"/>
        </w:rPr>
        <w:t xml:space="preserve"> </w:t>
      </w:r>
      <w:r w:rsidR="00520409" w:rsidRPr="00E345CA">
        <w:rPr>
          <w:rFonts w:ascii="Titillium" w:hAnsi="Titillium"/>
        </w:rPr>
        <w:tab/>
      </w:r>
      <w:r w:rsidRPr="00E345CA">
        <w:rPr>
          <w:rFonts w:ascii="Courier New" w:hAnsi="Courier New" w:cs="Courier New"/>
        </w:rPr>
        <w:t>□</w:t>
      </w:r>
    </w:p>
    <w:p w14:paraId="6C0D1099" w14:textId="37523B86" w:rsidR="00520409" w:rsidRPr="00E345CA" w:rsidRDefault="00520409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 xml:space="preserve">autorità emittente </w:t>
      </w:r>
      <w:r w:rsidRPr="00E345CA">
        <w:rPr>
          <w:rFonts w:ascii="Titillium" w:hAnsi="Titillium"/>
        </w:rPr>
        <w:tab/>
      </w:r>
    </w:p>
    <w:p w14:paraId="062D53F4" w14:textId="68C253DA" w:rsidR="00520409" w:rsidRPr="00E345CA" w:rsidRDefault="00520409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 xml:space="preserve">data </w:t>
      </w:r>
      <w:r w:rsidRPr="00E345CA">
        <w:rPr>
          <w:rFonts w:ascii="Titillium" w:hAnsi="Titillium"/>
        </w:rPr>
        <w:tab/>
      </w:r>
    </w:p>
    <w:p w14:paraId="1F0E2B0B" w14:textId="2C3EF442" w:rsidR="00D17091" w:rsidRPr="00E345CA" w:rsidRDefault="00D17091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 xml:space="preserve">numero della sentenza </w:t>
      </w:r>
      <w:r w:rsidR="00520409" w:rsidRPr="00E345CA">
        <w:rPr>
          <w:rFonts w:ascii="Titillium" w:hAnsi="Titillium"/>
        </w:rPr>
        <w:tab/>
      </w:r>
    </w:p>
    <w:p w14:paraId="7D95F878" w14:textId="6EB6BBAE" w:rsidR="00D17091" w:rsidRPr="00E345CA" w:rsidRDefault="00D17091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>pena comminata</w:t>
      </w:r>
      <w:r w:rsidR="00520409" w:rsidRPr="00E345CA">
        <w:rPr>
          <w:rFonts w:ascii="Titillium" w:hAnsi="Titillium"/>
        </w:rPr>
        <w:tab/>
      </w:r>
    </w:p>
    <w:p w14:paraId="7D6A0BA0" w14:textId="6A4BF5B3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dot" w:pos="9072"/>
        </w:tabs>
        <w:spacing w:after="0" w:line="240" w:lineRule="auto"/>
        <w:ind w:left="1418" w:right="849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provvedimento di rinvio a giudizio </w:t>
      </w:r>
      <w:r w:rsidR="00520409" w:rsidRPr="00E345CA">
        <w:rPr>
          <w:rFonts w:ascii="Titillium" w:hAnsi="Titillium"/>
        </w:rPr>
        <w:tab/>
      </w:r>
      <w:r w:rsidRPr="00E345CA">
        <w:rPr>
          <w:rFonts w:ascii="Courier New" w:hAnsi="Courier New" w:cs="Courier New"/>
        </w:rPr>
        <w:t>□</w:t>
      </w:r>
    </w:p>
    <w:p w14:paraId="702C2817" w14:textId="33EF6AE6" w:rsidR="00520409" w:rsidRPr="00E345CA" w:rsidRDefault="00D17091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>autorità emitte</w:t>
      </w:r>
      <w:r w:rsidR="00520409" w:rsidRPr="00E345CA">
        <w:rPr>
          <w:rFonts w:ascii="Titillium" w:hAnsi="Titillium"/>
        </w:rPr>
        <w:t xml:space="preserve">nte </w:t>
      </w:r>
      <w:r w:rsidR="00520409" w:rsidRPr="00E345CA">
        <w:rPr>
          <w:rFonts w:ascii="Titillium" w:hAnsi="Titillium"/>
        </w:rPr>
        <w:tab/>
      </w:r>
    </w:p>
    <w:p w14:paraId="684CF907" w14:textId="690AF9F5" w:rsidR="00D17091" w:rsidRPr="00E345CA" w:rsidRDefault="00D17091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 xml:space="preserve">data del provvedimento </w:t>
      </w:r>
      <w:r w:rsidR="00520409" w:rsidRPr="00E345CA">
        <w:rPr>
          <w:rFonts w:ascii="Titillium" w:hAnsi="Titillium"/>
        </w:rPr>
        <w:tab/>
      </w:r>
    </w:p>
    <w:p w14:paraId="6BFA5DC7" w14:textId="1E614191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dot" w:pos="9072"/>
        </w:tabs>
        <w:spacing w:after="0" w:line="240" w:lineRule="auto"/>
        <w:ind w:left="1418" w:right="849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provvedimento cautelare </w:t>
      </w:r>
      <w:r w:rsidR="00520409" w:rsidRPr="00E345CA">
        <w:rPr>
          <w:rFonts w:ascii="Titillium" w:hAnsi="Titillium"/>
        </w:rPr>
        <w:tab/>
      </w:r>
      <w:r w:rsidRPr="00E345CA">
        <w:rPr>
          <w:rFonts w:ascii="Courier New" w:hAnsi="Courier New" w:cs="Courier New"/>
        </w:rPr>
        <w:t>□</w:t>
      </w:r>
    </w:p>
    <w:p w14:paraId="209521F7" w14:textId="77777777" w:rsidR="00520409" w:rsidRPr="00E345CA" w:rsidRDefault="00520409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 xml:space="preserve">autorità emittente </w:t>
      </w:r>
      <w:r w:rsidRPr="00E345CA">
        <w:rPr>
          <w:rFonts w:ascii="Titillium" w:hAnsi="Titillium"/>
        </w:rPr>
        <w:tab/>
      </w:r>
    </w:p>
    <w:p w14:paraId="1444B290" w14:textId="77777777" w:rsidR="00520409" w:rsidRPr="00E345CA" w:rsidRDefault="00520409" w:rsidP="00CB010D">
      <w:pPr>
        <w:pStyle w:val="Paragrafoelenco"/>
        <w:numPr>
          <w:ilvl w:val="0"/>
          <w:numId w:val="3"/>
        </w:numPr>
        <w:tabs>
          <w:tab w:val="left" w:leader="underscore" w:pos="9072"/>
        </w:tabs>
        <w:spacing w:after="0" w:line="240" w:lineRule="auto"/>
        <w:ind w:left="1701"/>
        <w:contextualSpacing w:val="0"/>
        <w:rPr>
          <w:rFonts w:ascii="Titillium" w:hAnsi="Titillium"/>
        </w:rPr>
      </w:pPr>
      <w:r w:rsidRPr="00E345CA">
        <w:rPr>
          <w:rFonts w:ascii="Titillium" w:hAnsi="Titillium"/>
        </w:rPr>
        <w:t xml:space="preserve">data del provvedimento </w:t>
      </w:r>
      <w:r w:rsidRPr="00E345CA">
        <w:rPr>
          <w:rFonts w:ascii="Titillium" w:hAnsi="Titillium"/>
        </w:rPr>
        <w:tab/>
      </w:r>
    </w:p>
    <w:p w14:paraId="53C8E378" w14:textId="3C999943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Soggetto nei confronti del quale è emessa la condanna</w:t>
      </w:r>
      <w:r w:rsidR="00520409" w:rsidRPr="00E345CA">
        <w:rPr>
          <w:rFonts w:ascii="Titillium" w:hAnsi="Titillium"/>
        </w:rPr>
        <w:t xml:space="preserve"> </w:t>
      </w:r>
      <w:r w:rsidR="00520409" w:rsidRPr="00E345CA">
        <w:rPr>
          <w:rFonts w:ascii="Titillium" w:hAnsi="Titillium"/>
        </w:rPr>
        <w:tab/>
      </w:r>
    </w:p>
    <w:p w14:paraId="269598B4" w14:textId="384DBACB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Carica sociale ricoperta</w:t>
      </w:r>
      <w:r w:rsidR="00520409" w:rsidRPr="00E345CA">
        <w:rPr>
          <w:rFonts w:ascii="Titillium" w:hAnsi="Titillium"/>
        </w:rPr>
        <w:t xml:space="preserve"> </w:t>
      </w:r>
      <w:r w:rsidR="00520409" w:rsidRPr="00E345CA">
        <w:rPr>
          <w:rFonts w:ascii="Titillium" w:hAnsi="Titillium"/>
        </w:rPr>
        <w:tab/>
      </w:r>
    </w:p>
    <w:p w14:paraId="540FF38D" w14:textId="09CBE0B1" w:rsidR="00D17091" w:rsidRPr="00E345CA" w:rsidRDefault="00520409" w:rsidP="00CB010D">
      <w:pPr>
        <w:pStyle w:val="Titolo3"/>
        <w:tabs>
          <w:tab w:val="left" w:leader="underscore" w:pos="9072"/>
        </w:tabs>
        <w:spacing w:before="0" w:line="240" w:lineRule="auto"/>
        <w:ind w:left="1701"/>
        <w:rPr>
          <w:szCs w:val="22"/>
        </w:rPr>
      </w:pPr>
      <w:r w:rsidRPr="00E345CA">
        <w:rPr>
          <w:szCs w:val="22"/>
        </w:rPr>
        <w:lastRenderedPageBreak/>
        <w:t>Tipologia di delitto</w:t>
      </w:r>
    </w:p>
    <w:p w14:paraId="02FF50FA" w14:textId="107D2958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</w:t>
      </w:r>
      <w:r w:rsidR="00520409" w:rsidRPr="00E345CA">
        <w:rPr>
          <w:rFonts w:ascii="Titillium" w:hAnsi="Titillium"/>
        </w:rPr>
        <w:t>Consiglio</w:t>
      </w:r>
      <w:r w:rsidR="004F3F1A" w:rsidRPr="00E345CA">
        <w:rPr>
          <w:rFonts w:ascii="Titillium" w:hAnsi="Titillium"/>
        </w:rPr>
        <w:t xml:space="preserve">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17D237C0" w14:textId="0965B550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concussione, induzione indebita a dare o promettere utilità e corruzione (articoli 317, 318, 319, 319 ter, 319 quater, 320, 322, </w:t>
      </w:r>
      <w:r w:rsidR="004F3F1A" w:rsidRPr="00E345CA">
        <w:rPr>
          <w:rFonts w:ascii="Titillium" w:hAnsi="Titillium"/>
        </w:rPr>
        <w:t xml:space="preserve">322 bis, 346 bis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6B18BAD" w14:textId="1A303BB3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Turbata libertà degli incanti (articoli 353, 353 bis e 354 del codice penale) </w:t>
      </w:r>
      <w:r w:rsidR="004F3F1A" w:rsidRPr="00E345CA">
        <w:rPr>
          <w:rFonts w:ascii="Titillium" w:hAnsi="Titillium"/>
        </w:rPr>
        <w:tab/>
      </w:r>
      <w:r w:rsidRPr="00E345CA">
        <w:rPr>
          <w:rFonts w:ascii="Courier New" w:hAnsi="Courier New" w:cs="Courier New"/>
        </w:rPr>
        <w:t>□</w:t>
      </w:r>
    </w:p>
    <w:p w14:paraId="14487545" w14:textId="476EF7E7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Reati posti in essere nell’ambito delle pubbliche forniture (articoli 355 e 356 del codice penale) </w:t>
      </w:r>
      <w:r w:rsidR="004F3F1A" w:rsidRPr="00E345CA">
        <w:rPr>
          <w:rFonts w:ascii="Titillium" w:hAnsi="Titillium"/>
        </w:rPr>
        <w:tab/>
      </w:r>
      <w:r w:rsidRPr="00E345CA">
        <w:rPr>
          <w:rFonts w:ascii="Courier New" w:hAnsi="Courier New" w:cs="Courier New"/>
        </w:rPr>
        <w:t>□</w:t>
      </w:r>
    </w:p>
    <w:p w14:paraId="3AC790A3" w14:textId="5AFA8FDD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Sfruttamento del lavoro minorile e altre forme di tratta di esseri umani definite con il decreto </w:t>
      </w:r>
      <w:r w:rsidR="004F3F1A" w:rsidRPr="00E345CA">
        <w:rPr>
          <w:rFonts w:ascii="Titillium" w:hAnsi="Titillium"/>
        </w:rPr>
        <w:t xml:space="preserve">legislativo 4 marzo 2014, n. 24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15049C60" w14:textId="3E918B11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Indebita percezione di erogazioni, truffa in danno dello Stato o di un ente pubblico o per il conseguimento di erogazioni pubbliche e frode informatica in danno dello Stato o di un ente pubblico (articoli 316 bis, 316 </w:t>
      </w:r>
      <w:proofErr w:type="gramStart"/>
      <w:r w:rsidRPr="00E345CA">
        <w:rPr>
          <w:rFonts w:ascii="Titillium" w:hAnsi="Titillium"/>
        </w:rPr>
        <w:t>ter,  640</w:t>
      </w:r>
      <w:proofErr w:type="gramEnd"/>
      <w:r w:rsidRPr="00E345CA">
        <w:rPr>
          <w:rFonts w:ascii="Titillium" w:hAnsi="Titillium"/>
        </w:rPr>
        <w:t xml:space="preserve">, comma 2, n. 1, 640 bis, </w:t>
      </w:r>
      <w:r w:rsidR="004F3F1A" w:rsidRPr="00E345CA">
        <w:rPr>
          <w:rFonts w:ascii="Titillium" w:hAnsi="Titillium"/>
        </w:rPr>
        <w:t xml:space="preserve"> 640 ter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6CEFDC93" w14:textId="7DCAB528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delitti informatici e trattamento illecito dei dati (articoli 615 ter, 617 quater, 617 </w:t>
      </w:r>
      <w:proofErr w:type="spellStart"/>
      <w:r w:rsidRPr="00E345CA">
        <w:rPr>
          <w:rFonts w:ascii="Titillium" w:hAnsi="Titillium"/>
        </w:rPr>
        <w:t>quinquies</w:t>
      </w:r>
      <w:proofErr w:type="spellEnd"/>
      <w:r w:rsidRPr="00E345CA">
        <w:rPr>
          <w:rFonts w:ascii="Titillium" w:hAnsi="Titillium"/>
        </w:rPr>
        <w:t xml:space="preserve">, 635 bis, 635 ter, 635 quater, 635 </w:t>
      </w:r>
      <w:proofErr w:type="spellStart"/>
      <w:r w:rsidRPr="00E345CA">
        <w:rPr>
          <w:rFonts w:ascii="Titillium" w:hAnsi="Titillium"/>
        </w:rPr>
        <w:t>quiquies</w:t>
      </w:r>
      <w:proofErr w:type="spellEnd"/>
      <w:r w:rsidRPr="00E345CA">
        <w:rPr>
          <w:rFonts w:ascii="Titillium" w:hAnsi="Titillium"/>
        </w:rPr>
        <w:t xml:space="preserve">, 640 </w:t>
      </w:r>
      <w:proofErr w:type="spellStart"/>
      <w:r w:rsidRPr="00E345CA">
        <w:rPr>
          <w:rFonts w:ascii="Titillium" w:hAnsi="Titillium"/>
        </w:rPr>
        <w:t>quinquies</w:t>
      </w:r>
      <w:proofErr w:type="spellEnd"/>
      <w:r w:rsidRPr="00E345CA">
        <w:rPr>
          <w:rFonts w:ascii="Titillium" w:hAnsi="Titillium"/>
        </w:rPr>
        <w:t xml:space="preserve"> codice penale)</w:t>
      </w:r>
      <w:r w:rsidR="004F3F1A" w:rsidRPr="00E345CA">
        <w:rPr>
          <w:rFonts w:ascii="Titillium" w:hAnsi="Titillium"/>
        </w:rPr>
        <w:t xml:space="preserve">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48EDDB1A" w14:textId="486BC2FD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Falsità in monete, in carte di pubblico credito, in valori di bollo e in strumenti o segni di riconoscimento (articoli 453, 454, 455, 457, 459, 460, 461, 464, 4</w:t>
      </w:r>
      <w:r w:rsidR="004F3F1A" w:rsidRPr="00E345CA">
        <w:rPr>
          <w:rFonts w:ascii="Titillium" w:hAnsi="Titillium"/>
        </w:rPr>
        <w:t xml:space="preserve">73, 474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67FB5D45" w14:textId="0FE07258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Delitti contro l’industria e il commercio (articoli 513, 513 bis, 514, 515, 516, 517, 517</w:t>
      </w:r>
      <w:r w:rsidR="004F3F1A" w:rsidRPr="00E345CA">
        <w:rPr>
          <w:rFonts w:ascii="Titillium" w:hAnsi="Titillium"/>
        </w:rPr>
        <w:t xml:space="preserve"> ter, 517 quater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3135FE54" w14:textId="060ACF89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Reati societari (articoli 2621, 2622. 2625, 2626, 2627, 2628, 2629, 2629 bis, 2632, 2633, 2636, 2637, 2638, 2635, 2635 bis codice civile)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F6AA352" w14:textId="6149C561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Reati fallimentari (articoli 322, 323, 325, 327, 329, 330, 331, 332 del decreto legislativo 12 gennaio 2019, n. 14 c.d. Codice della crisi</w:t>
      </w:r>
      <w:r w:rsidR="004F3F1A" w:rsidRPr="00E345CA">
        <w:rPr>
          <w:rFonts w:ascii="Titillium" w:hAnsi="Titillium"/>
        </w:rPr>
        <w:t xml:space="preserve"> d’impresa e dell’insolvenza)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39087394" w14:textId="05D115AD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Delitti con finalità di terrorismo o di eversione dell’ordine democratico (articoli 270 </w:t>
      </w:r>
      <w:proofErr w:type="gramStart"/>
      <w:r w:rsidRPr="00E345CA">
        <w:rPr>
          <w:rFonts w:ascii="Titillium" w:hAnsi="Titillium"/>
        </w:rPr>
        <w:t>bis,  270</w:t>
      </w:r>
      <w:proofErr w:type="gramEnd"/>
      <w:r w:rsidRPr="00E345CA">
        <w:rPr>
          <w:rFonts w:ascii="Titillium" w:hAnsi="Titillium"/>
        </w:rPr>
        <w:t xml:space="preserve"> ter, 270 quater, 270 </w:t>
      </w:r>
      <w:proofErr w:type="spellStart"/>
      <w:r w:rsidRPr="00E345CA">
        <w:rPr>
          <w:rFonts w:ascii="Titillium" w:hAnsi="Titillium"/>
        </w:rPr>
        <w:t>quinquies</w:t>
      </w:r>
      <w:proofErr w:type="spellEnd"/>
      <w:r w:rsidRPr="00E345CA">
        <w:rPr>
          <w:rFonts w:ascii="Titillium" w:hAnsi="Titillium"/>
        </w:rPr>
        <w:t xml:space="preserve">, 270 </w:t>
      </w:r>
      <w:proofErr w:type="spellStart"/>
      <w:r w:rsidRPr="00E345CA">
        <w:rPr>
          <w:rFonts w:ascii="Titillium" w:hAnsi="Titillium"/>
        </w:rPr>
        <w:t>sexies</w:t>
      </w:r>
      <w:proofErr w:type="spellEnd"/>
      <w:r w:rsidRPr="00E345CA">
        <w:rPr>
          <w:rFonts w:ascii="Titillium" w:hAnsi="Titillium"/>
        </w:rPr>
        <w:t>, 280, 280 bis, 28</w:t>
      </w:r>
      <w:r w:rsidR="004F3F1A" w:rsidRPr="00E345CA">
        <w:rPr>
          <w:rFonts w:ascii="Titillium" w:hAnsi="Titillium"/>
        </w:rPr>
        <w:t xml:space="preserve">9 bis, 302, 418,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1446D919" w14:textId="4AECD848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Pratiche di mutilazione degli organi genitali femminili (articolo 583 bis codice penale)</w:t>
      </w:r>
      <w:r w:rsidR="004F3F1A" w:rsidRPr="00E345CA">
        <w:rPr>
          <w:rFonts w:ascii="Titillium" w:hAnsi="Titillium"/>
        </w:rPr>
        <w:t xml:space="preserve">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D034FDF" w14:textId="62DF728F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Delitti contro la personalità individuale (articoli 600, 600 bis, 600 ter, 600 quater, 600 </w:t>
      </w:r>
      <w:proofErr w:type="spellStart"/>
      <w:r w:rsidRPr="00E345CA">
        <w:rPr>
          <w:rFonts w:ascii="Titillium" w:hAnsi="Titillium"/>
        </w:rPr>
        <w:t>quinquies</w:t>
      </w:r>
      <w:proofErr w:type="spellEnd"/>
      <w:r w:rsidRPr="00E345CA">
        <w:rPr>
          <w:rFonts w:ascii="Titillium" w:hAnsi="Titillium"/>
        </w:rPr>
        <w:t>, 6</w:t>
      </w:r>
      <w:r w:rsidR="004F3F1A" w:rsidRPr="00E345CA">
        <w:rPr>
          <w:rFonts w:ascii="Titillium" w:hAnsi="Titillium"/>
        </w:rPr>
        <w:t xml:space="preserve">01, 602, 603 bis, 609 </w:t>
      </w:r>
      <w:proofErr w:type="spellStart"/>
      <w:r w:rsidR="004F3F1A" w:rsidRPr="00E345CA">
        <w:rPr>
          <w:rFonts w:ascii="Titillium" w:hAnsi="Titillium"/>
        </w:rPr>
        <w:t>undecies</w:t>
      </w:r>
      <w:proofErr w:type="spellEnd"/>
      <w:r w:rsidR="004F3F1A" w:rsidRPr="00E345CA">
        <w:rPr>
          <w:rFonts w:ascii="Titillium" w:hAnsi="Titillium"/>
        </w:rPr>
        <w:t xml:space="preserve">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031C1C45" w14:textId="35E1A729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Abusi di mercato (articol</w:t>
      </w:r>
      <w:r w:rsidR="004F3F1A" w:rsidRPr="00E345CA">
        <w:rPr>
          <w:rFonts w:ascii="Titillium" w:hAnsi="Titillium"/>
        </w:rPr>
        <w:t xml:space="preserve">i 184, 185 d.lgs. 58/98)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68753916" w14:textId="73E08865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Reati commessi con violazione delle norme sulla tutela della salute e sicurezza sul lavoro (articoli 437, 45</w:t>
      </w:r>
      <w:r w:rsidR="004F3F1A" w:rsidRPr="00E345CA">
        <w:rPr>
          <w:rFonts w:ascii="Titillium" w:hAnsi="Titillium"/>
        </w:rPr>
        <w:t xml:space="preserve">1, 589, 590, del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41BFFC5" w14:textId="1322ED9C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Ricettazione, riciclaggio e impiego di denaro, beni o utilità di provenienza illecita nonché </w:t>
      </w:r>
      <w:proofErr w:type="spellStart"/>
      <w:r w:rsidRPr="00E345CA">
        <w:rPr>
          <w:rFonts w:ascii="Titillium" w:hAnsi="Titillium"/>
        </w:rPr>
        <w:t>autoriciclaggio</w:t>
      </w:r>
      <w:proofErr w:type="spellEnd"/>
      <w:r w:rsidRPr="00E345CA">
        <w:rPr>
          <w:rFonts w:ascii="Titillium" w:hAnsi="Titillium"/>
        </w:rPr>
        <w:t xml:space="preserve"> (articoli 648, </w:t>
      </w:r>
      <w:r w:rsidR="004F3F1A" w:rsidRPr="00E345CA">
        <w:rPr>
          <w:rFonts w:ascii="Titillium" w:hAnsi="Titillium"/>
        </w:rPr>
        <w:t xml:space="preserve">648 bis, 648 ter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130264B" w14:textId="60F991B1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lastRenderedPageBreak/>
        <w:t xml:space="preserve">Delitti in materia di violazione del diritto d’autore (articoli 171, 171 bis 171 ter, 171 </w:t>
      </w:r>
      <w:proofErr w:type="spellStart"/>
      <w:r w:rsidRPr="00E345CA">
        <w:rPr>
          <w:rFonts w:ascii="Titillium" w:hAnsi="Titillium"/>
        </w:rPr>
        <w:t>septies</w:t>
      </w:r>
      <w:proofErr w:type="spellEnd"/>
      <w:r w:rsidRPr="00E345CA">
        <w:rPr>
          <w:rFonts w:ascii="Titillium" w:hAnsi="Titillium"/>
        </w:rPr>
        <w:t xml:space="preserve">, 171 </w:t>
      </w:r>
      <w:proofErr w:type="spellStart"/>
      <w:r w:rsidRPr="00E345CA">
        <w:rPr>
          <w:rFonts w:ascii="Titillium" w:hAnsi="Titillium"/>
        </w:rPr>
        <w:t>octie</w:t>
      </w:r>
      <w:r w:rsidR="004F3F1A" w:rsidRPr="00E345CA">
        <w:rPr>
          <w:rFonts w:ascii="Titillium" w:hAnsi="Titillium"/>
        </w:rPr>
        <w:t>s</w:t>
      </w:r>
      <w:proofErr w:type="spellEnd"/>
      <w:r w:rsidR="004F3F1A" w:rsidRPr="00E345CA">
        <w:rPr>
          <w:rFonts w:ascii="Titillium" w:hAnsi="Titillium"/>
        </w:rPr>
        <w:t xml:space="preserve">, 174 </w:t>
      </w:r>
      <w:proofErr w:type="spellStart"/>
      <w:r w:rsidR="004F3F1A" w:rsidRPr="00E345CA">
        <w:rPr>
          <w:rFonts w:ascii="Titillium" w:hAnsi="Titillium"/>
        </w:rPr>
        <w:t>quinquies</w:t>
      </w:r>
      <w:proofErr w:type="spellEnd"/>
      <w:r w:rsidR="004F3F1A" w:rsidRPr="00E345CA">
        <w:rPr>
          <w:rFonts w:ascii="Titillium" w:hAnsi="Titillium"/>
        </w:rPr>
        <w:t xml:space="preserve">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5F3A03A7" w14:textId="42E1FF3A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Induzione a non rendere dichiarazioni o a rendere dichiarazioni mendaci all’autorità giudiziaria (</w:t>
      </w:r>
      <w:r w:rsidR="004F3F1A" w:rsidRPr="00E345CA">
        <w:rPr>
          <w:rFonts w:ascii="Titillium" w:hAnsi="Titillium"/>
        </w:rPr>
        <w:t xml:space="preserve">articolo 377 bis codice penale)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4FAB19F9" w14:textId="2AC375AC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Reati ambientali (articoli 452 bis, 452 quater, 452 </w:t>
      </w:r>
      <w:proofErr w:type="spellStart"/>
      <w:r w:rsidRPr="00E345CA">
        <w:rPr>
          <w:rFonts w:ascii="Titillium" w:hAnsi="Titillium"/>
        </w:rPr>
        <w:t>quinquies</w:t>
      </w:r>
      <w:proofErr w:type="spellEnd"/>
      <w:r w:rsidRPr="00E345CA">
        <w:rPr>
          <w:rFonts w:ascii="Titillium" w:hAnsi="Titillium"/>
        </w:rPr>
        <w:t xml:space="preserve">, 452 </w:t>
      </w:r>
      <w:proofErr w:type="spellStart"/>
      <w:r w:rsidRPr="00E345CA">
        <w:rPr>
          <w:rFonts w:ascii="Titillium" w:hAnsi="Titillium"/>
        </w:rPr>
        <w:t>sexies</w:t>
      </w:r>
      <w:proofErr w:type="spellEnd"/>
      <w:r w:rsidRPr="00E345CA">
        <w:rPr>
          <w:rFonts w:ascii="Titillium" w:hAnsi="Titillium"/>
        </w:rPr>
        <w:t xml:space="preserve">, 452 </w:t>
      </w:r>
      <w:proofErr w:type="spellStart"/>
      <w:r w:rsidRPr="00E345CA">
        <w:rPr>
          <w:rFonts w:ascii="Titillium" w:hAnsi="Titillium"/>
        </w:rPr>
        <w:t>octies</w:t>
      </w:r>
      <w:proofErr w:type="spellEnd"/>
      <w:r w:rsidRPr="00E345CA">
        <w:rPr>
          <w:rFonts w:ascii="Titillium" w:hAnsi="Titillium"/>
        </w:rPr>
        <w:t>, 727 bis codice penale, 137, 256, 257, 258, 259, 260, 260 bis, d.lgs. 152/2006; articoli 1, 2, 3 bis, 6 della legge 150/92; articolo 3 legge 549/1993; articoli 8 e 9 legge 202/</w:t>
      </w:r>
      <w:r w:rsidR="004F3F1A" w:rsidRPr="00E345CA">
        <w:rPr>
          <w:rFonts w:ascii="Titillium" w:hAnsi="Titillium"/>
        </w:rPr>
        <w:t xml:space="preserve">2007)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2104C68" w14:textId="6ED84CAD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 xml:space="preserve">Impiego di cittadini di paesi terzi il cui soggiorno è irregolare; favoreggiamento dell’immigrazione clandestina o della permanenza illecita di stranieri nel territorio dello Stato; razzismo e xenofobia (articoli 12 e 22, comma 12 bis, del </w:t>
      </w:r>
      <w:proofErr w:type="spellStart"/>
      <w:proofErr w:type="gramStart"/>
      <w:r w:rsidRPr="00E345CA">
        <w:rPr>
          <w:rFonts w:ascii="Titillium" w:hAnsi="Titillium"/>
        </w:rPr>
        <w:t>D.Lgs</w:t>
      </w:r>
      <w:proofErr w:type="gramEnd"/>
      <w:r w:rsidRPr="00E345CA">
        <w:rPr>
          <w:rFonts w:ascii="Titillium" w:hAnsi="Titillium"/>
        </w:rPr>
        <w:t>.</w:t>
      </w:r>
      <w:proofErr w:type="spellEnd"/>
      <w:r w:rsidRPr="00E345CA">
        <w:rPr>
          <w:rFonts w:ascii="Titillium" w:hAnsi="Titillium"/>
        </w:rPr>
        <w:t xml:space="preserve"> 286/1998; art</w:t>
      </w:r>
      <w:r w:rsidR="004F3F1A" w:rsidRPr="00E345CA">
        <w:rPr>
          <w:rFonts w:ascii="Titillium" w:hAnsi="Titillium"/>
        </w:rPr>
        <w:t xml:space="preserve">icolo 3, comma 3, legge 654/75)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65021A5" w14:textId="1523DA62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Frode in competizioni sportive, esercizio abusivo di gioco o di scommessa e giochi d’azzardo esercitati a mezzo di apparecchi vietat</w:t>
      </w:r>
      <w:r w:rsidR="004F3F1A" w:rsidRPr="00E345CA">
        <w:rPr>
          <w:rFonts w:ascii="Titillium" w:hAnsi="Titillium"/>
        </w:rPr>
        <w:t xml:space="preserve">i (articoli 1 e 4 legge 401/89)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7B27BE7C" w14:textId="153C8400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Reati tributari (legge 74/2000)</w:t>
      </w:r>
      <w:r w:rsidR="004F3F1A" w:rsidRPr="00E345CA">
        <w:rPr>
          <w:rFonts w:ascii="Titillium" w:hAnsi="Titillium"/>
        </w:rPr>
        <w:t xml:space="preserve">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3EC38B84" w14:textId="068790F9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reati urbanistici di cui all’art. 44, comma 1 lettere b) e c) d</w:t>
      </w:r>
      <w:r w:rsidR="004F3F1A" w:rsidRPr="00E345CA">
        <w:rPr>
          <w:rFonts w:ascii="Titillium" w:hAnsi="Titillium"/>
        </w:rPr>
        <w:t xml:space="preserve">el </w:t>
      </w:r>
      <w:proofErr w:type="spellStart"/>
      <w:r w:rsidR="004F3F1A" w:rsidRPr="00E345CA">
        <w:rPr>
          <w:rFonts w:ascii="Titillium" w:hAnsi="Titillium"/>
        </w:rPr>
        <w:t>d.P.R.</w:t>
      </w:r>
      <w:proofErr w:type="spellEnd"/>
      <w:r w:rsidR="004F3F1A" w:rsidRPr="00E345CA">
        <w:rPr>
          <w:rFonts w:ascii="Titillium" w:hAnsi="Titillium"/>
        </w:rPr>
        <w:t xml:space="preserve"> 6 giugno 2001, n. 380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6ECC1327" w14:textId="5D15A691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esercizio abusivo della professione (articolo 348 codice penale)</w:t>
      </w:r>
      <w:r w:rsidR="004F3F1A" w:rsidRPr="00E345CA">
        <w:rPr>
          <w:rFonts w:ascii="Titillium" w:hAnsi="Titillium"/>
        </w:rPr>
        <w:t xml:space="preserve">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2607B4F5" w14:textId="0F530DB5" w:rsidR="00D17091" w:rsidRPr="00E345CA" w:rsidRDefault="00D17091" w:rsidP="00CB010D">
      <w:pPr>
        <w:pStyle w:val="Paragrafoelenco"/>
        <w:numPr>
          <w:ilvl w:val="0"/>
          <w:numId w:val="4"/>
        </w:numPr>
        <w:tabs>
          <w:tab w:val="left" w:leader="dot" w:pos="9072"/>
        </w:tabs>
        <w:spacing w:after="0" w:line="240" w:lineRule="auto"/>
        <w:ind w:left="1701" w:right="567" w:hanging="357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reati di falso (articoli 482, 483, 485 e 486 codice penale)</w:t>
      </w:r>
      <w:r w:rsidR="004F3F1A" w:rsidRPr="00E345CA">
        <w:rPr>
          <w:rFonts w:ascii="Titillium" w:hAnsi="Titillium"/>
        </w:rPr>
        <w:t xml:space="preserve"> </w:t>
      </w:r>
      <w:r w:rsidR="004F3F1A" w:rsidRPr="00E345CA">
        <w:rPr>
          <w:rFonts w:ascii="Titillium" w:hAnsi="Titillium"/>
        </w:rPr>
        <w:tab/>
      </w:r>
      <w:r w:rsidR="004F3F1A" w:rsidRPr="00E345CA">
        <w:rPr>
          <w:rFonts w:ascii="Courier New" w:hAnsi="Courier New" w:cs="Courier New"/>
        </w:rPr>
        <w:t>□</w:t>
      </w:r>
    </w:p>
    <w:p w14:paraId="10B5E32A" w14:textId="670360B3" w:rsidR="00D17091" w:rsidRDefault="00D17091" w:rsidP="008A5383">
      <w:pPr>
        <w:pStyle w:val="Paragrafoelenco"/>
        <w:numPr>
          <w:ilvl w:val="0"/>
          <w:numId w:val="4"/>
        </w:numPr>
        <w:tabs>
          <w:tab w:val="left" w:leader="underscore" w:pos="9072"/>
        </w:tabs>
        <w:spacing w:after="0" w:line="240" w:lineRule="auto"/>
        <w:ind w:left="1701" w:right="567" w:hanging="425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ogni altro reato da cui derivi l’incapacità di contrarre con la pubblica amministrazione (specificare</w:t>
      </w:r>
      <w:r w:rsidR="004F3F1A" w:rsidRPr="00E345CA">
        <w:rPr>
          <w:rFonts w:ascii="Titillium" w:hAnsi="Titillium"/>
        </w:rPr>
        <w:tab/>
        <w:t>)</w:t>
      </w:r>
    </w:p>
    <w:p w14:paraId="07A19A5B" w14:textId="77777777" w:rsidR="00E345CA" w:rsidRPr="00E345CA" w:rsidRDefault="00E345CA" w:rsidP="008A5383">
      <w:pPr>
        <w:tabs>
          <w:tab w:val="left" w:leader="underscore" w:pos="9072"/>
        </w:tabs>
        <w:spacing w:after="0" w:line="240" w:lineRule="auto"/>
        <w:ind w:left="1276" w:right="567"/>
        <w:jc w:val="both"/>
        <w:rPr>
          <w:rFonts w:ascii="Titillium" w:hAnsi="Titillium"/>
        </w:rPr>
      </w:pPr>
    </w:p>
    <w:p w14:paraId="34B1D3F8" w14:textId="4D54EF14" w:rsidR="00D17091" w:rsidRPr="00E345CA" w:rsidRDefault="00D17091" w:rsidP="00154E4A">
      <w:pPr>
        <w:pStyle w:val="Titolo1"/>
        <w:rPr>
          <w:rFonts w:cstheme="minorHAnsi"/>
        </w:rPr>
      </w:pPr>
      <w:r w:rsidRPr="00E345CA">
        <w:t xml:space="preserve">Esclusione per provvedimenti comminati dall’Autorità Garante </w:t>
      </w:r>
      <w:r w:rsidR="004F3F1A" w:rsidRPr="00E345CA">
        <w:t xml:space="preserve">della </w:t>
      </w:r>
      <w:r w:rsidR="004F3F1A" w:rsidRPr="00E345CA">
        <w:rPr>
          <w:rFonts w:cstheme="minorHAnsi"/>
        </w:rPr>
        <w:t>Concorrenza e del Mercato</w:t>
      </w:r>
    </w:p>
    <w:p w14:paraId="251D8FF6" w14:textId="129EB1CE" w:rsidR="00D17091" w:rsidRPr="00E345CA" w:rsidRDefault="00D17091" w:rsidP="00CB010D">
      <w:pPr>
        <w:pStyle w:val="Titolo2"/>
        <w:tabs>
          <w:tab w:val="left" w:leader="dot" w:pos="9072"/>
        </w:tabs>
        <w:spacing w:before="0" w:line="240" w:lineRule="auto"/>
        <w:ind w:left="993" w:right="566"/>
        <w:jc w:val="both"/>
        <w:rPr>
          <w:rFonts w:cstheme="minorHAnsi"/>
          <w:szCs w:val="22"/>
        </w:rPr>
      </w:pPr>
      <w:r w:rsidRPr="00E345CA">
        <w:rPr>
          <w:rFonts w:cstheme="minorHAnsi"/>
          <w:szCs w:val="22"/>
        </w:rPr>
        <w:t xml:space="preserve">provvedimenti di condanna per pratiche commerciali scorrette poste in essere nel medesimo mercato oggetto del contratto da affidare </w:t>
      </w:r>
      <w:r w:rsidR="004F3F1A" w:rsidRPr="00E345CA">
        <w:rPr>
          <w:rFonts w:cstheme="minorHAnsi"/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7A28930D" w14:textId="44DE22AF" w:rsidR="00D17091" w:rsidRPr="00E345CA" w:rsidRDefault="00D17091" w:rsidP="00CB010D">
      <w:pPr>
        <w:pStyle w:val="Titolo2"/>
        <w:tabs>
          <w:tab w:val="left" w:leader="dot" w:pos="9072"/>
        </w:tabs>
        <w:spacing w:before="0" w:line="240" w:lineRule="auto"/>
        <w:ind w:left="993" w:right="566"/>
        <w:jc w:val="both"/>
        <w:rPr>
          <w:rFonts w:cstheme="minorHAnsi"/>
          <w:szCs w:val="22"/>
        </w:rPr>
      </w:pPr>
      <w:r w:rsidRPr="00E345CA">
        <w:rPr>
          <w:rFonts w:cstheme="minorHAnsi"/>
          <w:szCs w:val="22"/>
        </w:rPr>
        <w:t xml:space="preserve">b) illeciti antitrust gravi aventi effetti sulla contrattualistica pubblica e posti in essere nel medesimo mercato oggetto del contratto da affidare </w:t>
      </w:r>
      <w:r w:rsidR="004F3F1A" w:rsidRPr="00E345CA">
        <w:rPr>
          <w:rFonts w:cstheme="minorHAnsi"/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019E4CE4" w14:textId="1AAC0D39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jc w:val="both"/>
        <w:rPr>
          <w:rFonts w:ascii="Titillium" w:hAnsi="Titillium" w:cstheme="minorHAnsi"/>
        </w:rPr>
      </w:pPr>
      <w:r w:rsidRPr="00E345CA">
        <w:rPr>
          <w:rFonts w:ascii="Titillium" w:hAnsi="Titillium" w:cstheme="minorHAnsi"/>
        </w:rPr>
        <w:t>data del provvedimento</w:t>
      </w:r>
      <w:r w:rsidR="004F3F1A" w:rsidRPr="00E345CA">
        <w:rPr>
          <w:rFonts w:ascii="Titillium" w:hAnsi="Titillium" w:cstheme="minorHAnsi"/>
        </w:rPr>
        <w:tab/>
      </w:r>
    </w:p>
    <w:p w14:paraId="30F88159" w14:textId="0294BA03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 w:cstheme="minorHAnsi"/>
        </w:rPr>
      </w:pPr>
      <w:r w:rsidRPr="00E345CA">
        <w:rPr>
          <w:rFonts w:ascii="Titillium" w:hAnsi="Titillium" w:cstheme="minorHAnsi"/>
        </w:rPr>
        <w:t>numero del provvedimento</w:t>
      </w:r>
      <w:r w:rsidR="004F3F1A" w:rsidRPr="00E345CA">
        <w:rPr>
          <w:rFonts w:ascii="Titillium" w:hAnsi="Titillium" w:cstheme="minorHAnsi"/>
        </w:rPr>
        <w:tab/>
      </w:r>
    </w:p>
    <w:p w14:paraId="1EB0A742" w14:textId="77777777" w:rsidR="00E345CA" w:rsidRPr="00E345CA" w:rsidRDefault="00E345CA" w:rsidP="00E345CA">
      <w:pPr>
        <w:pStyle w:val="Paragrafoelenco"/>
        <w:tabs>
          <w:tab w:val="left" w:leader="underscore" w:pos="9072"/>
        </w:tabs>
        <w:spacing w:after="0"/>
        <w:ind w:left="1418" w:right="-1"/>
        <w:contextualSpacing w:val="0"/>
        <w:jc w:val="both"/>
        <w:rPr>
          <w:rFonts w:ascii="Titillium" w:hAnsi="Titillium" w:cstheme="minorHAnsi"/>
        </w:rPr>
      </w:pPr>
    </w:p>
    <w:p w14:paraId="189D3E5F" w14:textId="4F459D87" w:rsidR="00D17091" w:rsidRPr="00E345CA" w:rsidRDefault="00D17091" w:rsidP="00154E4A">
      <w:pPr>
        <w:pStyle w:val="Titolo1"/>
      </w:pPr>
      <w:r w:rsidRPr="00E345CA">
        <w:t>Esclusione per provvedimenti sanzionatori comminati dall’ANAC ai sensi dell’art. 213, comma 13, del codice e iscritti</w:t>
      </w:r>
      <w:r w:rsidR="004F3F1A" w:rsidRPr="00E345CA">
        <w:t xml:space="preserve"> nel Casellario informatico</w:t>
      </w:r>
    </w:p>
    <w:p w14:paraId="636E8D5D" w14:textId="4E30F378" w:rsidR="00D17091" w:rsidRPr="00E345CA" w:rsidRDefault="00CC7232" w:rsidP="00CB010D">
      <w:pPr>
        <w:pStyle w:val="Titolo2"/>
        <w:tabs>
          <w:tab w:val="left" w:leader="dot" w:pos="9072"/>
        </w:tabs>
        <w:spacing w:before="0" w:line="240" w:lineRule="auto"/>
        <w:ind w:left="993" w:right="566"/>
        <w:jc w:val="both"/>
        <w:rPr>
          <w:rFonts w:cstheme="minorHAnsi"/>
          <w:szCs w:val="22"/>
        </w:rPr>
      </w:pPr>
      <w:r w:rsidRPr="00E345CA">
        <w:rPr>
          <w:rFonts w:cstheme="minorHAnsi"/>
          <w:szCs w:val="22"/>
        </w:rPr>
        <w:t xml:space="preserve">per </w:t>
      </w:r>
      <w:r w:rsidR="00D17091" w:rsidRPr="00E345CA">
        <w:rPr>
          <w:rFonts w:cstheme="minorHAnsi"/>
          <w:szCs w:val="22"/>
        </w:rPr>
        <w:t>aver rifiutato od omesso, senza giustificato motivo, di fornire informazioni o documenti richiesti d</w:t>
      </w:r>
      <w:r w:rsidR="004F3F1A" w:rsidRPr="00E345CA">
        <w:rPr>
          <w:rFonts w:cstheme="minorHAnsi"/>
          <w:szCs w:val="22"/>
        </w:rPr>
        <w:t>all’Autorità</w:t>
      </w:r>
      <w:r w:rsidR="00D17091" w:rsidRPr="00E345CA">
        <w:rPr>
          <w:rFonts w:cstheme="minorHAnsi"/>
          <w:szCs w:val="22"/>
        </w:rPr>
        <w:t xml:space="preserve"> </w:t>
      </w:r>
      <w:r w:rsidR="004F3F1A" w:rsidRPr="00E345CA">
        <w:rPr>
          <w:rFonts w:cstheme="minorHAnsi"/>
          <w:szCs w:val="22"/>
        </w:rPr>
        <w:tab/>
      </w:r>
      <w:r w:rsidR="00D17091" w:rsidRPr="00E345CA">
        <w:rPr>
          <w:rFonts w:ascii="Courier New" w:hAnsi="Courier New" w:cs="Courier New"/>
          <w:szCs w:val="22"/>
        </w:rPr>
        <w:t>□</w:t>
      </w:r>
    </w:p>
    <w:p w14:paraId="2332143C" w14:textId="4B28AB0A" w:rsidR="00D17091" w:rsidRPr="00E345CA" w:rsidRDefault="00CC7232" w:rsidP="00CB010D">
      <w:pPr>
        <w:pStyle w:val="Titolo2"/>
        <w:tabs>
          <w:tab w:val="left" w:leader="dot" w:pos="9072"/>
        </w:tabs>
        <w:spacing w:before="0" w:line="240" w:lineRule="auto"/>
        <w:ind w:left="993" w:right="566"/>
        <w:jc w:val="both"/>
        <w:rPr>
          <w:rFonts w:cstheme="minorHAnsi"/>
          <w:szCs w:val="22"/>
        </w:rPr>
      </w:pPr>
      <w:r w:rsidRPr="00E345CA">
        <w:rPr>
          <w:rFonts w:cstheme="minorHAnsi"/>
          <w:szCs w:val="22"/>
        </w:rPr>
        <w:t xml:space="preserve">per </w:t>
      </w:r>
      <w:r w:rsidR="00D17091" w:rsidRPr="00E345CA">
        <w:rPr>
          <w:rFonts w:cstheme="minorHAnsi"/>
          <w:szCs w:val="22"/>
        </w:rPr>
        <w:t xml:space="preserve">non aver ottemperato alla richiesta della stazione appaltante di comprovare i requisiti di partecipazione alla gara </w:t>
      </w:r>
      <w:r w:rsidR="00587B46" w:rsidRPr="00E345CA">
        <w:rPr>
          <w:rFonts w:cstheme="minorHAnsi"/>
          <w:szCs w:val="22"/>
        </w:rPr>
        <w:tab/>
      </w:r>
      <w:r w:rsidR="00D17091" w:rsidRPr="00E345CA">
        <w:rPr>
          <w:rFonts w:ascii="Courier New" w:hAnsi="Courier New" w:cs="Courier New"/>
          <w:szCs w:val="22"/>
        </w:rPr>
        <w:t>□</w:t>
      </w:r>
    </w:p>
    <w:p w14:paraId="533F0768" w14:textId="6CD2AF26" w:rsidR="00D17091" w:rsidRPr="00E345CA" w:rsidRDefault="00D17091" w:rsidP="00CB010D">
      <w:pPr>
        <w:pStyle w:val="Titolo2"/>
        <w:tabs>
          <w:tab w:val="left" w:leader="dot" w:pos="9072"/>
        </w:tabs>
        <w:spacing w:before="0" w:line="240" w:lineRule="auto"/>
        <w:ind w:left="993" w:right="566"/>
        <w:jc w:val="both"/>
        <w:rPr>
          <w:rFonts w:cstheme="minorHAnsi"/>
          <w:szCs w:val="22"/>
        </w:rPr>
      </w:pPr>
      <w:r w:rsidRPr="00E345CA">
        <w:rPr>
          <w:rFonts w:cstheme="minorHAnsi"/>
          <w:szCs w:val="22"/>
        </w:rPr>
        <w:t>a fronte di una richiesta di informazione o di esibizione di documenti da parte dell’Autorità, non aver fornito informazioni o documenti non veritieri</w:t>
      </w:r>
      <w:r w:rsidR="00587B46" w:rsidRPr="00E345CA">
        <w:rPr>
          <w:rFonts w:cstheme="minorHAnsi"/>
          <w:szCs w:val="22"/>
        </w:rPr>
        <w:t xml:space="preserve"> </w:t>
      </w:r>
      <w:r w:rsidR="00587B46" w:rsidRPr="00E345CA">
        <w:rPr>
          <w:rFonts w:cstheme="minorHAnsi"/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7949C0FB" w14:textId="77777777" w:rsidR="00587B46" w:rsidRPr="00E345CA" w:rsidRDefault="00587B46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 w:cstheme="minorHAnsi"/>
        </w:rPr>
      </w:pPr>
      <w:r w:rsidRPr="00E345CA">
        <w:rPr>
          <w:rFonts w:ascii="Titillium" w:hAnsi="Titillium" w:cstheme="minorHAnsi"/>
        </w:rPr>
        <w:t>data del provvedimento</w:t>
      </w:r>
      <w:r w:rsidRPr="00E345CA">
        <w:rPr>
          <w:rFonts w:ascii="Titillium" w:hAnsi="Titillium" w:cstheme="minorHAnsi"/>
        </w:rPr>
        <w:tab/>
      </w:r>
    </w:p>
    <w:p w14:paraId="1D7D60E9" w14:textId="20476B02" w:rsidR="00587B46" w:rsidRPr="00E345CA" w:rsidRDefault="00587B46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 w:cstheme="minorHAnsi"/>
        </w:rPr>
      </w:pPr>
      <w:r w:rsidRPr="00E345CA">
        <w:rPr>
          <w:rFonts w:ascii="Titillium" w:hAnsi="Titillium" w:cstheme="minorHAnsi"/>
        </w:rPr>
        <w:t>numero del provvedimento</w:t>
      </w:r>
      <w:r w:rsidRPr="00E345CA">
        <w:rPr>
          <w:rFonts w:ascii="Titillium" w:hAnsi="Titillium" w:cstheme="minorHAnsi"/>
        </w:rPr>
        <w:tab/>
      </w:r>
    </w:p>
    <w:p w14:paraId="6EE0E14C" w14:textId="77777777" w:rsidR="00E345CA" w:rsidRPr="00E345CA" w:rsidRDefault="00E345CA" w:rsidP="00E345CA">
      <w:pPr>
        <w:pStyle w:val="Paragrafoelenco"/>
        <w:tabs>
          <w:tab w:val="left" w:leader="underscore" w:pos="9072"/>
        </w:tabs>
        <w:spacing w:after="0"/>
        <w:ind w:left="1418" w:right="-1"/>
        <w:contextualSpacing w:val="0"/>
        <w:jc w:val="both"/>
        <w:rPr>
          <w:rFonts w:ascii="Titillium" w:hAnsi="Titillium" w:cstheme="minorHAnsi"/>
        </w:rPr>
      </w:pPr>
    </w:p>
    <w:p w14:paraId="1703AE2C" w14:textId="5D66A5ED" w:rsidR="00D17091" w:rsidRPr="00E345CA" w:rsidRDefault="00D17091" w:rsidP="00154E4A">
      <w:pPr>
        <w:pStyle w:val="Titolo1"/>
      </w:pPr>
      <w:r w:rsidRPr="00E345CA">
        <w:t xml:space="preserve">Esclusione per violazioni poste in essere nella fase di partecipazione o di esecuzione di una precedente procedura di affidamento accertate da altra stazione appaltante </w:t>
      </w:r>
      <w:r w:rsidR="00587B46" w:rsidRPr="00E345CA">
        <w:tab/>
      </w:r>
      <w:r w:rsidRPr="00E345CA">
        <w:rPr>
          <w:rFonts w:ascii="Courier New" w:hAnsi="Courier New" w:cs="Courier New"/>
        </w:rPr>
        <w:t>□</w:t>
      </w:r>
    </w:p>
    <w:p w14:paraId="5D7A9D8D" w14:textId="4F846925" w:rsidR="00587B46" w:rsidRPr="00E345CA" w:rsidRDefault="00587B46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Notizia segnalata da</w:t>
      </w:r>
      <w:r w:rsidRPr="00E345CA">
        <w:rPr>
          <w:rFonts w:ascii="Titillium" w:hAnsi="Titillium"/>
        </w:rPr>
        <w:tab/>
      </w:r>
    </w:p>
    <w:p w14:paraId="033D8177" w14:textId="25C29D9D" w:rsidR="00D17091" w:rsidRPr="00E345CA" w:rsidRDefault="00587B46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-1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>A</w:t>
      </w:r>
      <w:r w:rsidR="00D17091" w:rsidRPr="00E345CA">
        <w:rPr>
          <w:rFonts w:ascii="Titillium" w:hAnsi="Titillium"/>
        </w:rPr>
        <w:t>nnotata nel Casellario in</w:t>
      </w:r>
      <w:r w:rsidRPr="00E345CA">
        <w:rPr>
          <w:rFonts w:ascii="Titillium" w:hAnsi="Titillium"/>
        </w:rPr>
        <w:t>formatico in data</w:t>
      </w:r>
      <w:r w:rsidRPr="00E345CA">
        <w:rPr>
          <w:rFonts w:ascii="Titillium" w:hAnsi="Titillium"/>
        </w:rPr>
        <w:tab/>
      </w:r>
    </w:p>
    <w:p w14:paraId="699C5D89" w14:textId="3B430352" w:rsidR="00D17091" w:rsidRPr="00E345CA" w:rsidRDefault="00D17091" w:rsidP="00CB010D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after="0" w:line="240" w:lineRule="auto"/>
        <w:ind w:left="1418" w:right="566"/>
        <w:contextualSpacing w:val="0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lastRenderedPageBreak/>
        <w:t>Notizia conosciuta altrimenti (specificare notizia, modalità di cono</w:t>
      </w:r>
      <w:r w:rsidR="00587B46" w:rsidRPr="00E345CA">
        <w:rPr>
          <w:rFonts w:ascii="Titillium" w:hAnsi="Titillium"/>
        </w:rPr>
        <w:t xml:space="preserve">scenza e accertamenti condotti) </w:t>
      </w:r>
      <w:r w:rsidR="00587B46" w:rsidRPr="00E345CA">
        <w:rPr>
          <w:rFonts w:ascii="Titillium" w:hAnsi="Titillium"/>
        </w:rPr>
        <w:tab/>
      </w:r>
    </w:p>
    <w:p w14:paraId="14E338AF" w14:textId="083C7366" w:rsidR="00587B46" w:rsidRPr="00E345CA" w:rsidRDefault="00587B46" w:rsidP="00CB010D">
      <w:pPr>
        <w:tabs>
          <w:tab w:val="left" w:leader="underscore" w:pos="9072"/>
        </w:tabs>
        <w:spacing w:after="0" w:line="240" w:lineRule="auto"/>
        <w:ind w:left="1418" w:right="-1"/>
        <w:jc w:val="both"/>
        <w:rPr>
          <w:rFonts w:ascii="Titillium" w:hAnsi="Titillium"/>
        </w:rPr>
      </w:pPr>
      <w:r w:rsidRPr="00E345CA">
        <w:rPr>
          <w:rFonts w:ascii="Titillium" w:hAnsi="Titillium"/>
        </w:rPr>
        <w:tab/>
      </w:r>
    </w:p>
    <w:p w14:paraId="3D023431" w14:textId="77777777" w:rsidR="00587B46" w:rsidRPr="00E345CA" w:rsidRDefault="00D17091" w:rsidP="00183F51">
      <w:pPr>
        <w:pStyle w:val="Titolo2"/>
        <w:keepNext w:val="0"/>
        <w:keepLines w:val="0"/>
        <w:widowControl w:val="0"/>
        <w:spacing w:before="0" w:line="240" w:lineRule="auto"/>
        <w:ind w:left="998" w:right="424" w:hanging="578"/>
        <w:jc w:val="both"/>
        <w:rPr>
          <w:szCs w:val="22"/>
        </w:rPr>
      </w:pPr>
      <w:r w:rsidRPr="00E345CA">
        <w:rPr>
          <w:szCs w:val="22"/>
        </w:rPr>
        <w:t>Significative o persistenti carenze nell'esecuzione di un precedente contratto di appalto o di concessione che ne hanno causato:</w:t>
      </w:r>
    </w:p>
    <w:p w14:paraId="01D3F256" w14:textId="04BE7DBE" w:rsidR="00D17091" w:rsidRPr="00E345CA" w:rsidRDefault="00D17091" w:rsidP="00CB010D">
      <w:pPr>
        <w:pStyle w:val="Titolo2"/>
        <w:keepNext w:val="0"/>
        <w:keepLines w:val="0"/>
        <w:widowControl w:val="0"/>
        <w:numPr>
          <w:ilvl w:val="0"/>
          <w:numId w:val="5"/>
        </w:numPr>
        <w:tabs>
          <w:tab w:val="left" w:leader="dot" w:pos="9072"/>
        </w:tabs>
        <w:spacing w:before="0" w:line="240" w:lineRule="auto"/>
        <w:ind w:right="566"/>
        <w:jc w:val="both"/>
        <w:rPr>
          <w:szCs w:val="22"/>
        </w:rPr>
      </w:pPr>
      <w:r w:rsidRPr="00E345CA">
        <w:rPr>
          <w:szCs w:val="22"/>
        </w:rPr>
        <w:t xml:space="preserve">risoluzione anticipata non contestata in giudizio, ovvero confermata con provvedimento esecutivo all’esito di un giudizio </w:t>
      </w:r>
      <w:r w:rsidR="00CB4D20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3B0473AE" w14:textId="49A1104C" w:rsidR="00D17091" w:rsidRPr="00E345CA" w:rsidRDefault="00D17091" w:rsidP="00CB010D">
      <w:pPr>
        <w:pStyle w:val="Titolo2"/>
        <w:keepNext w:val="0"/>
        <w:keepLines w:val="0"/>
        <w:widowControl w:val="0"/>
        <w:numPr>
          <w:ilvl w:val="0"/>
          <w:numId w:val="5"/>
        </w:numPr>
        <w:tabs>
          <w:tab w:val="left" w:leader="dot" w:pos="9072"/>
        </w:tabs>
        <w:spacing w:before="0" w:line="240" w:lineRule="auto"/>
        <w:rPr>
          <w:szCs w:val="22"/>
        </w:rPr>
      </w:pPr>
      <w:r w:rsidRPr="00E345CA">
        <w:rPr>
          <w:szCs w:val="22"/>
        </w:rPr>
        <w:t>condanna al risarcimento del danno</w:t>
      </w:r>
      <w:r w:rsidR="00CB4D20" w:rsidRPr="00E345CA">
        <w:rPr>
          <w:szCs w:val="22"/>
        </w:rPr>
        <w:t xml:space="preserve"> </w:t>
      </w:r>
      <w:r w:rsidR="00CB4D20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34D6BB06" w14:textId="1FEEF9AA" w:rsidR="00D17091" w:rsidRPr="00E345CA" w:rsidRDefault="00D17091" w:rsidP="00CB010D">
      <w:pPr>
        <w:pStyle w:val="Titolo2"/>
        <w:keepNext w:val="0"/>
        <w:keepLines w:val="0"/>
        <w:numPr>
          <w:ilvl w:val="0"/>
          <w:numId w:val="5"/>
        </w:numPr>
        <w:tabs>
          <w:tab w:val="left" w:leader="dot" w:pos="9072"/>
        </w:tabs>
        <w:spacing w:before="0" w:line="240" w:lineRule="auto"/>
        <w:ind w:left="1712" w:right="567" w:hanging="357"/>
        <w:rPr>
          <w:szCs w:val="22"/>
        </w:rPr>
      </w:pPr>
      <w:r w:rsidRPr="00E345CA">
        <w:rPr>
          <w:szCs w:val="22"/>
        </w:rPr>
        <w:t>altre sanzioni comparabili conseguenti all’inadempimento di una prestazione sostanziale rispetto al complesso degli impegni assunti dal contraente, quali l’applicazione di penali o l’escussione delle garanzie ai sensi degli artt. 103 e 104 del codice dei contratti pubblici</w:t>
      </w:r>
      <w:r w:rsidR="00CB4D20" w:rsidRPr="00E345CA">
        <w:rPr>
          <w:szCs w:val="22"/>
        </w:rPr>
        <w:t xml:space="preserve"> </w:t>
      </w:r>
      <w:r w:rsidR="00CB4D20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2CD1935F" w14:textId="60D4E509" w:rsidR="00D17091" w:rsidRPr="00E345CA" w:rsidRDefault="00D17091" w:rsidP="00CB010D">
      <w:pPr>
        <w:pStyle w:val="Titolo2"/>
        <w:keepNext w:val="0"/>
        <w:keepLines w:val="0"/>
        <w:widowControl w:val="0"/>
        <w:numPr>
          <w:ilvl w:val="0"/>
          <w:numId w:val="5"/>
        </w:numPr>
        <w:tabs>
          <w:tab w:val="left" w:leader="dot" w:pos="9072"/>
        </w:tabs>
        <w:spacing w:before="0" w:line="240" w:lineRule="auto"/>
        <w:ind w:right="566"/>
        <w:jc w:val="both"/>
        <w:rPr>
          <w:szCs w:val="22"/>
        </w:rPr>
      </w:pPr>
      <w:r w:rsidRPr="00E345CA">
        <w:rPr>
          <w:szCs w:val="22"/>
        </w:rPr>
        <w:t xml:space="preserve">applicazione di penali di importo pari o superiore all’1 per cento del valore del contratto e superiore a 5.000 euro (da comunicare ai soli fini dell’apprezzamento della persistenza delle violazioni) </w:t>
      </w:r>
      <w:r w:rsidR="009D2465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</w:p>
    <w:p w14:paraId="7F0F7435" w14:textId="72FF1C91" w:rsidR="00D17091" w:rsidRPr="00E345CA" w:rsidRDefault="00D17091" w:rsidP="00CB010D">
      <w:pPr>
        <w:pStyle w:val="Titolo2"/>
        <w:keepNext w:val="0"/>
        <w:keepLines w:val="0"/>
        <w:widowControl w:val="0"/>
        <w:numPr>
          <w:ilvl w:val="0"/>
          <w:numId w:val="5"/>
        </w:numPr>
        <w:tabs>
          <w:tab w:val="left" w:leader="underscore" w:pos="9072"/>
        </w:tabs>
        <w:spacing w:before="0" w:line="240" w:lineRule="auto"/>
        <w:ind w:left="1712" w:hanging="357"/>
        <w:rPr>
          <w:szCs w:val="22"/>
        </w:rPr>
      </w:pPr>
      <w:r w:rsidRPr="00E345CA">
        <w:rPr>
          <w:szCs w:val="22"/>
        </w:rPr>
        <w:t xml:space="preserve">Altro </w:t>
      </w:r>
      <w:r w:rsidR="00CB4D20" w:rsidRPr="00E345CA">
        <w:rPr>
          <w:szCs w:val="22"/>
        </w:rPr>
        <w:tab/>
      </w:r>
    </w:p>
    <w:p w14:paraId="4320F3E1" w14:textId="0AC15B7F" w:rsidR="00D17091" w:rsidRPr="00E345CA" w:rsidRDefault="00D17091" w:rsidP="00CB010D">
      <w:pPr>
        <w:tabs>
          <w:tab w:val="left" w:leader="underscore" w:pos="9072"/>
        </w:tabs>
        <w:spacing w:after="0" w:line="240" w:lineRule="auto"/>
        <w:ind w:left="425"/>
        <w:rPr>
          <w:rFonts w:ascii="Titillium" w:hAnsi="Titillium"/>
        </w:rPr>
      </w:pPr>
      <w:r w:rsidRPr="00E345CA">
        <w:rPr>
          <w:rFonts w:ascii="Titillium" w:hAnsi="Titillium"/>
        </w:rPr>
        <w:t>Descrizione della c</w:t>
      </w:r>
      <w:r w:rsidR="00CB4D20" w:rsidRPr="00E345CA">
        <w:rPr>
          <w:rFonts w:ascii="Titillium" w:hAnsi="Titillium"/>
        </w:rPr>
        <w:t>ondotta posta in essere</w:t>
      </w:r>
      <w:r w:rsidR="00CB4D20" w:rsidRPr="00E345CA">
        <w:rPr>
          <w:rFonts w:ascii="Titillium" w:hAnsi="Titillium"/>
        </w:rPr>
        <w:tab/>
      </w:r>
    </w:p>
    <w:p w14:paraId="1FC72D4E" w14:textId="7094E62F" w:rsidR="00CB4D20" w:rsidRPr="00E345CA" w:rsidRDefault="00CB4D20" w:rsidP="00CB010D">
      <w:pPr>
        <w:tabs>
          <w:tab w:val="left" w:leader="underscore" w:pos="9072"/>
        </w:tabs>
        <w:spacing w:after="0" w:line="240" w:lineRule="auto"/>
        <w:ind w:left="426"/>
        <w:rPr>
          <w:rFonts w:ascii="Titillium" w:hAnsi="Titillium"/>
        </w:rPr>
      </w:pPr>
      <w:r w:rsidRPr="00E345CA">
        <w:rPr>
          <w:rFonts w:ascii="Titillium" w:hAnsi="Titillium"/>
        </w:rPr>
        <w:tab/>
      </w:r>
    </w:p>
    <w:p w14:paraId="6B3136BD" w14:textId="0577B0E8" w:rsidR="00D17091" w:rsidRPr="00E345CA" w:rsidRDefault="00D17091" w:rsidP="00183F51">
      <w:pPr>
        <w:pStyle w:val="Titolo2"/>
        <w:tabs>
          <w:tab w:val="left" w:pos="9072"/>
        </w:tabs>
        <w:spacing w:before="0" w:line="240" w:lineRule="auto"/>
        <w:ind w:left="993" w:right="566"/>
        <w:jc w:val="both"/>
        <w:rPr>
          <w:szCs w:val="22"/>
        </w:rPr>
      </w:pPr>
      <w:r w:rsidRPr="00E345CA">
        <w:rPr>
          <w:szCs w:val="22"/>
        </w:rPr>
        <w:t xml:space="preserve">Esclusione conseguente all’interdizione per mancata produzione, entro 6 (sei) mesi dalla conclusione del contratto, della relazione di genere di cui all’art. 47, comma 3, del </w:t>
      </w:r>
      <w:proofErr w:type="spellStart"/>
      <w:r w:rsidRPr="00E345CA">
        <w:rPr>
          <w:szCs w:val="22"/>
        </w:rPr>
        <w:t>d.l.</w:t>
      </w:r>
      <w:proofErr w:type="spellEnd"/>
      <w:r w:rsidRPr="00E345CA">
        <w:rPr>
          <w:szCs w:val="22"/>
        </w:rPr>
        <w:t xml:space="preserve"> n. 77/2021, con riferimento agli affidamenti finanziati con le risorse del PNRR o del PNC</w:t>
      </w:r>
      <w:r w:rsidR="009D2465" w:rsidRPr="00E345CA">
        <w:rPr>
          <w:szCs w:val="22"/>
        </w:rPr>
        <w:t xml:space="preserve"> </w:t>
      </w:r>
      <w:r w:rsidRPr="00E345CA">
        <w:rPr>
          <w:szCs w:val="22"/>
        </w:rPr>
        <w:t xml:space="preserve">(per operatori che occupano da 15 a 50 dipendenti) </w:t>
      </w:r>
      <w:r w:rsidR="009D2465" w:rsidRPr="00E345CA">
        <w:rPr>
          <w:szCs w:val="22"/>
        </w:rPr>
        <w:tab/>
      </w:r>
      <w:r w:rsidRPr="00E345CA">
        <w:rPr>
          <w:rFonts w:ascii="Courier New" w:hAnsi="Courier New" w:cs="Courier New"/>
          <w:szCs w:val="22"/>
        </w:rPr>
        <w:t>□</w:t>
      </w:r>
      <w:r w:rsidRPr="00E345CA">
        <w:rPr>
          <w:szCs w:val="22"/>
        </w:rPr>
        <w:t xml:space="preserve"> </w:t>
      </w:r>
    </w:p>
    <w:p w14:paraId="5BCA7624" w14:textId="77777777" w:rsidR="00324486" w:rsidRPr="00E345CA" w:rsidRDefault="00324486" w:rsidP="00E345CA">
      <w:pPr>
        <w:spacing w:after="0"/>
        <w:rPr>
          <w:rFonts w:ascii="Titillium" w:hAnsi="Titillium"/>
        </w:rPr>
      </w:pPr>
    </w:p>
    <w:p w14:paraId="4693E690" w14:textId="70D34FF3" w:rsidR="00D17091" w:rsidRPr="00E345CA" w:rsidRDefault="00D17091" w:rsidP="00154E4A">
      <w:pPr>
        <w:pStyle w:val="Titolo1"/>
      </w:pPr>
      <w:r w:rsidRPr="00E345CA">
        <w:t xml:space="preserve">Esclusione per violazioni poste in essere nella fase di partecipazione ad una procedura di affidamento bandita dalla stazione appaltante segnalante ovvero nel corso dell’esecuzione del successivo contratto </w:t>
      </w:r>
      <w:r w:rsidR="009D2465" w:rsidRPr="00E345CA">
        <w:tab/>
      </w:r>
      <w:r w:rsidRPr="00E345CA">
        <w:rPr>
          <w:rFonts w:ascii="Courier New" w:hAnsi="Courier New" w:cs="Courier New"/>
        </w:rPr>
        <w:t>□</w:t>
      </w:r>
    </w:p>
    <w:p w14:paraId="463E0834" w14:textId="781AF9BD" w:rsidR="00D17091" w:rsidRPr="00E345CA" w:rsidRDefault="00D17091" w:rsidP="00CB010D">
      <w:pPr>
        <w:pStyle w:val="Titolo2"/>
        <w:spacing w:before="0" w:line="240" w:lineRule="auto"/>
        <w:ind w:left="993" w:hanging="567"/>
        <w:rPr>
          <w:szCs w:val="22"/>
        </w:rPr>
      </w:pPr>
      <w:r w:rsidRPr="00E345CA">
        <w:rPr>
          <w:szCs w:val="22"/>
        </w:rPr>
        <w:t>Tipologia di violazione:</w:t>
      </w:r>
    </w:p>
    <w:p w14:paraId="6E012391" w14:textId="78204861" w:rsidR="00D17091" w:rsidRPr="00E345CA" w:rsidRDefault="00D17091" w:rsidP="00CB010D">
      <w:pPr>
        <w:pStyle w:val="Titolo3"/>
        <w:keepNext w:val="0"/>
        <w:keepLines w:val="0"/>
        <w:widowControl w:val="0"/>
        <w:spacing w:before="0" w:line="240" w:lineRule="auto"/>
        <w:ind w:left="1134" w:hanging="708"/>
        <w:rPr>
          <w:szCs w:val="22"/>
        </w:rPr>
      </w:pPr>
      <w:r w:rsidRPr="00E345CA">
        <w:rPr>
          <w:szCs w:val="22"/>
        </w:rPr>
        <w:t>Tentativo di influenzare indebitamente il processo decisi</w:t>
      </w:r>
      <w:r w:rsidR="009D2465" w:rsidRPr="00E345CA">
        <w:rPr>
          <w:szCs w:val="22"/>
        </w:rPr>
        <w:t>onale della stazione appaltante</w:t>
      </w:r>
    </w:p>
    <w:p w14:paraId="3CBE6524" w14:textId="60E2C44A" w:rsidR="00D17091" w:rsidRPr="008B062E" w:rsidRDefault="00D17091" w:rsidP="00CB010D">
      <w:pPr>
        <w:pStyle w:val="Titolo4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1276" w:hanging="850"/>
      </w:pPr>
      <w:r w:rsidRPr="00E345CA">
        <w:t>Atti diretti a influenzare le decisioni dell</w:t>
      </w:r>
      <w:r w:rsidR="009D2465" w:rsidRPr="00E345CA">
        <w:t>a sta</w:t>
      </w:r>
      <w:r w:rsidR="009D2465" w:rsidRPr="008B062E">
        <w:t>zione appaltante in ordine</w:t>
      </w:r>
      <w:r w:rsidR="009D2465" w:rsidRPr="008B062E">
        <w:tab/>
      </w:r>
      <w:r w:rsidRPr="008B062E">
        <w:rPr>
          <w:rFonts w:ascii="Courier New" w:hAnsi="Courier New" w:cs="Courier New"/>
        </w:rPr>
        <w:t>□</w:t>
      </w:r>
    </w:p>
    <w:p w14:paraId="6F3AEC78" w14:textId="5A391BB3" w:rsidR="00D17091" w:rsidRPr="008B062E" w:rsidRDefault="00D17091" w:rsidP="00CB010D">
      <w:pPr>
        <w:pStyle w:val="Titolo2"/>
        <w:keepNext w:val="0"/>
        <w:keepLines w:val="0"/>
        <w:widowControl w:val="0"/>
        <w:numPr>
          <w:ilvl w:val="0"/>
          <w:numId w:val="6"/>
        </w:numPr>
        <w:tabs>
          <w:tab w:val="left" w:leader="dot" w:pos="9072"/>
        </w:tabs>
        <w:spacing w:before="0" w:line="240" w:lineRule="auto"/>
        <w:ind w:left="2410" w:right="566"/>
        <w:jc w:val="both"/>
        <w:rPr>
          <w:szCs w:val="22"/>
        </w:rPr>
      </w:pPr>
      <w:r w:rsidRPr="008B062E">
        <w:rPr>
          <w:szCs w:val="22"/>
        </w:rPr>
        <w:t xml:space="preserve">alla valutazione del possesso dei </w:t>
      </w:r>
      <w:r w:rsidR="000923FD">
        <w:rPr>
          <w:szCs w:val="22"/>
        </w:rPr>
        <w:t xml:space="preserve">requisiti di </w:t>
      </w:r>
      <w:proofErr w:type="spellStart"/>
      <w:r w:rsidR="000923FD">
        <w:rPr>
          <w:szCs w:val="22"/>
        </w:rPr>
        <w:t>partecipazion</w:t>
      </w:r>
      <w:proofErr w:type="spellEnd"/>
    </w:p>
    <w:p w14:paraId="428EA1FE" w14:textId="6C9F600B" w:rsidR="00D17091" w:rsidRPr="008B062E" w:rsidRDefault="00D17091" w:rsidP="00CB010D">
      <w:pPr>
        <w:pStyle w:val="Titolo2"/>
        <w:keepNext w:val="0"/>
        <w:keepLines w:val="0"/>
        <w:widowControl w:val="0"/>
        <w:numPr>
          <w:ilvl w:val="0"/>
          <w:numId w:val="6"/>
        </w:numPr>
        <w:tabs>
          <w:tab w:val="left" w:leader="dot" w:pos="9072"/>
        </w:tabs>
        <w:spacing w:before="0" w:line="240" w:lineRule="auto"/>
        <w:ind w:left="2410" w:right="566"/>
        <w:jc w:val="both"/>
        <w:rPr>
          <w:szCs w:val="22"/>
        </w:rPr>
      </w:pPr>
      <w:r w:rsidRPr="008B062E">
        <w:rPr>
          <w:szCs w:val="22"/>
        </w:rPr>
        <w:t xml:space="preserve">all’adozione di provvedimenti di esclusione </w:t>
      </w:r>
      <w:r w:rsidR="009D2465"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74E9646A" w14:textId="7ED5910E" w:rsidR="00D17091" w:rsidRPr="008B062E" w:rsidRDefault="00D17091" w:rsidP="00CB010D">
      <w:pPr>
        <w:pStyle w:val="Titolo2"/>
        <w:keepNext w:val="0"/>
        <w:keepLines w:val="0"/>
        <w:widowControl w:val="0"/>
        <w:numPr>
          <w:ilvl w:val="0"/>
          <w:numId w:val="6"/>
        </w:numPr>
        <w:tabs>
          <w:tab w:val="left" w:leader="dot" w:pos="9072"/>
        </w:tabs>
        <w:spacing w:before="0" w:line="240" w:lineRule="auto"/>
        <w:ind w:left="2410" w:right="566"/>
        <w:jc w:val="both"/>
        <w:rPr>
          <w:szCs w:val="22"/>
        </w:rPr>
      </w:pPr>
      <w:r w:rsidRPr="008B062E">
        <w:rPr>
          <w:szCs w:val="22"/>
        </w:rPr>
        <w:t xml:space="preserve">all’attribuzione dei punteggi </w:t>
      </w:r>
      <w:r w:rsidR="009D2465"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6FF307BA" w14:textId="64AA9E57" w:rsidR="00D17091" w:rsidRPr="008B062E" w:rsidRDefault="00D17091" w:rsidP="00CB010D">
      <w:pPr>
        <w:pStyle w:val="Titolo3"/>
        <w:keepNext w:val="0"/>
        <w:keepLines w:val="0"/>
        <w:widowControl w:val="0"/>
        <w:tabs>
          <w:tab w:val="left" w:leader="underscore" w:pos="9072"/>
        </w:tabs>
        <w:spacing w:before="0" w:line="240" w:lineRule="auto"/>
        <w:ind w:left="1134" w:hanging="708"/>
        <w:rPr>
          <w:szCs w:val="22"/>
        </w:rPr>
      </w:pPr>
      <w:r w:rsidRPr="008B062E">
        <w:rPr>
          <w:szCs w:val="22"/>
        </w:rPr>
        <w:t>Tentativo di ottenere informazioni riservate ai fini</w:t>
      </w:r>
      <w:r w:rsidR="00A12736" w:rsidRPr="008B062E">
        <w:rPr>
          <w:szCs w:val="22"/>
        </w:rPr>
        <w:t xml:space="preserve"> di proprio vantaggio in ordine</w:t>
      </w:r>
      <w:r w:rsidRPr="008B062E">
        <w:rPr>
          <w:szCs w:val="22"/>
        </w:rPr>
        <w:t xml:space="preserve"> </w:t>
      </w:r>
      <w:r w:rsidR="00A12736"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597C5F9B" w14:textId="790511C8" w:rsidR="00D17091" w:rsidRPr="008B062E" w:rsidRDefault="00D17091" w:rsidP="00CB010D">
      <w:pPr>
        <w:pStyle w:val="Titolo2"/>
        <w:keepNext w:val="0"/>
        <w:keepLines w:val="0"/>
        <w:widowControl w:val="0"/>
        <w:numPr>
          <w:ilvl w:val="0"/>
          <w:numId w:val="7"/>
        </w:numPr>
        <w:tabs>
          <w:tab w:val="left" w:leader="dot" w:pos="9072"/>
        </w:tabs>
        <w:spacing w:before="0" w:line="240" w:lineRule="auto"/>
        <w:ind w:left="1985" w:right="566"/>
        <w:jc w:val="both"/>
        <w:rPr>
          <w:szCs w:val="22"/>
        </w:rPr>
      </w:pPr>
      <w:r w:rsidRPr="008B062E">
        <w:rPr>
          <w:szCs w:val="22"/>
        </w:rPr>
        <w:t xml:space="preserve">al nominativo degli altri concorrenti </w:t>
      </w:r>
      <w:r w:rsidR="00A12736"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136CB306" w14:textId="5E276C35" w:rsidR="00D17091" w:rsidRPr="008B062E" w:rsidRDefault="00D17091" w:rsidP="00CB010D">
      <w:pPr>
        <w:pStyle w:val="Titolo2"/>
        <w:keepNext w:val="0"/>
        <w:keepLines w:val="0"/>
        <w:widowControl w:val="0"/>
        <w:numPr>
          <w:ilvl w:val="0"/>
          <w:numId w:val="7"/>
        </w:numPr>
        <w:tabs>
          <w:tab w:val="left" w:leader="dot" w:pos="9072"/>
        </w:tabs>
        <w:spacing w:before="0" w:line="240" w:lineRule="auto"/>
        <w:ind w:left="1985" w:right="566"/>
        <w:jc w:val="both"/>
        <w:rPr>
          <w:szCs w:val="22"/>
        </w:rPr>
      </w:pPr>
      <w:r w:rsidRPr="008B062E">
        <w:rPr>
          <w:szCs w:val="22"/>
        </w:rPr>
        <w:t xml:space="preserve">al contenuto delle offerte presentate </w:t>
      </w:r>
      <w:r w:rsidR="00A12736"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035A270A" w14:textId="59412F4D" w:rsidR="00A44D1B" w:rsidRDefault="00D17091" w:rsidP="00CB010D">
      <w:pPr>
        <w:pStyle w:val="Titolo3"/>
        <w:keepNext w:val="0"/>
        <w:keepLines w:val="0"/>
        <w:widowControl w:val="0"/>
        <w:tabs>
          <w:tab w:val="left" w:leader="dot" w:pos="9072"/>
        </w:tabs>
        <w:spacing w:before="0" w:line="240" w:lineRule="auto"/>
        <w:ind w:left="1134" w:hanging="708"/>
        <w:rPr>
          <w:szCs w:val="22"/>
        </w:rPr>
      </w:pPr>
      <w:r w:rsidRPr="008B062E">
        <w:rPr>
          <w:szCs w:val="22"/>
        </w:rPr>
        <w:t xml:space="preserve">Accordi con altri operatori economici intesi a falsare la concorrenza </w:t>
      </w:r>
      <w:r w:rsidR="00A12736"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34C09575" w14:textId="72E04B75" w:rsidR="00D17091" w:rsidRPr="00A44D1B" w:rsidRDefault="00A44D1B" w:rsidP="000923FD">
      <w:pPr>
        <w:pStyle w:val="Titolo2"/>
        <w:tabs>
          <w:tab w:val="left" w:pos="1134"/>
        </w:tabs>
        <w:ind w:left="993" w:right="424" w:hanging="567"/>
        <w:jc w:val="both"/>
      </w:pPr>
      <w:r w:rsidRPr="008B062E">
        <w:t xml:space="preserve">Mancato rispetto, al momento della presentazione dell'offerta stessa, degli obblighi di cui </w:t>
      </w:r>
      <w:r w:rsidR="000923FD">
        <w:t>alla legge 12 marzo 1999, n. 68………………………………………………………………………………</w:t>
      </w:r>
      <w:proofErr w:type="gramStart"/>
      <w:r w:rsidR="000923FD">
        <w:t>…....</w:t>
      </w:r>
      <w:proofErr w:type="gramEnd"/>
      <w:r w:rsidR="000923FD">
        <w:t>.</w:t>
      </w:r>
      <w:r w:rsidR="000923FD" w:rsidRPr="008B062E">
        <w:rPr>
          <w:rFonts w:ascii="Courier New" w:hAnsi="Courier New" w:cs="Courier New"/>
        </w:rPr>
        <w:t>□</w:t>
      </w:r>
      <w:r w:rsidRPr="008B062E">
        <w:t xml:space="preserve">                                                                                                   </w:t>
      </w:r>
      <w:r w:rsidR="000923FD">
        <w:t xml:space="preserve">   </w:t>
      </w:r>
    </w:p>
    <w:p w14:paraId="075BD44E" w14:textId="77777777" w:rsidR="00CB010D" w:rsidRPr="008B062E" w:rsidRDefault="00CB010D" w:rsidP="00183F51">
      <w:pPr>
        <w:pStyle w:val="Titolo2"/>
        <w:tabs>
          <w:tab w:val="left" w:pos="9072"/>
        </w:tabs>
        <w:spacing w:before="0" w:line="240" w:lineRule="auto"/>
        <w:ind w:left="993" w:right="566" w:hanging="567"/>
        <w:jc w:val="both"/>
        <w:rPr>
          <w:szCs w:val="22"/>
        </w:rPr>
      </w:pPr>
      <w:r w:rsidRPr="008B062E">
        <w:rPr>
          <w:szCs w:val="22"/>
        </w:rPr>
        <w:t>Comportamenti contrari ai doveri di leale collaborazione che abbiano comportato la mancata sottoscrizione del contratto per fatto doloso o gravemente colposo dell’affidatario:</w:t>
      </w:r>
    </w:p>
    <w:p w14:paraId="68EC7898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8"/>
        </w:numPr>
        <w:tabs>
          <w:tab w:val="left" w:leader="dot" w:pos="9072"/>
        </w:tabs>
        <w:spacing w:before="0" w:line="240" w:lineRule="auto"/>
        <w:ind w:left="1985" w:right="566"/>
        <w:jc w:val="both"/>
        <w:rPr>
          <w:szCs w:val="22"/>
        </w:rPr>
      </w:pPr>
      <w:r w:rsidRPr="008B062E">
        <w:rPr>
          <w:szCs w:val="22"/>
        </w:rPr>
        <w:t>mancata produzione della documentazione necessaria alla stipula del contratto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52DB4B44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8"/>
        </w:numPr>
        <w:tabs>
          <w:tab w:val="left" w:leader="dot" w:pos="9072"/>
        </w:tabs>
        <w:spacing w:before="0" w:line="240" w:lineRule="auto"/>
        <w:ind w:left="1985" w:right="566"/>
        <w:jc w:val="both"/>
        <w:rPr>
          <w:szCs w:val="22"/>
        </w:rPr>
      </w:pPr>
      <w:r w:rsidRPr="008B062E">
        <w:rPr>
          <w:szCs w:val="22"/>
        </w:rPr>
        <w:t xml:space="preserve">mancata conferma dell’offerta 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41E346B2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8"/>
        </w:numPr>
        <w:tabs>
          <w:tab w:val="left" w:leader="dot" w:pos="9072"/>
        </w:tabs>
        <w:spacing w:before="0" w:line="240" w:lineRule="auto"/>
        <w:ind w:left="1985" w:right="566"/>
        <w:jc w:val="both"/>
        <w:rPr>
          <w:szCs w:val="22"/>
        </w:rPr>
      </w:pPr>
      <w:r w:rsidRPr="008B062E">
        <w:rPr>
          <w:szCs w:val="22"/>
        </w:rPr>
        <w:t>rinuncia ingiustificata a procedere alla sottoscrizione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471BF015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8"/>
        </w:numPr>
        <w:tabs>
          <w:tab w:val="left" w:leader="dot" w:pos="9072"/>
        </w:tabs>
        <w:spacing w:before="0" w:line="240" w:lineRule="auto"/>
        <w:ind w:left="1985" w:right="566"/>
        <w:jc w:val="both"/>
        <w:rPr>
          <w:szCs w:val="22"/>
        </w:rPr>
      </w:pPr>
      <w:r w:rsidRPr="008B062E">
        <w:rPr>
          <w:szCs w:val="22"/>
        </w:rPr>
        <w:t xml:space="preserve">annullamento dell’aggiudicazione per inadempimento degli obblighi assunti in </w:t>
      </w:r>
      <w:r w:rsidRPr="008B062E">
        <w:rPr>
          <w:szCs w:val="22"/>
        </w:rPr>
        <w:lastRenderedPageBreak/>
        <w:t xml:space="preserve">sede di presentazione dell’offerta, con riferimento alle procedure di gara finanziate in tutto o in parte con le risorse del PNRR e PNC, ai sensi dei commi 3, 3 bis e 4 dell’art. 47, </w:t>
      </w:r>
      <w:proofErr w:type="spellStart"/>
      <w:r w:rsidRPr="008B062E">
        <w:rPr>
          <w:szCs w:val="22"/>
        </w:rPr>
        <w:t>d.l.</w:t>
      </w:r>
      <w:proofErr w:type="spellEnd"/>
      <w:r w:rsidRPr="008B062E">
        <w:rPr>
          <w:szCs w:val="22"/>
        </w:rPr>
        <w:t xml:space="preserve"> n. 77/2021, convertito in L. n. 113/2021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15D6322B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8"/>
        </w:numPr>
        <w:tabs>
          <w:tab w:val="left" w:leader="underscore" w:pos="9072"/>
        </w:tabs>
        <w:spacing w:before="0" w:line="240" w:lineRule="auto"/>
        <w:ind w:left="1984" w:right="567" w:hanging="357"/>
        <w:contextualSpacing/>
        <w:jc w:val="both"/>
        <w:rPr>
          <w:szCs w:val="22"/>
        </w:rPr>
      </w:pPr>
      <w:r w:rsidRPr="008B062E">
        <w:rPr>
          <w:szCs w:val="22"/>
        </w:rPr>
        <w:t xml:space="preserve">altro </w:t>
      </w:r>
      <w:r w:rsidRPr="008B062E">
        <w:rPr>
          <w:szCs w:val="22"/>
        </w:rPr>
        <w:tab/>
      </w:r>
    </w:p>
    <w:p w14:paraId="554F5B9C" w14:textId="77777777" w:rsidR="00CB010D" w:rsidRPr="008B062E" w:rsidRDefault="00CB010D" w:rsidP="00CB010D">
      <w:pPr>
        <w:pStyle w:val="Titolo2"/>
        <w:spacing w:before="0" w:line="240" w:lineRule="auto"/>
        <w:ind w:left="993" w:hanging="567"/>
        <w:contextualSpacing/>
        <w:rPr>
          <w:szCs w:val="22"/>
        </w:rPr>
      </w:pPr>
      <w:r w:rsidRPr="008B062E">
        <w:rPr>
          <w:szCs w:val="22"/>
        </w:rPr>
        <w:t>Altra condotta posta in essere durante la fase dell’evidenza pubblica_____________</w:t>
      </w:r>
      <w:r w:rsidRPr="008B062E">
        <w:rPr>
          <w:szCs w:val="22"/>
        </w:rPr>
        <w:tab/>
        <w:t xml:space="preserve">  </w:t>
      </w:r>
    </w:p>
    <w:p w14:paraId="607A4E28" w14:textId="77777777" w:rsidR="00CB010D" w:rsidRPr="008B062E" w:rsidRDefault="00CB010D" w:rsidP="00CB010D">
      <w:pPr>
        <w:widowControl w:val="0"/>
        <w:tabs>
          <w:tab w:val="left" w:leader="underscore" w:pos="9072"/>
        </w:tabs>
        <w:spacing w:after="0" w:line="240" w:lineRule="auto"/>
        <w:ind w:left="992"/>
        <w:contextualSpacing/>
        <w:rPr>
          <w:rFonts w:ascii="Titillium" w:hAnsi="Titillium"/>
        </w:rPr>
      </w:pPr>
      <w:r w:rsidRPr="008B062E">
        <w:rPr>
          <w:rFonts w:ascii="Titillium" w:hAnsi="Titillium"/>
        </w:rPr>
        <w:t xml:space="preserve">Descrizione della condotta posta in essere </w:t>
      </w:r>
      <w:r w:rsidRPr="008B062E">
        <w:rPr>
          <w:rFonts w:ascii="Titillium" w:hAnsi="Titillium"/>
        </w:rPr>
        <w:tab/>
      </w:r>
    </w:p>
    <w:p w14:paraId="4F15303E" w14:textId="1D46D914" w:rsidR="00CB010D" w:rsidRPr="008B062E" w:rsidRDefault="00CB010D" w:rsidP="00183F51">
      <w:pPr>
        <w:pStyle w:val="Titolo2"/>
        <w:spacing w:before="0" w:line="240" w:lineRule="auto"/>
        <w:ind w:left="992" w:right="424" w:hanging="567"/>
        <w:contextualSpacing/>
        <w:jc w:val="both"/>
        <w:rPr>
          <w:szCs w:val="22"/>
        </w:rPr>
      </w:pPr>
      <w:r w:rsidRPr="008B062E">
        <w:rPr>
          <w:szCs w:val="22"/>
        </w:rPr>
        <w:t>Riscontro di irregolarità fiscale ovvero mancato rilascio del DURC o del DURC di congruità (dovuto a gravi violazioni in materia contributiva e previdenziale o all’esito negativo della verifica di congruità della manodopera) dopo l’aggiudicazione definitiva</w:t>
      </w:r>
      <w:r w:rsidR="00183F51">
        <w:rPr>
          <w:szCs w:val="22"/>
        </w:rPr>
        <w:t>…………………</w:t>
      </w:r>
      <w:proofErr w:type="gramStart"/>
      <w:r w:rsidR="00183F51">
        <w:rPr>
          <w:szCs w:val="22"/>
        </w:rPr>
        <w:t>…….</w:t>
      </w:r>
      <w:proofErr w:type="gramEnd"/>
      <w:r w:rsidR="00183F51">
        <w:rPr>
          <w:szCs w:val="22"/>
        </w:rPr>
        <w:t>.</w:t>
      </w:r>
      <w:r w:rsidRPr="008B062E">
        <w:rPr>
          <w:rFonts w:ascii="Courier New" w:hAnsi="Courier New" w:cs="Courier New"/>
          <w:szCs w:val="22"/>
        </w:rPr>
        <w:t>□</w:t>
      </w:r>
    </w:p>
    <w:p w14:paraId="7AE8A0F2" w14:textId="77777777" w:rsidR="00CB010D" w:rsidRPr="008B062E" w:rsidRDefault="00CB010D" w:rsidP="00CB010D">
      <w:pPr>
        <w:pStyle w:val="Titolo2"/>
        <w:spacing w:before="0" w:line="240" w:lineRule="auto"/>
        <w:ind w:left="993" w:hanging="567"/>
        <w:rPr>
          <w:szCs w:val="22"/>
        </w:rPr>
      </w:pPr>
      <w:r w:rsidRPr="008B062E">
        <w:rPr>
          <w:szCs w:val="22"/>
        </w:rPr>
        <w:t>Inadempimento contrattuale grave e conseguente provvedimento:</w:t>
      </w:r>
    </w:p>
    <w:p w14:paraId="49736FBB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9"/>
        </w:numPr>
        <w:tabs>
          <w:tab w:val="left" w:leader="dot" w:pos="9072"/>
        </w:tabs>
        <w:spacing w:before="0" w:line="240" w:lineRule="auto"/>
        <w:ind w:left="1985" w:right="567"/>
        <w:jc w:val="both"/>
        <w:rPr>
          <w:szCs w:val="22"/>
        </w:rPr>
      </w:pPr>
      <w:r w:rsidRPr="008B062E">
        <w:rPr>
          <w:szCs w:val="22"/>
        </w:rPr>
        <w:t xml:space="preserve">risoluzione anticipata non contestata in giudizio, ovvero confermata con provvedimento esecutivo all’esito di un giudizio 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6C9230AC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9"/>
        </w:numPr>
        <w:tabs>
          <w:tab w:val="left" w:leader="dot" w:pos="9072"/>
        </w:tabs>
        <w:spacing w:before="0" w:line="240" w:lineRule="auto"/>
        <w:ind w:left="1985" w:right="567"/>
        <w:jc w:val="both"/>
        <w:rPr>
          <w:szCs w:val="22"/>
        </w:rPr>
      </w:pPr>
      <w:r w:rsidRPr="008B062E">
        <w:rPr>
          <w:szCs w:val="22"/>
        </w:rPr>
        <w:t xml:space="preserve">condanna al risarcimento del danno 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3F622B39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9"/>
        </w:numPr>
        <w:tabs>
          <w:tab w:val="left" w:leader="dot" w:pos="9072"/>
        </w:tabs>
        <w:spacing w:before="0" w:line="240" w:lineRule="auto"/>
        <w:ind w:left="1985" w:right="567"/>
        <w:jc w:val="both"/>
        <w:rPr>
          <w:szCs w:val="22"/>
        </w:rPr>
      </w:pPr>
      <w:r w:rsidRPr="008B062E">
        <w:rPr>
          <w:szCs w:val="22"/>
        </w:rPr>
        <w:t xml:space="preserve">altre sanzioni comparabili conseguenti all’inadempimento di una prestazione sostanziale rispetto al complesso degli impegni assunti dal contraente, quali l’applicazione di penali o l’escussione delle garanzie ai sensi degli artt. 103 e 104 del codice dei contratti pubblici 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3421038C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9"/>
        </w:numPr>
        <w:tabs>
          <w:tab w:val="left" w:leader="dot" w:pos="9072"/>
        </w:tabs>
        <w:spacing w:before="0" w:line="240" w:lineRule="auto"/>
        <w:ind w:left="1985" w:right="567"/>
        <w:jc w:val="both"/>
        <w:rPr>
          <w:szCs w:val="22"/>
        </w:rPr>
      </w:pPr>
      <w:r w:rsidRPr="008B062E">
        <w:rPr>
          <w:szCs w:val="22"/>
        </w:rPr>
        <w:t xml:space="preserve">applicazione di penali di importo pari o superiore all’1 per cento del valore del contratto e superiore a 5.000 euro (da comunicare ai soli fini dell’apprezzamento della persistenza delle violazioni) </w:t>
      </w:r>
      <w:r w:rsidRPr="008B062E">
        <w:rPr>
          <w:szCs w:val="22"/>
        </w:rPr>
        <w:tab/>
      </w:r>
      <w:r w:rsidRPr="008B062E">
        <w:rPr>
          <w:rFonts w:ascii="Courier New" w:hAnsi="Courier New" w:cs="Courier New"/>
          <w:szCs w:val="22"/>
        </w:rPr>
        <w:t>□</w:t>
      </w:r>
    </w:p>
    <w:p w14:paraId="7191E387" w14:textId="77777777" w:rsidR="00CB010D" w:rsidRPr="008B062E" w:rsidRDefault="00CB010D" w:rsidP="00CB010D">
      <w:pPr>
        <w:pStyle w:val="Titolo2"/>
        <w:keepNext w:val="0"/>
        <w:keepLines w:val="0"/>
        <w:widowControl w:val="0"/>
        <w:numPr>
          <w:ilvl w:val="0"/>
          <w:numId w:val="9"/>
        </w:numPr>
        <w:tabs>
          <w:tab w:val="left" w:leader="underscore" w:pos="9072"/>
        </w:tabs>
        <w:spacing w:before="0" w:line="240" w:lineRule="auto"/>
        <w:ind w:left="1985" w:right="567"/>
        <w:jc w:val="both"/>
        <w:rPr>
          <w:szCs w:val="22"/>
        </w:rPr>
      </w:pPr>
      <w:r w:rsidRPr="008B062E">
        <w:rPr>
          <w:szCs w:val="22"/>
        </w:rPr>
        <w:t xml:space="preserve">Altro </w:t>
      </w:r>
      <w:r w:rsidRPr="008B062E">
        <w:rPr>
          <w:szCs w:val="22"/>
        </w:rPr>
        <w:tab/>
      </w:r>
    </w:p>
    <w:p w14:paraId="04D2B1CD" w14:textId="77777777" w:rsidR="00CB010D" w:rsidRPr="008B062E" w:rsidRDefault="00CB010D" w:rsidP="00CB010D">
      <w:pPr>
        <w:pStyle w:val="Titolo2"/>
        <w:spacing w:before="0" w:line="240" w:lineRule="auto"/>
        <w:ind w:left="1134" w:hanging="708"/>
        <w:rPr>
          <w:szCs w:val="22"/>
        </w:rPr>
      </w:pPr>
      <w:r w:rsidRPr="008B062E">
        <w:rPr>
          <w:szCs w:val="22"/>
        </w:rPr>
        <w:t>Comportamenti che hanno dato luogo all’adozione del provvedimento di risoluzione (o ad altro provvedimento di cui al punto precedente)</w:t>
      </w:r>
    </w:p>
    <w:p w14:paraId="21FBAD69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inadempimento di una o più obbligazioni contrattualmente assunte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4F3867DD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carenze del prodotto o servizio fornito che lo rendono inutilizzabile per lo scopo previsto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41F57781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adozione di comportamenti scorretti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00F67120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ritardo nell’adempimento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095E8343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errore professionale nell’esecuzione della prestazione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09DE6262" w14:textId="77777777" w:rsidR="00CB010D" w:rsidRPr="008B062E" w:rsidRDefault="00CB010D" w:rsidP="00CB010D">
      <w:pPr>
        <w:pStyle w:val="Paragrafoelenco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 w:hanging="357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comunicazione o informazione </w:t>
      </w:r>
      <w:proofErr w:type="spellStart"/>
      <w:r w:rsidRPr="008B062E">
        <w:rPr>
          <w:rFonts w:ascii="Titillium" w:hAnsi="Titillium"/>
        </w:rPr>
        <w:t>interdittiva</w:t>
      </w:r>
      <w:proofErr w:type="spellEnd"/>
      <w:r w:rsidRPr="008B062E">
        <w:rPr>
          <w:rFonts w:ascii="Titillium" w:hAnsi="Titillium"/>
        </w:rPr>
        <w:t xml:space="preserve"> antimafia intervenuta nel corso dell’esecuzione dell’appalto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3370FBB1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subappalto non autorizzato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10748C55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induzione in errore dell’amministrazione circa la </w:t>
      </w:r>
      <w:proofErr w:type="spellStart"/>
      <w:r w:rsidRPr="008B062E">
        <w:rPr>
          <w:rFonts w:ascii="Titillium" w:hAnsi="Titillium"/>
        </w:rPr>
        <w:t>fortuità</w:t>
      </w:r>
      <w:proofErr w:type="spellEnd"/>
      <w:r w:rsidRPr="008B062E">
        <w:rPr>
          <w:rFonts w:ascii="Titillium" w:hAnsi="Titillium"/>
        </w:rPr>
        <w:t xml:space="preserve"> dell’evento che dà luogo al ripristino dell’opera danneggiata per caso fortuito interamente a spese dell’amministrazione stessa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62385E99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>nei contratti misti di progettazione ed esecuzione, qualunque omissione o errore di progettazione imputabile all’esecutore che ha determinato una modifica o variante ai sensi dell’art. 106, comma 2, del codice, o della previgente disciplina (art. 132 d.lgs. 163/06)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2792013E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2410" w:right="566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negli appalti di progettazione o concorsi di progettazione, qualunque omissione o errore di progettazione imputabile al progettista, che ha determinato, nel successivo appalto di lavori, una modifica o variante, ai sensi dell’art. 106 del codice, o della previgente disciplina (art. 132 d.lgs. 163/06) </w:t>
      </w:r>
      <w:r w:rsidRPr="008B062E">
        <w:rPr>
          <w:rFonts w:ascii="Courier New" w:hAnsi="Courier New" w:cs="Courier New"/>
        </w:rPr>
        <w:t>□</w:t>
      </w:r>
    </w:p>
    <w:p w14:paraId="274667AA" w14:textId="77777777" w:rsidR="00CB010D" w:rsidRPr="008B062E" w:rsidRDefault="00CB010D" w:rsidP="00CB010D">
      <w:pPr>
        <w:pStyle w:val="Paragrafoelenco"/>
        <w:widowControl w:val="0"/>
        <w:numPr>
          <w:ilvl w:val="0"/>
          <w:numId w:val="10"/>
        </w:numPr>
        <w:tabs>
          <w:tab w:val="left" w:leader="underscore" w:pos="9072"/>
        </w:tabs>
        <w:spacing w:after="0" w:line="240" w:lineRule="auto"/>
        <w:ind w:left="241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Altro </w:t>
      </w:r>
      <w:r w:rsidRPr="008B062E">
        <w:rPr>
          <w:rFonts w:ascii="Titillium" w:hAnsi="Titillium"/>
        </w:rPr>
        <w:tab/>
      </w:r>
    </w:p>
    <w:p w14:paraId="5303AAD1" w14:textId="77777777" w:rsidR="00CB010D" w:rsidRPr="008B062E" w:rsidRDefault="00CB010D" w:rsidP="00CB010D">
      <w:pPr>
        <w:widowControl w:val="0"/>
        <w:tabs>
          <w:tab w:val="left" w:leader="underscore" w:pos="9072"/>
        </w:tabs>
        <w:spacing w:after="0" w:line="240" w:lineRule="auto"/>
        <w:ind w:left="1134"/>
        <w:rPr>
          <w:rFonts w:ascii="Titillium" w:hAnsi="Titillium"/>
        </w:rPr>
      </w:pPr>
      <w:r w:rsidRPr="008B062E">
        <w:rPr>
          <w:rFonts w:ascii="Titillium" w:hAnsi="Titillium"/>
        </w:rPr>
        <w:t xml:space="preserve">Descrizione della condotta posta in essere </w:t>
      </w:r>
      <w:r w:rsidRPr="008B062E">
        <w:rPr>
          <w:rFonts w:ascii="Titillium" w:hAnsi="Titillium"/>
        </w:rPr>
        <w:tab/>
      </w:r>
    </w:p>
    <w:p w14:paraId="4EBCE765" w14:textId="77777777" w:rsidR="00CB010D" w:rsidRPr="008B062E" w:rsidRDefault="00CB010D" w:rsidP="00CB010D">
      <w:pPr>
        <w:widowControl w:val="0"/>
        <w:tabs>
          <w:tab w:val="left" w:leader="underscore" w:pos="9072"/>
        </w:tabs>
        <w:spacing w:after="0" w:line="240" w:lineRule="auto"/>
        <w:ind w:left="1134"/>
        <w:rPr>
          <w:rFonts w:ascii="Titillium" w:hAnsi="Titillium"/>
        </w:rPr>
      </w:pPr>
      <w:r w:rsidRPr="008B062E">
        <w:rPr>
          <w:rFonts w:ascii="Titillium" w:hAnsi="Titillium"/>
        </w:rPr>
        <w:lastRenderedPageBreak/>
        <w:tab/>
      </w:r>
    </w:p>
    <w:p w14:paraId="4005F4DE" w14:textId="77777777" w:rsidR="00CB010D" w:rsidRPr="008B062E" w:rsidRDefault="00CB010D" w:rsidP="00CB010D">
      <w:pPr>
        <w:pStyle w:val="Titolo2"/>
        <w:spacing w:before="0" w:line="240" w:lineRule="auto"/>
        <w:ind w:left="1276" w:right="424" w:hanging="709"/>
        <w:jc w:val="both"/>
        <w:rPr>
          <w:szCs w:val="22"/>
        </w:rPr>
      </w:pPr>
      <w:r w:rsidRPr="008B062E">
        <w:rPr>
          <w:szCs w:val="22"/>
        </w:rPr>
        <w:t>Grave inadempimento contrattuale nei confronti di uno o più subappaltatori, riconosciuto o accertato con sentenza passata in giudicato, che abbia dato luogo alla risoluzione oppure all’applicazione di sanzioni comparabili, a seguito di:</w:t>
      </w:r>
    </w:p>
    <w:p w14:paraId="3F8FC70F" w14:textId="77777777" w:rsidR="00CB010D" w:rsidRPr="008B062E" w:rsidRDefault="00CB010D" w:rsidP="00CB010D">
      <w:pPr>
        <w:pStyle w:val="Paragrafoelenco"/>
        <w:widowControl w:val="0"/>
        <w:numPr>
          <w:ilvl w:val="0"/>
          <w:numId w:val="13"/>
        </w:numPr>
        <w:tabs>
          <w:tab w:val="left" w:leader="dot" w:pos="9072"/>
        </w:tabs>
        <w:spacing w:after="0" w:line="240" w:lineRule="auto"/>
        <w:ind w:left="1984" w:right="567" w:hanging="357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mancata corresponsione degli importi dovuti per lo svolgimento delle relative prestazioni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09D45F32" w14:textId="77777777" w:rsidR="00CB010D" w:rsidRPr="008B062E" w:rsidRDefault="00CB010D" w:rsidP="00CB010D">
      <w:pPr>
        <w:pStyle w:val="Paragrafoelenco"/>
        <w:widowControl w:val="0"/>
        <w:numPr>
          <w:ilvl w:val="0"/>
          <w:numId w:val="13"/>
        </w:numPr>
        <w:tabs>
          <w:tab w:val="left" w:leader="dot" w:pos="9072"/>
        </w:tabs>
        <w:spacing w:after="0" w:line="240" w:lineRule="auto"/>
        <w:ind w:left="1984" w:right="567" w:hanging="357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>mancata consegna delle aree nei tempi convenuti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3354C55A" w14:textId="77777777" w:rsidR="00CB010D" w:rsidRPr="008B062E" w:rsidRDefault="00CB010D" w:rsidP="00CB010D">
      <w:pPr>
        <w:pStyle w:val="Paragrafoelenco"/>
        <w:widowControl w:val="0"/>
        <w:numPr>
          <w:ilvl w:val="0"/>
          <w:numId w:val="13"/>
        </w:numPr>
        <w:tabs>
          <w:tab w:val="left" w:leader="dot" w:pos="9072"/>
        </w:tabs>
        <w:spacing w:after="0" w:line="240" w:lineRule="auto"/>
        <w:ind w:left="1984" w:right="567" w:hanging="357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>sospensione del cantiere per una durata eccessiva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5623CC69" w14:textId="77777777" w:rsidR="00CB010D" w:rsidRPr="008B062E" w:rsidRDefault="00CB010D" w:rsidP="00CB010D">
      <w:pPr>
        <w:pStyle w:val="Paragrafoelenco"/>
        <w:widowControl w:val="0"/>
        <w:numPr>
          <w:ilvl w:val="0"/>
          <w:numId w:val="13"/>
        </w:numPr>
        <w:tabs>
          <w:tab w:val="left" w:leader="dot" w:pos="9072"/>
        </w:tabs>
        <w:spacing w:after="0" w:line="240" w:lineRule="auto"/>
        <w:ind w:left="1984" w:right="567" w:hanging="357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mancata corresponsione dei costi della sicurezza e della manodopera relativi alle prestazioni affidate in subappalto oppure la corresponsione degli stessi con applicazione di un ribasso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3665B342" w14:textId="77777777" w:rsidR="00CB010D" w:rsidRPr="008B062E" w:rsidRDefault="00CB010D" w:rsidP="00CB010D">
      <w:pPr>
        <w:pStyle w:val="Paragrafoelenco"/>
        <w:widowControl w:val="0"/>
        <w:numPr>
          <w:ilvl w:val="0"/>
          <w:numId w:val="13"/>
        </w:numPr>
        <w:tabs>
          <w:tab w:val="left" w:leader="underscore" w:pos="9072"/>
        </w:tabs>
        <w:spacing w:after="0" w:line="240" w:lineRule="auto"/>
        <w:ind w:left="1984" w:right="567" w:hanging="357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altro </w:t>
      </w:r>
      <w:r w:rsidRPr="008B062E">
        <w:rPr>
          <w:rFonts w:ascii="Titillium" w:hAnsi="Titillium"/>
        </w:rPr>
        <w:tab/>
      </w:r>
    </w:p>
    <w:p w14:paraId="769AC004" w14:textId="77777777" w:rsidR="00CB010D" w:rsidRPr="008B062E" w:rsidRDefault="00CB010D" w:rsidP="00CB010D">
      <w:pPr>
        <w:widowControl w:val="0"/>
        <w:tabs>
          <w:tab w:val="left" w:leader="underscore" w:pos="9072"/>
        </w:tabs>
        <w:spacing w:after="0" w:line="240" w:lineRule="auto"/>
        <w:ind w:left="851"/>
        <w:rPr>
          <w:rFonts w:ascii="Titillium" w:hAnsi="Titillium"/>
        </w:rPr>
      </w:pPr>
      <w:r w:rsidRPr="008B062E">
        <w:rPr>
          <w:rFonts w:ascii="Titillium" w:hAnsi="Titillium"/>
        </w:rPr>
        <w:t xml:space="preserve">Descrizione della condotta posta in essere </w:t>
      </w:r>
      <w:r w:rsidRPr="008B062E">
        <w:rPr>
          <w:rFonts w:ascii="Titillium" w:hAnsi="Titillium"/>
        </w:rPr>
        <w:tab/>
      </w:r>
    </w:p>
    <w:p w14:paraId="29C55FE0" w14:textId="77777777" w:rsidR="00CB010D" w:rsidRPr="008B062E" w:rsidRDefault="00CB010D" w:rsidP="00CB010D">
      <w:pPr>
        <w:widowControl w:val="0"/>
        <w:tabs>
          <w:tab w:val="left" w:leader="underscore" w:pos="9072"/>
        </w:tabs>
        <w:spacing w:after="0" w:line="240" w:lineRule="auto"/>
        <w:ind w:left="851"/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13FBE91F" w14:textId="77777777" w:rsidR="00CB010D" w:rsidRPr="008B062E" w:rsidRDefault="00CB010D" w:rsidP="005244CF">
      <w:pPr>
        <w:pStyle w:val="Titolo2"/>
        <w:spacing w:before="0"/>
        <w:ind w:left="1276" w:right="424" w:hanging="709"/>
        <w:jc w:val="both"/>
        <w:rPr>
          <w:szCs w:val="22"/>
        </w:rPr>
      </w:pPr>
      <w:r w:rsidRPr="008B062E">
        <w:rPr>
          <w:szCs w:val="22"/>
        </w:rPr>
        <w:t xml:space="preserve">Applicazione di penali a seguito della violazione, con riferimento alle procedure di gara finanziate in tutto o in parte con le risorse del PNRR e PNC, degli obblighi di cui ai commi 3, 3 bis e 4 dell’art. 47, </w:t>
      </w:r>
      <w:proofErr w:type="spellStart"/>
      <w:r w:rsidRPr="008B062E">
        <w:rPr>
          <w:szCs w:val="22"/>
        </w:rPr>
        <w:t>d.l.</w:t>
      </w:r>
      <w:proofErr w:type="spellEnd"/>
      <w:r w:rsidRPr="008B062E">
        <w:rPr>
          <w:szCs w:val="22"/>
        </w:rPr>
        <w:t xml:space="preserve"> n. 77/2021, convertito in </w:t>
      </w:r>
      <w:proofErr w:type="spellStart"/>
      <w:r w:rsidRPr="008B062E">
        <w:rPr>
          <w:szCs w:val="22"/>
        </w:rPr>
        <w:t>l.n</w:t>
      </w:r>
      <w:proofErr w:type="spellEnd"/>
      <w:r w:rsidRPr="008B062E">
        <w:rPr>
          <w:szCs w:val="22"/>
        </w:rPr>
        <w:t>. 113/2021.</w:t>
      </w:r>
    </w:p>
    <w:p w14:paraId="422B0E72" w14:textId="77777777" w:rsidR="00CB010D" w:rsidRPr="008B062E" w:rsidRDefault="00CB010D" w:rsidP="005244CF">
      <w:pPr>
        <w:spacing w:after="0"/>
        <w:rPr>
          <w:rFonts w:ascii="Titillium" w:hAnsi="Titillium"/>
        </w:rPr>
      </w:pPr>
    </w:p>
    <w:p w14:paraId="08D6107F" w14:textId="77777777" w:rsidR="00CB010D" w:rsidRPr="00E345CA" w:rsidRDefault="00CB010D" w:rsidP="00154E4A">
      <w:pPr>
        <w:pStyle w:val="Titolo1"/>
      </w:pPr>
      <w:r w:rsidRPr="00E345CA">
        <w:t>Contradditorio tra le parti</w:t>
      </w:r>
    </w:p>
    <w:p w14:paraId="17438CE4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 xml:space="preserve">Giustificazioni eventualmente addotte dall’Operatore Economico: </w:t>
      </w:r>
      <w:r w:rsidRPr="008B062E">
        <w:rPr>
          <w:rFonts w:ascii="Titillium" w:hAnsi="Titillium"/>
        </w:rPr>
        <w:tab/>
      </w:r>
    </w:p>
    <w:p w14:paraId="1580B583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05C01C4A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3609F11D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3673C226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11EBF2C4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  <w:bookmarkStart w:id="0" w:name="_GoBack"/>
      <w:bookmarkEnd w:id="0"/>
    </w:p>
    <w:p w14:paraId="23CCFD35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0A1A8FFB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>Valutazioni della Stazione appaltante:</w:t>
      </w:r>
      <w:r w:rsidRPr="008B062E">
        <w:rPr>
          <w:rFonts w:ascii="Titillium" w:hAnsi="Titillium"/>
        </w:rPr>
        <w:tab/>
      </w:r>
    </w:p>
    <w:p w14:paraId="38124CBA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31164C6B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3F7E7E56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72C17E6F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041C5653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4E285424" w14:textId="77777777" w:rsidR="00CB010D" w:rsidRPr="008B062E" w:rsidRDefault="00CB010D" w:rsidP="00CB010D">
      <w:pPr>
        <w:widowControl w:val="0"/>
        <w:tabs>
          <w:tab w:val="left" w:leader="underscore" w:pos="9072"/>
        </w:tabs>
        <w:rPr>
          <w:rFonts w:ascii="Titillium" w:hAnsi="Titillium"/>
        </w:rPr>
      </w:pPr>
      <w:r w:rsidRPr="008B062E">
        <w:rPr>
          <w:rFonts w:ascii="Titillium" w:hAnsi="Titillium"/>
        </w:rPr>
        <w:tab/>
      </w:r>
    </w:p>
    <w:p w14:paraId="258C2FFC" w14:textId="77777777" w:rsidR="005244CF" w:rsidRDefault="005244CF" w:rsidP="00154E4A">
      <w:pPr>
        <w:pStyle w:val="Titolo1"/>
        <w:numPr>
          <w:ilvl w:val="0"/>
          <w:numId w:val="0"/>
        </w:numPr>
        <w:ind w:left="431"/>
      </w:pPr>
    </w:p>
    <w:p w14:paraId="7C30C66F" w14:textId="22760AE1" w:rsidR="00CB010D" w:rsidRPr="008B062E" w:rsidRDefault="00CB010D" w:rsidP="00154E4A">
      <w:pPr>
        <w:pStyle w:val="Titolo1"/>
      </w:pPr>
      <w:r w:rsidRPr="008B062E">
        <w:t>Documenti allegati alla presente comunicazione, da rendere in originale o copia conforme</w:t>
      </w:r>
    </w:p>
    <w:p w14:paraId="76399CF6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Provvedimento di revoca o esclusione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1B478753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Provvedimento di escussione della cauzione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221F3BAB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lastRenderedPageBreak/>
        <w:t xml:space="preserve">Provvedimento di applicazione di penale o altra sanzione equiparabile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2340D1A9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Casellario giudiziale integrale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08B7FF43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Certificato antimafia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15C87007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Sentenze di condanna passate in giudicato, sentenze patteggiate, decreti penali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457E8958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Sentenze di condanna non definitive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2267D5C7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DURC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048100D9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Certificazione di regolarità fiscale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640A383B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Atto di diffida ad adempiere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771C207F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dot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Provvedimento di risoluzione del contratto </w:t>
      </w:r>
      <w:r w:rsidRPr="008B062E">
        <w:rPr>
          <w:rFonts w:ascii="Titillium" w:hAnsi="Titillium"/>
        </w:rPr>
        <w:tab/>
      </w:r>
      <w:r w:rsidRPr="008B062E">
        <w:rPr>
          <w:rFonts w:ascii="Courier New" w:hAnsi="Courier New" w:cs="Courier New"/>
        </w:rPr>
        <w:t>□</w:t>
      </w:r>
    </w:p>
    <w:p w14:paraId="0D17AC04" w14:textId="77777777" w:rsidR="00CB010D" w:rsidRPr="008B062E" w:rsidRDefault="00CB010D" w:rsidP="00CB010D">
      <w:pPr>
        <w:pStyle w:val="Paragrafoelenco"/>
        <w:widowControl w:val="0"/>
        <w:numPr>
          <w:ilvl w:val="0"/>
          <w:numId w:val="16"/>
        </w:numPr>
        <w:tabs>
          <w:tab w:val="left" w:leader="underscore" w:pos="9072"/>
        </w:tabs>
        <w:spacing w:before="40" w:after="0"/>
        <w:ind w:left="714" w:right="567" w:hanging="357"/>
        <w:contextualSpacing w:val="0"/>
        <w:jc w:val="both"/>
        <w:rPr>
          <w:rFonts w:ascii="Titillium" w:hAnsi="Titillium"/>
        </w:rPr>
      </w:pPr>
      <w:r w:rsidRPr="008B062E">
        <w:rPr>
          <w:rFonts w:ascii="Titillium" w:hAnsi="Titillium"/>
        </w:rPr>
        <w:t xml:space="preserve">Altro documento </w:t>
      </w:r>
      <w:r w:rsidRPr="008B062E">
        <w:rPr>
          <w:rFonts w:ascii="Titillium" w:hAnsi="Titillium"/>
        </w:rPr>
        <w:tab/>
      </w:r>
    </w:p>
    <w:p w14:paraId="602EBCF0" w14:textId="77777777" w:rsidR="00CB010D" w:rsidRPr="00D17091" w:rsidRDefault="00CB010D" w:rsidP="00CB010D">
      <w:pPr>
        <w:widowControl w:val="0"/>
        <w:rPr>
          <w:rFonts w:ascii="Titillium" w:hAnsi="Titillium"/>
        </w:rPr>
      </w:pPr>
    </w:p>
    <w:p w14:paraId="7C1338D2" w14:textId="77777777" w:rsidR="00CB010D" w:rsidRPr="00D17091" w:rsidRDefault="00CB010D" w:rsidP="00CB010D">
      <w:pPr>
        <w:widowControl w:val="0"/>
        <w:ind w:right="424"/>
        <w:jc w:val="right"/>
        <w:rPr>
          <w:rFonts w:ascii="Titillium" w:hAnsi="Titillium"/>
        </w:rPr>
      </w:pPr>
      <w:r w:rsidRPr="00D17091">
        <w:rPr>
          <w:rFonts w:ascii="Titillium" w:hAnsi="Titillium"/>
        </w:rPr>
        <w:t>Firma</w:t>
      </w:r>
      <w:r>
        <w:rPr>
          <w:rFonts w:ascii="Titillium" w:hAnsi="Titillium"/>
        </w:rPr>
        <w:t xml:space="preserve"> del</w:t>
      </w:r>
      <w:r w:rsidRPr="00D17091">
        <w:rPr>
          <w:rFonts w:ascii="Titillium" w:hAnsi="Titillium"/>
        </w:rPr>
        <w:t xml:space="preserve"> responsabile del procedimento o altra figura equivalente</w:t>
      </w:r>
    </w:p>
    <w:p w14:paraId="0877D73D" w14:textId="77777777" w:rsidR="00CB010D" w:rsidRPr="00D17091" w:rsidRDefault="00CB010D" w:rsidP="00CB010D">
      <w:pPr>
        <w:widowControl w:val="0"/>
        <w:ind w:right="424"/>
        <w:jc w:val="right"/>
        <w:rPr>
          <w:rFonts w:ascii="Titillium" w:hAnsi="Titillium"/>
        </w:rPr>
      </w:pPr>
      <w:r w:rsidRPr="00D17091">
        <w:rPr>
          <w:rFonts w:ascii="Titillium" w:hAnsi="Titillium"/>
        </w:rPr>
        <w:t>________</w:t>
      </w:r>
      <w:r>
        <w:rPr>
          <w:rFonts w:ascii="Titillium" w:hAnsi="Titillium"/>
        </w:rPr>
        <w:t>____________</w:t>
      </w:r>
      <w:r w:rsidRPr="00D17091">
        <w:rPr>
          <w:rFonts w:ascii="Titillium" w:hAnsi="Titillium"/>
        </w:rPr>
        <w:t>____________</w:t>
      </w:r>
    </w:p>
    <w:p w14:paraId="297190BF" w14:textId="2F50633F" w:rsidR="001D7E46" w:rsidRPr="00CB2F0D" w:rsidRDefault="001D7E46" w:rsidP="005244CF">
      <w:pPr>
        <w:pStyle w:val="Titolo2"/>
        <w:numPr>
          <w:ilvl w:val="0"/>
          <w:numId w:val="0"/>
        </w:numPr>
        <w:rPr>
          <w:szCs w:val="24"/>
        </w:rPr>
      </w:pPr>
    </w:p>
    <w:sectPr w:rsidR="001D7E46" w:rsidRPr="00CB2F0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1250F" w14:textId="77777777" w:rsidR="009313E5" w:rsidRDefault="009313E5" w:rsidP="00773936">
      <w:pPr>
        <w:spacing w:after="0" w:line="240" w:lineRule="auto"/>
      </w:pPr>
      <w:r>
        <w:separator/>
      </w:r>
    </w:p>
  </w:endnote>
  <w:endnote w:type="continuationSeparator" w:id="0">
    <w:p w14:paraId="442CE10F" w14:textId="77777777" w:rsidR="009313E5" w:rsidRDefault="009313E5" w:rsidP="0077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Liberation Mono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4332"/>
      <w:docPartObj>
        <w:docPartGallery w:val="Page Numbers (Bottom of Page)"/>
        <w:docPartUnique/>
      </w:docPartObj>
    </w:sdtPr>
    <w:sdtEndPr/>
    <w:sdtContent>
      <w:p w14:paraId="0A444D32" w14:textId="026723C2" w:rsidR="00773936" w:rsidRDefault="007739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F51">
          <w:rPr>
            <w:noProof/>
          </w:rPr>
          <w:t>8</w:t>
        </w:r>
        <w:r>
          <w:fldChar w:fldCharType="end"/>
        </w:r>
      </w:p>
    </w:sdtContent>
  </w:sdt>
  <w:p w14:paraId="77698109" w14:textId="77777777" w:rsidR="00773936" w:rsidRDefault="007739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1B5DA" w14:textId="77777777" w:rsidR="009313E5" w:rsidRDefault="009313E5" w:rsidP="00773936">
      <w:pPr>
        <w:spacing w:after="0" w:line="240" w:lineRule="auto"/>
      </w:pPr>
      <w:r>
        <w:separator/>
      </w:r>
    </w:p>
  </w:footnote>
  <w:footnote w:type="continuationSeparator" w:id="0">
    <w:p w14:paraId="5C61C270" w14:textId="77777777" w:rsidR="009313E5" w:rsidRDefault="009313E5" w:rsidP="0077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8AB"/>
    <w:multiLevelType w:val="hybridMultilevel"/>
    <w:tmpl w:val="0DB66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0A53"/>
    <w:multiLevelType w:val="hybridMultilevel"/>
    <w:tmpl w:val="66A68638"/>
    <w:lvl w:ilvl="0" w:tplc="6860C7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52A"/>
    <w:multiLevelType w:val="hybridMultilevel"/>
    <w:tmpl w:val="58005E7A"/>
    <w:lvl w:ilvl="0" w:tplc="5E7E6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2F8D"/>
    <w:multiLevelType w:val="multilevel"/>
    <w:tmpl w:val="2D08D44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860" w:hanging="576"/>
      </w:pPr>
    </w:lvl>
    <w:lvl w:ilvl="2">
      <w:start w:val="1"/>
      <w:numFmt w:val="decimal"/>
      <w:pStyle w:val="Titolo3"/>
      <w:lvlText w:val="%1.%2.%3"/>
      <w:lvlJc w:val="left"/>
      <w:pPr>
        <w:ind w:left="1571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8151BB"/>
    <w:multiLevelType w:val="hybridMultilevel"/>
    <w:tmpl w:val="5AF01D8E"/>
    <w:lvl w:ilvl="0" w:tplc="C5B408D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352C"/>
    <w:multiLevelType w:val="hybridMultilevel"/>
    <w:tmpl w:val="0D94336A"/>
    <w:lvl w:ilvl="0" w:tplc="0592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C5895"/>
    <w:multiLevelType w:val="hybridMultilevel"/>
    <w:tmpl w:val="06FA2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1014A"/>
    <w:multiLevelType w:val="hybridMultilevel"/>
    <w:tmpl w:val="2A4E66D0"/>
    <w:lvl w:ilvl="0" w:tplc="7A86C94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40C7"/>
    <w:multiLevelType w:val="hybridMultilevel"/>
    <w:tmpl w:val="CA2A4C54"/>
    <w:lvl w:ilvl="0" w:tplc="37700E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B3856"/>
    <w:multiLevelType w:val="hybridMultilevel"/>
    <w:tmpl w:val="CE88AC28"/>
    <w:lvl w:ilvl="0" w:tplc="B0AE95A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5F7F"/>
    <w:multiLevelType w:val="hybridMultilevel"/>
    <w:tmpl w:val="A5ECCB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C3C43"/>
    <w:multiLevelType w:val="hybridMultilevel"/>
    <w:tmpl w:val="0B8E888E"/>
    <w:lvl w:ilvl="0" w:tplc="B92E9FA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C5EF7"/>
    <w:multiLevelType w:val="hybridMultilevel"/>
    <w:tmpl w:val="D9B6C792"/>
    <w:lvl w:ilvl="0" w:tplc="57CA765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DBE2A80"/>
    <w:multiLevelType w:val="hybridMultilevel"/>
    <w:tmpl w:val="5B984D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91"/>
    <w:rsid w:val="00026680"/>
    <w:rsid w:val="000923FD"/>
    <w:rsid w:val="00154E4A"/>
    <w:rsid w:val="00183F51"/>
    <w:rsid w:val="001A47C3"/>
    <w:rsid w:val="001D7E46"/>
    <w:rsid w:val="00282CB1"/>
    <w:rsid w:val="00282DA1"/>
    <w:rsid w:val="00324486"/>
    <w:rsid w:val="004F3F1A"/>
    <w:rsid w:val="00520409"/>
    <w:rsid w:val="005244CF"/>
    <w:rsid w:val="00526E43"/>
    <w:rsid w:val="00587B46"/>
    <w:rsid w:val="005E1736"/>
    <w:rsid w:val="006534B4"/>
    <w:rsid w:val="00657C3D"/>
    <w:rsid w:val="00773936"/>
    <w:rsid w:val="00775EB8"/>
    <w:rsid w:val="00792076"/>
    <w:rsid w:val="00802A4D"/>
    <w:rsid w:val="008306F9"/>
    <w:rsid w:val="00891AEB"/>
    <w:rsid w:val="008A5383"/>
    <w:rsid w:val="008B062E"/>
    <w:rsid w:val="009313E5"/>
    <w:rsid w:val="009D2465"/>
    <w:rsid w:val="00A12736"/>
    <w:rsid w:val="00A44D1B"/>
    <w:rsid w:val="00B53EA7"/>
    <w:rsid w:val="00B676C3"/>
    <w:rsid w:val="00B7409A"/>
    <w:rsid w:val="00C31F36"/>
    <w:rsid w:val="00CB010D"/>
    <w:rsid w:val="00CB2F0D"/>
    <w:rsid w:val="00CB4D20"/>
    <w:rsid w:val="00CC7232"/>
    <w:rsid w:val="00D17091"/>
    <w:rsid w:val="00D22E01"/>
    <w:rsid w:val="00D53EEC"/>
    <w:rsid w:val="00DA124E"/>
    <w:rsid w:val="00E345CA"/>
    <w:rsid w:val="00E61398"/>
    <w:rsid w:val="00EA0ADA"/>
    <w:rsid w:val="00F61204"/>
    <w:rsid w:val="00F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12EF"/>
  <w15:chartTrackingRefBased/>
  <w15:docId w15:val="{40816B56-713E-4877-BC1F-8CA498C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54E4A"/>
    <w:pPr>
      <w:widowControl w:val="0"/>
      <w:numPr>
        <w:numId w:val="1"/>
      </w:numPr>
      <w:tabs>
        <w:tab w:val="left" w:leader="dot" w:pos="9072"/>
      </w:tabs>
      <w:spacing w:after="0" w:line="240" w:lineRule="auto"/>
      <w:ind w:right="424"/>
      <w:jc w:val="both"/>
      <w:outlineLvl w:val="0"/>
    </w:pPr>
    <w:rPr>
      <w:rFonts w:ascii="Titillium" w:eastAsiaTheme="majorEastAsia" w:hAnsi="Titillium" w:cstheme="majorBidi"/>
      <w:b/>
      <w:color w:val="2E74B5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7091"/>
    <w:pPr>
      <w:keepNext/>
      <w:keepLines/>
      <w:numPr>
        <w:ilvl w:val="1"/>
        <w:numId w:val="1"/>
      </w:numPr>
      <w:spacing w:before="40" w:after="0"/>
      <w:outlineLvl w:val="1"/>
    </w:pPr>
    <w:rPr>
      <w:rFonts w:ascii="Titillium" w:eastAsiaTheme="majorEastAsia" w:hAnsi="Titillium" w:cstheme="majorBidi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7091"/>
    <w:pPr>
      <w:keepNext/>
      <w:keepLines/>
      <w:numPr>
        <w:ilvl w:val="2"/>
        <w:numId w:val="1"/>
      </w:numPr>
      <w:spacing w:before="40" w:after="0"/>
      <w:outlineLvl w:val="2"/>
    </w:pPr>
    <w:rPr>
      <w:rFonts w:ascii="Titillium" w:eastAsiaTheme="majorEastAsia" w:hAnsi="Titillium" w:cstheme="majorBidi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D2465"/>
    <w:pPr>
      <w:keepNext/>
      <w:keepLines/>
      <w:numPr>
        <w:ilvl w:val="3"/>
        <w:numId w:val="1"/>
      </w:numPr>
      <w:spacing w:before="40" w:after="0"/>
      <w:outlineLvl w:val="3"/>
    </w:pPr>
    <w:rPr>
      <w:rFonts w:ascii="Titillium" w:eastAsiaTheme="majorEastAsia" w:hAnsi="Titillium" w:cstheme="majorBidi"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709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709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709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709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709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7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4E4A"/>
    <w:rPr>
      <w:rFonts w:ascii="Titillium" w:eastAsiaTheme="majorEastAsia" w:hAnsi="Titillium" w:cstheme="majorBidi"/>
      <w:b/>
      <w:color w:val="2E74B5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7091"/>
    <w:rPr>
      <w:rFonts w:ascii="Titillium" w:eastAsiaTheme="majorEastAsia" w:hAnsi="Titillium" w:cstheme="majorBidi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7091"/>
    <w:rPr>
      <w:rFonts w:ascii="Titillium" w:eastAsiaTheme="majorEastAsia" w:hAnsi="Titillium" w:cstheme="majorBidi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2465"/>
    <w:rPr>
      <w:rFonts w:ascii="Titillium" w:eastAsiaTheme="majorEastAsia" w:hAnsi="Titillium" w:cstheme="majorBidi"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70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70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70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70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70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A0A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3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936"/>
  </w:style>
  <w:style w:type="paragraph" w:styleId="Pidipagina">
    <w:name w:val="footer"/>
    <w:basedOn w:val="Normale"/>
    <w:link w:val="PidipaginaCarattere"/>
    <w:uiPriority w:val="99"/>
    <w:unhideWhenUsed/>
    <w:rsid w:val="00773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4" ma:contentTypeDescription="Creare un nuovo documento." ma:contentTypeScope="" ma:versionID="928b891f74836f0d96a7bf92b6adbcf8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5ca8f473749ef5685e79312bcd1af400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FE54-A2BC-498D-BA58-2EC603BF5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8F29A-191A-461D-B852-25240C423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B5B5A-8306-4942-B5B5-4DE17DDED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172DA2-595C-4341-9BCB-344BCCBB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Pozzaglia Roberto</dc:creator>
  <cp:keywords/>
  <dc:description/>
  <cp:lastModifiedBy>D'Agostino Gabriele Maria</cp:lastModifiedBy>
  <cp:revision>16</cp:revision>
  <cp:lastPrinted>2022-03-25T11:12:00Z</cp:lastPrinted>
  <dcterms:created xsi:type="dcterms:W3CDTF">2022-03-23T15:47:00Z</dcterms:created>
  <dcterms:modified xsi:type="dcterms:W3CDTF">2022-03-25T11:18:00Z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