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222A" w14:textId="6DCB11F0" w:rsidR="004C53A8" w:rsidRDefault="004C53A8" w:rsidP="00681C4C">
      <w:pPr>
        <w:widowControl w:val="0"/>
        <w:spacing w:before="60" w:after="60"/>
        <w:rPr>
          <w:rFonts w:ascii="Titillium" w:hAnsi="Titillium"/>
          <w:b/>
          <w:sz w:val="36"/>
          <w:szCs w:val="36"/>
          <w:lang w:eastAsia="it-IT"/>
        </w:rPr>
      </w:pPr>
    </w:p>
    <w:p w14:paraId="31FF5464" w14:textId="77777777" w:rsidR="004C53A8" w:rsidRDefault="004C53A8">
      <w:pPr>
        <w:widowControl w:val="0"/>
        <w:spacing w:before="60" w:after="60"/>
        <w:jc w:val="center"/>
        <w:rPr>
          <w:rFonts w:ascii="Titillium" w:hAnsi="Titillium"/>
          <w:b/>
          <w:sz w:val="36"/>
          <w:szCs w:val="36"/>
          <w:lang w:eastAsia="it-IT"/>
        </w:rPr>
      </w:pPr>
    </w:p>
    <w:p w14:paraId="2B553D79" w14:textId="2769EB5C" w:rsidR="004C53A8" w:rsidRDefault="004C53A8">
      <w:pPr>
        <w:widowControl w:val="0"/>
        <w:spacing w:before="60" w:after="60"/>
        <w:jc w:val="center"/>
        <w:rPr>
          <w:rFonts w:ascii="Titillium" w:hAnsi="Titillium"/>
          <w:b/>
          <w:sz w:val="36"/>
          <w:szCs w:val="36"/>
          <w:lang w:eastAsia="it-IT"/>
        </w:rPr>
      </w:pPr>
    </w:p>
    <w:p w14:paraId="2576E1D2" w14:textId="77777777" w:rsidR="00CA2C41" w:rsidRPr="00CA2C41" w:rsidRDefault="00CA2C41">
      <w:pPr>
        <w:widowControl w:val="0"/>
        <w:spacing w:before="60" w:after="60"/>
        <w:jc w:val="center"/>
        <w:rPr>
          <w:rFonts w:ascii="Titillium" w:hAnsi="Titillium"/>
          <w:b/>
          <w:sz w:val="36"/>
          <w:szCs w:val="36"/>
          <w:lang w:eastAsia="it-IT"/>
        </w:rPr>
      </w:pPr>
    </w:p>
    <w:p w14:paraId="508810DA" w14:textId="2843691C" w:rsidR="004C53A8" w:rsidRPr="00CA2C41" w:rsidRDefault="00870286">
      <w:pPr>
        <w:widowControl w:val="0"/>
        <w:spacing w:line="23" w:lineRule="atLeast"/>
        <w:ind w:left="567"/>
        <w:jc w:val="center"/>
        <w:rPr>
          <w:rFonts w:ascii="Titillium" w:hAnsi="Titillium"/>
          <w:b/>
          <w:szCs w:val="24"/>
          <w:lang w:eastAsia="it-IT"/>
        </w:rPr>
      </w:pPr>
      <w:r w:rsidRPr="00CA2C41">
        <w:rPr>
          <w:rFonts w:ascii="Titillium" w:hAnsi="Titillium"/>
          <w:b/>
          <w:szCs w:val="24"/>
          <w:lang w:eastAsia="it-IT"/>
        </w:rPr>
        <w:t xml:space="preserve">Bando tipo n. </w:t>
      </w:r>
      <w:r w:rsidR="00B323B8" w:rsidRPr="00CA2C41">
        <w:rPr>
          <w:rFonts w:ascii="Titillium" w:hAnsi="Titillium"/>
          <w:b/>
          <w:szCs w:val="24"/>
          <w:lang w:eastAsia="it-IT"/>
        </w:rPr>
        <w:t>1</w:t>
      </w:r>
      <w:r w:rsidRPr="00CA2C41">
        <w:rPr>
          <w:rFonts w:ascii="Titillium" w:hAnsi="Titillium"/>
          <w:b/>
          <w:szCs w:val="24"/>
          <w:lang w:eastAsia="it-IT"/>
        </w:rPr>
        <w:t>/</w:t>
      </w:r>
      <w:r w:rsidR="00A053D8" w:rsidRPr="00CA2C41">
        <w:rPr>
          <w:rFonts w:ascii="Titillium" w:hAnsi="Titillium"/>
          <w:b/>
          <w:szCs w:val="24"/>
          <w:lang w:eastAsia="it-IT"/>
        </w:rPr>
        <w:t>2023</w:t>
      </w:r>
    </w:p>
    <w:p w14:paraId="0EFB5257" w14:textId="77777777" w:rsidR="004C53A8" w:rsidRPr="00CA2C41" w:rsidRDefault="004C53A8">
      <w:pPr>
        <w:widowControl w:val="0"/>
        <w:spacing w:before="60" w:after="60"/>
        <w:rPr>
          <w:rFonts w:ascii="Titillium" w:hAnsi="Titillium"/>
          <w:b/>
          <w:sz w:val="36"/>
          <w:szCs w:val="36"/>
          <w:lang w:eastAsia="it-IT"/>
        </w:rPr>
      </w:pPr>
    </w:p>
    <w:p w14:paraId="5A929099" w14:textId="77777777" w:rsidR="004C53A8" w:rsidRDefault="004C53A8">
      <w:pPr>
        <w:widowControl w:val="0"/>
        <w:spacing w:before="60" w:after="60"/>
        <w:rPr>
          <w:rFonts w:ascii="Titillium" w:hAnsi="Titillium"/>
          <w:b/>
          <w:sz w:val="36"/>
          <w:szCs w:val="36"/>
          <w:lang w:eastAsia="it-IT"/>
        </w:rPr>
      </w:pPr>
    </w:p>
    <w:p w14:paraId="43C211E0" w14:textId="77777777" w:rsidR="004C53A8" w:rsidRDefault="004C53A8">
      <w:pPr>
        <w:widowControl w:val="0"/>
        <w:spacing w:before="60" w:after="60"/>
        <w:rPr>
          <w:rFonts w:ascii="Titillium" w:hAnsi="Titillium"/>
          <w:b/>
          <w:sz w:val="36"/>
          <w:szCs w:val="36"/>
          <w:lang w:eastAsia="it-IT"/>
        </w:rPr>
      </w:pPr>
    </w:p>
    <w:p w14:paraId="0734A57B" w14:textId="77777777" w:rsidR="004C53A8" w:rsidRDefault="004C53A8">
      <w:pPr>
        <w:widowControl w:val="0"/>
        <w:spacing w:before="60" w:after="60"/>
        <w:rPr>
          <w:rFonts w:ascii="Titillium" w:hAnsi="Titillium"/>
          <w:b/>
          <w:sz w:val="36"/>
          <w:szCs w:val="36"/>
          <w:lang w:eastAsia="it-IT"/>
        </w:rPr>
      </w:pPr>
    </w:p>
    <w:p w14:paraId="09BD10C4" w14:textId="77777777" w:rsidR="004C53A8" w:rsidRDefault="00870286">
      <w:pPr>
        <w:widowControl w:val="0"/>
        <w:spacing w:line="23" w:lineRule="atLeast"/>
        <w:ind w:left="567"/>
        <w:jc w:val="center"/>
        <w:rPr>
          <w:rFonts w:ascii="Titillium" w:hAnsi="Titillium"/>
          <w:b/>
          <w:szCs w:val="24"/>
          <w:lang w:eastAsia="it-IT"/>
        </w:rPr>
      </w:pPr>
      <w:r>
        <w:rPr>
          <w:rFonts w:ascii="Titillium" w:hAnsi="Titillium"/>
          <w:b/>
          <w:szCs w:val="24"/>
          <w:lang w:eastAsia="it-IT"/>
        </w:rPr>
        <w:t>Schema di disciplinare di gara</w:t>
      </w:r>
    </w:p>
    <w:p w14:paraId="3538E1B5" w14:textId="77777777" w:rsidR="004C53A8" w:rsidRDefault="004C53A8">
      <w:pPr>
        <w:widowControl w:val="0"/>
        <w:spacing w:line="23" w:lineRule="atLeast"/>
        <w:ind w:left="567"/>
        <w:rPr>
          <w:rFonts w:ascii="Titillium" w:hAnsi="Titillium"/>
          <w:b/>
          <w:szCs w:val="24"/>
          <w:lang w:eastAsia="it-IT"/>
        </w:rPr>
      </w:pPr>
    </w:p>
    <w:p w14:paraId="6237A090" w14:textId="77777777" w:rsidR="004C53A8" w:rsidRDefault="004C53A8">
      <w:pPr>
        <w:widowControl w:val="0"/>
        <w:spacing w:line="23" w:lineRule="atLeast"/>
        <w:ind w:left="567"/>
        <w:rPr>
          <w:rFonts w:ascii="Titillium" w:hAnsi="Titillium"/>
          <w:b/>
          <w:szCs w:val="24"/>
          <w:lang w:eastAsia="it-IT"/>
        </w:rPr>
      </w:pPr>
    </w:p>
    <w:p w14:paraId="0B179CEA" w14:textId="77777777" w:rsidR="004C53A8" w:rsidRDefault="004C53A8">
      <w:pPr>
        <w:widowControl w:val="0"/>
        <w:spacing w:line="23" w:lineRule="atLeast"/>
        <w:ind w:left="567"/>
        <w:rPr>
          <w:rFonts w:ascii="Titillium" w:hAnsi="Titillium"/>
          <w:b/>
          <w:szCs w:val="24"/>
          <w:lang w:eastAsia="it-IT"/>
        </w:rPr>
      </w:pPr>
    </w:p>
    <w:p w14:paraId="23EB865D" w14:textId="04DBCB75" w:rsidR="004C53A8" w:rsidRDefault="00870286">
      <w:pPr>
        <w:widowControl w:val="0"/>
        <w:spacing w:line="23" w:lineRule="atLeast"/>
        <w:ind w:left="567"/>
        <w:rPr>
          <w:rFonts w:ascii="Titillium" w:hAnsi="Titillium"/>
          <w:b/>
          <w:szCs w:val="24"/>
          <w:lang w:eastAsia="it-IT"/>
        </w:rPr>
      </w:pPr>
      <w:r>
        <w:rPr>
          <w:rFonts w:ascii="Titillium" w:hAnsi="Titillium"/>
          <w:b/>
          <w:szCs w:val="24"/>
          <w:lang w:eastAsia="it-IT"/>
        </w:rPr>
        <w:t xml:space="preserve">Procedura aperta per l’affidamento di contratti pubblici di servizi e forniture nei settori ordinari </w:t>
      </w:r>
      <w:r w:rsidR="002B7D94">
        <w:rPr>
          <w:rFonts w:ascii="Titillium" w:hAnsi="Titillium"/>
          <w:b/>
          <w:szCs w:val="24"/>
          <w:lang w:eastAsia="it-IT"/>
        </w:rPr>
        <w:t>di importo superiore alle</w:t>
      </w:r>
      <w:r w:rsidR="0061733B">
        <w:rPr>
          <w:rFonts w:ascii="Titillium" w:hAnsi="Titillium"/>
          <w:b/>
          <w:szCs w:val="24"/>
          <w:lang w:eastAsia="it-IT"/>
        </w:rPr>
        <w:t xml:space="preserve"> </w:t>
      </w:r>
      <w:r>
        <w:rPr>
          <w:rFonts w:ascii="Titillium" w:hAnsi="Titillium"/>
          <w:b/>
          <w:szCs w:val="24"/>
          <w:lang w:eastAsia="it-IT"/>
        </w:rPr>
        <w:t>sogli</w:t>
      </w:r>
      <w:r w:rsidR="0061733B">
        <w:rPr>
          <w:rFonts w:ascii="Titillium" w:hAnsi="Titillium"/>
          <w:b/>
          <w:szCs w:val="24"/>
          <w:lang w:eastAsia="it-IT"/>
        </w:rPr>
        <w:t>e</w:t>
      </w:r>
      <w:r>
        <w:rPr>
          <w:rFonts w:ascii="Titillium" w:hAnsi="Titillium"/>
          <w:b/>
          <w:szCs w:val="24"/>
          <w:lang w:eastAsia="it-IT"/>
        </w:rPr>
        <w:t xml:space="preserve"> </w:t>
      </w:r>
      <w:r w:rsidR="0061733B">
        <w:rPr>
          <w:rFonts w:ascii="Titillium" w:hAnsi="Titillium"/>
          <w:b/>
          <w:szCs w:val="24"/>
          <w:lang w:eastAsia="it-IT"/>
        </w:rPr>
        <w:t xml:space="preserve">europee </w:t>
      </w:r>
      <w:r>
        <w:rPr>
          <w:rFonts w:ascii="Titillium" w:hAnsi="Titillium"/>
          <w:b/>
          <w:szCs w:val="24"/>
          <w:lang w:eastAsia="it-IT"/>
        </w:rPr>
        <w:t>con il criterio dell’offerta economicamente più vantaggiosa sulla base del miglior rapporto qualità/prezzo</w:t>
      </w:r>
    </w:p>
    <w:p w14:paraId="2050EF4C" w14:textId="53097AD2" w:rsidR="00E568FF" w:rsidRDefault="00E568FF">
      <w:pPr>
        <w:widowControl w:val="0"/>
        <w:spacing w:line="23" w:lineRule="atLeast"/>
        <w:ind w:left="567"/>
        <w:rPr>
          <w:rFonts w:ascii="Titillium" w:hAnsi="Titillium"/>
          <w:b/>
          <w:szCs w:val="24"/>
          <w:lang w:eastAsia="it-IT"/>
        </w:rPr>
      </w:pPr>
    </w:p>
    <w:p w14:paraId="2DB99BBD" w14:textId="77777777" w:rsidR="00E568FF" w:rsidRDefault="00E568FF">
      <w:pPr>
        <w:widowControl w:val="0"/>
        <w:spacing w:line="23" w:lineRule="atLeast"/>
        <w:ind w:left="567"/>
        <w:rPr>
          <w:rFonts w:ascii="Titillium" w:hAnsi="Titillium"/>
          <w:b/>
          <w:szCs w:val="24"/>
          <w:lang w:eastAsia="it-IT"/>
        </w:rPr>
      </w:pPr>
    </w:p>
    <w:p w14:paraId="09DA787C" w14:textId="0573BBC9" w:rsidR="004C53A8" w:rsidRPr="00E568FF" w:rsidRDefault="004C53A8" w:rsidP="002D6C21">
      <w:pPr>
        <w:widowControl w:val="0"/>
        <w:spacing w:before="60" w:after="60"/>
        <w:ind w:left="567"/>
        <w:rPr>
          <w:rFonts w:ascii="Titillium" w:hAnsi="Titillium"/>
          <w:b/>
          <w:sz w:val="36"/>
          <w:szCs w:val="36"/>
          <w:lang w:eastAsia="it-IT"/>
        </w:rPr>
      </w:pPr>
    </w:p>
    <w:p w14:paraId="1D4CF175" w14:textId="77777777" w:rsidR="004C53A8" w:rsidRPr="00E568FF" w:rsidRDefault="004C53A8">
      <w:pPr>
        <w:widowControl w:val="0"/>
        <w:spacing w:before="60" w:after="60"/>
        <w:rPr>
          <w:rFonts w:ascii="Titillium" w:hAnsi="Titillium"/>
          <w:b/>
          <w:sz w:val="36"/>
          <w:szCs w:val="36"/>
          <w:lang w:eastAsia="it-IT"/>
        </w:rPr>
      </w:pPr>
    </w:p>
    <w:p w14:paraId="2BD7E920" w14:textId="77777777" w:rsidR="004C53A8" w:rsidRDefault="004C53A8">
      <w:pPr>
        <w:widowControl w:val="0"/>
        <w:spacing w:before="60" w:after="60"/>
        <w:rPr>
          <w:rFonts w:ascii="Titillium" w:hAnsi="Titillium"/>
          <w:b/>
          <w:sz w:val="36"/>
          <w:szCs w:val="36"/>
          <w:lang w:eastAsia="it-IT"/>
        </w:rPr>
      </w:pPr>
    </w:p>
    <w:p w14:paraId="2645FA7E" w14:textId="5E5323B5" w:rsidR="003D6F50" w:rsidRDefault="00870286" w:rsidP="00E95312">
      <w:pPr>
        <w:widowControl w:val="0"/>
        <w:spacing w:before="60" w:after="60"/>
        <w:ind w:firstLine="567"/>
        <w:jc w:val="left"/>
        <w:rPr>
          <w:rFonts w:ascii="Titillium" w:hAnsi="Titillium"/>
          <w:sz w:val="18"/>
          <w:szCs w:val="18"/>
          <w:lang w:eastAsia="it-IT"/>
        </w:rPr>
      </w:pPr>
      <w:r>
        <w:rPr>
          <w:rFonts w:ascii="Titillium" w:hAnsi="Titillium"/>
          <w:sz w:val="18"/>
          <w:szCs w:val="18"/>
          <w:lang w:eastAsia="it-IT"/>
        </w:rPr>
        <w:t>Approvato dal Consiglio dell’Autorità con delibera n</w:t>
      </w:r>
      <w:r w:rsidR="001E726B">
        <w:rPr>
          <w:rFonts w:ascii="Titillium" w:hAnsi="Titillium"/>
          <w:sz w:val="18"/>
          <w:szCs w:val="18"/>
          <w:lang w:eastAsia="it-IT"/>
        </w:rPr>
        <w:t>. 309 del 27 giugno 2023</w:t>
      </w:r>
      <w:r w:rsidR="001233BE">
        <w:rPr>
          <w:rFonts w:ascii="Titillium" w:hAnsi="Titillium"/>
          <w:sz w:val="18"/>
          <w:szCs w:val="18"/>
          <w:lang w:eastAsia="it-IT"/>
        </w:rPr>
        <w:t>.</w:t>
      </w:r>
    </w:p>
    <w:p w14:paraId="37E71C0B" w14:textId="7BF94E83" w:rsidR="004C53A8" w:rsidRDefault="00870286" w:rsidP="00804D82">
      <w:pPr>
        <w:widowControl w:val="0"/>
        <w:spacing w:before="60" w:after="60"/>
        <w:jc w:val="left"/>
        <w:rPr>
          <w:rFonts w:ascii="Titillium" w:hAnsi="Titillium"/>
          <w:b/>
          <w:w w:val="66"/>
          <w:szCs w:val="24"/>
          <w:lang w:eastAsia="it-IT"/>
        </w:rPr>
      </w:pPr>
      <w:r>
        <w:rPr>
          <w:rFonts w:ascii="Titillium" w:hAnsi="Titillium"/>
          <w:sz w:val="18"/>
          <w:szCs w:val="18"/>
          <w:lang w:eastAsia="it-IT"/>
        </w:rPr>
        <w:t xml:space="preserve"> </w:t>
      </w:r>
      <w:r>
        <w:br w:type="page"/>
      </w:r>
    </w:p>
    <w:p w14:paraId="382BA77D" w14:textId="77777777" w:rsidR="004C53A8" w:rsidRDefault="004C53A8">
      <w:pPr>
        <w:spacing w:line="240" w:lineRule="auto"/>
        <w:jc w:val="left"/>
        <w:rPr>
          <w:rFonts w:ascii="Titillium" w:hAnsi="Titillium"/>
          <w:b/>
          <w:w w:val="66"/>
          <w:szCs w:val="24"/>
          <w:lang w:eastAsia="it-IT"/>
        </w:rPr>
      </w:pPr>
    </w:p>
    <w:sdt>
      <w:sdtPr>
        <w:rPr>
          <w:b/>
          <w:bCs w:val="0"/>
          <w:smallCaps/>
        </w:rPr>
        <w:id w:val="150880778"/>
        <w:docPartObj>
          <w:docPartGallery w:val="Table of Contents"/>
          <w:docPartUnique/>
        </w:docPartObj>
      </w:sdtPr>
      <w:sdtEndPr>
        <w:rPr>
          <w:b w:val="0"/>
        </w:rPr>
      </w:sdtEndPr>
      <w:sdtContent>
        <w:p w14:paraId="0695DA5E" w14:textId="45B97416" w:rsidR="001E726B" w:rsidRDefault="00870286">
          <w:pPr>
            <w:pStyle w:val="Sommario1"/>
            <w:rPr>
              <w:rFonts w:asciiTheme="minorHAnsi" w:eastAsiaTheme="minorEastAsia" w:hAnsiTheme="minorHAnsi" w:cstheme="minorBidi"/>
              <w:bCs w:val="0"/>
              <w:noProof/>
              <w:sz w:val="22"/>
              <w:szCs w:val="22"/>
              <w:lang w:eastAsia="it-IT"/>
            </w:rPr>
          </w:pPr>
          <w:r>
            <w:rPr>
              <w:b/>
              <w:sz w:val="22"/>
            </w:rPr>
            <w:fldChar w:fldCharType="begin"/>
          </w:r>
          <w:r>
            <w:rPr>
              <w:rStyle w:val="Saltoaindice"/>
              <w:rFonts w:ascii="Titillium" w:hAnsi="Titillium"/>
            </w:rPr>
            <w:instrText>TOC \o "1-3" \h</w:instrText>
          </w:r>
          <w:r>
            <w:rPr>
              <w:rStyle w:val="Saltoaindice"/>
              <w:rFonts w:ascii="Titillium" w:hAnsi="Titillium"/>
              <w:b/>
              <w:sz w:val="22"/>
            </w:rPr>
            <w:fldChar w:fldCharType="separate"/>
          </w:r>
          <w:hyperlink w:anchor="_Toc139549406" w:history="1">
            <w:r w:rsidR="001E726B" w:rsidRPr="00A44500">
              <w:rPr>
                <w:rStyle w:val="Collegamentoipertestuale"/>
                <w:rFonts w:ascii="Titillium" w:hAnsi="Titillium"/>
                <w:noProof/>
              </w:rPr>
              <w:t>AMBITO DI APPLICAZIONE E ISTRUZIONI PER LA COMPILAZIONE</w:t>
            </w:r>
            <w:r w:rsidR="001E726B">
              <w:rPr>
                <w:noProof/>
              </w:rPr>
              <w:tab/>
            </w:r>
            <w:r w:rsidR="001E726B">
              <w:rPr>
                <w:noProof/>
              </w:rPr>
              <w:fldChar w:fldCharType="begin"/>
            </w:r>
            <w:r w:rsidR="001E726B">
              <w:rPr>
                <w:noProof/>
              </w:rPr>
              <w:instrText xml:space="preserve"> PAGEREF _Toc139549406 \h </w:instrText>
            </w:r>
            <w:r w:rsidR="001E726B">
              <w:rPr>
                <w:noProof/>
              </w:rPr>
            </w:r>
            <w:r w:rsidR="001E726B">
              <w:rPr>
                <w:noProof/>
              </w:rPr>
              <w:fldChar w:fldCharType="separate"/>
            </w:r>
            <w:r w:rsidR="001E726B">
              <w:rPr>
                <w:noProof/>
              </w:rPr>
              <w:t>4</w:t>
            </w:r>
            <w:r w:rsidR="001E726B">
              <w:rPr>
                <w:noProof/>
              </w:rPr>
              <w:fldChar w:fldCharType="end"/>
            </w:r>
          </w:hyperlink>
        </w:p>
        <w:p w14:paraId="3DE704B1" w14:textId="0FB3AF09" w:rsidR="001E726B" w:rsidRDefault="00C85664">
          <w:pPr>
            <w:pStyle w:val="Sommario1"/>
            <w:rPr>
              <w:rFonts w:asciiTheme="minorHAnsi" w:eastAsiaTheme="minorEastAsia" w:hAnsiTheme="minorHAnsi" w:cstheme="minorBidi"/>
              <w:bCs w:val="0"/>
              <w:noProof/>
              <w:sz w:val="22"/>
              <w:szCs w:val="22"/>
              <w:lang w:eastAsia="it-IT"/>
            </w:rPr>
          </w:pPr>
          <w:hyperlink w:anchor="_Toc139549407" w:history="1">
            <w:r w:rsidR="001E726B" w:rsidRPr="00A44500">
              <w:rPr>
                <w:rStyle w:val="Collegamentoipertestuale"/>
                <w:rFonts w:ascii="Titillium" w:hAnsi="Titillium"/>
                <w:noProof/>
              </w:rPr>
              <w:t>DISCIPLINARE DI GARA</w:t>
            </w:r>
            <w:r w:rsidR="001E726B">
              <w:rPr>
                <w:noProof/>
              </w:rPr>
              <w:tab/>
            </w:r>
            <w:r w:rsidR="001E726B">
              <w:rPr>
                <w:noProof/>
              </w:rPr>
              <w:fldChar w:fldCharType="begin"/>
            </w:r>
            <w:r w:rsidR="001E726B">
              <w:rPr>
                <w:noProof/>
              </w:rPr>
              <w:instrText xml:space="preserve"> PAGEREF _Toc139549407 \h </w:instrText>
            </w:r>
            <w:r w:rsidR="001E726B">
              <w:rPr>
                <w:noProof/>
              </w:rPr>
            </w:r>
            <w:r w:rsidR="001E726B">
              <w:rPr>
                <w:noProof/>
              </w:rPr>
              <w:fldChar w:fldCharType="separate"/>
            </w:r>
            <w:r w:rsidR="001E726B">
              <w:rPr>
                <w:noProof/>
              </w:rPr>
              <w:t>6</w:t>
            </w:r>
            <w:r w:rsidR="001E726B">
              <w:rPr>
                <w:noProof/>
              </w:rPr>
              <w:fldChar w:fldCharType="end"/>
            </w:r>
          </w:hyperlink>
        </w:p>
        <w:p w14:paraId="62ABCB26" w14:textId="7A57D0AF" w:rsidR="001E726B" w:rsidRDefault="00C85664">
          <w:pPr>
            <w:pStyle w:val="Sommario2"/>
            <w:rPr>
              <w:rFonts w:asciiTheme="minorHAnsi" w:eastAsiaTheme="minorEastAsia" w:hAnsiTheme="minorHAnsi" w:cstheme="minorBidi"/>
              <w:smallCaps w:val="0"/>
              <w:noProof/>
              <w:sz w:val="22"/>
              <w:szCs w:val="22"/>
              <w:lang w:eastAsia="it-IT"/>
            </w:rPr>
          </w:pPr>
          <w:hyperlink w:anchor="_Toc139549408" w:history="1">
            <w:r w:rsidR="001E726B" w:rsidRPr="00A44500">
              <w:rPr>
                <w:rStyle w:val="Collegamentoipertestuale"/>
                <w:rFonts w:ascii="Titillium" w:hAnsi="Titillium"/>
                <w:noProof/>
              </w:rPr>
              <w:t>PREMESSE</w:t>
            </w:r>
            <w:r w:rsidR="001E726B">
              <w:rPr>
                <w:noProof/>
              </w:rPr>
              <w:tab/>
            </w:r>
            <w:r w:rsidR="001E726B">
              <w:rPr>
                <w:noProof/>
              </w:rPr>
              <w:fldChar w:fldCharType="begin"/>
            </w:r>
            <w:r w:rsidR="001E726B">
              <w:rPr>
                <w:noProof/>
              </w:rPr>
              <w:instrText xml:space="preserve"> PAGEREF _Toc139549408 \h </w:instrText>
            </w:r>
            <w:r w:rsidR="001E726B">
              <w:rPr>
                <w:noProof/>
              </w:rPr>
            </w:r>
            <w:r w:rsidR="001E726B">
              <w:rPr>
                <w:noProof/>
              </w:rPr>
              <w:fldChar w:fldCharType="separate"/>
            </w:r>
            <w:r w:rsidR="001E726B">
              <w:rPr>
                <w:noProof/>
              </w:rPr>
              <w:t>6</w:t>
            </w:r>
            <w:r w:rsidR="001E726B">
              <w:rPr>
                <w:noProof/>
              </w:rPr>
              <w:fldChar w:fldCharType="end"/>
            </w:r>
          </w:hyperlink>
        </w:p>
        <w:p w14:paraId="739D4A44" w14:textId="4FDD2293" w:rsidR="001E726B" w:rsidRDefault="00C85664">
          <w:pPr>
            <w:pStyle w:val="Sommario2"/>
            <w:rPr>
              <w:rFonts w:asciiTheme="minorHAnsi" w:eastAsiaTheme="minorEastAsia" w:hAnsiTheme="minorHAnsi" w:cstheme="minorBidi"/>
              <w:smallCaps w:val="0"/>
              <w:noProof/>
              <w:sz w:val="22"/>
              <w:szCs w:val="22"/>
              <w:lang w:eastAsia="it-IT"/>
            </w:rPr>
          </w:pPr>
          <w:hyperlink w:anchor="_Toc139549409" w:history="1">
            <w:r w:rsidR="001E726B" w:rsidRPr="00A44500">
              <w:rPr>
                <w:rStyle w:val="Collegamentoipertestuale"/>
                <w:rFonts w:ascii="Titillium" w:hAnsi="Titillium"/>
                <w:noProof/>
              </w:rPr>
              <w:t>1.</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PIATTAFORMA TELEMATICA</w:t>
            </w:r>
            <w:r w:rsidR="001E726B">
              <w:rPr>
                <w:noProof/>
              </w:rPr>
              <w:tab/>
            </w:r>
            <w:r w:rsidR="001E726B">
              <w:rPr>
                <w:noProof/>
              </w:rPr>
              <w:fldChar w:fldCharType="begin"/>
            </w:r>
            <w:r w:rsidR="001E726B">
              <w:rPr>
                <w:noProof/>
              </w:rPr>
              <w:instrText xml:space="preserve"> PAGEREF _Toc139549409 \h </w:instrText>
            </w:r>
            <w:r w:rsidR="001E726B">
              <w:rPr>
                <w:noProof/>
              </w:rPr>
            </w:r>
            <w:r w:rsidR="001E726B">
              <w:rPr>
                <w:noProof/>
              </w:rPr>
              <w:fldChar w:fldCharType="separate"/>
            </w:r>
            <w:r w:rsidR="001E726B">
              <w:rPr>
                <w:noProof/>
              </w:rPr>
              <w:t>6</w:t>
            </w:r>
            <w:r w:rsidR="001E726B">
              <w:rPr>
                <w:noProof/>
              </w:rPr>
              <w:fldChar w:fldCharType="end"/>
            </w:r>
          </w:hyperlink>
        </w:p>
        <w:p w14:paraId="74370E42" w14:textId="167AAB4D" w:rsidR="001E726B" w:rsidRDefault="00C85664">
          <w:pPr>
            <w:pStyle w:val="Sommario3"/>
            <w:rPr>
              <w:rFonts w:asciiTheme="minorHAnsi" w:eastAsiaTheme="minorEastAsia" w:hAnsiTheme="minorHAnsi" w:cstheme="minorBidi"/>
              <w:iCs w:val="0"/>
              <w:noProof/>
              <w:sz w:val="22"/>
              <w:szCs w:val="22"/>
              <w:lang w:eastAsia="it-IT"/>
            </w:rPr>
          </w:pPr>
          <w:hyperlink w:anchor="_Toc139549410" w:history="1">
            <w:r w:rsidR="001E726B" w:rsidRPr="00A44500">
              <w:rPr>
                <w:rStyle w:val="Collegamentoipertestuale"/>
                <w:rFonts w:ascii="Titillium" w:hAnsi="Titillium"/>
                <w:noProof/>
              </w:rPr>
              <w:t>1.1.</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LA PIATTAFORMA TELEMATICA DI NEGOZIAZIONE</w:t>
            </w:r>
            <w:r w:rsidR="001E726B">
              <w:rPr>
                <w:noProof/>
              </w:rPr>
              <w:tab/>
            </w:r>
            <w:r w:rsidR="001E726B">
              <w:rPr>
                <w:noProof/>
              </w:rPr>
              <w:fldChar w:fldCharType="begin"/>
            </w:r>
            <w:r w:rsidR="001E726B">
              <w:rPr>
                <w:noProof/>
              </w:rPr>
              <w:instrText xml:space="preserve"> PAGEREF _Toc139549410 \h </w:instrText>
            </w:r>
            <w:r w:rsidR="001E726B">
              <w:rPr>
                <w:noProof/>
              </w:rPr>
            </w:r>
            <w:r w:rsidR="001E726B">
              <w:rPr>
                <w:noProof/>
              </w:rPr>
              <w:fldChar w:fldCharType="separate"/>
            </w:r>
            <w:r w:rsidR="001E726B">
              <w:rPr>
                <w:noProof/>
              </w:rPr>
              <w:t>6</w:t>
            </w:r>
            <w:r w:rsidR="001E726B">
              <w:rPr>
                <w:noProof/>
              </w:rPr>
              <w:fldChar w:fldCharType="end"/>
            </w:r>
          </w:hyperlink>
        </w:p>
        <w:p w14:paraId="7F2AE80B" w14:textId="24EBFF2B" w:rsidR="001E726B" w:rsidRDefault="00C85664">
          <w:pPr>
            <w:pStyle w:val="Sommario3"/>
            <w:rPr>
              <w:rFonts w:asciiTheme="minorHAnsi" w:eastAsiaTheme="minorEastAsia" w:hAnsiTheme="minorHAnsi" w:cstheme="minorBidi"/>
              <w:iCs w:val="0"/>
              <w:noProof/>
              <w:sz w:val="22"/>
              <w:szCs w:val="22"/>
              <w:lang w:eastAsia="it-IT"/>
            </w:rPr>
          </w:pPr>
          <w:hyperlink w:anchor="_Toc139549411" w:history="1">
            <w:r w:rsidR="001E726B" w:rsidRPr="00A44500">
              <w:rPr>
                <w:rStyle w:val="Collegamentoipertestuale"/>
                <w:rFonts w:ascii="Titillium" w:hAnsi="Titillium"/>
                <w:noProof/>
              </w:rPr>
              <w:t>1.2.</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DOTAZIONI TECNICHE</w:t>
            </w:r>
            <w:r w:rsidR="001E726B">
              <w:rPr>
                <w:noProof/>
              </w:rPr>
              <w:tab/>
            </w:r>
            <w:r w:rsidR="001E726B">
              <w:rPr>
                <w:noProof/>
              </w:rPr>
              <w:fldChar w:fldCharType="begin"/>
            </w:r>
            <w:r w:rsidR="001E726B">
              <w:rPr>
                <w:noProof/>
              </w:rPr>
              <w:instrText xml:space="preserve"> PAGEREF _Toc139549411 \h </w:instrText>
            </w:r>
            <w:r w:rsidR="001E726B">
              <w:rPr>
                <w:noProof/>
              </w:rPr>
            </w:r>
            <w:r w:rsidR="001E726B">
              <w:rPr>
                <w:noProof/>
              </w:rPr>
              <w:fldChar w:fldCharType="separate"/>
            </w:r>
            <w:r w:rsidR="001E726B">
              <w:rPr>
                <w:noProof/>
              </w:rPr>
              <w:t>7</w:t>
            </w:r>
            <w:r w:rsidR="001E726B">
              <w:rPr>
                <w:noProof/>
              </w:rPr>
              <w:fldChar w:fldCharType="end"/>
            </w:r>
          </w:hyperlink>
        </w:p>
        <w:p w14:paraId="2C14E7C2" w14:textId="1EA0A2EB" w:rsidR="001E726B" w:rsidRDefault="00C85664">
          <w:pPr>
            <w:pStyle w:val="Sommario3"/>
            <w:rPr>
              <w:rFonts w:asciiTheme="minorHAnsi" w:eastAsiaTheme="minorEastAsia" w:hAnsiTheme="minorHAnsi" w:cstheme="minorBidi"/>
              <w:iCs w:val="0"/>
              <w:noProof/>
              <w:sz w:val="22"/>
              <w:szCs w:val="22"/>
              <w:lang w:eastAsia="it-IT"/>
            </w:rPr>
          </w:pPr>
          <w:hyperlink w:anchor="_Toc139549412" w:history="1">
            <w:r w:rsidR="001E726B" w:rsidRPr="00A44500">
              <w:rPr>
                <w:rStyle w:val="Collegamentoipertestuale"/>
                <w:rFonts w:ascii="Titillium" w:hAnsi="Titillium"/>
                <w:noProof/>
              </w:rPr>
              <w:t>1.3.</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IDENTIFICAZIONE</w:t>
            </w:r>
            <w:r w:rsidR="001E726B">
              <w:rPr>
                <w:noProof/>
              </w:rPr>
              <w:tab/>
            </w:r>
            <w:r w:rsidR="001E726B">
              <w:rPr>
                <w:noProof/>
              </w:rPr>
              <w:fldChar w:fldCharType="begin"/>
            </w:r>
            <w:r w:rsidR="001E726B">
              <w:rPr>
                <w:noProof/>
              </w:rPr>
              <w:instrText xml:space="preserve"> PAGEREF _Toc139549412 \h </w:instrText>
            </w:r>
            <w:r w:rsidR="001E726B">
              <w:rPr>
                <w:noProof/>
              </w:rPr>
            </w:r>
            <w:r w:rsidR="001E726B">
              <w:rPr>
                <w:noProof/>
              </w:rPr>
              <w:fldChar w:fldCharType="separate"/>
            </w:r>
            <w:r w:rsidR="001E726B">
              <w:rPr>
                <w:noProof/>
              </w:rPr>
              <w:t>8</w:t>
            </w:r>
            <w:r w:rsidR="001E726B">
              <w:rPr>
                <w:noProof/>
              </w:rPr>
              <w:fldChar w:fldCharType="end"/>
            </w:r>
          </w:hyperlink>
        </w:p>
        <w:p w14:paraId="390BB766" w14:textId="4E9293AB" w:rsidR="001E726B" w:rsidRDefault="00C85664">
          <w:pPr>
            <w:pStyle w:val="Sommario2"/>
            <w:rPr>
              <w:rFonts w:asciiTheme="minorHAnsi" w:eastAsiaTheme="minorEastAsia" w:hAnsiTheme="minorHAnsi" w:cstheme="minorBidi"/>
              <w:smallCaps w:val="0"/>
              <w:noProof/>
              <w:sz w:val="22"/>
              <w:szCs w:val="22"/>
              <w:lang w:eastAsia="it-IT"/>
            </w:rPr>
          </w:pPr>
          <w:hyperlink w:anchor="_Toc139549413" w:history="1">
            <w:r w:rsidR="001E726B" w:rsidRPr="00A44500">
              <w:rPr>
                <w:rStyle w:val="Collegamentoipertestuale"/>
                <w:rFonts w:ascii="Titillium" w:hAnsi="Titillium"/>
                <w:noProof/>
              </w:rPr>
              <w:t>2.</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DOCUMENTAZIONE DI GARA, CHIARIMENTI E COMUNICAZIONI</w:t>
            </w:r>
            <w:r w:rsidR="001E726B">
              <w:rPr>
                <w:noProof/>
              </w:rPr>
              <w:tab/>
            </w:r>
            <w:r w:rsidR="001E726B">
              <w:rPr>
                <w:noProof/>
              </w:rPr>
              <w:fldChar w:fldCharType="begin"/>
            </w:r>
            <w:r w:rsidR="001E726B">
              <w:rPr>
                <w:noProof/>
              </w:rPr>
              <w:instrText xml:space="preserve"> PAGEREF _Toc139549413 \h </w:instrText>
            </w:r>
            <w:r w:rsidR="001E726B">
              <w:rPr>
                <w:noProof/>
              </w:rPr>
            </w:r>
            <w:r w:rsidR="001E726B">
              <w:rPr>
                <w:noProof/>
              </w:rPr>
              <w:fldChar w:fldCharType="separate"/>
            </w:r>
            <w:r w:rsidR="001E726B">
              <w:rPr>
                <w:noProof/>
              </w:rPr>
              <w:t>8</w:t>
            </w:r>
            <w:r w:rsidR="001E726B">
              <w:rPr>
                <w:noProof/>
              </w:rPr>
              <w:fldChar w:fldCharType="end"/>
            </w:r>
          </w:hyperlink>
        </w:p>
        <w:p w14:paraId="11878732" w14:textId="640AC1E9" w:rsidR="001E726B" w:rsidRDefault="00C85664">
          <w:pPr>
            <w:pStyle w:val="Sommario3"/>
            <w:rPr>
              <w:rFonts w:asciiTheme="minorHAnsi" w:eastAsiaTheme="minorEastAsia" w:hAnsiTheme="minorHAnsi" w:cstheme="minorBidi"/>
              <w:iCs w:val="0"/>
              <w:noProof/>
              <w:sz w:val="22"/>
              <w:szCs w:val="22"/>
              <w:lang w:eastAsia="it-IT"/>
            </w:rPr>
          </w:pPr>
          <w:hyperlink w:anchor="_Toc139549414" w:history="1">
            <w:r w:rsidR="001E726B" w:rsidRPr="00A44500">
              <w:rPr>
                <w:rStyle w:val="Collegamentoipertestuale"/>
                <w:rFonts w:ascii="Titillium" w:hAnsi="Titillium"/>
                <w:noProof/>
              </w:rPr>
              <w:t>2.1.</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DOCUMENTI DI GARA</w:t>
            </w:r>
            <w:r w:rsidR="001E726B">
              <w:rPr>
                <w:noProof/>
              </w:rPr>
              <w:tab/>
            </w:r>
            <w:r w:rsidR="001E726B">
              <w:rPr>
                <w:noProof/>
              </w:rPr>
              <w:fldChar w:fldCharType="begin"/>
            </w:r>
            <w:r w:rsidR="001E726B">
              <w:rPr>
                <w:noProof/>
              </w:rPr>
              <w:instrText xml:space="preserve"> PAGEREF _Toc139549414 \h </w:instrText>
            </w:r>
            <w:r w:rsidR="001E726B">
              <w:rPr>
                <w:noProof/>
              </w:rPr>
            </w:r>
            <w:r w:rsidR="001E726B">
              <w:rPr>
                <w:noProof/>
              </w:rPr>
              <w:fldChar w:fldCharType="separate"/>
            </w:r>
            <w:r w:rsidR="001E726B">
              <w:rPr>
                <w:noProof/>
              </w:rPr>
              <w:t>8</w:t>
            </w:r>
            <w:r w:rsidR="001E726B">
              <w:rPr>
                <w:noProof/>
              </w:rPr>
              <w:fldChar w:fldCharType="end"/>
            </w:r>
          </w:hyperlink>
        </w:p>
        <w:p w14:paraId="175A330D" w14:textId="2AE4AB24" w:rsidR="001E726B" w:rsidRDefault="00C85664">
          <w:pPr>
            <w:pStyle w:val="Sommario3"/>
            <w:rPr>
              <w:rFonts w:asciiTheme="minorHAnsi" w:eastAsiaTheme="minorEastAsia" w:hAnsiTheme="minorHAnsi" w:cstheme="minorBidi"/>
              <w:iCs w:val="0"/>
              <w:noProof/>
              <w:sz w:val="22"/>
              <w:szCs w:val="22"/>
              <w:lang w:eastAsia="it-IT"/>
            </w:rPr>
          </w:pPr>
          <w:hyperlink w:anchor="_Toc139549415" w:history="1">
            <w:r w:rsidR="001E726B" w:rsidRPr="00A44500">
              <w:rPr>
                <w:rStyle w:val="Collegamentoipertestuale"/>
                <w:rFonts w:ascii="Titillium" w:hAnsi="Titillium"/>
                <w:noProof/>
              </w:rPr>
              <w:t>2.2.</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CHIARIMENTI</w:t>
            </w:r>
            <w:r w:rsidR="001E726B">
              <w:rPr>
                <w:noProof/>
              </w:rPr>
              <w:tab/>
            </w:r>
            <w:r w:rsidR="001E726B">
              <w:rPr>
                <w:noProof/>
              </w:rPr>
              <w:fldChar w:fldCharType="begin"/>
            </w:r>
            <w:r w:rsidR="001E726B">
              <w:rPr>
                <w:noProof/>
              </w:rPr>
              <w:instrText xml:space="preserve"> PAGEREF _Toc139549415 \h </w:instrText>
            </w:r>
            <w:r w:rsidR="001E726B">
              <w:rPr>
                <w:noProof/>
              </w:rPr>
            </w:r>
            <w:r w:rsidR="001E726B">
              <w:rPr>
                <w:noProof/>
              </w:rPr>
              <w:fldChar w:fldCharType="separate"/>
            </w:r>
            <w:r w:rsidR="001E726B">
              <w:rPr>
                <w:noProof/>
              </w:rPr>
              <w:t>9</w:t>
            </w:r>
            <w:r w:rsidR="001E726B">
              <w:rPr>
                <w:noProof/>
              </w:rPr>
              <w:fldChar w:fldCharType="end"/>
            </w:r>
          </w:hyperlink>
        </w:p>
        <w:p w14:paraId="7A6541CD" w14:textId="707008F1" w:rsidR="001E726B" w:rsidRDefault="00C85664">
          <w:pPr>
            <w:pStyle w:val="Sommario3"/>
            <w:rPr>
              <w:rFonts w:asciiTheme="minorHAnsi" w:eastAsiaTheme="minorEastAsia" w:hAnsiTheme="minorHAnsi" w:cstheme="minorBidi"/>
              <w:iCs w:val="0"/>
              <w:noProof/>
              <w:sz w:val="22"/>
              <w:szCs w:val="22"/>
              <w:lang w:eastAsia="it-IT"/>
            </w:rPr>
          </w:pPr>
          <w:hyperlink w:anchor="_Toc139549416" w:history="1">
            <w:r w:rsidR="001E726B" w:rsidRPr="00A44500">
              <w:rPr>
                <w:rStyle w:val="Collegamentoipertestuale"/>
                <w:rFonts w:ascii="Titillium" w:hAnsi="Titillium"/>
                <w:noProof/>
              </w:rPr>
              <w:t>2.3.</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COMUNICAZIONI</w:t>
            </w:r>
            <w:r w:rsidR="001E726B">
              <w:rPr>
                <w:noProof/>
              </w:rPr>
              <w:tab/>
            </w:r>
            <w:r w:rsidR="001E726B">
              <w:rPr>
                <w:noProof/>
              </w:rPr>
              <w:fldChar w:fldCharType="begin"/>
            </w:r>
            <w:r w:rsidR="001E726B">
              <w:rPr>
                <w:noProof/>
              </w:rPr>
              <w:instrText xml:space="preserve"> PAGEREF _Toc139549416 \h </w:instrText>
            </w:r>
            <w:r w:rsidR="001E726B">
              <w:rPr>
                <w:noProof/>
              </w:rPr>
            </w:r>
            <w:r w:rsidR="001E726B">
              <w:rPr>
                <w:noProof/>
              </w:rPr>
              <w:fldChar w:fldCharType="separate"/>
            </w:r>
            <w:r w:rsidR="001E726B">
              <w:rPr>
                <w:noProof/>
              </w:rPr>
              <w:t>9</w:t>
            </w:r>
            <w:r w:rsidR="001E726B">
              <w:rPr>
                <w:noProof/>
              </w:rPr>
              <w:fldChar w:fldCharType="end"/>
            </w:r>
          </w:hyperlink>
        </w:p>
        <w:p w14:paraId="199A4BA3" w14:textId="73635D6D" w:rsidR="001E726B" w:rsidRDefault="00C85664">
          <w:pPr>
            <w:pStyle w:val="Sommario2"/>
            <w:rPr>
              <w:rFonts w:asciiTheme="minorHAnsi" w:eastAsiaTheme="minorEastAsia" w:hAnsiTheme="minorHAnsi" w:cstheme="minorBidi"/>
              <w:smallCaps w:val="0"/>
              <w:noProof/>
              <w:sz w:val="22"/>
              <w:szCs w:val="22"/>
              <w:lang w:eastAsia="it-IT"/>
            </w:rPr>
          </w:pPr>
          <w:hyperlink w:anchor="_Toc139549417" w:history="1">
            <w:r w:rsidR="001E726B" w:rsidRPr="00A44500">
              <w:rPr>
                <w:rStyle w:val="Collegamentoipertestuale"/>
                <w:rFonts w:ascii="Titillium" w:hAnsi="Titillium"/>
                <w:noProof/>
              </w:rPr>
              <w:t>3.</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OGGETTO DELL’APPALTO, IMPORTO E SUDDIVISIONE IN LOTTI</w:t>
            </w:r>
            <w:r w:rsidR="001E726B">
              <w:rPr>
                <w:noProof/>
              </w:rPr>
              <w:tab/>
            </w:r>
            <w:r w:rsidR="001E726B">
              <w:rPr>
                <w:noProof/>
              </w:rPr>
              <w:fldChar w:fldCharType="begin"/>
            </w:r>
            <w:r w:rsidR="001E726B">
              <w:rPr>
                <w:noProof/>
              </w:rPr>
              <w:instrText xml:space="preserve"> PAGEREF _Toc139549417 \h </w:instrText>
            </w:r>
            <w:r w:rsidR="001E726B">
              <w:rPr>
                <w:noProof/>
              </w:rPr>
            </w:r>
            <w:r w:rsidR="001E726B">
              <w:rPr>
                <w:noProof/>
              </w:rPr>
              <w:fldChar w:fldCharType="separate"/>
            </w:r>
            <w:r w:rsidR="001E726B">
              <w:rPr>
                <w:noProof/>
              </w:rPr>
              <w:t>10</w:t>
            </w:r>
            <w:r w:rsidR="001E726B">
              <w:rPr>
                <w:noProof/>
              </w:rPr>
              <w:fldChar w:fldCharType="end"/>
            </w:r>
          </w:hyperlink>
        </w:p>
        <w:p w14:paraId="4F5470EC" w14:textId="17A425DA" w:rsidR="001E726B" w:rsidRDefault="00C85664">
          <w:pPr>
            <w:pStyle w:val="Sommario3"/>
            <w:rPr>
              <w:rFonts w:asciiTheme="minorHAnsi" w:eastAsiaTheme="minorEastAsia" w:hAnsiTheme="minorHAnsi" w:cstheme="minorBidi"/>
              <w:iCs w:val="0"/>
              <w:noProof/>
              <w:sz w:val="22"/>
              <w:szCs w:val="22"/>
              <w:lang w:eastAsia="it-IT"/>
            </w:rPr>
          </w:pPr>
          <w:hyperlink w:anchor="_Toc139549418" w:history="1">
            <w:r w:rsidR="001E726B" w:rsidRPr="00A44500">
              <w:rPr>
                <w:rStyle w:val="Collegamentoipertestuale"/>
                <w:rFonts w:ascii="Titillium" w:hAnsi="Titillium"/>
                <w:noProof/>
              </w:rPr>
              <w:t>3.1.</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DURATA</w:t>
            </w:r>
            <w:r w:rsidR="001E726B">
              <w:rPr>
                <w:noProof/>
              </w:rPr>
              <w:tab/>
            </w:r>
            <w:r w:rsidR="001E726B">
              <w:rPr>
                <w:noProof/>
              </w:rPr>
              <w:fldChar w:fldCharType="begin"/>
            </w:r>
            <w:r w:rsidR="001E726B">
              <w:rPr>
                <w:noProof/>
              </w:rPr>
              <w:instrText xml:space="preserve"> PAGEREF _Toc139549418 \h </w:instrText>
            </w:r>
            <w:r w:rsidR="001E726B">
              <w:rPr>
                <w:noProof/>
              </w:rPr>
            </w:r>
            <w:r w:rsidR="001E726B">
              <w:rPr>
                <w:noProof/>
              </w:rPr>
              <w:fldChar w:fldCharType="separate"/>
            </w:r>
            <w:r w:rsidR="001E726B">
              <w:rPr>
                <w:noProof/>
              </w:rPr>
              <w:t>12</w:t>
            </w:r>
            <w:r w:rsidR="001E726B">
              <w:rPr>
                <w:noProof/>
              </w:rPr>
              <w:fldChar w:fldCharType="end"/>
            </w:r>
          </w:hyperlink>
        </w:p>
        <w:p w14:paraId="757CFD3A" w14:textId="7FAC1F0F" w:rsidR="001E726B" w:rsidRDefault="00C85664">
          <w:pPr>
            <w:pStyle w:val="Sommario3"/>
            <w:rPr>
              <w:rFonts w:asciiTheme="minorHAnsi" w:eastAsiaTheme="minorEastAsia" w:hAnsiTheme="minorHAnsi" w:cstheme="minorBidi"/>
              <w:iCs w:val="0"/>
              <w:noProof/>
              <w:sz w:val="22"/>
              <w:szCs w:val="22"/>
              <w:lang w:eastAsia="it-IT"/>
            </w:rPr>
          </w:pPr>
          <w:hyperlink w:anchor="_Toc139549419" w:history="1">
            <w:r w:rsidR="001E726B" w:rsidRPr="00A44500">
              <w:rPr>
                <w:rStyle w:val="Collegamentoipertestuale"/>
                <w:rFonts w:ascii="Titillium" w:hAnsi="Titillium"/>
                <w:noProof/>
              </w:rPr>
              <w:t>3.2.</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REVISIONE PREZZI</w:t>
            </w:r>
            <w:r w:rsidR="001E726B">
              <w:rPr>
                <w:noProof/>
              </w:rPr>
              <w:tab/>
            </w:r>
            <w:r w:rsidR="001E726B">
              <w:rPr>
                <w:noProof/>
              </w:rPr>
              <w:fldChar w:fldCharType="begin"/>
            </w:r>
            <w:r w:rsidR="001E726B">
              <w:rPr>
                <w:noProof/>
              </w:rPr>
              <w:instrText xml:space="preserve"> PAGEREF _Toc139549419 \h </w:instrText>
            </w:r>
            <w:r w:rsidR="001E726B">
              <w:rPr>
                <w:noProof/>
              </w:rPr>
            </w:r>
            <w:r w:rsidR="001E726B">
              <w:rPr>
                <w:noProof/>
              </w:rPr>
              <w:fldChar w:fldCharType="separate"/>
            </w:r>
            <w:r w:rsidR="001E726B">
              <w:rPr>
                <w:noProof/>
              </w:rPr>
              <w:t>12</w:t>
            </w:r>
            <w:r w:rsidR="001E726B">
              <w:rPr>
                <w:noProof/>
              </w:rPr>
              <w:fldChar w:fldCharType="end"/>
            </w:r>
          </w:hyperlink>
        </w:p>
        <w:p w14:paraId="570B7EB3" w14:textId="69070FBC" w:rsidR="001E726B" w:rsidRDefault="00C85664">
          <w:pPr>
            <w:pStyle w:val="Sommario3"/>
            <w:rPr>
              <w:rFonts w:asciiTheme="minorHAnsi" w:eastAsiaTheme="minorEastAsia" w:hAnsiTheme="minorHAnsi" w:cstheme="minorBidi"/>
              <w:iCs w:val="0"/>
              <w:noProof/>
              <w:sz w:val="22"/>
              <w:szCs w:val="22"/>
              <w:lang w:eastAsia="it-IT"/>
            </w:rPr>
          </w:pPr>
          <w:hyperlink w:anchor="_Toc139549420" w:history="1">
            <w:r w:rsidR="001E726B" w:rsidRPr="00A44500">
              <w:rPr>
                <w:rStyle w:val="Collegamentoipertestuale"/>
                <w:rFonts w:ascii="Titillium" w:hAnsi="Titillium"/>
                <w:noProof/>
              </w:rPr>
              <w:t>3.3.</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MODIFICA DEL CONTRATTO IN FASE DI ESECUZIONE</w:t>
            </w:r>
            <w:r w:rsidR="001E726B">
              <w:rPr>
                <w:noProof/>
              </w:rPr>
              <w:tab/>
            </w:r>
            <w:r w:rsidR="001E726B">
              <w:rPr>
                <w:noProof/>
              </w:rPr>
              <w:fldChar w:fldCharType="begin"/>
            </w:r>
            <w:r w:rsidR="001E726B">
              <w:rPr>
                <w:noProof/>
              </w:rPr>
              <w:instrText xml:space="preserve"> PAGEREF _Toc139549420 \h </w:instrText>
            </w:r>
            <w:r w:rsidR="001E726B">
              <w:rPr>
                <w:noProof/>
              </w:rPr>
            </w:r>
            <w:r w:rsidR="001E726B">
              <w:rPr>
                <w:noProof/>
              </w:rPr>
              <w:fldChar w:fldCharType="separate"/>
            </w:r>
            <w:r w:rsidR="001E726B">
              <w:rPr>
                <w:noProof/>
              </w:rPr>
              <w:t>12</w:t>
            </w:r>
            <w:r w:rsidR="001E726B">
              <w:rPr>
                <w:noProof/>
              </w:rPr>
              <w:fldChar w:fldCharType="end"/>
            </w:r>
          </w:hyperlink>
        </w:p>
        <w:p w14:paraId="6F0870C4" w14:textId="26C3E1D6" w:rsidR="001E726B" w:rsidRDefault="00C85664">
          <w:pPr>
            <w:pStyle w:val="Sommario2"/>
            <w:rPr>
              <w:rFonts w:asciiTheme="minorHAnsi" w:eastAsiaTheme="minorEastAsia" w:hAnsiTheme="minorHAnsi" w:cstheme="minorBidi"/>
              <w:smallCaps w:val="0"/>
              <w:noProof/>
              <w:sz w:val="22"/>
              <w:szCs w:val="22"/>
              <w:lang w:eastAsia="it-IT"/>
            </w:rPr>
          </w:pPr>
          <w:hyperlink w:anchor="_Toc139549421" w:history="1">
            <w:r w:rsidR="001E726B" w:rsidRPr="00A44500">
              <w:rPr>
                <w:rStyle w:val="Collegamentoipertestuale"/>
                <w:rFonts w:ascii="Titillium" w:hAnsi="Titillium"/>
                <w:noProof/>
              </w:rPr>
              <w:t>4.</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SOGGETTI AMMESSI IN FORMA SINGOLA E ASSOCIATA E CONDIZIONI DI PARTECIPAZIONE</w:t>
            </w:r>
            <w:r w:rsidR="001E726B">
              <w:rPr>
                <w:noProof/>
              </w:rPr>
              <w:tab/>
            </w:r>
            <w:r w:rsidR="001E726B">
              <w:rPr>
                <w:noProof/>
              </w:rPr>
              <w:fldChar w:fldCharType="begin"/>
            </w:r>
            <w:r w:rsidR="001E726B">
              <w:rPr>
                <w:noProof/>
              </w:rPr>
              <w:instrText xml:space="preserve"> PAGEREF _Toc139549421 \h </w:instrText>
            </w:r>
            <w:r w:rsidR="001E726B">
              <w:rPr>
                <w:noProof/>
              </w:rPr>
            </w:r>
            <w:r w:rsidR="001E726B">
              <w:rPr>
                <w:noProof/>
              </w:rPr>
              <w:fldChar w:fldCharType="separate"/>
            </w:r>
            <w:r w:rsidR="001E726B">
              <w:rPr>
                <w:noProof/>
              </w:rPr>
              <w:t>13</w:t>
            </w:r>
            <w:r w:rsidR="001E726B">
              <w:rPr>
                <w:noProof/>
              </w:rPr>
              <w:fldChar w:fldCharType="end"/>
            </w:r>
          </w:hyperlink>
        </w:p>
        <w:p w14:paraId="31DB03F1" w14:textId="2D94D16A" w:rsidR="001E726B" w:rsidRDefault="00C85664">
          <w:pPr>
            <w:pStyle w:val="Sommario2"/>
            <w:rPr>
              <w:rFonts w:asciiTheme="minorHAnsi" w:eastAsiaTheme="minorEastAsia" w:hAnsiTheme="minorHAnsi" w:cstheme="minorBidi"/>
              <w:smallCaps w:val="0"/>
              <w:noProof/>
              <w:sz w:val="22"/>
              <w:szCs w:val="22"/>
              <w:lang w:eastAsia="it-IT"/>
            </w:rPr>
          </w:pPr>
          <w:hyperlink w:anchor="_Toc139549422" w:history="1">
            <w:r w:rsidR="001E726B" w:rsidRPr="00A44500">
              <w:rPr>
                <w:rStyle w:val="Collegamentoipertestuale"/>
                <w:rFonts w:ascii="Titillium" w:hAnsi="Titillium"/>
                <w:noProof/>
              </w:rPr>
              <w:t>5.</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REQUISITI DI ORDINE GENERALE E ALTRE CAUSE DI ESCLUSIONE</w:t>
            </w:r>
            <w:r w:rsidR="001E726B">
              <w:rPr>
                <w:noProof/>
              </w:rPr>
              <w:tab/>
            </w:r>
            <w:r w:rsidR="001E726B">
              <w:rPr>
                <w:noProof/>
              </w:rPr>
              <w:fldChar w:fldCharType="begin"/>
            </w:r>
            <w:r w:rsidR="001E726B">
              <w:rPr>
                <w:noProof/>
              </w:rPr>
              <w:instrText xml:space="preserve"> PAGEREF _Toc139549422 \h </w:instrText>
            </w:r>
            <w:r w:rsidR="001E726B">
              <w:rPr>
                <w:noProof/>
              </w:rPr>
            </w:r>
            <w:r w:rsidR="001E726B">
              <w:rPr>
                <w:noProof/>
              </w:rPr>
              <w:fldChar w:fldCharType="separate"/>
            </w:r>
            <w:r w:rsidR="001E726B">
              <w:rPr>
                <w:noProof/>
              </w:rPr>
              <w:t>15</w:t>
            </w:r>
            <w:r w:rsidR="001E726B">
              <w:rPr>
                <w:noProof/>
              </w:rPr>
              <w:fldChar w:fldCharType="end"/>
            </w:r>
          </w:hyperlink>
        </w:p>
        <w:p w14:paraId="3A330E64" w14:textId="14854208" w:rsidR="001E726B" w:rsidRDefault="00C85664">
          <w:pPr>
            <w:pStyle w:val="Sommario2"/>
            <w:rPr>
              <w:rFonts w:asciiTheme="minorHAnsi" w:eastAsiaTheme="minorEastAsia" w:hAnsiTheme="minorHAnsi" w:cstheme="minorBidi"/>
              <w:smallCaps w:val="0"/>
              <w:noProof/>
              <w:sz w:val="22"/>
              <w:szCs w:val="22"/>
              <w:lang w:eastAsia="it-IT"/>
            </w:rPr>
          </w:pPr>
          <w:hyperlink w:anchor="_Toc139549423" w:history="1">
            <w:r w:rsidR="001E726B" w:rsidRPr="00A44500">
              <w:rPr>
                <w:rStyle w:val="Collegamentoipertestuale"/>
                <w:rFonts w:ascii="Titillium" w:hAnsi="Titillium"/>
                <w:noProof/>
              </w:rPr>
              <w:t>6.</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REQUISITI DI ORDINE SPECIALE E MEZZI DI PROVA</w:t>
            </w:r>
            <w:r w:rsidR="001E726B">
              <w:rPr>
                <w:noProof/>
              </w:rPr>
              <w:tab/>
            </w:r>
            <w:r w:rsidR="001E726B">
              <w:rPr>
                <w:noProof/>
              </w:rPr>
              <w:fldChar w:fldCharType="begin"/>
            </w:r>
            <w:r w:rsidR="001E726B">
              <w:rPr>
                <w:noProof/>
              </w:rPr>
              <w:instrText xml:space="preserve"> PAGEREF _Toc139549423 \h </w:instrText>
            </w:r>
            <w:r w:rsidR="001E726B">
              <w:rPr>
                <w:noProof/>
              </w:rPr>
            </w:r>
            <w:r w:rsidR="001E726B">
              <w:rPr>
                <w:noProof/>
              </w:rPr>
              <w:fldChar w:fldCharType="separate"/>
            </w:r>
            <w:r w:rsidR="001E726B">
              <w:rPr>
                <w:noProof/>
              </w:rPr>
              <w:t>17</w:t>
            </w:r>
            <w:r w:rsidR="001E726B">
              <w:rPr>
                <w:noProof/>
              </w:rPr>
              <w:fldChar w:fldCharType="end"/>
            </w:r>
          </w:hyperlink>
        </w:p>
        <w:p w14:paraId="53BBE400" w14:textId="2A066FA4" w:rsidR="001E726B" w:rsidRDefault="00C85664">
          <w:pPr>
            <w:pStyle w:val="Sommario3"/>
            <w:rPr>
              <w:rFonts w:asciiTheme="minorHAnsi" w:eastAsiaTheme="minorEastAsia" w:hAnsiTheme="minorHAnsi" w:cstheme="minorBidi"/>
              <w:iCs w:val="0"/>
              <w:noProof/>
              <w:sz w:val="22"/>
              <w:szCs w:val="22"/>
              <w:lang w:eastAsia="it-IT"/>
            </w:rPr>
          </w:pPr>
          <w:hyperlink w:anchor="_Toc139549424" w:history="1">
            <w:r w:rsidR="001E726B" w:rsidRPr="00A44500">
              <w:rPr>
                <w:rStyle w:val="Collegamentoipertestuale"/>
                <w:rFonts w:ascii="Titillium" w:hAnsi="Titillium"/>
                <w:noProof/>
              </w:rPr>
              <w:t>6.1.</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REQUISITI DI IDONEITÀ PROFESSIONALE</w:t>
            </w:r>
            <w:r w:rsidR="001E726B">
              <w:rPr>
                <w:noProof/>
              </w:rPr>
              <w:tab/>
            </w:r>
            <w:r w:rsidR="001E726B">
              <w:rPr>
                <w:noProof/>
              </w:rPr>
              <w:fldChar w:fldCharType="begin"/>
            </w:r>
            <w:r w:rsidR="001E726B">
              <w:rPr>
                <w:noProof/>
              </w:rPr>
              <w:instrText xml:space="preserve"> PAGEREF _Toc139549424 \h </w:instrText>
            </w:r>
            <w:r w:rsidR="001E726B">
              <w:rPr>
                <w:noProof/>
              </w:rPr>
            </w:r>
            <w:r w:rsidR="001E726B">
              <w:rPr>
                <w:noProof/>
              </w:rPr>
              <w:fldChar w:fldCharType="separate"/>
            </w:r>
            <w:r w:rsidR="001E726B">
              <w:rPr>
                <w:noProof/>
              </w:rPr>
              <w:t>17</w:t>
            </w:r>
            <w:r w:rsidR="001E726B">
              <w:rPr>
                <w:noProof/>
              </w:rPr>
              <w:fldChar w:fldCharType="end"/>
            </w:r>
          </w:hyperlink>
        </w:p>
        <w:p w14:paraId="6A26AD63" w14:textId="1545DFC0" w:rsidR="001E726B" w:rsidRDefault="00C85664">
          <w:pPr>
            <w:pStyle w:val="Sommario3"/>
            <w:rPr>
              <w:rFonts w:asciiTheme="minorHAnsi" w:eastAsiaTheme="minorEastAsia" w:hAnsiTheme="minorHAnsi" w:cstheme="minorBidi"/>
              <w:iCs w:val="0"/>
              <w:noProof/>
              <w:sz w:val="22"/>
              <w:szCs w:val="22"/>
              <w:lang w:eastAsia="it-IT"/>
            </w:rPr>
          </w:pPr>
          <w:hyperlink w:anchor="_Toc139549425" w:history="1">
            <w:r w:rsidR="001E726B" w:rsidRPr="00A44500">
              <w:rPr>
                <w:rStyle w:val="Collegamentoipertestuale"/>
                <w:rFonts w:ascii="Titillium" w:hAnsi="Titillium"/>
                <w:noProof/>
              </w:rPr>
              <w:t>6.2.</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REQUISITI DI CAPACITÀ ECONOMICA E FINANZIARIA</w:t>
            </w:r>
            <w:r w:rsidR="001E726B">
              <w:rPr>
                <w:noProof/>
              </w:rPr>
              <w:tab/>
            </w:r>
            <w:r w:rsidR="001E726B">
              <w:rPr>
                <w:noProof/>
              </w:rPr>
              <w:fldChar w:fldCharType="begin"/>
            </w:r>
            <w:r w:rsidR="001E726B">
              <w:rPr>
                <w:noProof/>
              </w:rPr>
              <w:instrText xml:space="preserve"> PAGEREF _Toc139549425 \h </w:instrText>
            </w:r>
            <w:r w:rsidR="001E726B">
              <w:rPr>
                <w:noProof/>
              </w:rPr>
            </w:r>
            <w:r w:rsidR="001E726B">
              <w:rPr>
                <w:noProof/>
              </w:rPr>
              <w:fldChar w:fldCharType="separate"/>
            </w:r>
            <w:r w:rsidR="001E726B">
              <w:rPr>
                <w:noProof/>
              </w:rPr>
              <w:t>17</w:t>
            </w:r>
            <w:r w:rsidR="001E726B">
              <w:rPr>
                <w:noProof/>
              </w:rPr>
              <w:fldChar w:fldCharType="end"/>
            </w:r>
          </w:hyperlink>
        </w:p>
        <w:p w14:paraId="68D6A38D" w14:textId="701E58D6" w:rsidR="001E726B" w:rsidRDefault="00C85664">
          <w:pPr>
            <w:pStyle w:val="Sommario3"/>
            <w:rPr>
              <w:rFonts w:asciiTheme="minorHAnsi" w:eastAsiaTheme="minorEastAsia" w:hAnsiTheme="minorHAnsi" w:cstheme="minorBidi"/>
              <w:iCs w:val="0"/>
              <w:noProof/>
              <w:sz w:val="22"/>
              <w:szCs w:val="22"/>
              <w:lang w:eastAsia="it-IT"/>
            </w:rPr>
          </w:pPr>
          <w:hyperlink w:anchor="_Toc139549426" w:history="1">
            <w:r w:rsidR="001E726B" w:rsidRPr="00A44500">
              <w:rPr>
                <w:rStyle w:val="Collegamentoipertestuale"/>
                <w:rFonts w:ascii="Titillium" w:hAnsi="Titillium"/>
                <w:noProof/>
              </w:rPr>
              <w:t>6.3.</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REQUISITI DI CAPACITÀ TECNICA E PROFESSIONALE</w:t>
            </w:r>
            <w:r w:rsidR="001E726B">
              <w:rPr>
                <w:noProof/>
              </w:rPr>
              <w:tab/>
            </w:r>
            <w:r w:rsidR="001E726B">
              <w:rPr>
                <w:noProof/>
              </w:rPr>
              <w:fldChar w:fldCharType="begin"/>
            </w:r>
            <w:r w:rsidR="001E726B">
              <w:rPr>
                <w:noProof/>
              </w:rPr>
              <w:instrText xml:space="preserve"> PAGEREF _Toc139549426 \h </w:instrText>
            </w:r>
            <w:r w:rsidR="001E726B">
              <w:rPr>
                <w:noProof/>
              </w:rPr>
            </w:r>
            <w:r w:rsidR="001E726B">
              <w:rPr>
                <w:noProof/>
              </w:rPr>
              <w:fldChar w:fldCharType="separate"/>
            </w:r>
            <w:r w:rsidR="001E726B">
              <w:rPr>
                <w:noProof/>
              </w:rPr>
              <w:t>18</w:t>
            </w:r>
            <w:r w:rsidR="001E726B">
              <w:rPr>
                <w:noProof/>
              </w:rPr>
              <w:fldChar w:fldCharType="end"/>
            </w:r>
          </w:hyperlink>
        </w:p>
        <w:p w14:paraId="0D4D4A58" w14:textId="75668A35" w:rsidR="001E726B" w:rsidRDefault="00C85664">
          <w:pPr>
            <w:pStyle w:val="Sommario3"/>
            <w:rPr>
              <w:rFonts w:asciiTheme="minorHAnsi" w:eastAsiaTheme="minorEastAsia" w:hAnsiTheme="minorHAnsi" w:cstheme="minorBidi"/>
              <w:iCs w:val="0"/>
              <w:noProof/>
              <w:sz w:val="22"/>
              <w:szCs w:val="22"/>
              <w:lang w:eastAsia="it-IT"/>
            </w:rPr>
          </w:pPr>
          <w:hyperlink w:anchor="_Toc139549427" w:history="1">
            <w:r w:rsidR="001E726B" w:rsidRPr="00A44500">
              <w:rPr>
                <w:rStyle w:val="Collegamentoipertestuale"/>
                <w:rFonts w:ascii="Titillium" w:hAnsi="Titillium"/>
                <w:noProof/>
              </w:rPr>
              <w:t>6.4.</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INDICAZIONI SUI REQUISITI SPECIALI NEI RAGGRUPPAMENTI TEMPORANEI, CONSORZI ORDINARI, AGGREGAZIONI DI IMPRESE DI RETE, GEIE</w:t>
            </w:r>
            <w:r w:rsidR="001E726B">
              <w:rPr>
                <w:noProof/>
              </w:rPr>
              <w:tab/>
            </w:r>
            <w:r w:rsidR="001E726B">
              <w:rPr>
                <w:noProof/>
              </w:rPr>
              <w:fldChar w:fldCharType="begin"/>
            </w:r>
            <w:r w:rsidR="001E726B">
              <w:rPr>
                <w:noProof/>
              </w:rPr>
              <w:instrText xml:space="preserve"> PAGEREF _Toc139549427 \h </w:instrText>
            </w:r>
            <w:r w:rsidR="001E726B">
              <w:rPr>
                <w:noProof/>
              </w:rPr>
            </w:r>
            <w:r w:rsidR="001E726B">
              <w:rPr>
                <w:noProof/>
              </w:rPr>
              <w:fldChar w:fldCharType="separate"/>
            </w:r>
            <w:r w:rsidR="001E726B">
              <w:rPr>
                <w:noProof/>
              </w:rPr>
              <w:t>18</w:t>
            </w:r>
            <w:r w:rsidR="001E726B">
              <w:rPr>
                <w:noProof/>
              </w:rPr>
              <w:fldChar w:fldCharType="end"/>
            </w:r>
          </w:hyperlink>
        </w:p>
        <w:p w14:paraId="6929B795" w14:textId="43C8D0B4" w:rsidR="001E726B" w:rsidRDefault="00C85664">
          <w:pPr>
            <w:pStyle w:val="Sommario3"/>
            <w:rPr>
              <w:rFonts w:asciiTheme="minorHAnsi" w:eastAsiaTheme="minorEastAsia" w:hAnsiTheme="minorHAnsi" w:cstheme="minorBidi"/>
              <w:iCs w:val="0"/>
              <w:noProof/>
              <w:sz w:val="22"/>
              <w:szCs w:val="22"/>
              <w:lang w:eastAsia="it-IT"/>
            </w:rPr>
          </w:pPr>
          <w:hyperlink w:anchor="_Toc139549428" w:history="1">
            <w:r w:rsidR="001E726B" w:rsidRPr="00A44500">
              <w:rPr>
                <w:rStyle w:val="Collegamentoipertestuale"/>
                <w:rFonts w:ascii="Titillium" w:hAnsi="Titillium"/>
                <w:noProof/>
              </w:rPr>
              <w:t>6.5.</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INDICAZIONI SUI REQUISITI SPECIALI NEI CONSORZI DI COOPERATIVE, CONSORZI DI IMPRESE ARTIGIANE, CONSORZI STABILI</w:t>
            </w:r>
            <w:r w:rsidR="001E726B">
              <w:rPr>
                <w:noProof/>
              </w:rPr>
              <w:tab/>
            </w:r>
            <w:r w:rsidR="001E726B">
              <w:rPr>
                <w:noProof/>
              </w:rPr>
              <w:fldChar w:fldCharType="begin"/>
            </w:r>
            <w:r w:rsidR="001E726B">
              <w:rPr>
                <w:noProof/>
              </w:rPr>
              <w:instrText xml:space="preserve"> PAGEREF _Toc139549428 \h </w:instrText>
            </w:r>
            <w:r w:rsidR="001E726B">
              <w:rPr>
                <w:noProof/>
              </w:rPr>
            </w:r>
            <w:r w:rsidR="001E726B">
              <w:rPr>
                <w:noProof/>
              </w:rPr>
              <w:fldChar w:fldCharType="separate"/>
            </w:r>
            <w:r w:rsidR="001E726B">
              <w:rPr>
                <w:noProof/>
              </w:rPr>
              <w:t>19</w:t>
            </w:r>
            <w:r w:rsidR="001E726B">
              <w:rPr>
                <w:noProof/>
              </w:rPr>
              <w:fldChar w:fldCharType="end"/>
            </w:r>
          </w:hyperlink>
        </w:p>
        <w:p w14:paraId="0074B004" w14:textId="2BC4913B" w:rsidR="001E726B" w:rsidRDefault="00C85664">
          <w:pPr>
            <w:pStyle w:val="Sommario2"/>
            <w:rPr>
              <w:rFonts w:asciiTheme="minorHAnsi" w:eastAsiaTheme="minorEastAsia" w:hAnsiTheme="minorHAnsi" w:cstheme="minorBidi"/>
              <w:smallCaps w:val="0"/>
              <w:noProof/>
              <w:sz w:val="22"/>
              <w:szCs w:val="22"/>
              <w:lang w:eastAsia="it-IT"/>
            </w:rPr>
          </w:pPr>
          <w:hyperlink w:anchor="_Toc139549429" w:history="1">
            <w:r w:rsidR="001E726B" w:rsidRPr="00A44500">
              <w:rPr>
                <w:rStyle w:val="Collegamentoipertestuale"/>
                <w:rFonts w:ascii="Titillium" w:hAnsi="Titillium"/>
                <w:noProof/>
              </w:rPr>
              <w:t>7.</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AVVALIMENTO</w:t>
            </w:r>
            <w:r w:rsidR="001E726B">
              <w:rPr>
                <w:noProof/>
              </w:rPr>
              <w:tab/>
            </w:r>
            <w:r w:rsidR="001E726B">
              <w:rPr>
                <w:noProof/>
              </w:rPr>
              <w:fldChar w:fldCharType="begin"/>
            </w:r>
            <w:r w:rsidR="001E726B">
              <w:rPr>
                <w:noProof/>
              </w:rPr>
              <w:instrText xml:space="preserve"> PAGEREF _Toc139549429 \h </w:instrText>
            </w:r>
            <w:r w:rsidR="001E726B">
              <w:rPr>
                <w:noProof/>
              </w:rPr>
            </w:r>
            <w:r w:rsidR="001E726B">
              <w:rPr>
                <w:noProof/>
              </w:rPr>
              <w:fldChar w:fldCharType="separate"/>
            </w:r>
            <w:r w:rsidR="001E726B">
              <w:rPr>
                <w:noProof/>
              </w:rPr>
              <w:t>20</w:t>
            </w:r>
            <w:r w:rsidR="001E726B">
              <w:rPr>
                <w:noProof/>
              </w:rPr>
              <w:fldChar w:fldCharType="end"/>
            </w:r>
          </w:hyperlink>
        </w:p>
        <w:p w14:paraId="1791379D" w14:textId="0B8CB4E6" w:rsidR="001E726B" w:rsidRDefault="00C85664">
          <w:pPr>
            <w:pStyle w:val="Sommario2"/>
            <w:rPr>
              <w:rFonts w:asciiTheme="minorHAnsi" w:eastAsiaTheme="minorEastAsia" w:hAnsiTheme="minorHAnsi" w:cstheme="minorBidi"/>
              <w:smallCaps w:val="0"/>
              <w:noProof/>
              <w:sz w:val="22"/>
              <w:szCs w:val="22"/>
              <w:lang w:eastAsia="it-IT"/>
            </w:rPr>
          </w:pPr>
          <w:hyperlink w:anchor="_Toc139549430" w:history="1">
            <w:r w:rsidR="001E726B" w:rsidRPr="00A44500">
              <w:rPr>
                <w:rStyle w:val="Collegamentoipertestuale"/>
                <w:rFonts w:ascii="Titillium" w:hAnsi="Titillium"/>
                <w:noProof/>
              </w:rPr>
              <w:t>8.</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SUBAPPALTO</w:t>
            </w:r>
            <w:r w:rsidR="001E726B">
              <w:rPr>
                <w:noProof/>
              </w:rPr>
              <w:tab/>
            </w:r>
            <w:r w:rsidR="001E726B">
              <w:rPr>
                <w:noProof/>
              </w:rPr>
              <w:fldChar w:fldCharType="begin"/>
            </w:r>
            <w:r w:rsidR="001E726B">
              <w:rPr>
                <w:noProof/>
              </w:rPr>
              <w:instrText xml:space="preserve"> PAGEREF _Toc139549430 \h </w:instrText>
            </w:r>
            <w:r w:rsidR="001E726B">
              <w:rPr>
                <w:noProof/>
              </w:rPr>
            </w:r>
            <w:r w:rsidR="001E726B">
              <w:rPr>
                <w:noProof/>
              </w:rPr>
              <w:fldChar w:fldCharType="separate"/>
            </w:r>
            <w:r w:rsidR="001E726B">
              <w:rPr>
                <w:noProof/>
              </w:rPr>
              <w:t>21</w:t>
            </w:r>
            <w:r w:rsidR="001E726B">
              <w:rPr>
                <w:noProof/>
              </w:rPr>
              <w:fldChar w:fldCharType="end"/>
            </w:r>
          </w:hyperlink>
        </w:p>
        <w:p w14:paraId="390F3151" w14:textId="73DD890D" w:rsidR="001E726B" w:rsidRDefault="00C85664">
          <w:pPr>
            <w:pStyle w:val="Sommario2"/>
            <w:rPr>
              <w:rFonts w:asciiTheme="minorHAnsi" w:eastAsiaTheme="minorEastAsia" w:hAnsiTheme="minorHAnsi" w:cstheme="minorBidi"/>
              <w:smallCaps w:val="0"/>
              <w:noProof/>
              <w:sz w:val="22"/>
              <w:szCs w:val="22"/>
              <w:lang w:eastAsia="it-IT"/>
            </w:rPr>
          </w:pPr>
          <w:hyperlink w:anchor="_Toc139549431" w:history="1">
            <w:r w:rsidR="001E726B" w:rsidRPr="00A44500">
              <w:rPr>
                <w:rStyle w:val="Collegamentoipertestuale"/>
                <w:rFonts w:ascii="Titillium" w:hAnsi="Titillium" w:cs="Calibri"/>
                <w:noProof/>
              </w:rPr>
              <w:t>9.</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REQUISITI DI PARTECIPAZIONE E/O CONDIZIONI DI ESECUZIONE</w:t>
            </w:r>
            <w:r w:rsidR="001E726B">
              <w:rPr>
                <w:noProof/>
              </w:rPr>
              <w:tab/>
            </w:r>
            <w:r w:rsidR="001E726B">
              <w:rPr>
                <w:noProof/>
              </w:rPr>
              <w:fldChar w:fldCharType="begin"/>
            </w:r>
            <w:r w:rsidR="001E726B">
              <w:rPr>
                <w:noProof/>
              </w:rPr>
              <w:instrText xml:space="preserve"> PAGEREF _Toc139549431 \h </w:instrText>
            </w:r>
            <w:r w:rsidR="001E726B">
              <w:rPr>
                <w:noProof/>
              </w:rPr>
            </w:r>
            <w:r w:rsidR="001E726B">
              <w:rPr>
                <w:noProof/>
              </w:rPr>
              <w:fldChar w:fldCharType="separate"/>
            </w:r>
            <w:r w:rsidR="001E726B">
              <w:rPr>
                <w:noProof/>
              </w:rPr>
              <w:t>21</w:t>
            </w:r>
            <w:r w:rsidR="001E726B">
              <w:rPr>
                <w:noProof/>
              </w:rPr>
              <w:fldChar w:fldCharType="end"/>
            </w:r>
          </w:hyperlink>
        </w:p>
        <w:p w14:paraId="16E3C702" w14:textId="6C93E018" w:rsidR="001E726B" w:rsidRDefault="00C85664">
          <w:pPr>
            <w:pStyle w:val="Sommario2"/>
            <w:rPr>
              <w:rFonts w:asciiTheme="minorHAnsi" w:eastAsiaTheme="minorEastAsia" w:hAnsiTheme="minorHAnsi" w:cstheme="minorBidi"/>
              <w:smallCaps w:val="0"/>
              <w:noProof/>
              <w:sz w:val="22"/>
              <w:szCs w:val="22"/>
              <w:lang w:eastAsia="it-IT"/>
            </w:rPr>
          </w:pPr>
          <w:hyperlink w:anchor="_Toc139549432" w:history="1">
            <w:r w:rsidR="001E726B" w:rsidRPr="00A44500">
              <w:rPr>
                <w:rStyle w:val="Collegamentoipertestuale"/>
                <w:rFonts w:ascii="Titillium" w:hAnsi="Titillium"/>
                <w:noProof/>
              </w:rPr>
              <w:t>10.</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cs="Calibri"/>
                <w:noProof/>
              </w:rPr>
              <w:t>GARANZIA PROVVISOR</w:t>
            </w:r>
            <w:r w:rsidR="001E726B" w:rsidRPr="00A44500">
              <w:rPr>
                <w:rStyle w:val="Collegamentoipertestuale"/>
                <w:rFonts w:ascii="Titillium" w:hAnsi="Titillium"/>
                <w:noProof/>
              </w:rPr>
              <w:t>IA</w:t>
            </w:r>
            <w:r w:rsidR="001E726B">
              <w:rPr>
                <w:noProof/>
              </w:rPr>
              <w:tab/>
            </w:r>
            <w:r w:rsidR="001E726B">
              <w:rPr>
                <w:noProof/>
              </w:rPr>
              <w:fldChar w:fldCharType="begin"/>
            </w:r>
            <w:r w:rsidR="001E726B">
              <w:rPr>
                <w:noProof/>
              </w:rPr>
              <w:instrText xml:space="preserve"> PAGEREF _Toc139549432 \h </w:instrText>
            </w:r>
            <w:r w:rsidR="001E726B">
              <w:rPr>
                <w:noProof/>
              </w:rPr>
            </w:r>
            <w:r w:rsidR="001E726B">
              <w:rPr>
                <w:noProof/>
              </w:rPr>
              <w:fldChar w:fldCharType="separate"/>
            </w:r>
            <w:r w:rsidR="001E726B">
              <w:rPr>
                <w:noProof/>
              </w:rPr>
              <w:t>23</w:t>
            </w:r>
            <w:r w:rsidR="001E726B">
              <w:rPr>
                <w:noProof/>
              </w:rPr>
              <w:fldChar w:fldCharType="end"/>
            </w:r>
          </w:hyperlink>
        </w:p>
        <w:p w14:paraId="3B5659F7" w14:textId="5394455B" w:rsidR="001E726B" w:rsidRDefault="00C85664">
          <w:pPr>
            <w:pStyle w:val="Sommario2"/>
            <w:rPr>
              <w:rFonts w:asciiTheme="minorHAnsi" w:eastAsiaTheme="minorEastAsia" w:hAnsiTheme="minorHAnsi" w:cstheme="minorBidi"/>
              <w:smallCaps w:val="0"/>
              <w:noProof/>
              <w:sz w:val="22"/>
              <w:szCs w:val="22"/>
              <w:lang w:eastAsia="it-IT"/>
            </w:rPr>
          </w:pPr>
          <w:hyperlink w:anchor="_Toc139549433" w:history="1">
            <w:r w:rsidR="001E726B" w:rsidRPr="00A44500">
              <w:rPr>
                <w:rStyle w:val="Collegamentoipertestuale"/>
                <w:rFonts w:ascii="Titillium" w:hAnsi="Titillium"/>
                <w:noProof/>
              </w:rPr>
              <w:t>11.</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i/>
                <w:noProof/>
              </w:rPr>
              <w:t>[FACOLTATIVO]</w:t>
            </w:r>
            <w:r w:rsidR="001E726B" w:rsidRPr="00A44500">
              <w:rPr>
                <w:rStyle w:val="Collegamentoipertestuale"/>
                <w:rFonts w:ascii="Titillium" w:hAnsi="Titillium"/>
                <w:noProof/>
              </w:rPr>
              <w:t xml:space="preserve"> SOPRALLUOGO</w:t>
            </w:r>
            <w:r w:rsidR="001E726B">
              <w:rPr>
                <w:noProof/>
              </w:rPr>
              <w:tab/>
            </w:r>
            <w:r w:rsidR="001E726B">
              <w:rPr>
                <w:noProof/>
              </w:rPr>
              <w:fldChar w:fldCharType="begin"/>
            </w:r>
            <w:r w:rsidR="001E726B">
              <w:rPr>
                <w:noProof/>
              </w:rPr>
              <w:instrText xml:space="preserve"> PAGEREF _Toc139549433 \h </w:instrText>
            </w:r>
            <w:r w:rsidR="001E726B">
              <w:rPr>
                <w:noProof/>
              </w:rPr>
            </w:r>
            <w:r w:rsidR="001E726B">
              <w:rPr>
                <w:noProof/>
              </w:rPr>
              <w:fldChar w:fldCharType="separate"/>
            </w:r>
            <w:r w:rsidR="001E726B">
              <w:rPr>
                <w:noProof/>
              </w:rPr>
              <w:t>25</w:t>
            </w:r>
            <w:r w:rsidR="001E726B">
              <w:rPr>
                <w:noProof/>
              </w:rPr>
              <w:fldChar w:fldCharType="end"/>
            </w:r>
          </w:hyperlink>
        </w:p>
        <w:p w14:paraId="7AC62215" w14:textId="2ABAF035" w:rsidR="001E726B" w:rsidRDefault="00C85664">
          <w:pPr>
            <w:pStyle w:val="Sommario2"/>
            <w:rPr>
              <w:rFonts w:asciiTheme="minorHAnsi" w:eastAsiaTheme="minorEastAsia" w:hAnsiTheme="minorHAnsi" w:cstheme="minorBidi"/>
              <w:smallCaps w:val="0"/>
              <w:noProof/>
              <w:sz w:val="22"/>
              <w:szCs w:val="22"/>
              <w:lang w:eastAsia="it-IT"/>
            </w:rPr>
          </w:pPr>
          <w:hyperlink w:anchor="_Toc139549434" w:history="1">
            <w:r w:rsidR="001E726B" w:rsidRPr="00A44500">
              <w:rPr>
                <w:rStyle w:val="Collegamentoipertestuale"/>
                <w:rFonts w:ascii="Titillium" w:hAnsi="Titillium"/>
                <w:noProof/>
              </w:rPr>
              <w:t>12.</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PAGAMENTO DEL CONTRIBUTO A FAVORE DELL’</w:t>
            </w:r>
            <w:r w:rsidR="001E726B" w:rsidRPr="00A44500">
              <w:rPr>
                <w:rStyle w:val="Collegamentoipertestuale"/>
                <w:rFonts w:ascii="Titillium" w:hAnsi="Titillium" w:cs="Calibri"/>
                <w:noProof/>
              </w:rPr>
              <w:t>ANAC</w:t>
            </w:r>
            <w:r w:rsidR="001E726B">
              <w:rPr>
                <w:noProof/>
              </w:rPr>
              <w:tab/>
            </w:r>
            <w:r w:rsidR="001E726B">
              <w:rPr>
                <w:noProof/>
              </w:rPr>
              <w:fldChar w:fldCharType="begin"/>
            </w:r>
            <w:r w:rsidR="001E726B">
              <w:rPr>
                <w:noProof/>
              </w:rPr>
              <w:instrText xml:space="preserve"> PAGEREF _Toc139549434 \h </w:instrText>
            </w:r>
            <w:r w:rsidR="001E726B">
              <w:rPr>
                <w:noProof/>
              </w:rPr>
            </w:r>
            <w:r w:rsidR="001E726B">
              <w:rPr>
                <w:noProof/>
              </w:rPr>
              <w:fldChar w:fldCharType="separate"/>
            </w:r>
            <w:r w:rsidR="001E726B">
              <w:rPr>
                <w:noProof/>
              </w:rPr>
              <w:t>26</w:t>
            </w:r>
            <w:r w:rsidR="001E726B">
              <w:rPr>
                <w:noProof/>
              </w:rPr>
              <w:fldChar w:fldCharType="end"/>
            </w:r>
          </w:hyperlink>
        </w:p>
        <w:p w14:paraId="1E16792A" w14:textId="01BBC855" w:rsidR="001E726B" w:rsidRDefault="00C85664">
          <w:pPr>
            <w:pStyle w:val="Sommario2"/>
            <w:rPr>
              <w:rFonts w:asciiTheme="minorHAnsi" w:eastAsiaTheme="minorEastAsia" w:hAnsiTheme="minorHAnsi" w:cstheme="minorBidi"/>
              <w:smallCaps w:val="0"/>
              <w:noProof/>
              <w:sz w:val="22"/>
              <w:szCs w:val="22"/>
              <w:lang w:eastAsia="it-IT"/>
            </w:rPr>
          </w:pPr>
          <w:hyperlink w:anchor="_Toc139549435" w:history="1">
            <w:r w:rsidR="001E726B" w:rsidRPr="00A44500">
              <w:rPr>
                <w:rStyle w:val="Collegamentoipertestuale"/>
                <w:rFonts w:ascii="Titillium" w:hAnsi="Titillium"/>
                <w:noProof/>
              </w:rPr>
              <w:t>13.</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MODALITÀ DI PRESENTAZIONE DELL’OFFERTA E SOTTOSCRIZIONE DEI DOCUMENTI DI GARA</w:t>
            </w:r>
            <w:r w:rsidR="001E726B">
              <w:rPr>
                <w:noProof/>
              </w:rPr>
              <w:tab/>
            </w:r>
            <w:r w:rsidR="001E726B">
              <w:rPr>
                <w:noProof/>
              </w:rPr>
              <w:fldChar w:fldCharType="begin"/>
            </w:r>
            <w:r w:rsidR="001E726B">
              <w:rPr>
                <w:noProof/>
              </w:rPr>
              <w:instrText xml:space="preserve"> PAGEREF _Toc139549435 \h </w:instrText>
            </w:r>
            <w:r w:rsidR="001E726B">
              <w:rPr>
                <w:noProof/>
              </w:rPr>
            </w:r>
            <w:r w:rsidR="001E726B">
              <w:rPr>
                <w:noProof/>
              </w:rPr>
              <w:fldChar w:fldCharType="separate"/>
            </w:r>
            <w:r w:rsidR="001E726B">
              <w:rPr>
                <w:noProof/>
              </w:rPr>
              <w:t>27</w:t>
            </w:r>
            <w:r w:rsidR="001E726B">
              <w:rPr>
                <w:noProof/>
              </w:rPr>
              <w:fldChar w:fldCharType="end"/>
            </w:r>
          </w:hyperlink>
        </w:p>
        <w:p w14:paraId="5F330BB6" w14:textId="129DE71F" w:rsidR="001E726B" w:rsidRDefault="00C85664">
          <w:pPr>
            <w:pStyle w:val="Sommario2"/>
            <w:rPr>
              <w:rFonts w:asciiTheme="minorHAnsi" w:eastAsiaTheme="minorEastAsia" w:hAnsiTheme="minorHAnsi" w:cstheme="minorBidi"/>
              <w:smallCaps w:val="0"/>
              <w:noProof/>
              <w:sz w:val="22"/>
              <w:szCs w:val="22"/>
              <w:lang w:eastAsia="it-IT"/>
            </w:rPr>
          </w:pPr>
          <w:hyperlink w:anchor="_Toc139549436" w:history="1">
            <w:r w:rsidR="001E726B" w:rsidRPr="00A44500">
              <w:rPr>
                <w:rStyle w:val="Collegamentoipertestuale"/>
                <w:rFonts w:ascii="Titillium" w:hAnsi="Titillium"/>
                <w:noProof/>
              </w:rPr>
              <w:t>14.</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SOCCORSO ISTRUTTORIO</w:t>
            </w:r>
            <w:r w:rsidR="001E726B">
              <w:rPr>
                <w:noProof/>
              </w:rPr>
              <w:tab/>
            </w:r>
            <w:r w:rsidR="001E726B">
              <w:rPr>
                <w:noProof/>
              </w:rPr>
              <w:fldChar w:fldCharType="begin"/>
            </w:r>
            <w:r w:rsidR="001E726B">
              <w:rPr>
                <w:noProof/>
              </w:rPr>
              <w:instrText xml:space="preserve"> PAGEREF _Toc139549436 \h </w:instrText>
            </w:r>
            <w:r w:rsidR="001E726B">
              <w:rPr>
                <w:noProof/>
              </w:rPr>
            </w:r>
            <w:r w:rsidR="001E726B">
              <w:rPr>
                <w:noProof/>
              </w:rPr>
              <w:fldChar w:fldCharType="separate"/>
            </w:r>
            <w:r w:rsidR="001E726B">
              <w:rPr>
                <w:noProof/>
              </w:rPr>
              <w:t>28</w:t>
            </w:r>
            <w:r w:rsidR="001E726B">
              <w:rPr>
                <w:noProof/>
              </w:rPr>
              <w:fldChar w:fldCharType="end"/>
            </w:r>
          </w:hyperlink>
        </w:p>
        <w:p w14:paraId="44551B96" w14:textId="73D204F7" w:rsidR="001E726B" w:rsidRDefault="00C85664">
          <w:pPr>
            <w:pStyle w:val="Sommario2"/>
            <w:rPr>
              <w:rFonts w:asciiTheme="minorHAnsi" w:eastAsiaTheme="minorEastAsia" w:hAnsiTheme="minorHAnsi" w:cstheme="minorBidi"/>
              <w:smallCaps w:val="0"/>
              <w:noProof/>
              <w:sz w:val="22"/>
              <w:szCs w:val="22"/>
              <w:lang w:eastAsia="it-IT"/>
            </w:rPr>
          </w:pPr>
          <w:hyperlink w:anchor="_Toc139549437" w:history="1">
            <w:r w:rsidR="001E726B" w:rsidRPr="00A44500">
              <w:rPr>
                <w:rStyle w:val="Collegamentoipertestuale"/>
                <w:rFonts w:ascii="Titillium" w:hAnsi="Titillium"/>
                <w:noProof/>
              </w:rPr>
              <w:t>15.</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DOMANDA DI PARTECIPAZIONE E DOCUMENTAZIONE AMMINISTRATIVA</w:t>
            </w:r>
            <w:r w:rsidR="001E726B">
              <w:rPr>
                <w:noProof/>
              </w:rPr>
              <w:tab/>
            </w:r>
            <w:r w:rsidR="001E726B">
              <w:rPr>
                <w:noProof/>
              </w:rPr>
              <w:fldChar w:fldCharType="begin"/>
            </w:r>
            <w:r w:rsidR="001E726B">
              <w:rPr>
                <w:noProof/>
              </w:rPr>
              <w:instrText xml:space="preserve"> PAGEREF _Toc139549437 \h </w:instrText>
            </w:r>
            <w:r w:rsidR="001E726B">
              <w:rPr>
                <w:noProof/>
              </w:rPr>
            </w:r>
            <w:r w:rsidR="001E726B">
              <w:rPr>
                <w:noProof/>
              </w:rPr>
              <w:fldChar w:fldCharType="separate"/>
            </w:r>
            <w:r w:rsidR="001E726B">
              <w:rPr>
                <w:noProof/>
              </w:rPr>
              <w:t>29</w:t>
            </w:r>
            <w:r w:rsidR="001E726B">
              <w:rPr>
                <w:noProof/>
              </w:rPr>
              <w:fldChar w:fldCharType="end"/>
            </w:r>
          </w:hyperlink>
        </w:p>
        <w:p w14:paraId="10101480" w14:textId="07CC75D8" w:rsidR="001E726B" w:rsidRDefault="00C85664">
          <w:pPr>
            <w:pStyle w:val="Sommario3"/>
            <w:rPr>
              <w:rFonts w:asciiTheme="minorHAnsi" w:eastAsiaTheme="minorEastAsia" w:hAnsiTheme="minorHAnsi" w:cstheme="minorBidi"/>
              <w:iCs w:val="0"/>
              <w:noProof/>
              <w:sz w:val="22"/>
              <w:szCs w:val="22"/>
              <w:lang w:eastAsia="it-IT"/>
            </w:rPr>
          </w:pPr>
          <w:hyperlink w:anchor="_Toc139549438" w:history="1">
            <w:r w:rsidR="001E726B" w:rsidRPr="00A44500">
              <w:rPr>
                <w:rStyle w:val="Collegamentoipertestuale"/>
                <w:rFonts w:ascii="Titillium" w:hAnsi="Titillium"/>
                <w:noProof/>
              </w:rPr>
              <w:t>15.1.</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DOMANDA DI PARTECIPAZIONE ED EVENTUALE PROCURA</w:t>
            </w:r>
            <w:r w:rsidR="001E726B">
              <w:rPr>
                <w:noProof/>
              </w:rPr>
              <w:tab/>
            </w:r>
            <w:r w:rsidR="001E726B">
              <w:rPr>
                <w:noProof/>
              </w:rPr>
              <w:fldChar w:fldCharType="begin"/>
            </w:r>
            <w:r w:rsidR="001E726B">
              <w:rPr>
                <w:noProof/>
              </w:rPr>
              <w:instrText xml:space="preserve"> PAGEREF _Toc139549438 \h </w:instrText>
            </w:r>
            <w:r w:rsidR="001E726B">
              <w:rPr>
                <w:noProof/>
              </w:rPr>
            </w:r>
            <w:r w:rsidR="001E726B">
              <w:rPr>
                <w:noProof/>
              </w:rPr>
              <w:fldChar w:fldCharType="separate"/>
            </w:r>
            <w:r w:rsidR="001E726B">
              <w:rPr>
                <w:noProof/>
              </w:rPr>
              <w:t>30</w:t>
            </w:r>
            <w:r w:rsidR="001E726B">
              <w:rPr>
                <w:noProof/>
              </w:rPr>
              <w:fldChar w:fldCharType="end"/>
            </w:r>
          </w:hyperlink>
        </w:p>
        <w:p w14:paraId="53EF1F28" w14:textId="322A2E1E" w:rsidR="001E726B" w:rsidRDefault="00C85664">
          <w:pPr>
            <w:pStyle w:val="Sommario3"/>
            <w:rPr>
              <w:rFonts w:asciiTheme="minorHAnsi" w:eastAsiaTheme="minorEastAsia" w:hAnsiTheme="minorHAnsi" w:cstheme="minorBidi"/>
              <w:iCs w:val="0"/>
              <w:noProof/>
              <w:sz w:val="22"/>
              <w:szCs w:val="22"/>
              <w:lang w:eastAsia="it-IT"/>
            </w:rPr>
          </w:pPr>
          <w:hyperlink w:anchor="_Toc139549439" w:history="1">
            <w:r w:rsidR="001E726B" w:rsidRPr="00A44500">
              <w:rPr>
                <w:rStyle w:val="Collegamentoipertestuale"/>
                <w:rFonts w:ascii="Titillium" w:hAnsi="Titillium"/>
                <w:noProof/>
              </w:rPr>
              <w:t>15.2.</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DICHIARAZIONI DA RENDERE A CURA DEGLI  OPERATORI ECONOMICI AMMESSI AL CONCORDATO PREVENTIVO CON CONTINUITÀ AZIENDALE DI CUI ALL’ARTICOLO 372 del DECRETO LEGISLATIVO 12 GENNAIO 2019 , n. 14</w:t>
            </w:r>
            <w:r w:rsidR="001E726B">
              <w:rPr>
                <w:noProof/>
              </w:rPr>
              <w:tab/>
            </w:r>
            <w:r w:rsidR="001E726B">
              <w:rPr>
                <w:noProof/>
              </w:rPr>
              <w:fldChar w:fldCharType="begin"/>
            </w:r>
            <w:r w:rsidR="001E726B">
              <w:rPr>
                <w:noProof/>
              </w:rPr>
              <w:instrText xml:space="preserve"> PAGEREF _Toc139549439 \h </w:instrText>
            </w:r>
            <w:r w:rsidR="001E726B">
              <w:rPr>
                <w:noProof/>
              </w:rPr>
            </w:r>
            <w:r w:rsidR="001E726B">
              <w:rPr>
                <w:noProof/>
              </w:rPr>
              <w:fldChar w:fldCharType="separate"/>
            </w:r>
            <w:r w:rsidR="001E726B">
              <w:rPr>
                <w:noProof/>
              </w:rPr>
              <w:t>33</w:t>
            </w:r>
            <w:r w:rsidR="001E726B">
              <w:rPr>
                <w:noProof/>
              </w:rPr>
              <w:fldChar w:fldCharType="end"/>
            </w:r>
          </w:hyperlink>
        </w:p>
        <w:p w14:paraId="178B2543" w14:textId="7FC4AB47" w:rsidR="001E726B" w:rsidRDefault="00C85664">
          <w:pPr>
            <w:pStyle w:val="Sommario3"/>
            <w:rPr>
              <w:rFonts w:asciiTheme="minorHAnsi" w:eastAsiaTheme="minorEastAsia" w:hAnsiTheme="minorHAnsi" w:cstheme="minorBidi"/>
              <w:iCs w:val="0"/>
              <w:noProof/>
              <w:sz w:val="22"/>
              <w:szCs w:val="22"/>
              <w:lang w:eastAsia="it-IT"/>
            </w:rPr>
          </w:pPr>
          <w:hyperlink w:anchor="_Toc139549440" w:history="1">
            <w:r w:rsidR="001E726B" w:rsidRPr="00A44500">
              <w:rPr>
                <w:rStyle w:val="Collegamentoipertestuale"/>
                <w:rFonts w:ascii="Titillium" w:hAnsi="Titillium"/>
                <w:noProof/>
              </w:rPr>
              <w:t>15.3.</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DOCUMENTAZIONE IN CASO DI AVVALIMENTO</w:t>
            </w:r>
            <w:r w:rsidR="001E726B">
              <w:rPr>
                <w:noProof/>
              </w:rPr>
              <w:tab/>
            </w:r>
            <w:r w:rsidR="001E726B">
              <w:rPr>
                <w:noProof/>
              </w:rPr>
              <w:fldChar w:fldCharType="begin"/>
            </w:r>
            <w:r w:rsidR="001E726B">
              <w:rPr>
                <w:noProof/>
              </w:rPr>
              <w:instrText xml:space="preserve"> PAGEREF _Toc139549440 \h </w:instrText>
            </w:r>
            <w:r w:rsidR="001E726B">
              <w:rPr>
                <w:noProof/>
              </w:rPr>
            </w:r>
            <w:r w:rsidR="001E726B">
              <w:rPr>
                <w:noProof/>
              </w:rPr>
              <w:fldChar w:fldCharType="separate"/>
            </w:r>
            <w:r w:rsidR="001E726B">
              <w:rPr>
                <w:noProof/>
              </w:rPr>
              <w:t>33</w:t>
            </w:r>
            <w:r w:rsidR="001E726B">
              <w:rPr>
                <w:noProof/>
              </w:rPr>
              <w:fldChar w:fldCharType="end"/>
            </w:r>
          </w:hyperlink>
        </w:p>
        <w:p w14:paraId="50214C1D" w14:textId="239E207C" w:rsidR="001E726B" w:rsidRDefault="00C85664">
          <w:pPr>
            <w:pStyle w:val="Sommario3"/>
            <w:rPr>
              <w:rFonts w:asciiTheme="minorHAnsi" w:eastAsiaTheme="minorEastAsia" w:hAnsiTheme="minorHAnsi" w:cstheme="minorBidi"/>
              <w:iCs w:val="0"/>
              <w:noProof/>
              <w:sz w:val="22"/>
              <w:szCs w:val="22"/>
              <w:lang w:eastAsia="it-IT"/>
            </w:rPr>
          </w:pPr>
          <w:hyperlink w:anchor="_Toc139549441" w:history="1">
            <w:r w:rsidR="001E726B" w:rsidRPr="00A44500">
              <w:rPr>
                <w:rStyle w:val="Collegamentoipertestuale"/>
                <w:rFonts w:ascii="Titillium" w:hAnsi="Titillium"/>
                <w:noProof/>
              </w:rPr>
              <w:t>15.4.</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DOCUMENTAZIONE ULTERIORE PER I SOGGETTI ASSOCIATI</w:t>
            </w:r>
            <w:r w:rsidR="001E726B">
              <w:rPr>
                <w:noProof/>
              </w:rPr>
              <w:tab/>
            </w:r>
            <w:r w:rsidR="001E726B">
              <w:rPr>
                <w:noProof/>
              </w:rPr>
              <w:fldChar w:fldCharType="begin"/>
            </w:r>
            <w:r w:rsidR="001E726B">
              <w:rPr>
                <w:noProof/>
              </w:rPr>
              <w:instrText xml:space="preserve"> PAGEREF _Toc139549441 \h </w:instrText>
            </w:r>
            <w:r w:rsidR="001E726B">
              <w:rPr>
                <w:noProof/>
              </w:rPr>
            </w:r>
            <w:r w:rsidR="001E726B">
              <w:rPr>
                <w:noProof/>
              </w:rPr>
              <w:fldChar w:fldCharType="separate"/>
            </w:r>
            <w:r w:rsidR="001E726B">
              <w:rPr>
                <w:noProof/>
              </w:rPr>
              <w:t>33</w:t>
            </w:r>
            <w:r w:rsidR="001E726B">
              <w:rPr>
                <w:noProof/>
              </w:rPr>
              <w:fldChar w:fldCharType="end"/>
            </w:r>
          </w:hyperlink>
        </w:p>
        <w:p w14:paraId="2871C708" w14:textId="49078C79" w:rsidR="001E726B" w:rsidRDefault="00C85664">
          <w:pPr>
            <w:pStyle w:val="Sommario2"/>
            <w:rPr>
              <w:rFonts w:asciiTheme="minorHAnsi" w:eastAsiaTheme="minorEastAsia" w:hAnsiTheme="minorHAnsi" w:cstheme="minorBidi"/>
              <w:smallCaps w:val="0"/>
              <w:noProof/>
              <w:sz w:val="22"/>
              <w:szCs w:val="22"/>
              <w:lang w:eastAsia="it-IT"/>
            </w:rPr>
          </w:pPr>
          <w:hyperlink w:anchor="_Toc139549442" w:history="1">
            <w:r w:rsidR="001E726B" w:rsidRPr="00A44500">
              <w:rPr>
                <w:rStyle w:val="Collegamentoipertestuale"/>
                <w:rFonts w:ascii="Titillium" w:hAnsi="Titillium"/>
                <w:noProof/>
              </w:rPr>
              <w:t>16.</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OFFERTA TECNICA</w:t>
            </w:r>
            <w:r w:rsidR="001E726B">
              <w:rPr>
                <w:noProof/>
              </w:rPr>
              <w:tab/>
            </w:r>
            <w:r w:rsidR="001E726B">
              <w:rPr>
                <w:noProof/>
              </w:rPr>
              <w:fldChar w:fldCharType="begin"/>
            </w:r>
            <w:r w:rsidR="001E726B">
              <w:rPr>
                <w:noProof/>
              </w:rPr>
              <w:instrText xml:space="preserve"> PAGEREF _Toc139549442 \h </w:instrText>
            </w:r>
            <w:r w:rsidR="001E726B">
              <w:rPr>
                <w:noProof/>
              </w:rPr>
            </w:r>
            <w:r w:rsidR="001E726B">
              <w:rPr>
                <w:noProof/>
              </w:rPr>
              <w:fldChar w:fldCharType="separate"/>
            </w:r>
            <w:r w:rsidR="001E726B">
              <w:rPr>
                <w:noProof/>
              </w:rPr>
              <w:t>34</w:t>
            </w:r>
            <w:r w:rsidR="001E726B">
              <w:rPr>
                <w:noProof/>
              </w:rPr>
              <w:fldChar w:fldCharType="end"/>
            </w:r>
          </w:hyperlink>
        </w:p>
        <w:p w14:paraId="2FED5739" w14:textId="1D3C7F8D" w:rsidR="001E726B" w:rsidRDefault="00C85664">
          <w:pPr>
            <w:pStyle w:val="Sommario2"/>
            <w:rPr>
              <w:rFonts w:asciiTheme="minorHAnsi" w:eastAsiaTheme="minorEastAsia" w:hAnsiTheme="minorHAnsi" w:cstheme="minorBidi"/>
              <w:smallCaps w:val="0"/>
              <w:noProof/>
              <w:sz w:val="22"/>
              <w:szCs w:val="22"/>
              <w:lang w:eastAsia="it-IT"/>
            </w:rPr>
          </w:pPr>
          <w:hyperlink w:anchor="_Toc139549443" w:history="1">
            <w:r w:rsidR="001E726B" w:rsidRPr="00A44500">
              <w:rPr>
                <w:rStyle w:val="Collegamentoipertestuale"/>
                <w:rFonts w:ascii="Titillium" w:hAnsi="Titillium"/>
                <w:noProof/>
              </w:rPr>
              <w:t>17.</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OFFERTA ECONOMICA</w:t>
            </w:r>
            <w:r w:rsidR="001E726B">
              <w:rPr>
                <w:noProof/>
              </w:rPr>
              <w:tab/>
            </w:r>
            <w:r w:rsidR="001E726B">
              <w:rPr>
                <w:noProof/>
              </w:rPr>
              <w:fldChar w:fldCharType="begin"/>
            </w:r>
            <w:r w:rsidR="001E726B">
              <w:rPr>
                <w:noProof/>
              </w:rPr>
              <w:instrText xml:space="preserve"> PAGEREF _Toc139549443 \h </w:instrText>
            </w:r>
            <w:r w:rsidR="001E726B">
              <w:rPr>
                <w:noProof/>
              </w:rPr>
            </w:r>
            <w:r w:rsidR="001E726B">
              <w:rPr>
                <w:noProof/>
              </w:rPr>
              <w:fldChar w:fldCharType="separate"/>
            </w:r>
            <w:r w:rsidR="001E726B">
              <w:rPr>
                <w:noProof/>
              </w:rPr>
              <w:t>36</w:t>
            </w:r>
            <w:r w:rsidR="001E726B">
              <w:rPr>
                <w:noProof/>
              </w:rPr>
              <w:fldChar w:fldCharType="end"/>
            </w:r>
          </w:hyperlink>
        </w:p>
        <w:p w14:paraId="3F37ECF7" w14:textId="527B9190" w:rsidR="001E726B" w:rsidRDefault="00C85664">
          <w:pPr>
            <w:pStyle w:val="Sommario2"/>
            <w:rPr>
              <w:rFonts w:asciiTheme="minorHAnsi" w:eastAsiaTheme="minorEastAsia" w:hAnsiTheme="minorHAnsi" w:cstheme="minorBidi"/>
              <w:smallCaps w:val="0"/>
              <w:noProof/>
              <w:sz w:val="22"/>
              <w:szCs w:val="22"/>
              <w:lang w:eastAsia="it-IT"/>
            </w:rPr>
          </w:pPr>
          <w:hyperlink w:anchor="_Toc139549444" w:history="1">
            <w:r w:rsidR="001E726B" w:rsidRPr="00A44500">
              <w:rPr>
                <w:rStyle w:val="Collegamentoipertestuale"/>
                <w:rFonts w:ascii="Titillium" w:hAnsi="Titillium"/>
                <w:noProof/>
              </w:rPr>
              <w:t>18.</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CRITERIO DI AGGIUDICAZIONE</w:t>
            </w:r>
            <w:r w:rsidR="001E726B">
              <w:rPr>
                <w:noProof/>
              </w:rPr>
              <w:tab/>
            </w:r>
            <w:r w:rsidR="001E726B">
              <w:rPr>
                <w:noProof/>
              </w:rPr>
              <w:fldChar w:fldCharType="begin"/>
            </w:r>
            <w:r w:rsidR="001E726B">
              <w:rPr>
                <w:noProof/>
              </w:rPr>
              <w:instrText xml:space="preserve"> PAGEREF _Toc139549444 \h </w:instrText>
            </w:r>
            <w:r w:rsidR="001E726B">
              <w:rPr>
                <w:noProof/>
              </w:rPr>
            </w:r>
            <w:r w:rsidR="001E726B">
              <w:rPr>
                <w:noProof/>
              </w:rPr>
              <w:fldChar w:fldCharType="separate"/>
            </w:r>
            <w:r w:rsidR="001E726B">
              <w:rPr>
                <w:noProof/>
              </w:rPr>
              <w:t>36</w:t>
            </w:r>
            <w:r w:rsidR="001E726B">
              <w:rPr>
                <w:noProof/>
              </w:rPr>
              <w:fldChar w:fldCharType="end"/>
            </w:r>
          </w:hyperlink>
        </w:p>
        <w:p w14:paraId="5F8A8F9A" w14:textId="2B3157F9" w:rsidR="001E726B" w:rsidRDefault="00C85664">
          <w:pPr>
            <w:pStyle w:val="Sommario3"/>
            <w:rPr>
              <w:rFonts w:asciiTheme="minorHAnsi" w:eastAsiaTheme="minorEastAsia" w:hAnsiTheme="minorHAnsi" w:cstheme="minorBidi"/>
              <w:iCs w:val="0"/>
              <w:noProof/>
              <w:sz w:val="22"/>
              <w:szCs w:val="22"/>
              <w:lang w:eastAsia="it-IT"/>
            </w:rPr>
          </w:pPr>
          <w:hyperlink w:anchor="_Toc139549445" w:history="1">
            <w:r w:rsidR="001E726B" w:rsidRPr="00A44500">
              <w:rPr>
                <w:rStyle w:val="Collegamentoipertestuale"/>
                <w:rFonts w:ascii="Titillium" w:hAnsi="Titillium"/>
                <w:noProof/>
              </w:rPr>
              <w:t>18.1.</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CRITERI DI VALUTAZIONE DELL’OFFERTA TECNICA</w:t>
            </w:r>
            <w:r w:rsidR="001E726B">
              <w:rPr>
                <w:noProof/>
              </w:rPr>
              <w:tab/>
            </w:r>
            <w:r w:rsidR="001E726B">
              <w:rPr>
                <w:noProof/>
              </w:rPr>
              <w:fldChar w:fldCharType="begin"/>
            </w:r>
            <w:r w:rsidR="001E726B">
              <w:rPr>
                <w:noProof/>
              </w:rPr>
              <w:instrText xml:space="preserve"> PAGEREF _Toc139549445 \h </w:instrText>
            </w:r>
            <w:r w:rsidR="001E726B">
              <w:rPr>
                <w:noProof/>
              </w:rPr>
            </w:r>
            <w:r w:rsidR="001E726B">
              <w:rPr>
                <w:noProof/>
              </w:rPr>
              <w:fldChar w:fldCharType="separate"/>
            </w:r>
            <w:r w:rsidR="001E726B">
              <w:rPr>
                <w:noProof/>
              </w:rPr>
              <w:t>37</w:t>
            </w:r>
            <w:r w:rsidR="001E726B">
              <w:rPr>
                <w:noProof/>
              </w:rPr>
              <w:fldChar w:fldCharType="end"/>
            </w:r>
          </w:hyperlink>
        </w:p>
        <w:p w14:paraId="61B3F8E9" w14:textId="1313FDF9" w:rsidR="001E726B" w:rsidRDefault="00C85664">
          <w:pPr>
            <w:pStyle w:val="Sommario3"/>
            <w:rPr>
              <w:rFonts w:asciiTheme="minorHAnsi" w:eastAsiaTheme="minorEastAsia" w:hAnsiTheme="minorHAnsi" w:cstheme="minorBidi"/>
              <w:iCs w:val="0"/>
              <w:noProof/>
              <w:sz w:val="22"/>
              <w:szCs w:val="22"/>
              <w:lang w:eastAsia="it-IT"/>
            </w:rPr>
          </w:pPr>
          <w:hyperlink w:anchor="_Toc139549446" w:history="1">
            <w:r w:rsidR="001E726B" w:rsidRPr="00A44500">
              <w:rPr>
                <w:rStyle w:val="Collegamentoipertestuale"/>
                <w:rFonts w:ascii="Titillium" w:hAnsi="Titillium"/>
                <w:noProof/>
              </w:rPr>
              <w:t>18.2.</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METODO DI ATTRIBUZIONE DEL COEFFICIENTE PER IL CALCOLO DEL PUNTEGGIO DELL’OFFERTA TECNICA</w:t>
            </w:r>
            <w:r w:rsidR="001E726B">
              <w:rPr>
                <w:noProof/>
              </w:rPr>
              <w:tab/>
            </w:r>
            <w:r w:rsidR="001E726B">
              <w:rPr>
                <w:noProof/>
              </w:rPr>
              <w:fldChar w:fldCharType="begin"/>
            </w:r>
            <w:r w:rsidR="001E726B">
              <w:rPr>
                <w:noProof/>
              </w:rPr>
              <w:instrText xml:space="preserve"> PAGEREF _Toc139549446 \h </w:instrText>
            </w:r>
            <w:r w:rsidR="001E726B">
              <w:rPr>
                <w:noProof/>
              </w:rPr>
            </w:r>
            <w:r w:rsidR="001E726B">
              <w:rPr>
                <w:noProof/>
              </w:rPr>
              <w:fldChar w:fldCharType="separate"/>
            </w:r>
            <w:r w:rsidR="001E726B">
              <w:rPr>
                <w:noProof/>
              </w:rPr>
              <w:t>38</w:t>
            </w:r>
            <w:r w:rsidR="001E726B">
              <w:rPr>
                <w:noProof/>
              </w:rPr>
              <w:fldChar w:fldCharType="end"/>
            </w:r>
          </w:hyperlink>
        </w:p>
        <w:p w14:paraId="5060E70C" w14:textId="6BFE8EE2" w:rsidR="001E726B" w:rsidRDefault="00C85664">
          <w:pPr>
            <w:pStyle w:val="Sommario3"/>
            <w:rPr>
              <w:rFonts w:asciiTheme="minorHAnsi" w:eastAsiaTheme="minorEastAsia" w:hAnsiTheme="minorHAnsi" w:cstheme="minorBidi"/>
              <w:iCs w:val="0"/>
              <w:noProof/>
              <w:sz w:val="22"/>
              <w:szCs w:val="22"/>
              <w:lang w:eastAsia="it-IT"/>
            </w:rPr>
          </w:pPr>
          <w:hyperlink w:anchor="_Toc139549447" w:history="1">
            <w:r w:rsidR="001E726B" w:rsidRPr="00A44500">
              <w:rPr>
                <w:rStyle w:val="Collegamentoipertestuale"/>
                <w:rFonts w:ascii="Titillium" w:hAnsi="Titillium"/>
                <w:noProof/>
              </w:rPr>
              <w:t>18.3.</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METODO DI ATTRIBUZIONE DEL COEFFICIENTE PER IL CALCOLO DEL PUNTEGGIO DELL’OFFERTA ECONOMICA</w:t>
            </w:r>
            <w:r w:rsidR="001E726B">
              <w:rPr>
                <w:noProof/>
              </w:rPr>
              <w:tab/>
            </w:r>
            <w:r w:rsidR="001E726B">
              <w:rPr>
                <w:noProof/>
              </w:rPr>
              <w:fldChar w:fldCharType="begin"/>
            </w:r>
            <w:r w:rsidR="001E726B">
              <w:rPr>
                <w:noProof/>
              </w:rPr>
              <w:instrText xml:space="preserve"> PAGEREF _Toc139549447 \h </w:instrText>
            </w:r>
            <w:r w:rsidR="001E726B">
              <w:rPr>
                <w:noProof/>
              </w:rPr>
            </w:r>
            <w:r w:rsidR="001E726B">
              <w:rPr>
                <w:noProof/>
              </w:rPr>
              <w:fldChar w:fldCharType="separate"/>
            </w:r>
            <w:r w:rsidR="001E726B">
              <w:rPr>
                <w:noProof/>
              </w:rPr>
              <w:t>38</w:t>
            </w:r>
            <w:r w:rsidR="001E726B">
              <w:rPr>
                <w:noProof/>
              </w:rPr>
              <w:fldChar w:fldCharType="end"/>
            </w:r>
          </w:hyperlink>
        </w:p>
        <w:p w14:paraId="308CA07C" w14:textId="352C588E" w:rsidR="001E726B" w:rsidRDefault="00C85664">
          <w:pPr>
            <w:pStyle w:val="Sommario3"/>
            <w:rPr>
              <w:rFonts w:asciiTheme="minorHAnsi" w:eastAsiaTheme="minorEastAsia" w:hAnsiTheme="minorHAnsi" w:cstheme="minorBidi"/>
              <w:iCs w:val="0"/>
              <w:noProof/>
              <w:sz w:val="22"/>
              <w:szCs w:val="22"/>
              <w:lang w:eastAsia="it-IT"/>
            </w:rPr>
          </w:pPr>
          <w:hyperlink w:anchor="_Toc139549448" w:history="1">
            <w:r w:rsidR="001E726B" w:rsidRPr="00A44500">
              <w:rPr>
                <w:rStyle w:val="Collegamentoipertestuale"/>
                <w:rFonts w:ascii="Titillium" w:hAnsi="Titillium"/>
                <w:noProof/>
              </w:rPr>
              <w:t>18.4.</w:t>
            </w:r>
            <w:r w:rsidR="001E726B">
              <w:rPr>
                <w:rFonts w:asciiTheme="minorHAnsi" w:eastAsiaTheme="minorEastAsia" w:hAnsiTheme="minorHAnsi" w:cstheme="minorBidi"/>
                <w:iCs w:val="0"/>
                <w:noProof/>
                <w:sz w:val="22"/>
                <w:szCs w:val="22"/>
                <w:lang w:eastAsia="it-IT"/>
              </w:rPr>
              <w:tab/>
            </w:r>
            <w:r w:rsidR="001E726B" w:rsidRPr="00A44500">
              <w:rPr>
                <w:rStyle w:val="Collegamentoipertestuale"/>
                <w:rFonts w:ascii="Titillium" w:hAnsi="Titillium"/>
                <w:noProof/>
              </w:rPr>
              <w:t>METODO DI CALCOLO DEI PUNTEGGI</w:t>
            </w:r>
            <w:r w:rsidR="001E726B">
              <w:rPr>
                <w:noProof/>
              </w:rPr>
              <w:tab/>
            </w:r>
            <w:r w:rsidR="001E726B">
              <w:rPr>
                <w:noProof/>
              </w:rPr>
              <w:fldChar w:fldCharType="begin"/>
            </w:r>
            <w:r w:rsidR="001E726B">
              <w:rPr>
                <w:noProof/>
              </w:rPr>
              <w:instrText xml:space="preserve"> PAGEREF _Toc139549448 \h </w:instrText>
            </w:r>
            <w:r w:rsidR="001E726B">
              <w:rPr>
                <w:noProof/>
              </w:rPr>
            </w:r>
            <w:r w:rsidR="001E726B">
              <w:rPr>
                <w:noProof/>
              </w:rPr>
              <w:fldChar w:fldCharType="separate"/>
            </w:r>
            <w:r w:rsidR="001E726B">
              <w:rPr>
                <w:noProof/>
              </w:rPr>
              <w:t>39</w:t>
            </w:r>
            <w:r w:rsidR="001E726B">
              <w:rPr>
                <w:noProof/>
              </w:rPr>
              <w:fldChar w:fldCharType="end"/>
            </w:r>
          </w:hyperlink>
        </w:p>
        <w:p w14:paraId="1DF588D2" w14:textId="0E647CE1" w:rsidR="001E726B" w:rsidRDefault="00C85664">
          <w:pPr>
            <w:pStyle w:val="Sommario2"/>
            <w:rPr>
              <w:rFonts w:asciiTheme="minorHAnsi" w:eastAsiaTheme="minorEastAsia" w:hAnsiTheme="minorHAnsi" w:cstheme="minorBidi"/>
              <w:smallCaps w:val="0"/>
              <w:noProof/>
              <w:sz w:val="22"/>
              <w:szCs w:val="22"/>
              <w:lang w:eastAsia="it-IT"/>
            </w:rPr>
          </w:pPr>
          <w:hyperlink w:anchor="_Toc139549449" w:history="1">
            <w:r w:rsidR="001E726B" w:rsidRPr="00A44500">
              <w:rPr>
                <w:rStyle w:val="Collegamentoipertestuale"/>
                <w:rFonts w:ascii="Titillium" w:hAnsi="Titillium"/>
                <w:noProof/>
              </w:rPr>
              <w:t>19.</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COMMISSIONE GIUDICATRICE</w:t>
            </w:r>
            <w:r w:rsidR="001E726B">
              <w:rPr>
                <w:noProof/>
              </w:rPr>
              <w:tab/>
            </w:r>
            <w:r w:rsidR="001E726B">
              <w:rPr>
                <w:noProof/>
              </w:rPr>
              <w:fldChar w:fldCharType="begin"/>
            </w:r>
            <w:r w:rsidR="001E726B">
              <w:rPr>
                <w:noProof/>
              </w:rPr>
              <w:instrText xml:space="preserve"> PAGEREF _Toc139549449 \h </w:instrText>
            </w:r>
            <w:r w:rsidR="001E726B">
              <w:rPr>
                <w:noProof/>
              </w:rPr>
            </w:r>
            <w:r w:rsidR="001E726B">
              <w:rPr>
                <w:noProof/>
              </w:rPr>
              <w:fldChar w:fldCharType="separate"/>
            </w:r>
            <w:r w:rsidR="001E726B">
              <w:rPr>
                <w:noProof/>
              </w:rPr>
              <w:t>40</w:t>
            </w:r>
            <w:r w:rsidR="001E726B">
              <w:rPr>
                <w:noProof/>
              </w:rPr>
              <w:fldChar w:fldCharType="end"/>
            </w:r>
          </w:hyperlink>
        </w:p>
        <w:p w14:paraId="6F8E969C" w14:textId="4BCDB820" w:rsidR="001E726B" w:rsidRDefault="00C85664">
          <w:pPr>
            <w:pStyle w:val="Sommario2"/>
            <w:rPr>
              <w:rFonts w:asciiTheme="minorHAnsi" w:eastAsiaTheme="minorEastAsia" w:hAnsiTheme="minorHAnsi" w:cstheme="minorBidi"/>
              <w:smallCaps w:val="0"/>
              <w:noProof/>
              <w:sz w:val="22"/>
              <w:szCs w:val="22"/>
              <w:lang w:eastAsia="it-IT"/>
            </w:rPr>
          </w:pPr>
          <w:hyperlink w:anchor="_Toc139549450" w:history="1">
            <w:r w:rsidR="001E726B" w:rsidRPr="00A44500">
              <w:rPr>
                <w:rStyle w:val="Collegamentoipertestuale"/>
                <w:rFonts w:ascii="Titillium" w:hAnsi="Titillium"/>
                <w:noProof/>
              </w:rPr>
              <w:t>20.</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SVOLGIMENTO DELLE OPERAZIONI DI GARA</w:t>
            </w:r>
            <w:r w:rsidR="001E726B">
              <w:rPr>
                <w:noProof/>
              </w:rPr>
              <w:tab/>
            </w:r>
            <w:r w:rsidR="001E726B">
              <w:rPr>
                <w:noProof/>
              </w:rPr>
              <w:fldChar w:fldCharType="begin"/>
            </w:r>
            <w:r w:rsidR="001E726B">
              <w:rPr>
                <w:noProof/>
              </w:rPr>
              <w:instrText xml:space="preserve"> PAGEREF _Toc139549450 \h </w:instrText>
            </w:r>
            <w:r w:rsidR="001E726B">
              <w:rPr>
                <w:noProof/>
              </w:rPr>
            </w:r>
            <w:r w:rsidR="001E726B">
              <w:rPr>
                <w:noProof/>
              </w:rPr>
              <w:fldChar w:fldCharType="separate"/>
            </w:r>
            <w:r w:rsidR="001E726B">
              <w:rPr>
                <w:noProof/>
              </w:rPr>
              <w:t>40</w:t>
            </w:r>
            <w:r w:rsidR="001E726B">
              <w:rPr>
                <w:noProof/>
              </w:rPr>
              <w:fldChar w:fldCharType="end"/>
            </w:r>
          </w:hyperlink>
        </w:p>
        <w:p w14:paraId="4C34D2F6" w14:textId="52185DAE" w:rsidR="001E726B" w:rsidRDefault="00C85664">
          <w:pPr>
            <w:pStyle w:val="Sommario2"/>
            <w:rPr>
              <w:rFonts w:asciiTheme="minorHAnsi" w:eastAsiaTheme="minorEastAsia" w:hAnsiTheme="minorHAnsi" w:cstheme="minorBidi"/>
              <w:smallCaps w:val="0"/>
              <w:noProof/>
              <w:sz w:val="22"/>
              <w:szCs w:val="22"/>
              <w:lang w:eastAsia="it-IT"/>
            </w:rPr>
          </w:pPr>
          <w:hyperlink w:anchor="_Toc139549451" w:history="1">
            <w:r w:rsidR="001E726B" w:rsidRPr="00A44500">
              <w:rPr>
                <w:rStyle w:val="Collegamentoipertestuale"/>
                <w:rFonts w:ascii="Titillium" w:hAnsi="Titillium"/>
                <w:noProof/>
              </w:rPr>
              <w:t>21.</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VERIFICA DOCUMENTAZIONE AMMINISTRATIVA</w:t>
            </w:r>
            <w:r w:rsidR="001E726B">
              <w:rPr>
                <w:noProof/>
              </w:rPr>
              <w:tab/>
            </w:r>
            <w:r w:rsidR="001E726B">
              <w:rPr>
                <w:noProof/>
              </w:rPr>
              <w:fldChar w:fldCharType="begin"/>
            </w:r>
            <w:r w:rsidR="001E726B">
              <w:rPr>
                <w:noProof/>
              </w:rPr>
              <w:instrText xml:space="preserve"> PAGEREF _Toc139549451 \h </w:instrText>
            </w:r>
            <w:r w:rsidR="001E726B">
              <w:rPr>
                <w:noProof/>
              </w:rPr>
            </w:r>
            <w:r w:rsidR="001E726B">
              <w:rPr>
                <w:noProof/>
              </w:rPr>
              <w:fldChar w:fldCharType="separate"/>
            </w:r>
            <w:r w:rsidR="001E726B">
              <w:rPr>
                <w:noProof/>
              </w:rPr>
              <w:t>41</w:t>
            </w:r>
            <w:r w:rsidR="001E726B">
              <w:rPr>
                <w:noProof/>
              </w:rPr>
              <w:fldChar w:fldCharType="end"/>
            </w:r>
          </w:hyperlink>
        </w:p>
        <w:p w14:paraId="218DFD9D" w14:textId="3100F238" w:rsidR="001E726B" w:rsidRDefault="00C85664">
          <w:pPr>
            <w:pStyle w:val="Sommario2"/>
            <w:rPr>
              <w:rFonts w:asciiTheme="minorHAnsi" w:eastAsiaTheme="minorEastAsia" w:hAnsiTheme="minorHAnsi" w:cstheme="minorBidi"/>
              <w:smallCaps w:val="0"/>
              <w:noProof/>
              <w:sz w:val="22"/>
              <w:szCs w:val="22"/>
              <w:lang w:eastAsia="it-IT"/>
            </w:rPr>
          </w:pPr>
          <w:hyperlink w:anchor="_Toc139549452" w:history="1">
            <w:r w:rsidR="001E726B" w:rsidRPr="00A44500">
              <w:rPr>
                <w:rStyle w:val="Collegamentoipertestuale"/>
                <w:rFonts w:ascii="Titillium" w:hAnsi="Titillium"/>
                <w:noProof/>
              </w:rPr>
              <w:t>22.</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VALUTAZIONE DELLE OFFERTE TECNICHE ED ECONOMICHE</w:t>
            </w:r>
            <w:r w:rsidR="001E726B">
              <w:rPr>
                <w:noProof/>
              </w:rPr>
              <w:tab/>
            </w:r>
            <w:r w:rsidR="001E726B">
              <w:rPr>
                <w:noProof/>
              </w:rPr>
              <w:fldChar w:fldCharType="begin"/>
            </w:r>
            <w:r w:rsidR="001E726B">
              <w:rPr>
                <w:noProof/>
              </w:rPr>
              <w:instrText xml:space="preserve"> PAGEREF _Toc139549452 \h </w:instrText>
            </w:r>
            <w:r w:rsidR="001E726B">
              <w:rPr>
                <w:noProof/>
              </w:rPr>
            </w:r>
            <w:r w:rsidR="001E726B">
              <w:rPr>
                <w:noProof/>
              </w:rPr>
              <w:fldChar w:fldCharType="separate"/>
            </w:r>
            <w:r w:rsidR="001E726B">
              <w:rPr>
                <w:noProof/>
              </w:rPr>
              <w:t>41</w:t>
            </w:r>
            <w:r w:rsidR="001E726B">
              <w:rPr>
                <w:noProof/>
              </w:rPr>
              <w:fldChar w:fldCharType="end"/>
            </w:r>
          </w:hyperlink>
        </w:p>
        <w:p w14:paraId="5F472622" w14:textId="5EBF1588" w:rsidR="001E726B" w:rsidRDefault="00C85664">
          <w:pPr>
            <w:pStyle w:val="Sommario2"/>
            <w:rPr>
              <w:rFonts w:asciiTheme="minorHAnsi" w:eastAsiaTheme="minorEastAsia" w:hAnsiTheme="minorHAnsi" w:cstheme="minorBidi"/>
              <w:smallCaps w:val="0"/>
              <w:noProof/>
              <w:sz w:val="22"/>
              <w:szCs w:val="22"/>
              <w:lang w:eastAsia="it-IT"/>
            </w:rPr>
          </w:pPr>
          <w:hyperlink w:anchor="_Toc139549453" w:history="1">
            <w:r w:rsidR="001E726B" w:rsidRPr="00A44500">
              <w:rPr>
                <w:rStyle w:val="Collegamentoipertestuale"/>
                <w:rFonts w:ascii="Titillium" w:hAnsi="Titillium"/>
                <w:noProof/>
              </w:rPr>
              <w:t>23.</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VERIFICA DI ANOMALIA DELLE OFFERTE</w:t>
            </w:r>
            <w:r w:rsidR="001E726B">
              <w:rPr>
                <w:noProof/>
              </w:rPr>
              <w:tab/>
            </w:r>
            <w:r w:rsidR="001E726B">
              <w:rPr>
                <w:noProof/>
              </w:rPr>
              <w:fldChar w:fldCharType="begin"/>
            </w:r>
            <w:r w:rsidR="001E726B">
              <w:rPr>
                <w:noProof/>
              </w:rPr>
              <w:instrText xml:space="preserve"> PAGEREF _Toc139549453 \h </w:instrText>
            </w:r>
            <w:r w:rsidR="001E726B">
              <w:rPr>
                <w:noProof/>
              </w:rPr>
            </w:r>
            <w:r w:rsidR="001E726B">
              <w:rPr>
                <w:noProof/>
              </w:rPr>
              <w:fldChar w:fldCharType="separate"/>
            </w:r>
            <w:r w:rsidR="001E726B">
              <w:rPr>
                <w:noProof/>
              </w:rPr>
              <w:t>42</w:t>
            </w:r>
            <w:r w:rsidR="001E726B">
              <w:rPr>
                <w:noProof/>
              </w:rPr>
              <w:fldChar w:fldCharType="end"/>
            </w:r>
          </w:hyperlink>
        </w:p>
        <w:p w14:paraId="478EC5BC" w14:textId="34F95AF6" w:rsidR="001E726B" w:rsidRDefault="00C85664">
          <w:pPr>
            <w:pStyle w:val="Sommario2"/>
            <w:rPr>
              <w:rFonts w:asciiTheme="minorHAnsi" w:eastAsiaTheme="minorEastAsia" w:hAnsiTheme="minorHAnsi" w:cstheme="minorBidi"/>
              <w:smallCaps w:val="0"/>
              <w:noProof/>
              <w:sz w:val="22"/>
              <w:szCs w:val="22"/>
              <w:lang w:eastAsia="it-IT"/>
            </w:rPr>
          </w:pPr>
          <w:hyperlink w:anchor="_Toc139549454" w:history="1">
            <w:r w:rsidR="001E726B" w:rsidRPr="00A44500">
              <w:rPr>
                <w:rStyle w:val="Collegamentoipertestuale"/>
                <w:rFonts w:ascii="Titillium" w:hAnsi="Titillium"/>
                <w:noProof/>
              </w:rPr>
              <w:t>22.</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eastAsia="SimSun" w:hAnsi="Titillium" w:cs="Calibri"/>
                <w:noProof/>
              </w:rPr>
              <w:t>VERIFICA DELLA DOCUMENTAZIONE AMMINISTRATIVA</w:t>
            </w:r>
            <w:r w:rsidR="001E726B">
              <w:rPr>
                <w:noProof/>
              </w:rPr>
              <w:tab/>
            </w:r>
            <w:r w:rsidR="001E726B">
              <w:rPr>
                <w:noProof/>
              </w:rPr>
              <w:fldChar w:fldCharType="begin"/>
            </w:r>
            <w:r w:rsidR="001E726B">
              <w:rPr>
                <w:noProof/>
              </w:rPr>
              <w:instrText xml:space="preserve"> PAGEREF _Toc139549454 \h </w:instrText>
            </w:r>
            <w:r w:rsidR="001E726B">
              <w:rPr>
                <w:noProof/>
              </w:rPr>
            </w:r>
            <w:r w:rsidR="001E726B">
              <w:rPr>
                <w:noProof/>
              </w:rPr>
              <w:fldChar w:fldCharType="separate"/>
            </w:r>
            <w:r w:rsidR="001E726B">
              <w:rPr>
                <w:noProof/>
              </w:rPr>
              <w:t>42</w:t>
            </w:r>
            <w:r w:rsidR="001E726B">
              <w:rPr>
                <w:noProof/>
              </w:rPr>
              <w:fldChar w:fldCharType="end"/>
            </w:r>
          </w:hyperlink>
        </w:p>
        <w:p w14:paraId="4B449FE7" w14:textId="2DE330B8" w:rsidR="001E726B" w:rsidRDefault="00C85664">
          <w:pPr>
            <w:pStyle w:val="Sommario2"/>
            <w:rPr>
              <w:rFonts w:asciiTheme="minorHAnsi" w:eastAsiaTheme="minorEastAsia" w:hAnsiTheme="minorHAnsi" w:cstheme="minorBidi"/>
              <w:smallCaps w:val="0"/>
              <w:noProof/>
              <w:sz w:val="22"/>
              <w:szCs w:val="22"/>
              <w:lang w:eastAsia="it-IT"/>
            </w:rPr>
          </w:pPr>
          <w:hyperlink w:anchor="_Toc139549455" w:history="1">
            <w:r w:rsidR="001E726B" w:rsidRPr="00A44500">
              <w:rPr>
                <w:rStyle w:val="Collegamentoipertestuale"/>
                <w:rFonts w:ascii="Titillium" w:hAnsi="Titillium"/>
                <w:noProof/>
              </w:rPr>
              <w:t>23.</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AGGIUDICAZIONE DELL’APPALTO E STIPULA DEL CONTRATTO</w:t>
            </w:r>
            <w:r w:rsidR="001E726B">
              <w:rPr>
                <w:noProof/>
              </w:rPr>
              <w:tab/>
            </w:r>
            <w:r w:rsidR="001E726B">
              <w:rPr>
                <w:noProof/>
              </w:rPr>
              <w:fldChar w:fldCharType="begin"/>
            </w:r>
            <w:r w:rsidR="001E726B">
              <w:rPr>
                <w:noProof/>
              </w:rPr>
              <w:instrText xml:space="preserve"> PAGEREF _Toc139549455 \h </w:instrText>
            </w:r>
            <w:r w:rsidR="001E726B">
              <w:rPr>
                <w:noProof/>
              </w:rPr>
            </w:r>
            <w:r w:rsidR="001E726B">
              <w:rPr>
                <w:noProof/>
              </w:rPr>
              <w:fldChar w:fldCharType="separate"/>
            </w:r>
            <w:r w:rsidR="001E726B">
              <w:rPr>
                <w:noProof/>
              </w:rPr>
              <w:t>43</w:t>
            </w:r>
            <w:r w:rsidR="001E726B">
              <w:rPr>
                <w:noProof/>
              </w:rPr>
              <w:fldChar w:fldCharType="end"/>
            </w:r>
          </w:hyperlink>
        </w:p>
        <w:p w14:paraId="22B73C42" w14:textId="367BC552" w:rsidR="001E726B" w:rsidRDefault="00C85664">
          <w:pPr>
            <w:pStyle w:val="Sommario2"/>
            <w:rPr>
              <w:rFonts w:asciiTheme="minorHAnsi" w:eastAsiaTheme="minorEastAsia" w:hAnsiTheme="minorHAnsi" w:cstheme="minorBidi"/>
              <w:smallCaps w:val="0"/>
              <w:noProof/>
              <w:sz w:val="22"/>
              <w:szCs w:val="22"/>
              <w:lang w:eastAsia="it-IT"/>
            </w:rPr>
          </w:pPr>
          <w:hyperlink w:anchor="_Toc139549456" w:history="1">
            <w:r w:rsidR="001E726B" w:rsidRPr="00A44500">
              <w:rPr>
                <w:rStyle w:val="Collegamentoipertestuale"/>
                <w:rFonts w:ascii="Titillium" w:hAnsi="Titillium"/>
                <w:noProof/>
              </w:rPr>
              <w:t>24.</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OBBLIGHI RELATIVI ALLA TRACCIABILITÀ DEI FLUSSI FINANZIARI</w:t>
            </w:r>
            <w:r w:rsidR="001E726B">
              <w:rPr>
                <w:noProof/>
              </w:rPr>
              <w:tab/>
            </w:r>
            <w:r w:rsidR="001E726B">
              <w:rPr>
                <w:noProof/>
              </w:rPr>
              <w:fldChar w:fldCharType="begin"/>
            </w:r>
            <w:r w:rsidR="001E726B">
              <w:rPr>
                <w:noProof/>
              </w:rPr>
              <w:instrText xml:space="preserve"> PAGEREF _Toc139549456 \h </w:instrText>
            </w:r>
            <w:r w:rsidR="001E726B">
              <w:rPr>
                <w:noProof/>
              </w:rPr>
            </w:r>
            <w:r w:rsidR="001E726B">
              <w:rPr>
                <w:noProof/>
              </w:rPr>
              <w:fldChar w:fldCharType="separate"/>
            </w:r>
            <w:r w:rsidR="001E726B">
              <w:rPr>
                <w:noProof/>
              </w:rPr>
              <w:t>44</w:t>
            </w:r>
            <w:r w:rsidR="001E726B">
              <w:rPr>
                <w:noProof/>
              </w:rPr>
              <w:fldChar w:fldCharType="end"/>
            </w:r>
          </w:hyperlink>
        </w:p>
        <w:p w14:paraId="6A8F738F" w14:textId="34685C0A" w:rsidR="001E726B" w:rsidRDefault="00C85664">
          <w:pPr>
            <w:pStyle w:val="Sommario2"/>
            <w:rPr>
              <w:rFonts w:asciiTheme="minorHAnsi" w:eastAsiaTheme="minorEastAsia" w:hAnsiTheme="minorHAnsi" w:cstheme="minorBidi"/>
              <w:smallCaps w:val="0"/>
              <w:noProof/>
              <w:sz w:val="22"/>
              <w:szCs w:val="22"/>
              <w:lang w:eastAsia="it-IT"/>
            </w:rPr>
          </w:pPr>
          <w:hyperlink w:anchor="_Toc139549457" w:history="1">
            <w:r w:rsidR="001E726B" w:rsidRPr="00A44500">
              <w:rPr>
                <w:rStyle w:val="Collegamentoipertestuale"/>
                <w:rFonts w:ascii="Titillium" w:hAnsi="Titillium"/>
                <w:noProof/>
              </w:rPr>
              <w:t>25.</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CODICE DI COMPORTAMENTO</w:t>
            </w:r>
            <w:r w:rsidR="001E726B">
              <w:rPr>
                <w:noProof/>
              </w:rPr>
              <w:tab/>
            </w:r>
            <w:r w:rsidR="001E726B">
              <w:rPr>
                <w:noProof/>
              </w:rPr>
              <w:fldChar w:fldCharType="begin"/>
            </w:r>
            <w:r w:rsidR="001E726B">
              <w:rPr>
                <w:noProof/>
              </w:rPr>
              <w:instrText xml:space="preserve"> PAGEREF _Toc139549457 \h </w:instrText>
            </w:r>
            <w:r w:rsidR="001E726B">
              <w:rPr>
                <w:noProof/>
              </w:rPr>
            </w:r>
            <w:r w:rsidR="001E726B">
              <w:rPr>
                <w:noProof/>
              </w:rPr>
              <w:fldChar w:fldCharType="separate"/>
            </w:r>
            <w:r w:rsidR="001E726B">
              <w:rPr>
                <w:noProof/>
              </w:rPr>
              <w:t>45</w:t>
            </w:r>
            <w:r w:rsidR="001E726B">
              <w:rPr>
                <w:noProof/>
              </w:rPr>
              <w:fldChar w:fldCharType="end"/>
            </w:r>
          </w:hyperlink>
        </w:p>
        <w:p w14:paraId="1C512F03" w14:textId="0D47A1EF" w:rsidR="001E726B" w:rsidRDefault="00C85664">
          <w:pPr>
            <w:pStyle w:val="Sommario2"/>
            <w:rPr>
              <w:rFonts w:asciiTheme="minorHAnsi" w:eastAsiaTheme="minorEastAsia" w:hAnsiTheme="minorHAnsi" w:cstheme="minorBidi"/>
              <w:smallCaps w:val="0"/>
              <w:noProof/>
              <w:sz w:val="22"/>
              <w:szCs w:val="22"/>
              <w:lang w:eastAsia="it-IT"/>
            </w:rPr>
          </w:pPr>
          <w:hyperlink w:anchor="_Toc139549458" w:history="1">
            <w:r w:rsidR="001E726B" w:rsidRPr="00A44500">
              <w:rPr>
                <w:rStyle w:val="Collegamentoipertestuale"/>
                <w:rFonts w:ascii="Titillium" w:hAnsi="Titillium"/>
                <w:noProof/>
              </w:rPr>
              <w:t>26.</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ACCESSO AGLI ATTI</w:t>
            </w:r>
            <w:r w:rsidR="001E726B">
              <w:rPr>
                <w:noProof/>
              </w:rPr>
              <w:tab/>
            </w:r>
            <w:r w:rsidR="001E726B">
              <w:rPr>
                <w:noProof/>
              </w:rPr>
              <w:fldChar w:fldCharType="begin"/>
            </w:r>
            <w:r w:rsidR="001E726B">
              <w:rPr>
                <w:noProof/>
              </w:rPr>
              <w:instrText xml:space="preserve"> PAGEREF _Toc139549458 \h </w:instrText>
            </w:r>
            <w:r w:rsidR="001E726B">
              <w:rPr>
                <w:noProof/>
              </w:rPr>
            </w:r>
            <w:r w:rsidR="001E726B">
              <w:rPr>
                <w:noProof/>
              </w:rPr>
              <w:fldChar w:fldCharType="separate"/>
            </w:r>
            <w:r w:rsidR="001E726B">
              <w:rPr>
                <w:noProof/>
              </w:rPr>
              <w:t>45</w:t>
            </w:r>
            <w:r w:rsidR="001E726B">
              <w:rPr>
                <w:noProof/>
              </w:rPr>
              <w:fldChar w:fldCharType="end"/>
            </w:r>
          </w:hyperlink>
        </w:p>
        <w:p w14:paraId="71853571" w14:textId="1925CEBA" w:rsidR="001E726B" w:rsidRDefault="00C85664">
          <w:pPr>
            <w:pStyle w:val="Sommario2"/>
            <w:rPr>
              <w:rFonts w:asciiTheme="minorHAnsi" w:eastAsiaTheme="minorEastAsia" w:hAnsiTheme="minorHAnsi" w:cstheme="minorBidi"/>
              <w:smallCaps w:val="0"/>
              <w:noProof/>
              <w:sz w:val="22"/>
              <w:szCs w:val="22"/>
              <w:lang w:eastAsia="it-IT"/>
            </w:rPr>
          </w:pPr>
          <w:hyperlink w:anchor="_Toc139549459" w:history="1">
            <w:r w:rsidR="001E726B" w:rsidRPr="00A44500">
              <w:rPr>
                <w:rStyle w:val="Collegamentoipertestuale"/>
                <w:rFonts w:ascii="Titillium" w:hAnsi="Titillium"/>
                <w:noProof/>
              </w:rPr>
              <w:t>27.</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DEFINIZIONE DELLE CONTROVERSIE</w:t>
            </w:r>
            <w:r w:rsidR="001E726B">
              <w:rPr>
                <w:noProof/>
              </w:rPr>
              <w:tab/>
            </w:r>
            <w:r w:rsidR="001E726B">
              <w:rPr>
                <w:noProof/>
              </w:rPr>
              <w:fldChar w:fldCharType="begin"/>
            </w:r>
            <w:r w:rsidR="001E726B">
              <w:rPr>
                <w:noProof/>
              </w:rPr>
              <w:instrText xml:space="preserve"> PAGEREF _Toc139549459 \h </w:instrText>
            </w:r>
            <w:r w:rsidR="001E726B">
              <w:rPr>
                <w:noProof/>
              </w:rPr>
            </w:r>
            <w:r w:rsidR="001E726B">
              <w:rPr>
                <w:noProof/>
              </w:rPr>
              <w:fldChar w:fldCharType="separate"/>
            </w:r>
            <w:r w:rsidR="001E726B">
              <w:rPr>
                <w:noProof/>
              </w:rPr>
              <w:t>45</w:t>
            </w:r>
            <w:r w:rsidR="001E726B">
              <w:rPr>
                <w:noProof/>
              </w:rPr>
              <w:fldChar w:fldCharType="end"/>
            </w:r>
          </w:hyperlink>
        </w:p>
        <w:p w14:paraId="1E602877" w14:textId="2B582FC4" w:rsidR="001E726B" w:rsidRDefault="00C85664">
          <w:pPr>
            <w:pStyle w:val="Sommario2"/>
            <w:rPr>
              <w:rFonts w:asciiTheme="minorHAnsi" w:eastAsiaTheme="minorEastAsia" w:hAnsiTheme="minorHAnsi" w:cstheme="minorBidi"/>
              <w:smallCaps w:val="0"/>
              <w:noProof/>
              <w:sz w:val="22"/>
              <w:szCs w:val="22"/>
              <w:lang w:eastAsia="it-IT"/>
            </w:rPr>
          </w:pPr>
          <w:hyperlink w:anchor="_Toc139549460" w:history="1">
            <w:r w:rsidR="001E726B" w:rsidRPr="00A44500">
              <w:rPr>
                <w:rStyle w:val="Collegamentoipertestuale"/>
                <w:rFonts w:ascii="Titillium" w:hAnsi="Titillium"/>
                <w:noProof/>
              </w:rPr>
              <w:t>28.</w:t>
            </w:r>
            <w:r w:rsidR="001E726B">
              <w:rPr>
                <w:rFonts w:asciiTheme="minorHAnsi" w:eastAsiaTheme="minorEastAsia" w:hAnsiTheme="minorHAnsi" w:cstheme="minorBidi"/>
                <w:smallCaps w:val="0"/>
                <w:noProof/>
                <w:sz w:val="22"/>
                <w:szCs w:val="22"/>
                <w:lang w:eastAsia="it-IT"/>
              </w:rPr>
              <w:tab/>
            </w:r>
            <w:r w:rsidR="001E726B" w:rsidRPr="00A44500">
              <w:rPr>
                <w:rStyle w:val="Collegamentoipertestuale"/>
                <w:rFonts w:ascii="Titillium" w:hAnsi="Titillium"/>
                <w:noProof/>
              </w:rPr>
              <w:t>TRATTAMENTO DEI DATI PERSONALI</w:t>
            </w:r>
            <w:r w:rsidR="001E726B">
              <w:rPr>
                <w:noProof/>
              </w:rPr>
              <w:tab/>
            </w:r>
            <w:r w:rsidR="001E726B">
              <w:rPr>
                <w:noProof/>
              </w:rPr>
              <w:fldChar w:fldCharType="begin"/>
            </w:r>
            <w:r w:rsidR="001E726B">
              <w:rPr>
                <w:noProof/>
              </w:rPr>
              <w:instrText xml:space="preserve"> PAGEREF _Toc139549460 \h </w:instrText>
            </w:r>
            <w:r w:rsidR="001E726B">
              <w:rPr>
                <w:noProof/>
              </w:rPr>
            </w:r>
            <w:r w:rsidR="001E726B">
              <w:rPr>
                <w:noProof/>
              </w:rPr>
              <w:fldChar w:fldCharType="separate"/>
            </w:r>
            <w:r w:rsidR="001E726B">
              <w:rPr>
                <w:noProof/>
              </w:rPr>
              <w:t>46</w:t>
            </w:r>
            <w:r w:rsidR="001E726B">
              <w:rPr>
                <w:noProof/>
              </w:rPr>
              <w:fldChar w:fldCharType="end"/>
            </w:r>
          </w:hyperlink>
        </w:p>
        <w:p w14:paraId="146A3934" w14:textId="2F05A4F3" w:rsidR="004C53A8" w:rsidRDefault="00870286">
          <w:pPr>
            <w:pStyle w:val="Sommario2"/>
            <w:rPr>
              <w:rFonts w:asciiTheme="minorHAnsi" w:eastAsiaTheme="minorEastAsia" w:hAnsiTheme="minorHAnsi" w:cstheme="minorBidi"/>
              <w:smallCaps w:val="0"/>
              <w:sz w:val="22"/>
              <w:szCs w:val="22"/>
              <w:lang w:eastAsia="it-IT"/>
            </w:rPr>
          </w:pPr>
          <w:r>
            <w:rPr>
              <w:rStyle w:val="Saltoaindice"/>
            </w:rPr>
            <w:fldChar w:fldCharType="end"/>
          </w:r>
        </w:p>
      </w:sdtContent>
    </w:sdt>
    <w:p w14:paraId="4A21364A" w14:textId="77777777" w:rsidR="004C53A8" w:rsidRPr="009560B2" w:rsidRDefault="004C53A8" w:rsidP="00BC51C4">
      <w:pPr>
        <w:pStyle w:val="Sommario1"/>
      </w:pPr>
    </w:p>
    <w:p w14:paraId="772C89C6" w14:textId="77777777" w:rsidR="004C53A8" w:rsidRPr="0083544E" w:rsidRDefault="004C53A8">
      <w:pPr>
        <w:pStyle w:val="Sommario2"/>
        <w:rPr>
          <w:lang w:eastAsia="it-IT"/>
        </w:rPr>
      </w:pPr>
    </w:p>
    <w:p w14:paraId="02AE696B" w14:textId="77777777" w:rsidR="004C53A8" w:rsidRPr="0083544E" w:rsidRDefault="004C53A8">
      <w:pPr>
        <w:pStyle w:val="Sommario2"/>
        <w:rPr>
          <w:lang w:eastAsia="it-IT"/>
        </w:rPr>
      </w:pPr>
    </w:p>
    <w:p w14:paraId="780EE457" w14:textId="77777777" w:rsidR="004C53A8" w:rsidRPr="0083544E" w:rsidRDefault="004C53A8">
      <w:pPr>
        <w:pStyle w:val="Sommario2"/>
        <w:rPr>
          <w:lang w:eastAsia="it-IT"/>
        </w:rPr>
      </w:pPr>
    </w:p>
    <w:p w14:paraId="6E5ADFD5" w14:textId="77777777" w:rsidR="004C53A8" w:rsidRPr="0083544E" w:rsidRDefault="004C53A8">
      <w:pPr>
        <w:pStyle w:val="Sommario2"/>
        <w:rPr>
          <w:lang w:eastAsia="it-IT"/>
        </w:rPr>
      </w:pPr>
    </w:p>
    <w:p w14:paraId="2F49D375" w14:textId="77777777" w:rsidR="004C53A8" w:rsidRPr="0083544E" w:rsidRDefault="004C53A8">
      <w:pPr>
        <w:pStyle w:val="Sommario2"/>
        <w:rPr>
          <w:lang w:eastAsia="it-IT"/>
        </w:rPr>
      </w:pPr>
    </w:p>
    <w:p w14:paraId="3E420AB1" w14:textId="77777777" w:rsidR="004C53A8" w:rsidRDefault="00870286">
      <w:pPr>
        <w:widowControl w:val="0"/>
        <w:spacing w:before="60" w:after="60"/>
        <w:rPr>
          <w:rFonts w:ascii="Titillium" w:hAnsi="Titillium" w:cs="Calibri"/>
          <w:szCs w:val="24"/>
          <w:lang w:eastAsia="it-IT"/>
        </w:rPr>
      </w:pPr>
      <w:r>
        <w:br w:type="page"/>
      </w:r>
    </w:p>
    <w:p w14:paraId="06A10451" w14:textId="77777777" w:rsidR="004C53A8" w:rsidRDefault="00870286">
      <w:pPr>
        <w:pStyle w:val="Titolo1"/>
        <w:spacing w:before="100" w:after="100"/>
      </w:pPr>
      <w:bookmarkStart w:id="0" w:name="_Toc492630594"/>
      <w:bookmarkStart w:id="1" w:name="_Toc139549406"/>
      <w:r>
        <w:rPr>
          <w:rFonts w:ascii="Titillium" w:hAnsi="Titillium"/>
          <w:sz w:val="18"/>
          <w:szCs w:val="18"/>
          <w:lang w:val="it-IT"/>
        </w:rPr>
        <w:lastRenderedPageBreak/>
        <w:t xml:space="preserve">AMBITO DI APPLICAZIONE E </w:t>
      </w:r>
      <w:r>
        <w:rPr>
          <w:rFonts w:ascii="Titillium" w:hAnsi="Titillium"/>
          <w:sz w:val="18"/>
          <w:szCs w:val="18"/>
        </w:rPr>
        <w:t>ISTRUZIONI PER LA COMPILAZIONE</w:t>
      </w:r>
      <w:bookmarkEnd w:id="0"/>
      <w:bookmarkEnd w:id="1"/>
      <w:r>
        <w:rPr>
          <w:rFonts w:ascii="Titillium" w:hAnsi="Titillium"/>
          <w:sz w:val="18"/>
          <w:szCs w:val="18"/>
        </w:rPr>
        <w:t xml:space="preserve"> </w:t>
      </w:r>
    </w:p>
    <w:p w14:paraId="6A2F4CFF" w14:textId="2DFA9081" w:rsidR="004C53A8" w:rsidRPr="00851D38" w:rsidRDefault="00870286">
      <w:pPr>
        <w:widowControl w:val="0"/>
        <w:rPr>
          <w:rFonts w:ascii="Titillium" w:hAnsi="Titillium" w:cs="Calibri"/>
          <w:sz w:val="18"/>
          <w:szCs w:val="18"/>
          <w:lang w:eastAsia="it-IT"/>
        </w:rPr>
      </w:pPr>
      <w:r>
        <w:rPr>
          <w:rFonts w:ascii="Titillium" w:hAnsi="Titillium" w:cs="Calibri"/>
          <w:sz w:val="18"/>
          <w:szCs w:val="18"/>
          <w:lang w:eastAsia="it-IT"/>
        </w:rPr>
        <w:t>Il presente Disciplinare tipo si applica a</w:t>
      </w:r>
      <w:r w:rsidR="006F5DBA">
        <w:rPr>
          <w:rFonts w:ascii="Titillium" w:hAnsi="Titillium" w:cs="Calibri"/>
          <w:sz w:val="18"/>
          <w:szCs w:val="18"/>
          <w:lang w:eastAsia="it-IT"/>
        </w:rPr>
        <w:t xml:space="preserve">lle </w:t>
      </w:r>
      <w:r>
        <w:rPr>
          <w:rFonts w:ascii="Titillium" w:hAnsi="Titillium" w:cs="Calibri"/>
          <w:sz w:val="18"/>
          <w:szCs w:val="18"/>
          <w:lang w:eastAsia="it-IT"/>
        </w:rPr>
        <w:t>procedure aperte</w:t>
      </w:r>
      <w:r w:rsidR="008816E2">
        <w:rPr>
          <w:rFonts w:ascii="Titillium" w:hAnsi="Titillium" w:cs="Calibri"/>
          <w:sz w:val="18"/>
          <w:szCs w:val="18"/>
          <w:lang w:eastAsia="it-IT"/>
        </w:rPr>
        <w:t xml:space="preserve"> </w:t>
      </w:r>
      <w:r w:rsidR="006F5DBA">
        <w:rPr>
          <w:rFonts w:ascii="Titillium" w:hAnsi="Titillium" w:cs="Calibri"/>
          <w:sz w:val="18"/>
          <w:szCs w:val="18"/>
          <w:lang w:eastAsia="it-IT"/>
        </w:rPr>
        <w:t xml:space="preserve">aventi ad </w:t>
      </w:r>
      <w:r w:rsidR="00E11EBF">
        <w:rPr>
          <w:rFonts w:ascii="Titillium" w:hAnsi="Titillium" w:cs="Calibri"/>
          <w:sz w:val="18"/>
          <w:szCs w:val="18"/>
          <w:lang w:eastAsia="it-IT"/>
        </w:rPr>
        <w:t>oggetto l’affidamento</w:t>
      </w:r>
      <w:r>
        <w:rPr>
          <w:rFonts w:ascii="Titillium" w:hAnsi="Titillium" w:cs="Calibri"/>
          <w:sz w:val="18"/>
          <w:szCs w:val="18"/>
          <w:lang w:eastAsia="it-IT"/>
        </w:rPr>
        <w:t xml:space="preserve"> di contratti pubblici di servizi e forniture nei settori ordinari di importo pari o superiore all</w:t>
      </w:r>
      <w:r w:rsidR="0061733B">
        <w:rPr>
          <w:rFonts w:ascii="Titillium" w:hAnsi="Titillium" w:cs="Calibri"/>
          <w:sz w:val="18"/>
          <w:szCs w:val="18"/>
          <w:lang w:eastAsia="it-IT"/>
        </w:rPr>
        <w:t>e soglie di rilevanza europea</w:t>
      </w:r>
      <w:r>
        <w:rPr>
          <w:rFonts w:ascii="Titillium" w:hAnsi="Titillium" w:cs="Calibri"/>
          <w:sz w:val="18"/>
          <w:szCs w:val="18"/>
          <w:lang w:eastAsia="it-IT"/>
        </w:rPr>
        <w:t xml:space="preserve">, con il criterio dell’offerta </w:t>
      </w:r>
      <w:r w:rsidRPr="00851D38">
        <w:rPr>
          <w:rFonts w:ascii="Titillium" w:hAnsi="Titillium" w:cs="Calibri"/>
          <w:sz w:val="18"/>
          <w:szCs w:val="18"/>
          <w:lang w:eastAsia="it-IT"/>
        </w:rPr>
        <w:t>economicamente più vantaggiosa sulla base del miglior rapporto qualità/prezzo.</w:t>
      </w:r>
    </w:p>
    <w:p w14:paraId="33A9CDF8" w14:textId="79359C27" w:rsidR="004C53A8" w:rsidRPr="00851D38" w:rsidRDefault="00870286">
      <w:pPr>
        <w:widowControl w:val="0"/>
      </w:pPr>
      <w:r w:rsidRPr="00851D38">
        <w:rPr>
          <w:rFonts w:ascii="Titillium" w:hAnsi="Titillium" w:cs="Calibri"/>
          <w:sz w:val="18"/>
          <w:szCs w:val="18"/>
          <w:lang w:eastAsia="it-IT"/>
        </w:rPr>
        <w:t xml:space="preserve">Le parti del presente Disciplinare tipo, indicate con carattere normale, rappresentano l’ipotesi base di formulazione. </w:t>
      </w:r>
      <w:r w:rsidRPr="00851D38">
        <w:rPr>
          <w:rFonts w:ascii="Titillium" w:hAnsi="Titillium" w:cs="Calibri"/>
          <w:sz w:val="18"/>
          <w:szCs w:val="18"/>
        </w:rPr>
        <w:t>In tale modello base sono evidenziate le parti variabili o opzionali, mediante il ricorso a corsivo o parentesi quadre, come di seguito specificato.</w:t>
      </w:r>
    </w:p>
    <w:p w14:paraId="144F7C30" w14:textId="658819B2" w:rsidR="004C53A8" w:rsidRPr="00851D38" w:rsidRDefault="00870286">
      <w:pPr>
        <w:widowControl w:val="0"/>
        <w:spacing w:before="60" w:after="60"/>
        <w:rPr>
          <w:rFonts w:ascii="Titillium" w:hAnsi="Titillium" w:cs="Calibri"/>
          <w:sz w:val="18"/>
          <w:szCs w:val="18"/>
          <w:lang w:eastAsia="it-IT"/>
        </w:rPr>
      </w:pPr>
      <w:r w:rsidRPr="00851D38">
        <w:rPr>
          <w:rFonts w:ascii="Titillium" w:hAnsi="Titillium" w:cs="Calibri"/>
          <w:sz w:val="18"/>
          <w:szCs w:val="18"/>
          <w:lang w:eastAsia="it-IT"/>
        </w:rPr>
        <w:t xml:space="preserve">Il presente schema </w:t>
      </w:r>
      <w:r w:rsidR="002E6022" w:rsidRPr="00851D38">
        <w:rPr>
          <w:rFonts w:ascii="Titillium" w:hAnsi="Titillium" w:cs="Calibri"/>
          <w:sz w:val="18"/>
          <w:szCs w:val="18"/>
          <w:lang w:eastAsia="it-IT"/>
        </w:rPr>
        <w:t xml:space="preserve">recepisce </w:t>
      </w:r>
      <w:r w:rsidRPr="00851D38">
        <w:rPr>
          <w:rFonts w:ascii="Titillium" w:hAnsi="Titillium" w:cs="Calibri"/>
          <w:sz w:val="18"/>
          <w:szCs w:val="18"/>
          <w:lang w:eastAsia="it-IT"/>
        </w:rPr>
        <w:t>la normativa vigente e</w:t>
      </w:r>
      <w:r w:rsidR="006605E1" w:rsidRPr="00851D38">
        <w:rPr>
          <w:rFonts w:ascii="Titillium" w:hAnsi="Titillium" w:cs="Calibri"/>
          <w:sz w:val="18"/>
          <w:szCs w:val="18"/>
          <w:lang w:eastAsia="it-IT"/>
        </w:rPr>
        <w:t>,</w:t>
      </w:r>
      <w:r w:rsidRPr="00851D38">
        <w:rPr>
          <w:rFonts w:ascii="Titillium" w:hAnsi="Titillium" w:cs="Calibri"/>
          <w:sz w:val="18"/>
          <w:szCs w:val="18"/>
          <w:lang w:eastAsia="it-IT"/>
        </w:rPr>
        <w:t xml:space="preserve"> </w:t>
      </w:r>
      <w:r w:rsidR="007F250F" w:rsidRPr="00851D38">
        <w:rPr>
          <w:rFonts w:ascii="Titillium" w:hAnsi="Titillium" w:cs="Calibri"/>
          <w:sz w:val="18"/>
          <w:szCs w:val="18"/>
          <w:lang w:eastAsia="it-IT"/>
        </w:rPr>
        <w:t>in particolare</w:t>
      </w:r>
      <w:r w:rsidR="00C339B8">
        <w:rPr>
          <w:rFonts w:ascii="Titillium" w:hAnsi="Titillium" w:cs="Calibri"/>
          <w:sz w:val="18"/>
          <w:szCs w:val="18"/>
          <w:lang w:eastAsia="it-IT"/>
        </w:rPr>
        <w:t>,</w:t>
      </w:r>
      <w:r w:rsidR="00763413" w:rsidRPr="00851D38">
        <w:rPr>
          <w:rFonts w:ascii="Titillium" w:hAnsi="Titillium" w:cs="Calibri"/>
          <w:sz w:val="18"/>
          <w:szCs w:val="18"/>
          <w:lang w:eastAsia="it-IT"/>
        </w:rPr>
        <w:t xml:space="preserve"> il decreto legislativo 31 marzo 2023, n. 36</w:t>
      </w:r>
      <w:r w:rsidR="005B3B42">
        <w:rPr>
          <w:rFonts w:ascii="Titillium" w:hAnsi="Titillium" w:cs="Calibri"/>
          <w:sz w:val="18"/>
          <w:szCs w:val="18"/>
          <w:lang w:eastAsia="it-IT"/>
        </w:rPr>
        <w:t>.</w:t>
      </w:r>
    </w:p>
    <w:p w14:paraId="485BEFCA" w14:textId="53BECF64" w:rsidR="004C53A8" w:rsidRDefault="007A654B">
      <w:pPr>
        <w:widowControl w:val="0"/>
        <w:spacing w:before="60" w:after="60"/>
        <w:rPr>
          <w:rFonts w:ascii="Titillium" w:hAnsi="Titillium" w:cs="Calibri"/>
          <w:sz w:val="18"/>
          <w:szCs w:val="18"/>
          <w:lang w:eastAsia="it-IT"/>
        </w:rPr>
      </w:pPr>
      <w:r>
        <w:rPr>
          <w:rFonts w:ascii="Titillium" w:hAnsi="Titillium" w:cs="Calibri"/>
          <w:sz w:val="18"/>
          <w:szCs w:val="18"/>
          <w:lang w:eastAsia="it-IT"/>
        </w:rPr>
        <w:t xml:space="preserve">Lo schema di disciplinare di gara </w:t>
      </w:r>
      <w:r w:rsidR="00870286" w:rsidRPr="00851D38">
        <w:rPr>
          <w:rFonts w:ascii="Titillium" w:hAnsi="Titillium" w:cs="Calibri"/>
          <w:sz w:val="18"/>
          <w:szCs w:val="18"/>
          <w:lang w:eastAsia="it-IT"/>
        </w:rPr>
        <w:t>acquista efficacia il quindicesimo giorno successivo alla pubblicazione nella Gazzetta Ufficiale della Repubblica</w:t>
      </w:r>
      <w:r w:rsidR="00870286" w:rsidRPr="00352F6C">
        <w:rPr>
          <w:rFonts w:ascii="Titillium" w:hAnsi="Titillium" w:cs="Calibri"/>
          <w:sz w:val="18"/>
          <w:szCs w:val="18"/>
          <w:lang w:eastAsia="it-IT"/>
        </w:rPr>
        <w:t xml:space="preserve"> Italiana.</w:t>
      </w:r>
    </w:p>
    <w:p w14:paraId="0A0AF4A0" w14:textId="77777777" w:rsidR="004C53A8" w:rsidRDefault="004C53A8">
      <w:pPr>
        <w:widowControl w:val="0"/>
        <w:spacing w:before="60" w:after="60"/>
        <w:rPr>
          <w:rFonts w:ascii="Titillium" w:hAnsi="Titillium" w:cs="Calibri"/>
          <w:szCs w:val="24"/>
          <w:lang w:eastAsia="it-IT"/>
        </w:rPr>
      </w:pPr>
    </w:p>
    <w:p w14:paraId="6157423D" w14:textId="77777777" w:rsidR="004C53A8" w:rsidRPr="00763413" w:rsidRDefault="00870286" w:rsidP="00763413">
      <w:pPr>
        <w:pStyle w:val="Paragrafoelenco"/>
        <w:widowControl w:val="0"/>
        <w:numPr>
          <w:ilvl w:val="0"/>
          <w:numId w:val="9"/>
        </w:numPr>
        <w:spacing w:before="60" w:after="60"/>
        <w:ind w:left="284" w:hanging="284"/>
        <w:rPr>
          <w:rFonts w:ascii="Titillium" w:hAnsi="Titillium" w:cs="Calibri"/>
          <w:b/>
          <w:smallCaps/>
          <w:sz w:val="18"/>
          <w:szCs w:val="18"/>
        </w:rPr>
      </w:pPr>
      <w:bookmarkStart w:id="2" w:name="_Toc406058360"/>
      <w:bookmarkStart w:id="3" w:name="_Toc403471254"/>
      <w:bookmarkStart w:id="4" w:name="_Toc397422847"/>
      <w:bookmarkStart w:id="5" w:name="_Toc397346806"/>
      <w:bookmarkStart w:id="6" w:name="_Toc393706891"/>
      <w:bookmarkStart w:id="7" w:name="_Toc393700818"/>
      <w:bookmarkStart w:id="8" w:name="_Toc393283159"/>
      <w:bookmarkStart w:id="9" w:name="_Toc393272643"/>
      <w:bookmarkStart w:id="10" w:name="_Toc393272585"/>
      <w:bookmarkStart w:id="11" w:name="_Toc393187829"/>
      <w:bookmarkStart w:id="12" w:name="_Toc393112110"/>
      <w:bookmarkStart w:id="13" w:name="_Toc393110546"/>
      <w:bookmarkStart w:id="14" w:name="_Toc392577479"/>
      <w:bookmarkStart w:id="15" w:name="_Toc391036039"/>
      <w:bookmarkStart w:id="16" w:name="_Toc391035966"/>
      <w:bookmarkStart w:id="17" w:name="_Toc380501854"/>
      <w:bookmarkStart w:id="18" w:name="_Toc416423343"/>
      <w:bookmarkStart w:id="19" w:name="_Toc406754160"/>
      <w:r>
        <w:rPr>
          <w:rFonts w:ascii="Titillium" w:hAnsi="Titillium" w:cs="Calibri"/>
          <w:b/>
          <w:smallCaps/>
          <w:sz w:val="18"/>
          <w:szCs w:val="18"/>
        </w:rPr>
        <w:t>informazioni da riportare in base alle esigenze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tillium" w:hAnsi="Titillium" w:cs="Calibri"/>
          <w:b/>
          <w:smallCaps/>
          <w:sz w:val="18"/>
          <w:szCs w:val="18"/>
        </w:rPr>
        <w:t xml:space="preserve"> della stazione appaltante</w:t>
      </w:r>
    </w:p>
    <w:p w14:paraId="6B950D20" w14:textId="77777777" w:rsidR="004C53A8" w:rsidRDefault="00870286">
      <w:pPr>
        <w:widowControl w:val="0"/>
        <w:spacing w:before="60" w:after="60"/>
      </w:pPr>
      <w:r>
        <w:rPr>
          <w:rFonts w:ascii="Titillium" w:hAnsi="Titillium" w:cs="Calibri"/>
          <w:sz w:val="18"/>
          <w:szCs w:val="18"/>
          <w:lang w:eastAsia="it-IT"/>
        </w:rPr>
        <w:t>Gli spazi lasciati liberi devono essere compilati dalla stazione appaltante in base alle caratteristiche specifiche dell’appalto</w:t>
      </w:r>
      <w:r>
        <w:rPr>
          <w:rFonts w:ascii="Titillium" w:hAnsi="Titillium" w:cs="Calibri"/>
          <w:sz w:val="18"/>
          <w:szCs w:val="18"/>
        </w:rPr>
        <w:t>. In tali parti, talvolta evidenziate tra parentesi quadre, sono contenuti esempi o è fornita una descrizione di come potrebbe essere riempito il relativo spazio da parte delle stazioni appaltanti.</w:t>
      </w:r>
    </w:p>
    <w:p w14:paraId="50258534"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62AE2492" w14:textId="0B8B66B7" w:rsidR="009911C6" w:rsidRDefault="009911C6">
      <w:pPr>
        <w:widowControl w:val="0"/>
        <w:spacing w:before="60" w:after="60"/>
        <w:rPr>
          <w:rFonts w:ascii="Titillium" w:hAnsi="Titillium" w:cs="Calibri"/>
          <w:sz w:val="18"/>
          <w:szCs w:val="18"/>
        </w:rPr>
      </w:pPr>
      <w:r>
        <w:rPr>
          <w:rFonts w:ascii="Titillium" w:hAnsi="Titillium" w:cs="Calibri"/>
          <w:sz w:val="18"/>
          <w:szCs w:val="18"/>
        </w:rPr>
        <w:t>«</w:t>
      </w: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conforme a quella indicata nel presente disciplinare e nel documento …  </w:t>
      </w:r>
      <w:r>
        <w:rPr>
          <w:rFonts w:ascii="Titillium" w:hAnsi="Titillium" w:cs="Calibri"/>
          <w:bCs/>
          <w:i/>
          <w:iCs/>
          <w:color w:val="000000"/>
          <w:sz w:val="18"/>
          <w:szCs w:val="18"/>
          <w:highlight w:val="white"/>
        </w:rPr>
        <w:t>[indicarne il nome, ad esempio Condizioni generali di utilizzo della Piattaforma per gare telematiche o Regolamento tecnico]</w:t>
      </w:r>
      <w:r>
        <w:rPr>
          <w:rFonts w:ascii="Titillium" w:hAnsi="Titillium" w:cs="Calibri"/>
          <w:bCs/>
          <w:iCs/>
          <w:color w:val="000000"/>
          <w:sz w:val="18"/>
          <w:szCs w:val="18"/>
          <w:highlight w:val="white"/>
        </w:rPr>
        <w:t>, che disciplina il funzionamento e l’utilizzo della Piattaforma</w:t>
      </w:r>
      <w:r>
        <w:rPr>
          <w:rFonts w:ascii="Titillium" w:hAnsi="Titillium" w:cs="Calibri"/>
          <w:sz w:val="18"/>
          <w:szCs w:val="18"/>
        </w:rPr>
        <w:t>».</w:t>
      </w:r>
    </w:p>
    <w:p w14:paraId="5BE66CC7" w14:textId="77777777" w:rsidR="004C53A8" w:rsidRDefault="004C53A8">
      <w:pPr>
        <w:widowControl w:val="0"/>
        <w:tabs>
          <w:tab w:val="left" w:pos="2520"/>
        </w:tabs>
        <w:spacing w:before="60" w:after="60"/>
        <w:ind w:right="-1"/>
        <w:rPr>
          <w:rFonts w:ascii="Titillium" w:hAnsi="Titillium" w:cs="Calibri"/>
          <w:szCs w:val="24"/>
          <w:lang w:eastAsia="it-IT"/>
        </w:rPr>
      </w:pPr>
    </w:p>
    <w:p w14:paraId="31E804C1" w14:textId="77777777" w:rsidR="004C53A8" w:rsidRPr="00763413" w:rsidRDefault="00870286" w:rsidP="00763413">
      <w:pPr>
        <w:pStyle w:val="Paragrafoelenco"/>
        <w:widowControl w:val="0"/>
        <w:numPr>
          <w:ilvl w:val="0"/>
          <w:numId w:val="9"/>
        </w:numPr>
        <w:spacing w:before="60" w:after="60"/>
        <w:ind w:left="284" w:hanging="284"/>
        <w:rPr>
          <w:rFonts w:ascii="Titillium" w:hAnsi="Titillium" w:cs="Calibri"/>
          <w:b/>
          <w:smallCaps/>
          <w:sz w:val="18"/>
          <w:szCs w:val="18"/>
        </w:rPr>
      </w:pPr>
      <w:bookmarkStart w:id="20" w:name="_Toc481159794"/>
      <w:bookmarkStart w:id="21" w:name="_Toc481159737"/>
      <w:bookmarkStart w:id="22" w:name="_Toc481159691"/>
      <w:bookmarkStart w:id="23" w:name="_Toc481159352"/>
      <w:bookmarkStart w:id="24" w:name="_Toc481158956"/>
      <w:bookmarkStart w:id="25" w:name="_Toc481159991"/>
      <w:bookmarkStart w:id="26" w:name="_Toc481159846"/>
      <w:bookmarkStart w:id="27" w:name="_Toc416423344"/>
      <w:bookmarkStart w:id="28" w:name="_Toc406754161"/>
      <w:bookmarkStart w:id="29" w:name="_Toc406058361"/>
      <w:bookmarkStart w:id="30" w:name="_Toc403471255"/>
      <w:bookmarkStart w:id="31" w:name="_Toc397422848"/>
      <w:bookmarkStart w:id="32" w:name="_Toc397346807"/>
      <w:bookmarkStart w:id="33" w:name="_Toc393706892"/>
      <w:bookmarkStart w:id="34" w:name="_Toc393700819"/>
      <w:bookmarkStart w:id="35" w:name="_Toc393283160"/>
      <w:bookmarkStart w:id="36" w:name="_Toc393272644"/>
      <w:bookmarkStart w:id="37" w:name="_Toc393272586"/>
      <w:bookmarkStart w:id="38" w:name="_Toc393187830"/>
      <w:bookmarkStart w:id="39" w:name="_Toc393112111"/>
      <w:bookmarkStart w:id="40" w:name="_Toc393110547"/>
      <w:bookmarkStart w:id="41" w:name="_Toc392577480"/>
      <w:bookmarkStart w:id="42" w:name="_Toc391036040"/>
      <w:bookmarkStart w:id="43" w:name="_Toc391035967"/>
      <w:bookmarkStart w:id="44" w:name="_Toc380501855"/>
      <w:bookmarkEnd w:id="20"/>
      <w:bookmarkEnd w:id="21"/>
      <w:bookmarkEnd w:id="22"/>
      <w:bookmarkEnd w:id="23"/>
      <w:bookmarkEnd w:id="24"/>
      <w:bookmarkEnd w:id="25"/>
      <w:bookmarkEnd w:id="26"/>
      <w:r w:rsidRPr="00763413">
        <w:rPr>
          <w:rFonts w:ascii="Titillium" w:hAnsi="Titillium" w:cs="Calibri"/>
          <w:b/>
          <w:smallCaps/>
          <w:sz w:val="18"/>
          <w:szCs w:val="18"/>
        </w:rPr>
        <w:t>ipotesi alternative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D0B409F" w14:textId="77777777" w:rsidR="004C53A8" w:rsidRDefault="00870286">
      <w:pPr>
        <w:widowControl w:val="0"/>
      </w:pPr>
      <w:r>
        <w:rPr>
          <w:rFonts w:ascii="Titillium" w:hAnsi="Titillium" w:cs="Calibri"/>
          <w:sz w:val="18"/>
          <w:szCs w:val="18"/>
          <w:lang w:eastAsia="it-IT"/>
        </w:rPr>
        <w:t xml:space="preserve">Le clausole alternative sono segnalate dalle espressioni: </w:t>
      </w:r>
      <w:r>
        <w:rPr>
          <w:rFonts w:ascii="Titillium" w:hAnsi="Titillium" w:cs="Calibri"/>
          <w:b/>
          <w:i/>
          <w:sz w:val="18"/>
          <w:szCs w:val="18"/>
        </w:rPr>
        <w:t>[</w:t>
      </w:r>
      <w:r>
        <w:rPr>
          <w:rFonts w:ascii="Titillium" w:hAnsi="Titillium" w:cs="Calibri"/>
          <w:b/>
          <w:i/>
          <w:sz w:val="18"/>
          <w:szCs w:val="18"/>
          <w:lang w:eastAsia="it-IT"/>
        </w:rPr>
        <w:t>o in alternativa]</w:t>
      </w:r>
      <w:r>
        <w:rPr>
          <w:rFonts w:ascii="Titillium" w:hAnsi="Titillium" w:cs="Calibri"/>
          <w:sz w:val="18"/>
          <w:szCs w:val="18"/>
        </w:rPr>
        <w:t xml:space="preserve"> o </w:t>
      </w:r>
      <w:r>
        <w:rPr>
          <w:rFonts w:ascii="Titillium" w:hAnsi="Titillium" w:cs="Calibri"/>
          <w:b/>
          <w:i/>
          <w:sz w:val="18"/>
          <w:szCs w:val="18"/>
        </w:rPr>
        <w:t>[oppure]</w:t>
      </w:r>
      <w:r>
        <w:rPr>
          <w:rFonts w:ascii="Titillium" w:hAnsi="Titillium" w:cs="Calibri"/>
          <w:i/>
          <w:sz w:val="18"/>
          <w:szCs w:val="18"/>
        </w:rPr>
        <w:t xml:space="preserve">. </w:t>
      </w:r>
      <w:r>
        <w:rPr>
          <w:rFonts w:ascii="Titillium" w:hAnsi="Titillium" w:cs="Calibri"/>
          <w:sz w:val="18"/>
          <w:szCs w:val="18"/>
        </w:rPr>
        <w:t xml:space="preserve">La stazione appaltante </w:t>
      </w:r>
      <w:r>
        <w:rPr>
          <w:rFonts w:ascii="Titillium" w:hAnsi="Titillium" w:cs="Calibri"/>
          <w:sz w:val="18"/>
          <w:szCs w:val="18"/>
          <w:lang w:eastAsia="it-IT"/>
        </w:rPr>
        <w:t>sceglie la clausola che ritiene più opportuna.</w:t>
      </w:r>
    </w:p>
    <w:p w14:paraId="23BAEBCE" w14:textId="3C7394E8"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2AFEDE2C" w14:textId="48DB1322" w:rsidR="00763413" w:rsidRDefault="00763413" w:rsidP="00763413">
      <w:pPr>
        <w:spacing w:before="60" w:after="60"/>
        <w:rPr>
          <w:rFonts w:ascii="Titillium" w:hAnsi="Titillium" w:cs="Calibri"/>
          <w:i/>
          <w:sz w:val="18"/>
          <w:szCs w:val="18"/>
        </w:rPr>
      </w:pPr>
      <w:r>
        <w:rPr>
          <w:rFonts w:ascii="Titillium" w:hAnsi="Titillium" w:cs="Calibri"/>
          <w:sz w:val="18"/>
          <w:szCs w:val="18"/>
          <w:lang w:eastAsia="it-IT"/>
        </w:rPr>
        <w:t>«</w:t>
      </w:r>
      <w:r w:rsidR="00D95F9F">
        <w:rPr>
          <w:rFonts w:ascii="Titillium" w:hAnsi="Titillium" w:cs="Calibri"/>
          <w:sz w:val="18"/>
          <w:szCs w:val="18"/>
        </w:rPr>
        <w:t xml:space="preserve">Le richieste di chiarimenti e le relative risposte sono formulate esclusivamente in lingua italiana </w:t>
      </w:r>
      <w:r w:rsidR="00D95F9F" w:rsidRPr="00840480">
        <w:rPr>
          <w:rFonts w:ascii="Titillium" w:hAnsi="Titillium" w:cs="Calibri"/>
          <w:b/>
          <w:i/>
          <w:iCs/>
          <w:sz w:val="18"/>
          <w:szCs w:val="18"/>
        </w:rPr>
        <w:t xml:space="preserve">[in alternativa </w:t>
      </w:r>
      <w:r w:rsidR="00D95F9F" w:rsidRPr="00840480">
        <w:rPr>
          <w:rFonts w:ascii="Titillium" w:hAnsi="Titillium" w:cs="Calibri"/>
          <w:i/>
          <w:iCs/>
          <w:sz w:val="18"/>
          <w:szCs w:val="18"/>
        </w:rPr>
        <w:t>in caso di bilinguismo]</w:t>
      </w:r>
      <w:r w:rsidR="00D95F9F" w:rsidRPr="005A60DC">
        <w:rPr>
          <w:rFonts w:ascii="Titillium" w:hAnsi="Titillium" w:cs="Calibri"/>
          <w:b/>
          <w:sz w:val="18"/>
          <w:szCs w:val="18"/>
        </w:rPr>
        <w:t xml:space="preserve"> </w:t>
      </w:r>
      <w:r w:rsidR="00D95F9F">
        <w:rPr>
          <w:rFonts w:ascii="Titillium" w:hAnsi="Titillium" w:cs="Calibri"/>
          <w:sz w:val="18"/>
          <w:szCs w:val="18"/>
        </w:rPr>
        <w:t xml:space="preserve">Le richieste di chiarimenti e le relative risposte sono formulate in lingua </w:t>
      </w:r>
      <w:r w:rsidR="00D95F9F" w:rsidRPr="00C93A93">
        <w:rPr>
          <w:rFonts w:ascii="Titillium" w:hAnsi="Titillium" w:cs="Calibri"/>
          <w:sz w:val="18"/>
          <w:szCs w:val="18"/>
          <w:lang w:eastAsia="it-IT"/>
        </w:rPr>
        <w:t>italiana</w:t>
      </w:r>
      <w:r w:rsidR="00D95F9F">
        <w:rPr>
          <w:rFonts w:ascii="Titillium" w:hAnsi="Titillium" w:cs="Calibri"/>
          <w:sz w:val="18"/>
          <w:szCs w:val="18"/>
          <w:lang w:eastAsia="it-IT"/>
        </w:rPr>
        <w:t xml:space="preserve"> [</w:t>
      </w:r>
      <w:r w:rsidR="00D95F9F" w:rsidRPr="00B44957">
        <w:rPr>
          <w:rFonts w:ascii="Titillium" w:hAnsi="Titillium" w:cs="Calibri"/>
          <w:i/>
          <w:sz w:val="18"/>
          <w:szCs w:val="18"/>
          <w:lang w:eastAsia="it-IT"/>
        </w:rPr>
        <w:t>e, o specificare</w:t>
      </w:r>
      <w:r w:rsidR="00D95F9F">
        <w:rPr>
          <w:rFonts w:ascii="Titillium" w:hAnsi="Titillium" w:cs="Calibri"/>
          <w:sz w:val="18"/>
          <w:szCs w:val="18"/>
          <w:lang w:eastAsia="it-IT"/>
        </w:rPr>
        <w:t xml:space="preserve">] </w:t>
      </w:r>
      <w:r w:rsidR="00D95F9F">
        <w:rPr>
          <w:rFonts w:ascii="Titillium" w:hAnsi="Titillium" w:cs="Calibri"/>
          <w:sz w:val="18"/>
          <w:szCs w:val="18"/>
        </w:rPr>
        <w:t xml:space="preserve">… </w:t>
      </w:r>
      <w:r w:rsidR="00D95F9F" w:rsidRPr="00331E4A">
        <w:rPr>
          <w:rFonts w:ascii="Titillium" w:hAnsi="Titillium" w:cs="Calibri"/>
          <w:i/>
          <w:sz w:val="18"/>
          <w:szCs w:val="18"/>
        </w:rPr>
        <w:t>[indicare l’altra lingua]</w:t>
      </w:r>
      <w:r>
        <w:rPr>
          <w:rFonts w:ascii="Titillium" w:hAnsi="Titillium" w:cs="Calibri"/>
          <w:sz w:val="18"/>
          <w:szCs w:val="18"/>
          <w:lang w:eastAsia="it-IT"/>
        </w:rPr>
        <w:t>»</w:t>
      </w:r>
    </w:p>
    <w:p w14:paraId="39245648" w14:textId="77777777" w:rsidR="00763413" w:rsidRDefault="00763413">
      <w:pPr>
        <w:widowControl w:val="0"/>
        <w:rPr>
          <w:rFonts w:ascii="Titillium" w:hAnsi="Titillium" w:cs="Calibri"/>
          <w:sz w:val="18"/>
          <w:szCs w:val="18"/>
          <w:lang w:eastAsia="it-IT"/>
        </w:rPr>
      </w:pPr>
    </w:p>
    <w:p w14:paraId="06FCBED3"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45" w:name="_Toc481159797"/>
      <w:bookmarkStart w:id="46" w:name="_Toc481159740"/>
      <w:bookmarkStart w:id="47" w:name="_Toc481159694"/>
      <w:bookmarkStart w:id="48" w:name="_Toc481159355"/>
      <w:bookmarkStart w:id="49" w:name="_Toc481158959"/>
      <w:bookmarkStart w:id="50" w:name="_Toc481159994"/>
      <w:bookmarkStart w:id="51" w:name="_Toc481159849"/>
      <w:bookmarkStart w:id="52" w:name="_Toc416423349"/>
      <w:bookmarkStart w:id="53" w:name="_Toc406754163"/>
      <w:bookmarkStart w:id="54" w:name="_Toc406058363"/>
      <w:bookmarkStart w:id="55" w:name="_Toc403471257"/>
      <w:bookmarkStart w:id="56" w:name="_Toc397422850"/>
      <w:bookmarkStart w:id="57" w:name="_Toc397346809"/>
      <w:bookmarkStart w:id="58" w:name="_Toc393706894"/>
      <w:bookmarkStart w:id="59" w:name="_Toc393700821"/>
      <w:bookmarkStart w:id="60" w:name="_Toc393283162"/>
      <w:bookmarkStart w:id="61" w:name="_Toc393272646"/>
      <w:bookmarkStart w:id="62" w:name="_Toc393272588"/>
      <w:bookmarkStart w:id="63" w:name="_Toc393187832"/>
      <w:bookmarkStart w:id="64" w:name="_Toc393112113"/>
      <w:bookmarkStart w:id="65" w:name="_Toc393110549"/>
      <w:bookmarkStart w:id="66" w:name="_Toc392577482"/>
      <w:bookmarkStart w:id="67" w:name="_Toc391036042"/>
      <w:bookmarkStart w:id="68" w:name="_Toc391035969"/>
      <w:bookmarkStart w:id="69" w:name="_Toc380501857"/>
      <w:bookmarkEnd w:id="45"/>
      <w:bookmarkEnd w:id="46"/>
      <w:bookmarkEnd w:id="47"/>
      <w:bookmarkEnd w:id="48"/>
      <w:bookmarkEnd w:id="49"/>
      <w:bookmarkEnd w:id="50"/>
      <w:bookmarkEnd w:id="51"/>
      <w:r>
        <w:rPr>
          <w:rFonts w:ascii="Titillium" w:hAnsi="Titillium" w:cs="Calibri"/>
          <w:b/>
          <w:smallCaps/>
          <w:sz w:val="18"/>
          <w:szCs w:val="18"/>
        </w:rPr>
        <w:t>parti eventuali e facoltative</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9315894" w14:textId="77777777" w:rsidR="004C53A8" w:rsidRDefault="00870286">
      <w:pPr>
        <w:widowControl w:val="0"/>
        <w:spacing w:before="60"/>
      </w:pPr>
      <w:r>
        <w:rPr>
          <w:rFonts w:ascii="Titillium" w:hAnsi="Titillium" w:cs="Calibri"/>
          <w:sz w:val="18"/>
          <w:szCs w:val="18"/>
          <w:lang w:eastAsia="it-IT"/>
        </w:rPr>
        <w:t xml:space="preserve">Le clausole eventuali e facoltative sono precedute da espressioni quali </w:t>
      </w:r>
      <w:r>
        <w:rPr>
          <w:rFonts w:ascii="Titillium" w:hAnsi="Titillium" w:cs="Calibri"/>
          <w:b/>
          <w:i/>
          <w:sz w:val="18"/>
          <w:szCs w:val="18"/>
          <w:lang w:eastAsia="it-IT"/>
        </w:rPr>
        <w:t>[</w:t>
      </w:r>
      <w:r>
        <w:rPr>
          <w:rFonts w:ascii="Titillium" w:hAnsi="Titillium" w:cs="Calibri"/>
          <w:b/>
          <w:i/>
          <w:sz w:val="18"/>
          <w:szCs w:val="18"/>
        </w:rPr>
        <w:t>Facoltativo</w:t>
      </w:r>
      <w:r>
        <w:rPr>
          <w:rFonts w:ascii="Titillium" w:hAnsi="Titillium" w:cs="Calibri"/>
          <w:b/>
          <w:i/>
          <w:sz w:val="18"/>
          <w:szCs w:val="18"/>
          <w:lang w:eastAsia="it-IT"/>
        </w:rPr>
        <w:t>]</w:t>
      </w:r>
      <w:r>
        <w:rPr>
          <w:rFonts w:ascii="Titillium" w:hAnsi="Titillium" w:cs="Calibri"/>
          <w:i/>
          <w:sz w:val="18"/>
          <w:szCs w:val="18"/>
          <w:lang w:eastAsia="it-IT"/>
        </w:rPr>
        <w:t>,</w:t>
      </w:r>
      <w:r>
        <w:rPr>
          <w:rFonts w:ascii="Titillium" w:hAnsi="Titillium" w:cs="Calibri"/>
          <w:b/>
          <w:i/>
          <w:sz w:val="18"/>
          <w:szCs w:val="18"/>
          <w:lang w:eastAsia="it-IT"/>
        </w:rPr>
        <w:t xml:space="preserve"> [Se richiesto…],</w:t>
      </w:r>
      <w:r>
        <w:rPr>
          <w:rFonts w:ascii="Titillium" w:hAnsi="Titillium" w:cs="Calibri"/>
          <w:sz w:val="18"/>
          <w:szCs w:val="18"/>
        </w:rPr>
        <w:t xml:space="preserve"> </w:t>
      </w:r>
      <w:r>
        <w:rPr>
          <w:rFonts w:ascii="Titillium" w:hAnsi="Titillium" w:cs="Calibri"/>
          <w:b/>
          <w:i/>
          <w:sz w:val="18"/>
          <w:szCs w:val="18"/>
        </w:rPr>
        <w:t>[</w:t>
      </w:r>
      <w:r>
        <w:rPr>
          <w:rFonts w:ascii="Titillium" w:hAnsi="Titillium" w:cs="Calibri"/>
          <w:b/>
          <w:i/>
          <w:sz w:val="18"/>
          <w:szCs w:val="18"/>
          <w:lang w:eastAsia="it-IT"/>
        </w:rPr>
        <w:t>In caso di …]</w:t>
      </w:r>
      <w:r>
        <w:rPr>
          <w:rFonts w:ascii="Titillium" w:hAnsi="Titillium" w:cs="Calibri"/>
          <w:i/>
          <w:sz w:val="18"/>
          <w:szCs w:val="18"/>
          <w:lang w:eastAsia="it-IT"/>
        </w:rPr>
        <w:t xml:space="preserve"> </w:t>
      </w:r>
      <w:r>
        <w:rPr>
          <w:rFonts w:ascii="Titillium" w:hAnsi="Titillium" w:cs="Calibri"/>
          <w:sz w:val="18"/>
          <w:szCs w:val="18"/>
          <w:lang w:eastAsia="it-IT"/>
        </w:rPr>
        <w:t>etc. La stazione appaltante sceglie se inserire o meno la clausola.</w:t>
      </w:r>
    </w:p>
    <w:p w14:paraId="651FFAE2" w14:textId="77777777"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09094726" w14:textId="77777777" w:rsidR="00D95F9F" w:rsidRPr="00E64307" w:rsidRDefault="00D95F9F" w:rsidP="00D95F9F">
      <w:pPr>
        <w:spacing w:before="120" w:after="60"/>
        <w:rPr>
          <w:rFonts w:ascii="Titillium" w:hAnsi="Titillium" w:cs="Calibri"/>
          <w:sz w:val="18"/>
          <w:szCs w:val="18"/>
        </w:rPr>
      </w:pPr>
      <w:r w:rsidRPr="00E64307">
        <w:rPr>
          <w:rFonts w:ascii="Titillium" w:hAnsi="Titillium" w:cs="Arial"/>
          <w:b/>
          <w:i/>
          <w:sz w:val="18"/>
          <w:szCs w:val="18"/>
        </w:rPr>
        <w:t>[</w:t>
      </w:r>
      <w:r>
        <w:rPr>
          <w:rFonts w:ascii="Titillium" w:hAnsi="Titillium" w:cs="Arial"/>
          <w:b/>
          <w:bCs/>
          <w:i/>
          <w:sz w:val="18"/>
          <w:szCs w:val="18"/>
        </w:rPr>
        <w:t>In caso di</w:t>
      </w:r>
      <w:r w:rsidRPr="00E64307">
        <w:rPr>
          <w:rFonts w:ascii="Titillium" w:hAnsi="Titillium" w:cs="Arial"/>
          <w:b/>
          <w:bCs/>
          <w:i/>
          <w:sz w:val="18"/>
          <w:szCs w:val="18"/>
        </w:rPr>
        <w:t xml:space="preserve"> protocollo di legalità/patto di integrità</w:t>
      </w:r>
      <w:r w:rsidRPr="00E64307">
        <w:rPr>
          <w:rFonts w:ascii="Titillium" w:hAnsi="Titillium" w:cs="Arial"/>
          <w:b/>
          <w:i/>
          <w:sz w:val="18"/>
          <w:szCs w:val="18"/>
        </w:rPr>
        <w:t>]</w:t>
      </w:r>
      <w:r w:rsidRPr="00E64307">
        <w:rPr>
          <w:rFonts w:ascii="Titillium" w:hAnsi="Titillium" w:cs="Arial"/>
          <w:sz w:val="18"/>
          <w:szCs w:val="18"/>
        </w:rPr>
        <w:t xml:space="preserve"> La mancata accettazione delle clausole contenute nel protocollo di legalità/patto di integrità e il mancato rispetto dello stesso costituiscono causa di </w:t>
      </w:r>
      <w:r w:rsidRPr="00E64307">
        <w:rPr>
          <w:rFonts w:ascii="Titillium" w:hAnsi="Titillium" w:cs="Arial"/>
          <w:bCs/>
          <w:sz w:val="18"/>
          <w:szCs w:val="18"/>
        </w:rPr>
        <w:t xml:space="preserve">esclusione </w:t>
      </w:r>
      <w:r w:rsidRPr="00E64307">
        <w:rPr>
          <w:rFonts w:ascii="Titillium" w:hAnsi="Titillium" w:cs="Arial"/>
          <w:sz w:val="18"/>
          <w:szCs w:val="18"/>
        </w:rPr>
        <w:t>dalla gara, ai sensi dell’articolo 83 bis del decreto legislativo n. 159/2011.</w:t>
      </w:r>
      <w:r w:rsidRPr="00E64307">
        <w:rPr>
          <w:rFonts w:ascii="Titillium" w:hAnsi="Titillium" w:cs="Calibri"/>
          <w:sz w:val="18"/>
          <w:szCs w:val="18"/>
        </w:rPr>
        <w:t xml:space="preserve"> </w:t>
      </w:r>
    </w:p>
    <w:p w14:paraId="707794DA" w14:textId="77777777" w:rsidR="004C53A8" w:rsidRDefault="004C53A8">
      <w:pPr>
        <w:widowControl w:val="0"/>
        <w:spacing w:before="60" w:after="60"/>
        <w:ind w:right="425"/>
        <w:rPr>
          <w:rFonts w:ascii="Titillium" w:hAnsi="Titillium" w:cs="Calibri"/>
          <w:b/>
          <w:i/>
          <w:szCs w:val="24"/>
        </w:rPr>
      </w:pPr>
    </w:p>
    <w:p w14:paraId="36965912"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70" w:name="_Toc406058364"/>
      <w:bookmarkStart w:id="71" w:name="_Toc403471258"/>
      <w:bookmarkStart w:id="72" w:name="_Toc397422851"/>
      <w:bookmarkStart w:id="73" w:name="_Toc397346810"/>
      <w:bookmarkStart w:id="74" w:name="_Toc393706895"/>
      <w:bookmarkStart w:id="75" w:name="_Toc393700822"/>
      <w:bookmarkStart w:id="76" w:name="_Toc393283163"/>
      <w:bookmarkStart w:id="77" w:name="_Toc393272647"/>
      <w:bookmarkStart w:id="78" w:name="_Toc393272589"/>
      <w:bookmarkStart w:id="79" w:name="_Toc393187833"/>
      <w:bookmarkStart w:id="80" w:name="_Toc393112114"/>
      <w:bookmarkStart w:id="81" w:name="_Toc393110550"/>
      <w:bookmarkStart w:id="82" w:name="_Toc392577483"/>
      <w:bookmarkStart w:id="83" w:name="_Toc391036043"/>
      <w:bookmarkStart w:id="84" w:name="_Toc391035970"/>
      <w:bookmarkStart w:id="85" w:name="_Toc380501858"/>
      <w:bookmarkStart w:id="86" w:name="_Toc416423350"/>
      <w:bookmarkStart w:id="87" w:name="_Toc406754164"/>
      <w:r>
        <w:rPr>
          <w:rFonts w:ascii="Titillium" w:hAnsi="Titillium" w:cs="Calibri"/>
          <w:b/>
          <w:smallCaps/>
          <w:sz w:val="18"/>
          <w:szCs w:val="18"/>
        </w:rPr>
        <w:t>parti vincolanti</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0E3D457" w14:textId="26134E3E" w:rsidR="004C53A8" w:rsidRDefault="00870286">
      <w:pPr>
        <w:widowControl w:val="0"/>
        <w:spacing w:before="60" w:after="60"/>
        <w:rPr>
          <w:rFonts w:ascii="Titillium" w:hAnsi="Titillium" w:cs="Calibri"/>
          <w:sz w:val="18"/>
          <w:szCs w:val="18"/>
        </w:rPr>
      </w:pPr>
      <w:bookmarkStart w:id="88" w:name="_Toc406754165"/>
      <w:r w:rsidRPr="00DC299E">
        <w:rPr>
          <w:rFonts w:ascii="Titillium" w:hAnsi="Titillium" w:cs="Calibri"/>
          <w:sz w:val="18"/>
          <w:szCs w:val="18"/>
        </w:rPr>
        <w:t>Le restanti parti sono vincolanti.</w:t>
      </w:r>
      <w:bookmarkEnd w:id="88"/>
    </w:p>
    <w:p w14:paraId="4F7C7086" w14:textId="77777777" w:rsidR="00F73B02" w:rsidRDefault="00F73B02">
      <w:pPr>
        <w:widowControl w:val="0"/>
        <w:spacing w:before="60" w:after="60"/>
        <w:rPr>
          <w:rFonts w:ascii="Titillium" w:hAnsi="Titillium" w:cs="Calibri"/>
          <w:sz w:val="18"/>
          <w:szCs w:val="18"/>
        </w:rPr>
      </w:pPr>
    </w:p>
    <w:p w14:paraId="7F55EE69"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89" w:name="_Toc481159801"/>
      <w:bookmarkStart w:id="90" w:name="_Toc481159744"/>
      <w:bookmarkStart w:id="91" w:name="_Toc481159698"/>
      <w:bookmarkStart w:id="92" w:name="_Toc481159359"/>
      <w:bookmarkStart w:id="93" w:name="_Toc481158964"/>
      <w:bookmarkStart w:id="94" w:name="_Toc481159998"/>
      <w:bookmarkStart w:id="95" w:name="_Toc481159853"/>
      <w:bookmarkEnd w:id="89"/>
      <w:bookmarkEnd w:id="90"/>
      <w:bookmarkEnd w:id="91"/>
      <w:bookmarkEnd w:id="92"/>
      <w:bookmarkEnd w:id="93"/>
      <w:bookmarkEnd w:id="94"/>
      <w:bookmarkEnd w:id="95"/>
      <w:r>
        <w:rPr>
          <w:rFonts w:ascii="Titillium" w:hAnsi="Titillium" w:cs="Calibri"/>
          <w:b/>
          <w:smallCaps/>
          <w:sz w:val="18"/>
          <w:szCs w:val="18"/>
        </w:rPr>
        <w:t>indicazioni operative</w:t>
      </w:r>
    </w:p>
    <w:p w14:paraId="1EA82610" w14:textId="77777777" w:rsidR="004C53A8" w:rsidRDefault="00870286">
      <w:pPr>
        <w:widowControl w:val="0"/>
        <w:spacing w:before="60" w:after="60"/>
      </w:pPr>
      <w:r>
        <w:rPr>
          <w:rFonts w:ascii="Titillium" w:hAnsi="Titillium" w:cs="Calibri"/>
          <w:sz w:val="18"/>
          <w:szCs w:val="18"/>
        </w:rPr>
        <w:t xml:space="preserve">In appositi riquadri contrassegnati dall’annotazione </w:t>
      </w:r>
      <w:r>
        <w:rPr>
          <w:rFonts w:ascii="Titillium" w:hAnsi="Titillium" w:cs="Calibri"/>
          <w:i/>
          <w:sz w:val="18"/>
          <w:szCs w:val="18"/>
          <w:bdr w:val="single" w:sz="4" w:space="0" w:color="000000"/>
        </w:rPr>
        <w:t xml:space="preserve">N.B.: ... </w:t>
      </w:r>
      <w:r>
        <w:rPr>
          <w:rFonts w:ascii="Titillium" w:hAnsi="Titillium" w:cs="Calibri"/>
          <w:sz w:val="18"/>
          <w:szCs w:val="18"/>
        </w:rPr>
        <w:t xml:space="preserve"> sono fornite indicazioni operative utili alla stazione appaltante per la stesura del disciplinare. Tali riquadri andranno omessi nel disciplinare compilato dalla stazione appaltante.</w:t>
      </w:r>
    </w:p>
    <w:p w14:paraId="33C8E74A"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0E7946F4" w14:textId="77777777" w:rsidR="00D95F9F" w:rsidRPr="00D95F9F" w:rsidRDefault="00D95F9F" w:rsidP="00D95F9F">
      <w:pPr>
        <w:pBdr>
          <w:top w:val="single" w:sz="4" w:space="1" w:color="auto"/>
          <w:left w:val="single" w:sz="4" w:space="4" w:color="auto"/>
          <w:bottom w:val="single" w:sz="4" w:space="1" w:color="auto"/>
          <w:right w:val="single" w:sz="4" w:space="4" w:color="auto"/>
        </w:pBdr>
        <w:spacing w:before="60" w:after="60"/>
        <w:rPr>
          <w:rFonts w:ascii="Titillium" w:hAnsi="Titillium" w:cs="Arial"/>
          <w:i/>
          <w:iCs/>
          <w:sz w:val="18"/>
          <w:szCs w:val="18"/>
        </w:rPr>
      </w:pPr>
      <w:r w:rsidRPr="00D95F9F">
        <w:rPr>
          <w:rFonts w:ascii="Titillium" w:hAnsi="Titillium" w:cs="Calibri"/>
          <w:i/>
          <w:iCs/>
          <w:sz w:val="18"/>
          <w:szCs w:val="18"/>
        </w:rPr>
        <w:lastRenderedPageBreak/>
        <w:t xml:space="preserve">N.B.: </w:t>
      </w:r>
      <w:r w:rsidRPr="00D95F9F">
        <w:rPr>
          <w:rFonts w:ascii="Titillium" w:hAnsi="Titillium" w:cs="Arial"/>
          <w:i/>
          <w:iCs/>
          <w:sz w:val="18"/>
          <w:szCs w:val="18"/>
        </w:rPr>
        <w:t>I requisiti speciali per partecipare alla gara devono essere elencati esclusivamente nel disciplinare e non contenuti in altri documenti di gara.</w:t>
      </w:r>
    </w:p>
    <w:p w14:paraId="5DA3BEDA" w14:textId="77777777" w:rsidR="00D95F9F" w:rsidRPr="00D95F9F" w:rsidRDefault="00D95F9F" w:rsidP="00D95F9F">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D95F9F">
        <w:rPr>
          <w:rFonts w:ascii="Titillium" w:hAnsi="Titillium" w:cs="Arial"/>
          <w:i/>
          <w:iCs/>
          <w:sz w:val="18"/>
          <w:szCs w:val="18"/>
        </w:rPr>
        <w:t>In caso di suddivisione della gara in lotti, le stazioni appaltanti specificano per ciascun requisito speciale per quale lotto è richiesto.</w:t>
      </w:r>
    </w:p>
    <w:p w14:paraId="3D5DD38E" w14:textId="77777777" w:rsidR="004C53A8" w:rsidRDefault="004C53A8">
      <w:pPr>
        <w:widowControl w:val="0"/>
        <w:spacing w:before="60" w:after="60"/>
        <w:rPr>
          <w:rFonts w:ascii="Titillium" w:hAnsi="Titillium" w:cs="Calibri"/>
          <w:sz w:val="18"/>
          <w:szCs w:val="18"/>
        </w:rPr>
      </w:pPr>
    </w:p>
    <w:p w14:paraId="17CFBE7A"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 xml:space="preserve">Talvolta sono fornite, tra parentesi quadre, ulteriori indicazioni operative che andranno omesse nel disciplinare compilato dalla stazione appaltante. </w:t>
      </w:r>
    </w:p>
    <w:p w14:paraId="17CAFC7B"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6144A9F6" w14:textId="7ED9438B" w:rsidR="004C53A8" w:rsidRDefault="00870286">
      <w:pPr>
        <w:widowControl w:val="0"/>
        <w:spacing w:before="60" w:after="60"/>
      </w:pPr>
      <w:r>
        <w:rPr>
          <w:rFonts w:ascii="Titillium" w:hAnsi="Titillium"/>
          <w:i/>
          <w:sz w:val="18"/>
          <w:szCs w:val="18"/>
        </w:rPr>
        <w:t>«</w:t>
      </w:r>
      <w:r w:rsidR="00B03E29" w:rsidRPr="00B03E29">
        <w:rPr>
          <w:rFonts w:ascii="Titillium" w:hAnsi="Titillium"/>
          <w:iCs/>
          <w:sz w:val="18"/>
          <w:szCs w:val="18"/>
        </w:rPr>
        <w:t>La documentazione di gara è accessibile gratuitamente, sul sito istituzionale della stazione appaltante, nella sezione “Amministrazione trasparente”, al seguente link: ...</w:t>
      </w:r>
      <w:r w:rsidR="00B03E29" w:rsidRPr="00B03E29">
        <w:rPr>
          <w:rFonts w:ascii="Titillium" w:hAnsi="Titillium"/>
          <w:i/>
          <w:sz w:val="18"/>
          <w:szCs w:val="18"/>
        </w:rPr>
        <w:t xml:space="preserve"> [indicare il link dal quale è possibile consultare la documentazione] </w:t>
      </w:r>
      <w:r w:rsidR="00B03E29" w:rsidRPr="00B03E29">
        <w:rPr>
          <w:rFonts w:ascii="Titillium" w:hAnsi="Titillium"/>
          <w:iCs/>
          <w:sz w:val="18"/>
          <w:szCs w:val="18"/>
        </w:rPr>
        <w:t>e sulla Piattaforma …</w:t>
      </w:r>
      <w:r w:rsidR="00B03E29" w:rsidRPr="00B03E29">
        <w:rPr>
          <w:rFonts w:ascii="Titillium" w:hAnsi="Titillium"/>
          <w:i/>
          <w:sz w:val="18"/>
          <w:szCs w:val="18"/>
        </w:rPr>
        <w:t xml:space="preserve"> [indicare l’apposita sezione].</w:t>
      </w:r>
      <w:r>
        <w:rPr>
          <w:rFonts w:ascii="Titillium" w:hAnsi="Titillium"/>
          <w:sz w:val="18"/>
          <w:szCs w:val="18"/>
        </w:rPr>
        <w:t>».</w:t>
      </w:r>
    </w:p>
    <w:p w14:paraId="223933D0" w14:textId="77777777" w:rsidR="004C53A8" w:rsidRDefault="00870286">
      <w:pPr>
        <w:spacing w:before="60" w:after="60"/>
        <w:jc w:val="left"/>
        <w:rPr>
          <w:rFonts w:ascii="Titillium" w:hAnsi="Titillium" w:cs="Calibri"/>
          <w:b/>
          <w:szCs w:val="24"/>
        </w:rPr>
      </w:pPr>
      <w:r>
        <w:br w:type="page"/>
      </w:r>
    </w:p>
    <w:p w14:paraId="07856631" w14:textId="77777777" w:rsidR="004C53A8" w:rsidRDefault="00870286">
      <w:pPr>
        <w:pStyle w:val="Titolo1"/>
        <w:spacing w:before="60" w:after="60"/>
        <w:rPr>
          <w:rFonts w:ascii="Titillium" w:hAnsi="Titillium"/>
          <w:sz w:val="18"/>
          <w:szCs w:val="18"/>
        </w:rPr>
      </w:pPr>
      <w:bookmarkStart w:id="96" w:name="_Toc391036044"/>
      <w:bookmarkStart w:id="97" w:name="_Toc392577486"/>
      <w:bookmarkStart w:id="98" w:name="_Toc393110553"/>
      <w:bookmarkStart w:id="99" w:name="_Toc393112117"/>
      <w:bookmarkStart w:id="100" w:name="_Toc485638580"/>
      <w:bookmarkStart w:id="101" w:name="_Toc380501859"/>
      <w:bookmarkStart w:id="102" w:name="_Toc391035971"/>
      <w:bookmarkStart w:id="103" w:name="_Toc139549407"/>
      <w:r>
        <w:rPr>
          <w:rFonts w:ascii="Titillium" w:hAnsi="Titillium"/>
          <w:sz w:val="18"/>
          <w:szCs w:val="18"/>
        </w:rPr>
        <w:lastRenderedPageBreak/>
        <w:t>DISCIPLINARE DI GARA</w:t>
      </w:r>
      <w:bookmarkEnd w:id="96"/>
      <w:bookmarkEnd w:id="97"/>
      <w:bookmarkEnd w:id="98"/>
      <w:bookmarkEnd w:id="99"/>
      <w:bookmarkEnd w:id="100"/>
      <w:bookmarkEnd w:id="101"/>
      <w:bookmarkEnd w:id="102"/>
      <w:bookmarkEnd w:id="103"/>
    </w:p>
    <w:p w14:paraId="23AE1F0C" w14:textId="5F04462F" w:rsidR="004C53A8" w:rsidRDefault="00870286">
      <w:pPr>
        <w:spacing w:before="60" w:after="60"/>
        <w:jc w:val="center"/>
      </w:pPr>
      <w:r>
        <w:rPr>
          <w:rFonts w:ascii="Titillium" w:hAnsi="Titillium" w:cs="Calibri"/>
          <w:b/>
          <w:sz w:val="18"/>
          <w:szCs w:val="18"/>
          <w:lang w:eastAsia="it-IT"/>
        </w:rPr>
        <w:t>GARA EUROPEA A PROCEDURA APERTA PER L’APPALTO DI …</w:t>
      </w:r>
      <w:r>
        <w:rPr>
          <w:rFonts w:ascii="Titillium" w:hAnsi="Titillium" w:cs="Calibri"/>
          <w:i/>
          <w:sz w:val="18"/>
          <w:szCs w:val="18"/>
          <w:lang w:eastAsia="it-IT"/>
        </w:rPr>
        <w:t xml:space="preserve"> [sintetica descrizione dei servizi/forniture oggetto dell’appalto]</w:t>
      </w:r>
    </w:p>
    <w:p w14:paraId="69E9E081" w14:textId="77777777" w:rsidR="004C53A8" w:rsidRDefault="00870286">
      <w:pPr>
        <w:pStyle w:val="Titolo2"/>
        <w:rPr>
          <w:rFonts w:ascii="Titillium" w:hAnsi="Titillium"/>
          <w:sz w:val="18"/>
          <w:szCs w:val="18"/>
        </w:rPr>
      </w:pPr>
      <w:bookmarkStart w:id="104" w:name="_Toc482101906"/>
      <w:bookmarkStart w:id="105" w:name="_Toc482101812"/>
      <w:bookmarkStart w:id="106" w:name="_Toc482101719"/>
      <w:bookmarkStart w:id="107" w:name="_Toc482101544"/>
      <w:bookmarkStart w:id="108" w:name="_Toc482101429"/>
      <w:bookmarkStart w:id="109" w:name="_Toc374026426"/>
      <w:bookmarkStart w:id="110" w:name="_Toc374025981"/>
      <w:bookmarkStart w:id="111" w:name="_Toc374025928"/>
      <w:bookmarkStart w:id="112" w:name="_Toc374025834"/>
      <w:bookmarkStart w:id="113" w:name="_Toc374025745"/>
      <w:bookmarkStart w:id="114" w:name="_Toc498419717"/>
      <w:bookmarkStart w:id="115" w:name="_Toc497831525"/>
      <w:bookmarkStart w:id="116" w:name="_Toc497728131"/>
      <w:bookmarkStart w:id="117" w:name="_Toc497484933"/>
      <w:bookmarkStart w:id="118" w:name="_Toc494359015"/>
      <w:bookmarkStart w:id="119" w:name="_Toc494358966"/>
      <w:bookmarkStart w:id="120" w:name="_Toc493500868"/>
      <w:bookmarkStart w:id="121" w:name="_Toc498419716"/>
      <w:bookmarkStart w:id="122" w:name="_Toc497831524"/>
      <w:bookmarkStart w:id="123" w:name="_Toc497728130"/>
      <w:bookmarkStart w:id="124" w:name="_Toc497484932"/>
      <w:bookmarkStart w:id="125" w:name="_Toc494359014"/>
      <w:bookmarkStart w:id="126" w:name="_Toc494358965"/>
      <w:bookmarkStart w:id="127" w:name="_Toc493500867"/>
      <w:bookmarkStart w:id="128" w:name="_Toc482102096"/>
      <w:bookmarkStart w:id="129" w:name="_Toc482102001"/>
      <w:bookmarkStart w:id="130" w:name="_Toc139549408"/>
      <w:bookmarkStart w:id="131" w:name="_Toc391036046"/>
      <w:bookmarkStart w:id="132" w:name="_Toc391035973"/>
      <w:bookmarkStart w:id="133" w:name="_Toc380501861"/>
      <w:bookmarkStart w:id="134" w:name="_Toc35403817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tillium" w:hAnsi="Titillium"/>
          <w:sz w:val="18"/>
          <w:szCs w:val="18"/>
        </w:rPr>
        <w:t>PREMESSE</w:t>
      </w:r>
      <w:bookmarkEnd w:id="130"/>
    </w:p>
    <w:p w14:paraId="4C56AA33" w14:textId="7CCC27BB" w:rsidR="004C53A8" w:rsidRDefault="00870286">
      <w:pPr>
        <w:spacing w:before="60" w:after="60"/>
      </w:pPr>
      <w:r>
        <w:rPr>
          <w:rFonts w:ascii="Titillium" w:hAnsi="Titillium" w:cs="Calibri"/>
          <w:bCs/>
          <w:iCs/>
          <w:sz w:val="18"/>
          <w:szCs w:val="18"/>
        </w:rPr>
        <w:t xml:space="preserve">Con </w:t>
      </w:r>
      <w:r w:rsidR="006E571E">
        <w:rPr>
          <w:rFonts w:ascii="Titillium" w:hAnsi="Titillium" w:cs="Calibri"/>
          <w:bCs/>
          <w:iCs/>
          <w:sz w:val="18"/>
          <w:szCs w:val="18"/>
        </w:rPr>
        <w:t>atto</w:t>
      </w:r>
      <w:r w:rsidR="0061733B">
        <w:rPr>
          <w:rFonts w:ascii="Titillium" w:hAnsi="Titillium" w:cs="Calibri"/>
          <w:bCs/>
          <w:iCs/>
          <w:sz w:val="18"/>
          <w:szCs w:val="18"/>
        </w:rPr>
        <w:t xml:space="preserve"> </w:t>
      </w:r>
      <w:r>
        <w:rPr>
          <w:rFonts w:ascii="Titillium" w:hAnsi="Titillium" w:cs="Calibri"/>
          <w:bCs/>
          <w:iCs/>
          <w:sz w:val="18"/>
          <w:szCs w:val="18"/>
        </w:rPr>
        <w:t xml:space="preserve">n. ... </w:t>
      </w:r>
      <w:r w:rsidR="004B1BA3" w:rsidRPr="00352F6C">
        <w:rPr>
          <w:rFonts w:ascii="Titillium" w:hAnsi="Titillium" w:cs="Calibri"/>
          <w:bCs/>
          <w:i/>
          <w:iCs/>
          <w:sz w:val="18"/>
          <w:szCs w:val="18"/>
        </w:rPr>
        <w:t>[</w:t>
      </w:r>
      <w:r w:rsidR="006E571E">
        <w:rPr>
          <w:rFonts w:ascii="Titillium" w:hAnsi="Titillium" w:cs="Calibri"/>
          <w:bCs/>
          <w:i/>
          <w:iCs/>
          <w:sz w:val="18"/>
          <w:szCs w:val="18"/>
        </w:rPr>
        <w:t>specificare il tipo di atto</w:t>
      </w:r>
      <w:r w:rsidR="004B1BA3" w:rsidRPr="00352F6C">
        <w:rPr>
          <w:rFonts w:ascii="Titillium" w:hAnsi="Titillium" w:cs="Calibri"/>
          <w:bCs/>
          <w:i/>
          <w:iCs/>
          <w:sz w:val="18"/>
          <w:szCs w:val="18"/>
        </w:rPr>
        <w:t>]</w:t>
      </w:r>
      <w:r w:rsidR="008F2434">
        <w:rPr>
          <w:rFonts w:ascii="Titillium" w:hAnsi="Titillium" w:cs="Calibri"/>
          <w:bCs/>
          <w:i/>
          <w:iCs/>
          <w:sz w:val="18"/>
          <w:szCs w:val="18"/>
        </w:rPr>
        <w:t xml:space="preserve"> </w:t>
      </w:r>
      <w:r>
        <w:rPr>
          <w:rFonts w:ascii="Titillium" w:hAnsi="Titillium" w:cs="Calibri"/>
          <w:bCs/>
          <w:iCs/>
          <w:sz w:val="18"/>
          <w:szCs w:val="18"/>
        </w:rPr>
        <w:t>del …</w:t>
      </w:r>
      <w:r w:rsidR="004B1BA3">
        <w:rPr>
          <w:rFonts w:ascii="Titillium" w:hAnsi="Titillium" w:cs="Calibri"/>
          <w:bCs/>
          <w:iCs/>
          <w:sz w:val="18"/>
          <w:szCs w:val="18"/>
        </w:rPr>
        <w:t xml:space="preserve"> </w:t>
      </w:r>
      <w:r w:rsidR="004B1BA3" w:rsidRPr="00352F6C">
        <w:rPr>
          <w:rFonts w:ascii="Titillium" w:hAnsi="Titillium" w:cs="Calibri"/>
          <w:bCs/>
          <w:i/>
          <w:iCs/>
          <w:sz w:val="18"/>
          <w:szCs w:val="18"/>
        </w:rPr>
        <w:t>[indicare]</w:t>
      </w:r>
      <w:r>
        <w:rPr>
          <w:rFonts w:ascii="Titillium" w:hAnsi="Titillium" w:cs="Calibri"/>
          <w:bCs/>
          <w:iCs/>
          <w:sz w:val="18"/>
          <w:szCs w:val="18"/>
        </w:rPr>
        <w:t xml:space="preserve">, questa Amministrazione ha </w:t>
      </w:r>
      <w:r w:rsidR="006E571E">
        <w:rPr>
          <w:rFonts w:ascii="Titillium" w:hAnsi="Titillium" w:cs="Calibri"/>
          <w:bCs/>
          <w:iCs/>
          <w:sz w:val="18"/>
          <w:szCs w:val="18"/>
        </w:rPr>
        <w:t xml:space="preserve">deciso </w:t>
      </w:r>
      <w:r>
        <w:rPr>
          <w:rFonts w:ascii="Titillium" w:hAnsi="Titillium" w:cs="Calibri"/>
          <w:bCs/>
          <w:iCs/>
          <w:sz w:val="18"/>
          <w:szCs w:val="18"/>
        </w:rPr>
        <w:t xml:space="preserve">di affidare il servizio /la fornitura di ... </w:t>
      </w:r>
      <w:r w:rsidRPr="00352F6C">
        <w:rPr>
          <w:rFonts w:ascii="Titillium" w:hAnsi="Titillium" w:cs="Calibri"/>
          <w:bCs/>
          <w:i/>
          <w:iCs/>
          <w:sz w:val="18"/>
          <w:szCs w:val="18"/>
        </w:rPr>
        <w:t>[indicare l’oggetto dell’appalto], [in caso di servizi e forniture per i quali è vigente un decreto sui CAM]</w:t>
      </w:r>
      <w:r>
        <w:rPr>
          <w:rFonts w:ascii="Titillium" w:hAnsi="Titillium" w:cs="Calibri"/>
          <w:bCs/>
          <w:iCs/>
          <w:sz w:val="18"/>
          <w:szCs w:val="18"/>
        </w:rPr>
        <w:t xml:space="preserve"> conforme alle specifiche tecniche e alle clausole contrattuali contenute nei criteri ambientali minimi di cui al … </w:t>
      </w:r>
      <w:r>
        <w:rPr>
          <w:rFonts w:ascii="Titillium" w:hAnsi="Titillium" w:cs="Calibri"/>
          <w:bCs/>
          <w:i/>
          <w:iCs/>
          <w:sz w:val="18"/>
          <w:szCs w:val="18"/>
        </w:rPr>
        <w:t>[indicare il decreto di riferimento emanato dal</w:t>
      </w:r>
      <w:r w:rsidR="00F913F4">
        <w:rPr>
          <w:rFonts w:ascii="Titillium" w:hAnsi="Titillium" w:cs="Calibri"/>
          <w:bCs/>
          <w:i/>
          <w:iCs/>
          <w:sz w:val="18"/>
          <w:szCs w:val="18"/>
        </w:rPr>
        <w:t xml:space="preserve"> </w:t>
      </w:r>
      <w:r w:rsidR="006E571E" w:rsidRPr="006E571E">
        <w:rPr>
          <w:rFonts w:ascii="Titillium" w:hAnsi="Titillium" w:cs="Calibri"/>
          <w:bCs/>
          <w:i/>
          <w:iCs/>
          <w:sz w:val="18"/>
          <w:szCs w:val="18"/>
        </w:rPr>
        <w:t>Ministero dell'ambiente e della sicurezza energetica</w:t>
      </w:r>
      <w:r>
        <w:rPr>
          <w:rFonts w:ascii="Titillium" w:hAnsi="Titillium" w:cs="Calibri"/>
          <w:bCs/>
          <w:i/>
          <w:iCs/>
          <w:sz w:val="18"/>
          <w:szCs w:val="18"/>
        </w:rPr>
        <w:t>.</w:t>
      </w:r>
    </w:p>
    <w:p w14:paraId="33CC519A" w14:textId="77777777" w:rsidR="004C53A8" w:rsidRDefault="004C53A8">
      <w:pPr>
        <w:spacing w:before="60" w:after="60"/>
        <w:ind w:firstLine="1"/>
        <w:rPr>
          <w:rFonts w:ascii="Titillium" w:hAnsi="Titillium" w:cs="Calibri"/>
          <w:szCs w:val="24"/>
        </w:rPr>
      </w:pPr>
    </w:p>
    <w:tbl>
      <w:tblPr>
        <w:tblW w:w="9210" w:type="dxa"/>
        <w:tblInd w:w="-108" w:type="dxa"/>
        <w:tblLook w:val="04A0" w:firstRow="1" w:lastRow="0" w:firstColumn="1" w:lastColumn="0" w:noHBand="0" w:noVBand="1"/>
      </w:tblPr>
      <w:tblGrid>
        <w:gridCol w:w="9210"/>
      </w:tblGrid>
      <w:tr w:rsidR="004C53A8" w14:paraId="3C1D9F88" w14:textId="77777777">
        <w:tc>
          <w:tcPr>
            <w:tcW w:w="9210" w:type="dxa"/>
            <w:tcBorders>
              <w:top w:val="single" w:sz="4" w:space="0" w:color="000000"/>
              <w:left w:val="single" w:sz="4" w:space="0" w:color="000000"/>
              <w:bottom w:val="single" w:sz="4" w:space="0" w:color="000000"/>
              <w:right w:val="single" w:sz="4" w:space="0" w:color="000000"/>
            </w:tcBorders>
          </w:tcPr>
          <w:p w14:paraId="40634A13" w14:textId="4BB72667" w:rsidR="00201412" w:rsidRDefault="00870286" w:rsidP="00173996">
            <w:pPr>
              <w:spacing w:before="60" w:after="60"/>
              <w:rPr>
                <w:rFonts w:ascii="Titillium" w:hAnsi="Titillium" w:cs="Calibri"/>
                <w:sz w:val="18"/>
                <w:szCs w:val="18"/>
              </w:rPr>
            </w:pPr>
            <w:r>
              <w:rPr>
                <w:rFonts w:ascii="Titillium" w:hAnsi="Titillium" w:cs="Calibri"/>
                <w:sz w:val="18"/>
                <w:szCs w:val="18"/>
              </w:rPr>
              <w:t xml:space="preserve">N.B.: Di seguito si riporta il link dove è possibile consultare i CAM adottati </w:t>
            </w:r>
            <w:r w:rsidR="00F913F4">
              <w:rPr>
                <w:rFonts w:ascii="Titillium" w:hAnsi="Titillium" w:cs="Calibri"/>
                <w:sz w:val="18"/>
                <w:szCs w:val="18"/>
              </w:rPr>
              <w:t>dal</w:t>
            </w:r>
            <w:r w:rsidR="00F913F4" w:rsidRPr="006E571E">
              <w:rPr>
                <w:rFonts w:ascii="Titillium" w:hAnsi="Titillium" w:cs="Calibri"/>
                <w:sz w:val="18"/>
                <w:szCs w:val="18"/>
              </w:rPr>
              <w:t xml:space="preserve"> Ministero</w:t>
            </w:r>
            <w:r w:rsidR="006E571E" w:rsidRPr="006E571E">
              <w:rPr>
                <w:rFonts w:ascii="Titillium" w:hAnsi="Titillium" w:cs="Calibri"/>
                <w:sz w:val="18"/>
                <w:szCs w:val="18"/>
              </w:rPr>
              <w:t xml:space="preserve"> dell'ambiente e della sicurezza energetica</w:t>
            </w:r>
            <w:r>
              <w:rPr>
                <w:rFonts w:ascii="Titillium" w:hAnsi="Titillium" w:cs="Calibri"/>
                <w:sz w:val="18"/>
                <w:szCs w:val="18"/>
              </w:rPr>
              <w:t xml:space="preserve">: </w:t>
            </w:r>
            <w:r w:rsidR="00201412" w:rsidRPr="00201412">
              <w:rPr>
                <w:rFonts w:ascii="Titillium" w:hAnsi="Titillium" w:cs="Calibri"/>
                <w:sz w:val="18"/>
                <w:szCs w:val="18"/>
              </w:rPr>
              <w:t>https://gpp.mite.gov.it/Home/Cam#CamInVigore</w:t>
            </w:r>
          </w:p>
        </w:tc>
      </w:tr>
    </w:tbl>
    <w:p w14:paraId="577DFC12" w14:textId="77777777" w:rsidR="004C53A8" w:rsidRDefault="004C53A8">
      <w:pPr>
        <w:widowControl w:val="0"/>
        <w:spacing w:before="60" w:after="60"/>
        <w:rPr>
          <w:rFonts w:ascii="Titillium" w:hAnsi="Titillium" w:cs="Calibri"/>
          <w:szCs w:val="24"/>
        </w:rPr>
      </w:pPr>
    </w:p>
    <w:p w14:paraId="0E0D38D7" w14:textId="52E546D2" w:rsidR="006F5DBA" w:rsidRDefault="006E571E">
      <w:pPr>
        <w:pStyle w:val="Testocommento"/>
        <w:spacing w:before="60" w:after="60"/>
        <w:rPr>
          <w:rFonts w:ascii="Titillium" w:hAnsi="Titillium" w:cs="Calibri"/>
          <w:bCs/>
          <w:iCs/>
          <w:sz w:val="18"/>
          <w:szCs w:val="18"/>
          <w:lang w:val="it-IT" w:eastAsia="it-IT"/>
        </w:rPr>
      </w:pPr>
      <w:r>
        <w:rPr>
          <w:rFonts w:ascii="Titillium" w:hAnsi="Titillium" w:cs="Calibri"/>
          <w:bCs/>
          <w:iCs/>
          <w:sz w:val="18"/>
          <w:szCs w:val="18"/>
          <w:lang w:val="it-IT" w:eastAsia="it-IT"/>
        </w:rPr>
        <w:t>La</w:t>
      </w:r>
      <w:r w:rsidR="008816E2" w:rsidRPr="008816E2">
        <w:rPr>
          <w:rFonts w:ascii="Titillium" w:hAnsi="Titillium" w:cs="Calibri"/>
          <w:bCs/>
          <w:iCs/>
          <w:sz w:val="18"/>
          <w:szCs w:val="18"/>
          <w:lang w:val="it-IT" w:eastAsia="it-IT"/>
        </w:rPr>
        <w:t xml:space="preserve"> presente procedura aperta è interamente svolta tramite </w:t>
      </w:r>
      <w:r w:rsidR="00531389">
        <w:rPr>
          <w:rFonts w:ascii="Titillium" w:hAnsi="Titillium" w:cs="Calibri"/>
          <w:bCs/>
          <w:iCs/>
          <w:sz w:val="18"/>
          <w:szCs w:val="18"/>
          <w:lang w:val="it-IT" w:eastAsia="it-IT"/>
        </w:rPr>
        <w:t>la piattaforma telematica</w:t>
      </w:r>
      <w:r w:rsidR="008816E2" w:rsidRPr="008816E2">
        <w:rPr>
          <w:rFonts w:ascii="Titillium" w:hAnsi="Titillium" w:cs="Calibri"/>
          <w:bCs/>
          <w:iCs/>
          <w:sz w:val="18"/>
          <w:szCs w:val="18"/>
          <w:lang w:val="it-IT" w:eastAsia="it-IT"/>
        </w:rPr>
        <w:t xml:space="preserve"> accessibile all’indirizzo www … </w:t>
      </w:r>
      <w:r w:rsidR="008816E2" w:rsidRPr="006605E1">
        <w:rPr>
          <w:rFonts w:ascii="Titillium" w:hAnsi="Titillium" w:cs="Calibri"/>
          <w:bCs/>
          <w:i/>
          <w:iCs/>
          <w:sz w:val="18"/>
          <w:szCs w:val="18"/>
          <w:lang w:val="it-IT" w:eastAsia="it-IT"/>
        </w:rPr>
        <w:t xml:space="preserve">[indicare] </w:t>
      </w:r>
    </w:p>
    <w:p w14:paraId="1C07171D" w14:textId="18B46E6B" w:rsidR="00E225B0" w:rsidRPr="00287174" w:rsidRDefault="00870286">
      <w:pPr>
        <w:pStyle w:val="Testocommento"/>
        <w:spacing w:before="60" w:after="60"/>
        <w:rPr>
          <w:rFonts w:ascii="Titillium" w:hAnsi="Titillium" w:cs="Calibri"/>
          <w:bCs/>
          <w:iCs/>
          <w:sz w:val="18"/>
          <w:szCs w:val="18"/>
          <w:lang w:val="it-IT" w:eastAsia="it-IT"/>
        </w:rPr>
      </w:pPr>
      <w:r w:rsidRPr="00287174">
        <w:rPr>
          <w:rFonts w:ascii="Titillium" w:hAnsi="Titillium" w:cs="Calibri"/>
          <w:bCs/>
          <w:iCs/>
          <w:sz w:val="18"/>
          <w:szCs w:val="18"/>
          <w:lang w:val="it-IT" w:eastAsia="it-IT"/>
        </w:rPr>
        <w:t>L’affidamento avviene mediante procedura aperta con applicazione del criterio dell’offerta economicamente più vantaggiosa individuata sulla base del miglior rapporto qualità prezzo</w:t>
      </w:r>
    </w:p>
    <w:p w14:paraId="173C2C50" w14:textId="56D262AB" w:rsidR="004C53A8" w:rsidRPr="009911C6" w:rsidRDefault="00E225B0">
      <w:pPr>
        <w:pStyle w:val="Testocommento"/>
        <w:spacing w:before="60" w:after="60"/>
        <w:rPr>
          <w:i/>
        </w:rPr>
      </w:pPr>
      <w:r>
        <w:rPr>
          <w:rFonts w:ascii="Titillium" w:hAnsi="Titillium" w:cs="Calibri"/>
          <w:bCs/>
          <w:iCs/>
          <w:sz w:val="18"/>
          <w:szCs w:val="18"/>
          <w:lang w:val="it-IT" w:eastAsia="it-IT"/>
        </w:rPr>
        <w:t xml:space="preserve">La durata del procedimento è prevista pari a … mesi dalla pubblicazione del </w:t>
      </w:r>
      <w:r w:rsidRPr="009911C6">
        <w:rPr>
          <w:rFonts w:ascii="Titillium" w:hAnsi="Titillium" w:cs="Calibri"/>
          <w:bCs/>
          <w:i/>
          <w:sz w:val="18"/>
          <w:szCs w:val="18"/>
          <w:lang w:val="it-IT" w:eastAsia="it-IT"/>
        </w:rPr>
        <w:t>bando [il termine massimo è di 9 mesi</w:t>
      </w:r>
      <w:r w:rsidR="008206EB" w:rsidRPr="009911C6">
        <w:rPr>
          <w:rFonts w:ascii="Titillium" w:hAnsi="Titillium" w:cs="Calibri"/>
          <w:bCs/>
          <w:i/>
          <w:sz w:val="18"/>
          <w:szCs w:val="18"/>
          <w:lang w:val="it-IT" w:eastAsia="it-IT"/>
        </w:rPr>
        <w:t>, salvo il verificarsi delle ipotesi di proroga previste all’articolo 1, commi 4 e 5, dell’allegato II.3 del codice</w:t>
      </w:r>
      <w:r w:rsidRPr="009911C6">
        <w:rPr>
          <w:rFonts w:ascii="Titillium" w:hAnsi="Titillium" w:cs="Calibri"/>
          <w:bCs/>
          <w:i/>
          <w:sz w:val="18"/>
          <w:szCs w:val="18"/>
          <w:lang w:val="it-IT" w:eastAsia="it-IT"/>
        </w:rPr>
        <w:t>]</w:t>
      </w:r>
      <w:r w:rsidR="00870286" w:rsidRPr="009911C6">
        <w:rPr>
          <w:rFonts w:ascii="Titillium" w:hAnsi="Titillium" w:cs="Calibri"/>
          <w:bCs/>
          <w:i/>
          <w:sz w:val="18"/>
          <w:szCs w:val="18"/>
          <w:lang w:eastAsia="it-IT"/>
        </w:rPr>
        <w:t xml:space="preserve"> </w:t>
      </w:r>
    </w:p>
    <w:p w14:paraId="7A7CB082" w14:textId="77777777" w:rsidR="004C53A8" w:rsidRPr="009911C6" w:rsidRDefault="00870286">
      <w:pPr>
        <w:tabs>
          <w:tab w:val="left" w:pos="360"/>
        </w:tabs>
        <w:spacing w:before="60" w:after="60"/>
        <w:rPr>
          <w:i/>
        </w:rPr>
      </w:pPr>
      <w:r>
        <w:rPr>
          <w:rFonts w:ascii="Titillium" w:hAnsi="Titillium" w:cs="Calibri"/>
          <w:bCs/>
          <w:iCs/>
          <w:sz w:val="18"/>
          <w:szCs w:val="18"/>
        </w:rPr>
        <w:t>Il luogo di …</w:t>
      </w:r>
      <w:r>
        <w:rPr>
          <w:rFonts w:ascii="Titillium" w:hAnsi="Titillium" w:cs="Calibri"/>
          <w:bCs/>
          <w:i/>
          <w:iCs/>
          <w:sz w:val="18"/>
          <w:szCs w:val="18"/>
        </w:rPr>
        <w:t xml:space="preserve"> </w:t>
      </w:r>
      <w:r>
        <w:rPr>
          <w:rFonts w:ascii="Titillium" w:hAnsi="Titillium" w:cs="Calibri"/>
          <w:bCs/>
          <w:iCs/>
          <w:sz w:val="18"/>
          <w:szCs w:val="18"/>
        </w:rPr>
        <w:t xml:space="preserve">svolgimento del servizio/consegna della fornitura è ... </w:t>
      </w:r>
      <w:r w:rsidRPr="009911C6">
        <w:rPr>
          <w:rFonts w:ascii="Titillium" w:hAnsi="Titillium" w:cs="Calibri"/>
          <w:bCs/>
          <w:i/>
          <w:sz w:val="18"/>
          <w:szCs w:val="18"/>
        </w:rPr>
        <w:t>[codice NUTS ...]</w:t>
      </w:r>
    </w:p>
    <w:p w14:paraId="1C8C54F4" w14:textId="77777777" w:rsidR="004C53A8" w:rsidRDefault="00870286">
      <w:pPr>
        <w:tabs>
          <w:tab w:val="left" w:pos="360"/>
        </w:tabs>
        <w:spacing w:before="60" w:after="60"/>
      </w:pPr>
      <w:r>
        <w:rPr>
          <w:rFonts w:ascii="Titillium" w:hAnsi="Titillium" w:cs="Calibri"/>
          <w:bCs/>
          <w:iCs/>
          <w:sz w:val="18"/>
          <w:szCs w:val="18"/>
        </w:rPr>
        <w:t xml:space="preserve">CIG … CUI … CUP … </w:t>
      </w:r>
      <w:r>
        <w:rPr>
          <w:rFonts w:ascii="Titillium" w:hAnsi="Titillium" w:cs="Calibri"/>
          <w:bCs/>
          <w:i/>
          <w:iCs/>
          <w:sz w:val="18"/>
          <w:szCs w:val="18"/>
        </w:rPr>
        <w:t>[indicare solo se obbligatorio]</w:t>
      </w:r>
    </w:p>
    <w:p w14:paraId="4EA3D381" w14:textId="77777777" w:rsidR="004C53A8" w:rsidRDefault="00870286">
      <w:pPr>
        <w:spacing w:before="60" w:after="60"/>
        <w:rPr>
          <w:rFonts w:ascii="Titillium" w:hAnsi="Titillium" w:cs="Calibri"/>
          <w:b/>
          <w:bCs/>
          <w:i/>
          <w:iCs/>
          <w:sz w:val="18"/>
          <w:szCs w:val="18"/>
        </w:rPr>
      </w:pPr>
      <w:r>
        <w:rPr>
          <w:rFonts w:ascii="Titillium" w:hAnsi="Titillium" w:cs="Calibri"/>
          <w:b/>
          <w:bCs/>
          <w:i/>
          <w:iCs/>
          <w:sz w:val="18"/>
          <w:szCs w:val="18"/>
        </w:rPr>
        <w:t>[In caso di suddivisione in lotti]</w:t>
      </w:r>
    </w:p>
    <w:p w14:paraId="7DF5E4E9" w14:textId="77777777" w:rsidR="004C53A8" w:rsidRDefault="00870286">
      <w:pPr>
        <w:spacing w:before="60" w:after="60"/>
      </w:pPr>
      <w:r>
        <w:rPr>
          <w:rFonts w:ascii="Titillium" w:hAnsi="Titillium" w:cs="Calibri"/>
          <w:bCs/>
          <w:iCs/>
          <w:sz w:val="18"/>
          <w:szCs w:val="18"/>
        </w:rPr>
        <w:t xml:space="preserve">lotto 1 CIG … CUI … CUP … </w:t>
      </w:r>
      <w:r>
        <w:rPr>
          <w:rFonts w:ascii="Titillium" w:hAnsi="Titillium" w:cs="Calibri"/>
          <w:bCs/>
          <w:i/>
          <w:iCs/>
          <w:sz w:val="18"/>
          <w:szCs w:val="18"/>
        </w:rPr>
        <w:t>[indicare solo se obbligatorio]</w:t>
      </w:r>
    </w:p>
    <w:p w14:paraId="5D5BB1CF" w14:textId="77777777" w:rsidR="004C53A8" w:rsidRDefault="00870286">
      <w:pPr>
        <w:spacing w:before="60" w:after="60"/>
      </w:pPr>
      <w:r>
        <w:rPr>
          <w:rFonts w:ascii="Titillium" w:hAnsi="Titillium" w:cs="Calibri"/>
          <w:bCs/>
          <w:iCs/>
          <w:sz w:val="18"/>
          <w:szCs w:val="18"/>
        </w:rPr>
        <w:t xml:space="preserve">lotto 2 CIG … CUI … CUP … </w:t>
      </w:r>
      <w:r>
        <w:rPr>
          <w:rFonts w:ascii="Titillium" w:hAnsi="Titillium" w:cs="Calibri"/>
          <w:bCs/>
          <w:i/>
          <w:iCs/>
          <w:sz w:val="18"/>
          <w:szCs w:val="18"/>
        </w:rPr>
        <w:t>[indicare solo se obbligatorio]</w:t>
      </w:r>
    </w:p>
    <w:p w14:paraId="21C13315" w14:textId="0D737092" w:rsidR="004C53A8" w:rsidRPr="00A73BEB" w:rsidRDefault="00870286">
      <w:pPr>
        <w:spacing w:before="60" w:after="60"/>
        <w:rPr>
          <w:rFonts w:ascii="Titillium" w:hAnsi="Titillium" w:cs="Calibri"/>
          <w:bCs/>
          <w:i/>
          <w:iCs/>
          <w:sz w:val="18"/>
          <w:szCs w:val="18"/>
        </w:rPr>
      </w:pPr>
      <w:r w:rsidRPr="007A654B">
        <w:rPr>
          <w:rFonts w:ascii="Titillium" w:hAnsi="Titillium" w:cs="Calibri"/>
          <w:bCs/>
          <w:iCs/>
          <w:sz w:val="18"/>
          <w:szCs w:val="18"/>
        </w:rPr>
        <w:t xml:space="preserve">Il </w:t>
      </w:r>
      <w:r w:rsidRPr="00A73BEB">
        <w:rPr>
          <w:rFonts w:ascii="Titillium" w:hAnsi="Titillium" w:cs="Calibri"/>
          <w:bCs/>
          <w:iCs/>
          <w:sz w:val="18"/>
          <w:szCs w:val="18"/>
        </w:rPr>
        <w:t xml:space="preserve">Responsabile </w:t>
      </w:r>
      <w:r w:rsidR="007A654B" w:rsidRPr="00A73BEB">
        <w:rPr>
          <w:rFonts w:ascii="Titillium" w:hAnsi="Titillium" w:cs="Calibri"/>
          <w:bCs/>
          <w:iCs/>
          <w:sz w:val="18"/>
          <w:szCs w:val="18"/>
        </w:rPr>
        <w:t xml:space="preserve">unico </w:t>
      </w:r>
      <w:r w:rsidRPr="00A73BEB">
        <w:rPr>
          <w:rFonts w:ascii="Titillium" w:hAnsi="Titillium" w:cs="Calibri"/>
          <w:bCs/>
          <w:iCs/>
          <w:sz w:val="18"/>
          <w:szCs w:val="18"/>
        </w:rPr>
        <w:t xml:space="preserve">del </w:t>
      </w:r>
      <w:r w:rsidR="00531389" w:rsidRPr="00A73BEB">
        <w:rPr>
          <w:rFonts w:ascii="Titillium" w:hAnsi="Titillium" w:cs="Calibri"/>
          <w:bCs/>
          <w:iCs/>
          <w:sz w:val="18"/>
          <w:szCs w:val="18"/>
        </w:rPr>
        <w:t>progetto</w:t>
      </w:r>
      <w:r w:rsidRPr="007A654B">
        <w:rPr>
          <w:rFonts w:ascii="Titillium" w:hAnsi="Titillium" w:cs="Calibri"/>
          <w:bCs/>
          <w:iCs/>
          <w:sz w:val="18"/>
          <w:szCs w:val="18"/>
        </w:rPr>
        <w:t xml:space="preserve"> è </w:t>
      </w:r>
      <w:r w:rsidRPr="00A73BEB">
        <w:rPr>
          <w:rFonts w:ascii="Titillium" w:hAnsi="Titillium" w:cs="Calibri"/>
          <w:bCs/>
          <w:i/>
          <w:iCs/>
          <w:sz w:val="18"/>
          <w:szCs w:val="18"/>
        </w:rPr>
        <w:t xml:space="preserve">… [indicare nome, cognome e indirizzo </w:t>
      </w:r>
      <w:r w:rsidR="00600C29" w:rsidRPr="00A73BEB">
        <w:rPr>
          <w:rFonts w:ascii="Titillium" w:hAnsi="Titillium" w:cs="Calibri"/>
          <w:bCs/>
          <w:i/>
          <w:iCs/>
          <w:sz w:val="18"/>
          <w:szCs w:val="18"/>
        </w:rPr>
        <w:t>e-mail</w:t>
      </w:r>
      <w:r w:rsidRPr="00A73BEB">
        <w:rPr>
          <w:rFonts w:ascii="Titillium" w:hAnsi="Titillium" w:cs="Calibri"/>
          <w:bCs/>
          <w:i/>
          <w:iCs/>
          <w:sz w:val="18"/>
          <w:szCs w:val="18"/>
        </w:rPr>
        <w:t>].</w:t>
      </w:r>
    </w:p>
    <w:p w14:paraId="10DEC71F" w14:textId="1411ED1A" w:rsidR="00531389" w:rsidRPr="009567AD" w:rsidRDefault="00531389">
      <w:pPr>
        <w:spacing w:before="60" w:after="60"/>
        <w:rPr>
          <w:rFonts w:ascii="Titillium" w:hAnsi="Titillium" w:cs="Calibri"/>
          <w:bCs/>
          <w:sz w:val="18"/>
          <w:szCs w:val="18"/>
        </w:rPr>
      </w:pPr>
      <w:r>
        <w:rPr>
          <w:rFonts w:ascii="Titillium" w:hAnsi="Titillium" w:cs="Calibri"/>
          <w:bCs/>
          <w:sz w:val="18"/>
          <w:szCs w:val="18"/>
        </w:rPr>
        <w:t>Il Responsabile del procedimento per la fase di affidamento è</w:t>
      </w:r>
      <w:proofErr w:type="gramStart"/>
      <w:r>
        <w:rPr>
          <w:rFonts w:ascii="Titillium" w:hAnsi="Titillium" w:cs="Calibri"/>
          <w:bCs/>
          <w:sz w:val="18"/>
          <w:szCs w:val="18"/>
        </w:rPr>
        <w:t xml:space="preserve"> ….</w:t>
      </w:r>
      <w:proofErr w:type="gramEnd"/>
      <w:r>
        <w:rPr>
          <w:rFonts w:ascii="Titillium" w:hAnsi="Titillium" w:cs="Calibri"/>
          <w:bCs/>
          <w:sz w:val="18"/>
          <w:szCs w:val="18"/>
        </w:rPr>
        <w:t>.</w:t>
      </w:r>
      <w:r w:rsidRPr="00531389">
        <w:rPr>
          <w:rFonts w:ascii="Titillium" w:hAnsi="Titillium" w:cs="Calibri"/>
          <w:bCs/>
          <w:iCs/>
          <w:sz w:val="18"/>
          <w:szCs w:val="18"/>
        </w:rPr>
        <w:t xml:space="preserve"> </w:t>
      </w:r>
      <w:r>
        <w:rPr>
          <w:rFonts w:ascii="Titillium" w:hAnsi="Titillium" w:cs="Calibri"/>
          <w:bCs/>
          <w:i/>
          <w:iCs/>
          <w:sz w:val="18"/>
          <w:szCs w:val="18"/>
        </w:rPr>
        <w:t>[se previsto</w:t>
      </w:r>
      <w:r w:rsidR="009911C6">
        <w:rPr>
          <w:rFonts w:ascii="Titillium" w:hAnsi="Titillium" w:cs="Calibri"/>
          <w:bCs/>
          <w:i/>
          <w:iCs/>
          <w:sz w:val="18"/>
          <w:szCs w:val="18"/>
        </w:rPr>
        <w:t xml:space="preserve">, </w:t>
      </w:r>
      <w:r>
        <w:rPr>
          <w:rFonts w:ascii="Titillium" w:hAnsi="Titillium" w:cs="Calibri"/>
          <w:bCs/>
          <w:i/>
          <w:iCs/>
          <w:sz w:val="18"/>
          <w:szCs w:val="18"/>
        </w:rPr>
        <w:t xml:space="preserve">indicare nome, cognome e indirizzo </w:t>
      </w:r>
      <w:r w:rsidR="00600C29">
        <w:rPr>
          <w:rFonts w:ascii="Titillium" w:hAnsi="Titillium" w:cs="Calibri"/>
          <w:bCs/>
          <w:i/>
          <w:iCs/>
          <w:sz w:val="18"/>
          <w:szCs w:val="18"/>
        </w:rPr>
        <w:t>e-mail</w:t>
      </w:r>
      <w:r>
        <w:rPr>
          <w:rFonts w:ascii="Titillium" w:hAnsi="Titillium" w:cs="Calibri"/>
          <w:bCs/>
          <w:i/>
          <w:iCs/>
          <w:sz w:val="18"/>
          <w:szCs w:val="18"/>
        </w:rPr>
        <w:t>].</w:t>
      </w:r>
    </w:p>
    <w:p w14:paraId="011E0C3B" w14:textId="77777777" w:rsidR="00BD1533" w:rsidRDefault="00BD1533">
      <w:pPr>
        <w:spacing w:before="60" w:after="60"/>
      </w:pPr>
    </w:p>
    <w:p w14:paraId="639E5ADB" w14:textId="35D2D82C" w:rsidR="004C53A8" w:rsidRPr="000D68B4" w:rsidRDefault="000D68B4">
      <w:pPr>
        <w:pStyle w:val="Titolo2"/>
        <w:numPr>
          <w:ilvl w:val="0"/>
          <w:numId w:val="4"/>
        </w:numPr>
        <w:spacing w:after="200"/>
        <w:ind w:left="357" w:hanging="357"/>
        <w:rPr>
          <w:rFonts w:ascii="Titillium" w:hAnsi="Titillium"/>
          <w:caps w:val="0"/>
          <w:sz w:val="18"/>
          <w:szCs w:val="18"/>
        </w:rPr>
      </w:pPr>
      <w:bookmarkStart w:id="135" w:name="_Ref132303744"/>
      <w:bookmarkStart w:id="136" w:name="_Toc139549409"/>
      <w:r w:rsidRPr="000D68B4">
        <w:rPr>
          <w:rFonts w:ascii="Titillium" w:hAnsi="Titillium"/>
          <w:caps w:val="0"/>
          <w:sz w:val="18"/>
          <w:szCs w:val="18"/>
        </w:rPr>
        <w:t>PIATTAFORMA TELEMATICA</w:t>
      </w:r>
      <w:bookmarkEnd w:id="135"/>
      <w:bookmarkEnd w:id="136"/>
      <w:r w:rsidRPr="000D68B4">
        <w:rPr>
          <w:rFonts w:ascii="Titillium" w:hAnsi="Titillium"/>
          <w:caps w:val="0"/>
          <w:sz w:val="18"/>
          <w:szCs w:val="18"/>
        </w:rPr>
        <w:t xml:space="preserve"> </w:t>
      </w:r>
    </w:p>
    <w:p w14:paraId="4D105DB2" w14:textId="4C5A1E5B" w:rsidR="004C53A8" w:rsidRPr="0051579B" w:rsidRDefault="004C667D" w:rsidP="00084AD6">
      <w:pPr>
        <w:pStyle w:val="Titolo3"/>
        <w:numPr>
          <w:ilvl w:val="1"/>
          <w:numId w:val="4"/>
        </w:numPr>
        <w:ind w:left="426"/>
        <w:rPr>
          <w:rFonts w:ascii="Titillium" w:hAnsi="Titillium"/>
          <w:iCs/>
          <w:caps w:val="0"/>
          <w:sz w:val="18"/>
          <w:szCs w:val="18"/>
        </w:rPr>
      </w:pPr>
      <w:bookmarkStart w:id="137" w:name="_Ref132303729"/>
      <w:bookmarkStart w:id="138" w:name="_Toc139549410"/>
      <w:r>
        <w:rPr>
          <w:rFonts w:ascii="Titillium" w:hAnsi="Titillium"/>
          <w:iCs/>
          <w:caps w:val="0"/>
          <w:sz w:val="18"/>
          <w:szCs w:val="18"/>
        </w:rPr>
        <w:t>LA PIATTAFORMA TELEMATICA DI NEGOZIAZIONE</w:t>
      </w:r>
      <w:bookmarkEnd w:id="137"/>
      <w:bookmarkEnd w:id="138"/>
    </w:p>
    <w:p w14:paraId="43085A1A" w14:textId="7DDD96A9" w:rsidR="00573D0F" w:rsidRPr="00871272" w:rsidRDefault="00214C08">
      <w:pPr>
        <w:pStyle w:val="Nessunaspaziatura"/>
        <w:tabs>
          <w:tab w:val="left" w:pos="567"/>
        </w:tabs>
        <w:spacing w:before="60" w:after="60"/>
        <w:rPr>
          <w:rFonts w:ascii="Titillium" w:hAnsi="Titillium" w:cs="Calibri"/>
          <w:bCs/>
          <w:iCs/>
          <w:sz w:val="18"/>
          <w:szCs w:val="18"/>
        </w:rPr>
      </w:pPr>
      <w:r w:rsidRPr="00871272">
        <w:rPr>
          <w:rFonts w:ascii="Titillium" w:hAnsi="Titillium" w:cs="Calibri"/>
          <w:bCs/>
          <w:iCs/>
          <w:sz w:val="18"/>
          <w:szCs w:val="18"/>
        </w:rPr>
        <w:t>L’utilizzo della Piattaforma comporta l’accettazione tacita ed incondizionata di tutti i termini, le condizioni di utilizzo e le avvertenze contenute nei documenti di gara</w:t>
      </w:r>
      <w:r w:rsidR="00D60EDC" w:rsidRPr="00871272">
        <w:rPr>
          <w:rFonts w:ascii="Titillium" w:hAnsi="Titillium" w:cs="Calibri"/>
          <w:bCs/>
          <w:iCs/>
          <w:sz w:val="18"/>
          <w:szCs w:val="18"/>
        </w:rPr>
        <w:t xml:space="preserve">, in particolare, del Regolamento UE n. 910/2014 (di seguito Regolamento </w:t>
      </w:r>
      <w:proofErr w:type="spellStart"/>
      <w:r w:rsidR="00D60EDC" w:rsidRPr="00871272">
        <w:rPr>
          <w:rFonts w:ascii="Titillium" w:hAnsi="Titillium" w:cs="Calibri"/>
          <w:bCs/>
          <w:iCs/>
          <w:sz w:val="18"/>
          <w:szCs w:val="18"/>
        </w:rPr>
        <w:t>eIDAS</w:t>
      </w:r>
      <w:proofErr w:type="spellEnd"/>
      <w:r w:rsidR="00D60EDC" w:rsidRPr="00871272">
        <w:rPr>
          <w:rFonts w:ascii="Titillium" w:hAnsi="Titillium" w:cs="Calibri"/>
          <w:bCs/>
          <w:iCs/>
          <w:sz w:val="18"/>
          <w:szCs w:val="18"/>
        </w:rPr>
        <w:t xml:space="preserve"> - </w:t>
      </w:r>
      <w:proofErr w:type="spellStart"/>
      <w:r w:rsidR="00D60EDC" w:rsidRPr="00871272">
        <w:rPr>
          <w:rFonts w:ascii="Titillium" w:hAnsi="Titillium" w:cs="Calibri"/>
          <w:bCs/>
          <w:iCs/>
          <w:sz w:val="18"/>
          <w:szCs w:val="18"/>
        </w:rPr>
        <w:t>electronic</w:t>
      </w:r>
      <w:proofErr w:type="spellEnd"/>
      <w:r w:rsidR="00D60EDC" w:rsidRPr="00871272">
        <w:rPr>
          <w:rFonts w:ascii="Titillium" w:hAnsi="Titillium" w:cs="Calibri"/>
          <w:bCs/>
          <w:iCs/>
          <w:sz w:val="18"/>
          <w:szCs w:val="18"/>
        </w:rPr>
        <w:t xml:space="preserve"> </w:t>
      </w:r>
      <w:proofErr w:type="spellStart"/>
      <w:r w:rsidR="00D60EDC" w:rsidRPr="00871272">
        <w:rPr>
          <w:rFonts w:ascii="Titillium" w:hAnsi="Titillium" w:cs="Calibri"/>
          <w:bCs/>
          <w:iCs/>
          <w:sz w:val="18"/>
          <w:szCs w:val="18"/>
        </w:rPr>
        <w:t>IDentification</w:t>
      </w:r>
      <w:proofErr w:type="spellEnd"/>
      <w:r w:rsidR="00D60EDC" w:rsidRPr="00871272">
        <w:rPr>
          <w:rFonts w:ascii="Titillium" w:hAnsi="Titillium" w:cs="Calibri"/>
          <w:bCs/>
          <w:iCs/>
          <w:sz w:val="18"/>
          <w:szCs w:val="18"/>
        </w:rPr>
        <w:t xml:space="preserve"> </w:t>
      </w:r>
      <w:proofErr w:type="spellStart"/>
      <w:r w:rsidR="00D60EDC" w:rsidRPr="00871272">
        <w:rPr>
          <w:rFonts w:ascii="Titillium" w:hAnsi="Titillium" w:cs="Calibri"/>
          <w:bCs/>
          <w:iCs/>
          <w:sz w:val="18"/>
          <w:szCs w:val="18"/>
        </w:rPr>
        <w:t>Authentication</w:t>
      </w:r>
      <w:proofErr w:type="spellEnd"/>
      <w:r w:rsidR="00D60EDC" w:rsidRPr="00871272">
        <w:rPr>
          <w:rFonts w:ascii="Titillium" w:hAnsi="Titillium" w:cs="Calibri"/>
          <w:bCs/>
          <w:iCs/>
          <w:sz w:val="18"/>
          <w:szCs w:val="18"/>
        </w:rPr>
        <w:t xml:space="preserve"> and </w:t>
      </w:r>
      <w:proofErr w:type="spellStart"/>
      <w:r w:rsidR="00D60EDC" w:rsidRPr="00871272">
        <w:rPr>
          <w:rFonts w:ascii="Titillium" w:hAnsi="Titillium" w:cs="Calibri"/>
          <w:bCs/>
          <w:iCs/>
          <w:sz w:val="18"/>
          <w:szCs w:val="18"/>
        </w:rPr>
        <w:t>Signature</w:t>
      </w:r>
      <w:proofErr w:type="spellEnd"/>
      <w:r w:rsidR="00D60EDC" w:rsidRPr="00871272">
        <w:rPr>
          <w:rFonts w:ascii="Titillium" w:hAnsi="Titillium" w:cs="Calibri"/>
          <w:bCs/>
          <w:iCs/>
          <w:sz w:val="18"/>
          <w:szCs w:val="18"/>
        </w:rPr>
        <w:t>), del decreto legislativo n. 82/2005</w:t>
      </w:r>
      <w:r w:rsidR="00950882">
        <w:rPr>
          <w:rFonts w:ascii="Titillium" w:hAnsi="Titillium" w:cs="Calibri"/>
          <w:bCs/>
          <w:iCs/>
          <w:sz w:val="18"/>
          <w:szCs w:val="18"/>
        </w:rPr>
        <w:t xml:space="preserve"> recante </w:t>
      </w:r>
      <w:r w:rsidR="00D60EDC" w:rsidRPr="00871272">
        <w:rPr>
          <w:rFonts w:ascii="Titillium" w:hAnsi="Titillium" w:cs="Calibri"/>
          <w:bCs/>
          <w:iCs/>
          <w:sz w:val="18"/>
          <w:szCs w:val="18"/>
        </w:rPr>
        <w:t>Codice dell’amministrazione digitale</w:t>
      </w:r>
      <w:r w:rsidR="00950882">
        <w:rPr>
          <w:rFonts w:ascii="Titillium" w:hAnsi="Titillium" w:cs="Calibri"/>
          <w:bCs/>
          <w:iCs/>
          <w:sz w:val="18"/>
          <w:szCs w:val="18"/>
        </w:rPr>
        <w:t xml:space="preserve"> (CAD</w:t>
      </w:r>
      <w:r w:rsidR="00D60EDC" w:rsidRPr="00871272">
        <w:rPr>
          <w:rFonts w:ascii="Titillium" w:hAnsi="Titillium" w:cs="Calibri"/>
          <w:bCs/>
          <w:iCs/>
          <w:sz w:val="18"/>
          <w:szCs w:val="18"/>
        </w:rPr>
        <w:t>)</w:t>
      </w:r>
      <w:r w:rsidR="00D95E6D">
        <w:rPr>
          <w:rFonts w:ascii="Titillium" w:hAnsi="Titillium" w:cs="Calibri"/>
          <w:bCs/>
          <w:iCs/>
          <w:sz w:val="18"/>
          <w:szCs w:val="18"/>
        </w:rPr>
        <w:t xml:space="preserve"> </w:t>
      </w:r>
      <w:r w:rsidR="00D60EDC" w:rsidRPr="00871272">
        <w:rPr>
          <w:rFonts w:ascii="Titillium" w:hAnsi="Titillium" w:cs="Calibri"/>
          <w:bCs/>
          <w:iCs/>
          <w:sz w:val="18"/>
          <w:szCs w:val="18"/>
        </w:rPr>
        <w:t>e delle Linee guida dell’AGID</w:t>
      </w:r>
      <w:r w:rsidR="00C339B8" w:rsidRPr="00871272">
        <w:rPr>
          <w:rFonts w:ascii="Titillium" w:hAnsi="Titillium" w:cs="Calibri"/>
          <w:bCs/>
          <w:iCs/>
          <w:sz w:val="18"/>
          <w:szCs w:val="18"/>
        </w:rPr>
        <w:t>,</w:t>
      </w:r>
      <w:r w:rsidR="00D60EDC" w:rsidRPr="00871272">
        <w:rPr>
          <w:rFonts w:ascii="Titillium" w:hAnsi="Titillium" w:cs="Calibri"/>
          <w:bCs/>
          <w:iCs/>
          <w:sz w:val="18"/>
          <w:szCs w:val="18"/>
        </w:rPr>
        <w:t xml:space="preserve"> </w:t>
      </w:r>
      <w:r w:rsidRPr="00871272">
        <w:rPr>
          <w:rFonts w:ascii="Titillium" w:hAnsi="Titillium" w:cs="Calibri"/>
          <w:bCs/>
          <w:iCs/>
          <w:sz w:val="18"/>
          <w:szCs w:val="18"/>
        </w:rPr>
        <w:t>nonché di quanto portato a conoscenza degli utenti tramite le comunicazioni sulla Piattaforma.</w:t>
      </w:r>
    </w:p>
    <w:p w14:paraId="4699C496" w14:textId="20456561" w:rsidR="004C53A8" w:rsidRPr="00871272" w:rsidRDefault="00870286" w:rsidP="00573D0F">
      <w:pPr>
        <w:pStyle w:val="Nessunaspaziatura"/>
        <w:tabs>
          <w:tab w:val="left" w:pos="567"/>
        </w:tabs>
        <w:spacing w:before="60" w:after="60"/>
        <w:rPr>
          <w:rFonts w:ascii="Titillium" w:hAnsi="Titillium" w:cs="Calibri"/>
          <w:bCs/>
          <w:iCs/>
          <w:sz w:val="18"/>
          <w:szCs w:val="18"/>
        </w:rPr>
      </w:pPr>
      <w:r w:rsidRPr="00871272">
        <w:rPr>
          <w:rFonts w:ascii="Titillium" w:hAnsi="Titillium" w:cs="Calibri"/>
          <w:bCs/>
          <w:iCs/>
          <w:sz w:val="18"/>
          <w:szCs w:val="18"/>
        </w:rPr>
        <w:t xml:space="preserve">L’utilizzo della Piattaforma avviene nel rispetto dei principi di </w:t>
      </w:r>
      <w:proofErr w:type="spellStart"/>
      <w:r w:rsidRPr="00871272">
        <w:rPr>
          <w:rFonts w:ascii="Titillium" w:hAnsi="Titillium" w:cs="Calibri"/>
          <w:bCs/>
          <w:iCs/>
          <w:sz w:val="18"/>
          <w:szCs w:val="18"/>
        </w:rPr>
        <w:t>autoresponsabilità</w:t>
      </w:r>
      <w:proofErr w:type="spellEnd"/>
      <w:r w:rsidRPr="00871272">
        <w:rPr>
          <w:rFonts w:ascii="Titillium" w:hAnsi="Titillium" w:cs="Calibri"/>
          <w:bCs/>
          <w:iCs/>
          <w:sz w:val="18"/>
          <w:szCs w:val="18"/>
        </w:rPr>
        <w:t xml:space="preserve"> e di diligenza professionale, secondo quanto previsto dall’articolo 1176, comma 2, del </w:t>
      </w:r>
      <w:r w:rsidR="00A426D8" w:rsidRPr="00871272">
        <w:rPr>
          <w:rFonts w:ascii="Titillium" w:hAnsi="Titillium" w:cs="Calibri"/>
          <w:bCs/>
          <w:iCs/>
          <w:sz w:val="18"/>
          <w:szCs w:val="18"/>
        </w:rPr>
        <w:t>C</w:t>
      </w:r>
      <w:r w:rsidRPr="00871272">
        <w:rPr>
          <w:rFonts w:ascii="Titillium" w:hAnsi="Titillium" w:cs="Calibri"/>
          <w:bCs/>
          <w:iCs/>
          <w:sz w:val="18"/>
          <w:szCs w:val="18"/>
        </w:rPr>
        <w:t>odice civile</w:t>
      </w:r>
      <w:r w:rsidR="00A36939" w:rsidRPr="00871272">
        <w:rPr>
          <w:rFonts w:ascii="Titillium" w:hAnsi="Titillium" w:cs="Calibri"/>
          <w:bCs/>
          <w:iCs/>
          <w:sz w:val="18"/>
          <w:szCs w:val="18"/>
        </w:rPr>
        <w:t>.</w:t>
      </w:r>
      <w:r w:rsidRPr="00871272">
        <w:rPr>
          <w:rFonts w:ascii="Titillium" w:hAnsi="Titillium" w:cs="Calibri"/>
          <w:bCs/>
          <w:iCs/>
          <w:sz w:val="18"/>
          <w:szCs w:val="18"/>
        </w:rPr>
        <w:t xml:space="preserve"> </w:t>
      </w:r>
    </w:p>
    <w:p w14:paraId="7836E377" w14:textId="77777777" w:rsidR="00214C08" w:rsidRPr="00214C08" w:rsidRDefault="00214C08" w:rsidP="00D44232">
      <w:pPr>
        <w:pStyle w:val="Default"/>
        <w:rPr>
          <w:rFonts w:ascii="Titillium" w:eastAsia="Times New Roman" w:hAnsi="Titillium" w:cs="Calibri"/>
          <w:bCs/>
          <w:iCs/>
          <w:color w:val="auto"/>
          <w:sz w:val="18"/>
          <w:szCs w:val="18"/>
        </w:rPr>
      </w:pPr>
      <w:r w:rsidRPr="00871272">
        <w:rPr>
          <w:rFonts w:ascii="Titillium" w:eastAsia="Times New Roman" w:hAnsi="Titillium" w:cs="Calibri"/>
          <w:bCs/>
          <w:iCs/>
          <w:color w:val="auto"/>
          <w:sz w:val="18"/>
          <w:szCs w:val="18"/>
        </w:rPr>
        <w:t>La Stazione</w:t>
      </w:r>
      <w:r w:rsidRPr="00214C08">
        <w:rPr>
          <w:rFonts w:ascii="Titillium" w:eastAsia="Times New Roman" w:hAnsi="Titillium" w:cs="Calibri"/>
          <w:bCs/>
          <w:iCs/>
          <w:color w:val="auto"/>
          <w:sz w:val="18"/>
          <w:szCs w:val="18"/>
        </w:rPr>
        <w:t xml:space="preserv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6CC15067" w14:textId="0D43F7A3" w:rsidR="00214C08" w:rsidRPr="00214C08" w:rsidRDefault="00214C08" w:rsidP="00573D0F">
      <w:pPr>
        <w:pStyle w:val="Default"/>
        <w:numPr>
          <w:ilvl w:val="1"/>
          <w:numId w:val="18"/>
        </w:numPr>
        <w:ind w:left="284" w:hanging="284"/>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difetti di funzionamento delle apparecchiature e dei sistemi di collegamento e programmi impiegati dal singolo operatore economico per il collegamento alla Piattaforma;</w:t>
      </w:r>
    </w:p>
    <w:p w14:paraId="4F366924" w14:textId="218C9FA9" w:rsidR="00214C08" w:rsidRPr="00214C08" w:rsidRDefault="00214C08" w:rsidP="00573D0F">
      <w:pPr>
        <w:pStyle w:val="Default"/>
        <w:numPr>
          <w:ilvl w:val="1"/>
          <w:numId w:val="18"/>
        </w:numPr>
        <w:ind w:left="284" w:hanging="284"/>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utilizzo della Piattaforma da parte dell’operatore economico in maniera non conforme al Disciplinare e a quanto previsto </w:t>
      </w:r>
      <w:r w:rsidRPr="00214C08">
        <w:rPr>
          <w:rFonts w:ascii="Titillium" w:eastAsia="Times New Roman" w:hAnsi="Titillium" w:cs="Calibri"/>
          <w:bCs/>
          <w:iCs/>
          <w:color w:val="auto"/>
          <w:sz w:val="18"/>
          <w:szCs w:val="18"/>
        </w:rPr>
        <w:lastRenderedPageBreak/>
        <w:t xml:space="preserve">nel documento denominato … </w:t>
      </w:r>
      <w:r w:rsidRPr="00D44232">
        <w:rPr>
          <w:rFonts w:ascii="Titillium" w:eastAsia="Times New Roman" w:hAnsi="Titillium" w:cs="Calibri"/>
          <w:bCs/>
          <w:iCs/>
          <w:color w:val="auto"/>
          <w:sz w:val="18"/>
          <w:szCs w:val="18"/>
        </w:rPr>
        <w:t>[</w:t>
      </w:r>
      <w:r w:rsidRPr="00573D0F">
        <w:rPr>
          <w:rFonts w:ascii="Titillium" w:eastAsia="Times New Roman" w:hAnsi="Titillium" w:cs="Calibri"/>
          <w:bCs/>
          <w:i/>
          <w:color w:val="auto"/>
          <w:sz w:val="18"/>
          <w:szCs w:val="18"/>
        </w:rPr>
        <w:t>indicare il documento nel quale sono riportate tutte le prescrizioni tecnico-informatiche</w:t>
      </w:r>
      <w:r w:rsidR="00310020">
        <w:rPr>
          <w:rFonts w:ascii="Titillium" w:eastAsia="Times New Roman" w:hAnsi="Titillium" w:cs="Calibri"/>
          <w:bCs/>
          <w:i/>
          <w:color w:val="auto"/>
          <w:sz w:val="18"/>
          <w:szCs w:val="18"/>
        </w:rPr>
        <w:t xml:space="preserve">, </w:t>
      </w:r>
      <w:r w:rsidRPr="00573D0F">
        <w:rPr>
          <w:rFonts w:ascii="Titillium" w:eastAsia="Times New Roman" w:hAnsi="Titillium" w:cs="Calibri"/>
          <w:bCs/>
          <w:i/>
          <w:color w:val="auto"/>
          <w:sz w:val="18"/>
          <w:szCs w:val="18"/>
        </w:rPr>
        <w:t>ad esempio Condizioni generali di utilizzo della Piattaforma per gare telematiche</w:t>
      </w:r>
      <w:r w:rsidRPr="00FB243C">
        <w:rPr>
          <w:rFonts w:ascii="Titillium" w:eastAsia="Times New Roman" w:hAnsi="Titillium" w:cs="Calibri"/>
          <w:bCs/>
          <w:i/>
          <w:iCs/>
          <w:color w:val="auto"/>
          <w:sz w:val="18"/>
          <w:szCs w:val="18"/>
        </w:rPr>
        <w:t>].</w:t>
      </w:r>
    </w:p>
    <w:p w14:paraId="756C6F4E" w14:textId="4E549B16" w:rsidR="00214C08" w:rsidRP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w:t>
      </w:r>
      <w:r w:rsidRPr="00527049">
        <w:rPr>
          <w:rFonts w:ascii="Titillium" w:eastAsia="Times New Roman" w:hAnsi="Titillium" w:cs="Calibri"/>
          <w:bCs/>
          <w:iCs/>
          <w:color w:val="auto"/>
          <w:sz w:val="18"/>
          <w:szCs w:val="18"/>
        </w:rPr>
        <w:t>stesso</w:t>
      </w:r>
      <w:r w:rsidR="00DC299E" w:rsidRPr="00527049">
        <w:rPr>
          <w:rFonts w:ascii="Titillium" w:eastAsia="Times New Roman" w:hAnsi="Titillium" w:cs="Calibri"/>
          <w:bCs/>
          <w:iCs/>
          <w:color w:val="auto"/>
          <w:sz w:val="18"/>
          <w:szCs w:val="18"/>
        </w:rPr>
        <w:t>.</w:t>
      </w:r>
    </w:p>
    <w:p w14:paraId="18DF0D37" w14:textId="5BF6EC62" w:rsid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La stazione appaltante si riserva di agire in tal modo anche quando, esclusa la negligenza dell’operatore economico, non sia possibile accertare la causa del mancato funzionamento o del malfunzionamento.</w:t>
      </w:r>
    </w:p>
    <w:p w14:paraId="0F60DC63" w14:textId="79B5EF32" w:rsidR="00074B74" w:rsidRDefault="00074B74" w:rsidP="00074B74">
      <w:pPr>
        <w:pStyle w:val="Default"/>
        <w:tabs>
          <w:tab w:val="left" w:pos="567"/>
        </w:tabs>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Le attività e le operazioni effettuate nell'ambito della Piattaforma sono registrate e attribuite all’operatore economico e si intendono compiute nell’ora e nel giorno risultanti dalle registrazioni di sistema. </w:t>
      </w:r>
    </w:p>
    <w:p w14:paraId="11F382C8" w14:textId="69ACA176" w:rsidR="00074B74" w:rsidRDefault="00074B74" w:rsidP="00074B74">
      <w:pPr>
        <w:pStyle w:val="Default"/>
        <w:tabs>
          <w:tab w:val="left" w:pos="567"/>
        </w:tabs>
      </w:pPr>
      <w:r>
        <w:rPr>
          <w:rFonts w:ascii="Titillium" w:eastAsia="Times New Roman" w:hAnsi="Titillium" w:cs="Calibri"/>
          <w:bCs/>
          <w:iCs/>
          <w:color w:val="auto"/>
          <w:sz w:val="18"/>
          <w:szCs w:val="18"/>
        </w:rPr>
        <w:t>Il sistema operativo della Piattaforma è sincronizzato sulla scala di tempo nazionale di cui al</w:t>
      </w:r>
      <w:r w:rsidR="00573D0F">
        <w:rPr>
          <w:rFonts w:ascii="Calibri" w:eastAsia="Times New Roman" w:hAnsi="Calibri" w:cs="Calibri"/>
          <w:bCs/>
          <w:iCs/>
          <w:color w:val="auto"/>
          <w:sz w:val="18"/>
          <w:szCs w:val="18"/>
        </w:rPr>
        <w:t xml:space="preserve"> </w:t>
      </w:r>
      <w:r>
        <w:rPr>
          <w:rFonts w:ascii="Titillium" w:eastAsia="Times New Roman" w:hAnsi="Titillium" w:cs="Calibri"/>
          <w:bCs/>
          <w:iCs/>
          <w:color w:val="auto"/>
          <w:sz w:val="18"/>
          <w:szCs w:val="18"/>
        </w:rPr>
        <w:t>decreto del Ministro dell'industria, del commercio e dell'artigianato 30 novembre 1993, n. 591, tramite protocollo NTP o standard s</w:t>
      </w:r>
      <w:r w:rsidR="002E6022">
        <w:rPr>
          <w:rFonts w:ascii="Titillium" w:eastAsia="Times New Roman" w:hAnsi="Titillium" w:cs="Calibri"/>
          <w:bCs/>
          <w:iCs/>
          <w:color w:val="auto"/>
          <w:sz w:val="18"/>
          <w:szCs w:val="18"/>
        </w:rPr>
        <w:t>u</w:t>
      </w:r>
      <w:r>
        <w:rPr>
          <w:rFonts w:ascii="Titillium" w:eastAsia="Times New Roman" w:hAnsi="Titillium" w:cs="Calibri"/>
          <w:bCs/>
          <w:iCs/>
          <w:color w:val="auto"/>
          <w:sz w:val="18"/>
          <w:szCs w:val="18"/>
        </w:rPr>
        <w:t xml:space="preserve">periore. </w:t>
      </w:r>
    </w:p>
    <w:p w14:paraId="39D93739" w14:textId="693EEDC9" w:rsidR="004A1488" w:rsidRDefault="007F3C85" w:rsidP="00840480">
      <w:pPr>
        <w:pStyle w:val="Default"/>
        <w:rPr>
          <w:rFonts w:ascii="Titillium" w:hAnsi="Titillium" w:cs="Calibri"/>
          <w:bCs/>
          <w:iCs/>
          <w:sz w:val="18"/>
          <w:szCs w:val="18"/>
        </w:rPr>
      </w:pPr>
      <w:r w:rsidRPr="00840480">
        <w:rPr>
          <w:rFonts w:ascii="Titillium" w:hAnsi="Titillium" w:cs="Calibri"/>
          <w:b/>
          <w:bCs/>
          <w:i/>
          <w:iCs/>
          <w:sz w:val="18"/>
          <w:szCs w:val="18"/>
          <w:highlight w:val="white"/>
        </w:rPr>
        <w:t>[</w:t>
      </w:r>
      <w:r w:rsidR="00573D0F">
        <w:rPr>
          <w:rFonts w:ascii="Titillium" w:hAnsi="Titillium" w:cs="Calibri"/>
          <w:b/>
          <w:bCs/>
          <w:i/>
          <w:iCs/>
          <w:sz w:val="18"/>
          <w:szCs w:val="18"/>
          <w:highlight w:val="white"/>
        </w:rPr>
        <w:t>Facoltativo</w:t>
      </w:r>
      <w:r w:rsidRPr="00840480">
        <w:rPr>
          <w:rFonts w:ascii="Titillium" w:hAnsi="Titillium" w:cs="Calibri"/>
          <w:b/>
          <w:bCs/>
          <w:i/>
          <w:iCs/>
          <w:sz w:val="18"/>
          <w:szCs w:val="18"/>
          <w:highlight w:val="white"/>
        </w:rPr>
        <w:t>]</w:t>
      </w:r>
      <w:r w:rsidR="00840480">
        <w:rPr>
          <w:rFonts w:ascii="Titillium" w:hAnsi="Titillium" w:cs="Calibri"/>
          <w:b/>
          <w:bCs/>
          <w:iCs/>
          <w:sz w:val="18"/>
          <w:szCs w:val="18"/>
          <w:highlight w:val="white"/>
        </w:rPr>
        <w:t xml:space="preserve"> </w:t>
      </w:r>
      <w:r w:rsidR="004A1488" w:rsidRPr="004A1488">
        <w:rPr>
          <w:rFonts w:ascii="Titillium" w:hAnsi="Titillium" w:cs="Calibri"/>
          <w:bCs/>
          <w:iCs/>
          <w:sz w:val="18"/>
          <w:szCs w:val="18"/>
        </w:rPr>
        <w:t xml:space="preserve">L’utilizzo e il funzionamento della Piattaforma avvengono in conformità a quanto riportato nel </w:t>
      </w:r>
      <w:r w:rsidR="004A1488" w:rsidRPr="004A1488">
        <w:rPr>
          <w:rFonts w:ascii="Titillium" w:hAnsi="Titillium" w:cs="Calibri"/>
          <w:bCs/>
          <w:sz w:val="18"/>
          <w:szCs w:val="18"/>
        </w:rPr>
        <w:t>documento</w:t>
      </w:r>
      <w:r w:rsidR="004A1488" w:rsidRPr="004A1488">
        <w:rPr>
          <w:rFonts w:ascii="Titillium" w:hAnsi="Titillium" w:cs="Calibri"/>
          <w:bCs/>
          <w:i/>
          <w:iCs/>
          <w:sz w:val="18"/>
          <w:szCs w:val="18"/>
        </w:rPr>
        <w:t xml:space="preserve"> … [indicarne il nome</w:t>
      </w:r>
      <w:r w:rsidR="00600C29">
        <w:rPr>
          <w:rFonts w:ascii="Titillium" w:hAnsi="Titillium" w:cs="Calibri"/>
          <w:bCs/>
          <w:i/>
          <w:iCs/>
          <w:sz w:val="18"/>
          <w:szCs w:val="18"/>
        </w:rPr>
        <w:t>,</w:t>
      </w:r>
      <w:r w:rsidR="004A1488" w:rsidRPr="004A1488">
        <w:rPr>
          <w:rFonts w:ascii="Titillium" w:hAnsi="Titillium" w:cs="Calibri"/>
          <w:bCs/>
          <w:i/>
          <w:iCs/>
          <w:sz w:val="18"/>
          <w:szCs w:val="18"/>
        </w:rPr>
        <w:t xml:space="preserve"> ad esempio Condizioni generali di utilizzo della Piattaforma per gare telematiche o Regolamento tecnico]</w:t>
      </w:r>
      <w:r w:rsidR="004A1488" w:rsidRPr="004A1488">
        <w:rPr>
          <w:rFonts w:ascii="Titillium" w:hAnsi="Titillium" w:cs="Calibri"/>
          <w:bCs/>
          <w:iCs/>
          <w:sz w:val="18"/>
          <w:szCs w:val="18"/>
        </w:rPr>
        <w:t>, che costituisce parte integrante del presente disciplinare.</w:t>
      </w:r>
    </w:p>
    <w:p w14:paraId="14178DF4" w14:textId="4B7B948D" w:rsidR="004C53A8" w:rsidRDefault="00870286" w:rsidP="00860FE3">
      <w:pPr>
        <w:pStyle w:val="Default"/>
      </w:pPr>
      <w:r>
        <w:rPr>
          <w:rFonts w:ascii="Titillium" w:eastAsia="Times New Roman" w:hAnsi="Titillium" w:cs="Calibri"/>
          <w:bCs/>
          <w:iCs/>
          <w:color w:val="auto"/>
          <w:sz w:val="18"/>
          <w:szCs w:val="18"/>
        </w:rPr>
        <w:t>L’acquisto, l’installazione e la configurazione dell’</w:t>
      </w:r>
      <w:r>
        <w:rPr>
          <w:rFonts w:ascii="Titillium" w:eastAsia="Times New Roman" w:hAnsi="Titillium" w:cs="Calibri"/>
          <w:bCs/>
          <w:i/>
          <w:iCs/>
          <w:color w:val="auto"/>
          <w:sz w:val="18"/>
          <w:szCs w:val="18"/>
        </w:rPr>
        <w:t>hardware</w:t>
      </w:r>
      <w:r>
        <w:rPr>
          <w:rFonts w:ascii="Titillium" w:eastAsia="Times New Roman" w:hAnsi="Titillium" w:cs="Calibri"/>
          <w:bCs/>
          <w:iCs/>
          <w:color w:val="auto"/>
          <w:sz w:val="18"/>
          <w:szCs w:val="18"/>
        </w:rPr>
        <w:t xml:space="preserve">, del </w:t>
      </w:r>
      <w:r>
        <w:rPr>
          <w:rFonts w:ascii="Titillium" w:eastAsia="Times New Roman" w:hAnsi="Titillium" w:cs="Calibri"/>
          <w:bCs/>
          <w:i/>
          <w:iCs/>
          <w:color w:val="auto"/>
          <w:sz w:val="18"/>
          <w:szCs w:val="18"/>
        </w:rPr>
        <w:t>software</w:t>
      </w:r>
      <w:r>
        <w:rPr>
          <w:rFonts w:ascii="Titillium" w:eastAsia="Times New Roman" w:hAnsi="Titillium" w:cs="Calibri"/>
          <w:bCs/>
          <w:iCs/>
          <w:color w:val="auto"/>
          <w:sz w:val="18"/>
          <w:szCs w:val="18"/>
        </w:rPr>
        <w:t>, dei certificati digitali di firma, della casella di PEC</w:t>
      </w:r>
      <w:r w:rsidR="00925E37">
        <w:rPr>
          <w:rFonts w:ascii="Titillium" w:eastAsia="Times New Roman" w:hAnsi="Titillium" w:cs="Calibri"/>
          <w:bCs/>
          <w:iCs/>
          <w:color w:val="auto"/>
          <w:sz w:val="18"/>
          <w:szCs w:val="18"/>
        </w:rPr>
        <w:t xml:space="preserve"> o comunque di un indirizzo di servizio elettronico di recapito certificato qualificato</w:t>
      </w:r>
      <w:r>
        <w:rPr>
          <w:rFonts w:ascii="Titillium" w:eastAsia="Times New Roman" w:hAnsi="Titillium" w:cs="Calibri"/>
          <w:bCs/>
          <w:iCs/>
          <w:color w:val="auto"/>
          <w:sz w:val="18"/>
          <w:szCs w:val="18"/>
        </w:rPr>
        <w:t xml:space="preserve">, nonché dei collegamenti per l’accesso alla rete </w:t>
      </w:r>
      <w:r>
        <w:rPr>
          <w:rFonts w:ascii="Titillium" w:eastAsia="Times New Roman" w:hAnsi="Titillium" w:cs="Calibri"/>
          <w:bCs/>
          <w:i/>
          <w:iCs/>
          <w:color w:val="auto"/>
          <w:sz w:val="18"/>
          <w:szCs w:val="18"/>
        </w:rPr>
        <w:t>Internet</w:t>
      </w:r>
      <w:r>
        <w:rPr>
          <w:rFonts w:ascii="Titillium" w:eastAsia="Times New Roman" w:hAnsi="Titillium" w:cs="Calibri"/>
          <w:bCs/>
          <w:iCs/>
          <w:color w:val="auto"/>
          <w:sz w:val="18"/>
          <w:szCs w:val="18"/>
        </w:rPr>
        <w:t>, restano a esclusivo carico dell’operatore economico.</w:t>
      </w:r>
    </w:p>
    <w:p w14:paraId="66AD8CD9" w14:textId="578C6304" w:rsidR="004C53A8" w:rsidRDefault="00870286">
      <w:pPr>
        <w:pStyle w:val="Default"/>
        <w:tabs>
          <w:tab w:val="left" w:pos="567"/>
        </w:tabs>
      </w:pPr>
      <w:r>
        <w:rPr>
          <w:rFonts w:ascii="Titillium" w:eastAsia="Times New Roman" w:hAnsi="Titillium" w:cs="Calibri"/>
          <w:bCs/>
          <w:iCs/>
          <w:color w:val="auto"/>
          <w:sz w:val="18"/>
          <w:szCs w:val="18"/>
        </w:rPr>
        <w:t xml:space="preserve">La Piattaforma è accessibile </w:t>
      </w:r>
      <w:r w:rsidR="00CB5329" w:rsidRPr="00573D0F">
        <w:rPr>
          <w:rFonts w:ascii="Titillium" w:eastAsia="Times New Roman" w:hAnsi="Titillium" w:cs="Calibri"/>
          <w:bCs/>
          <w:color w:val="auto"/>
          <w:sz w:val="18"/>
          <w:szCs w:val="18"/>
        </w:rPr>
        <w:t xml:space="preserve">in qualsiasi orario dalla data di pubblicazione del bando alla data di scadenza del termine di presentazione delle offerte </w:t>
      </w:r>
      <w:r w:rsidR="00573D0F">
        <w:rPr>
          <w:rFonts w:ascii="Titillium" w:eastAsia="Times New Roman" w:hAnsi="Titillium" w:cs="Calibri"/>
          <w:bCs/>
          <w:color w:val="auto"/>
          <w:sz w:val="18"/>
          <w:szCs w:val="18"/>
        </w:rPr>
        <w:t xml:space="preserve">… </w:t>
      </w:r>
      <w:r>
        <w:rPr>
          <w:rFonts w:ascii="Titillium" w:eastAsia="Times New Roman" w:hAnsi="Titillium" w:cs="Calibri"/>
          <w:bCs/>
          <w:i/>
          <w:iCs/>
          <w:color w:val="auto"/>
          <w:sz w:val="18"/>
          <w:szCs w:val="18"/>
        </w:rPr>
        <w:t>[</w:t>
      </w:r>
      <w:r w:rsidR="00573D0F">
        <w:rPr>
          <w:rFonts w:ascii="Titillium" w:eastAsia="Times New Roman" w:hAnsi="Titillium" w:cs="Calibri"/>
          <w:bCs/>
          <w:i/>
          <w:iCs/>
          <w:color w:val="auto"/>
          <w:sz w:val="18"/>
          <w:szCs w:val="18"/>
        </w:rPr>
        <w:t>i</w:t>
      </w:r>
      <w:r w:rsidR="00CB5329">
        <w:rPr>
          <w:rFonts w:ascii="Titillium" w:eastAsia="Times New Roman" w:hAnsi="Titillium" w:cs="Calibri"/>
          <w:bCs/>
          <w:i/>
          <w:iCs/>
          <w:color w:val="auto"/>
          <w:sz w:val="18"/>
          <w:szCs w:val="18"/>
        </w:rPr>
        <w:t xml:space="preserve">n alternativa, in caso di limitazioni orarie, </w:t>
      </w:r>
      <w:r>
        <w:rPr>
          <w:rFonts w:ascii="Titillium" w:eastAsia="Times New Roman" w:hAnsi="Titillium" w:cs="Calibri"/>
          <w:bCs/>
          <w:i/>
          <w:iCs/>
          <w:color w:val="auto"/>
          <w:sz w:val="18"/>
          <w:szCs w:val="18"/>
        </w:rPr>
        <w:t>indicare quando è accessibile la Piattaforma, ad esempio sempre oppure dal lunedì al venerdì dalle ore 8:00 alle ore 20:00 festivi esclusi oppure ogni giorno dalle 8:00 alle 20:00</w:t>
      </w:r>
      <w:r w:rsidR="00573D0F">
        <w:rPr>
          <w:rFonts w:ascii="Titillium" w:eastAsia="Times New Roman" w:hAnsi="Titillium" w:cs="Calibri"/>
          <w:bCs/>
          <w:i/>
          <w:iCs/>
          <w:color w:val="auto"/>
          <w:sz w:val="18"/>
          <w:szCs w:val="18"/>
        </w:rPr>
        <w:t>].</w:t>
      </w:r>
    </w:p>
    <w:p w14:paraId="38E0EBA9" w14:textId="60E49753" w:rsidR="000C70DE" w:rsidRDefault="000C70DE">
      <w:pPr>
        <w:pStyle w:val="Default"/>
        <w:rPr>
          <w:rFonts w:ascii="Titillium" w:eastAsia="Times New Roman" w:hAnsi="Titillium" w:cs="Calibri"/>
          <w:bCs/>
          <w:iCs/>
          <w:sz w:val="18"/>
          <w:szCs w:val="18"/>
        </w:rPr>
      </w:pPr>
    </w:p>
    <w:p w14:paraId="2ACAF99F" w14:textId="68C53073" w:rsidR="004C53A8" w:rsidRPr="00CE2140" w:rsidRDefault="004C667D" w:rsidP="00084AD6">
      <w:pPr>
        <w:pStyle w:val="Titolo3"/>
        <w:numPr>
          <w:ilvl w:val="1"/>
          <w:numId w:val="4"/>
        </w:numPr>
        <w:ind w:left="426"/>
        <w:rPr>
          <w:rFonts w:ascii="Titillium" w:hAnsi="Titillium"/>
          <w:iCs/>
          <w:caps w:val="0"/>
          <w:sz w:val="18"/>
          <w:szCs w:val="18"/>
        </w:rPr>
      </w:pPr>
      <w:bookmarkStart w:id="139" w:name="_Toc7655658811111"/>
      <w:bookmarkStart w:id="140" w:name="_Toc7655652711111"/>
      <w:bookmarkStart w:id="141" w:name="_Toc7655646611111"/>
      <w:bookmarkStart w:id="142" w:name="_Toc7655640511111"/>
      <w:bookmarkStart w:id="143" w:name="_Toc763991861111111111111111111111"/>
      <w:bookmarkStart w:id="144" w:name="_Toc7655658911111"/>
      <w:bookmarkStart w:id="145" w:name="_Toc7655652811111"/>
      <w:bookmarkStart w:id="146" w:name="_Toc7655646711111"/>
      <w:bookmarkStart w:id="147" w:name="_Toc7655640611111"/>
      <w:bookmarkStart w:id="148" w:name="_Toc763991871111111111111111111111"/>
      <w:bookmarkStart w:id="149" w:name="_Toc7655659011111"/>
      <w:bookmarkStart w:id="150" w:name="_Toc7655652911111"/>
      <w:bookmarkStart w:id="151" w:name="_Toc7655646811111"/>
      <w:bookmarkStart w:id="152" w:name="_Toc7655640711111"/>
      <w:bookmarkStart w:id="153" w:name="_Toc763991881111111111111111111111"/>
      <w:bookmarkStart w:id="154" w:name="_Toc7655659111111"/>
      <w:bookmarkStart w:id="155" w:name="_Toc7655653011111"/>
      <w:bookmarkStart w:id="156" w:name="_Toc7655646911111"/>
      <w:bookmarkStart w:id="157" w:name="_Toc7655640811111"/>
      <w:bookmarkStart w:id="158" w:name="_Toc763991891111111111111111111111"/>
      <w:bookmarkStart w:id="159" w:name="_Toc13954941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itillium" w:hAnsi="Titillium"/>
          <w:iCs/>
          <w:caps w:val="0"/>
          <w:sz w:val="18"/>
          <w:szCs w:val="18"/>
        </w:rPr>
        <w:t>DOTAZIONI TECNICHE</w:t>
      </w:r>
      <w:bookmarkEnd w:id="159"/>
    </w:p>
    <w:p w14:paraId="47D715F0" w14:textId="2E352F4F" w:rsidR="004C53A8" w:rsidRDefault="00870286">
      <w:pPr>
        <w:tabs>
          <w:tab w:val="left" w:pos="709"/>
        </w:tabs>
        <w:spacing w:before="60" w:after="60"/>
      </w:pP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w:t>
      </w:r>
      <w:r w:rsidR="0043729D">
        <w:rPr>
          <w:rFonts w:ascii="Titillium" w:hAnsi="Titillium" w:cs="Calibri"/>
          <w:bCs/>
          <w:color w:val="000000"/>
          <w:sz w:val="18"/>
          <w:szCs w:val="18"/>
          <w:highlight w:val="white"/>
        </w:rPr>
        <w:t xml:space="preserve">conforme a quella </w:t>
      </w:r>
      <w:r>
        <w:rPr>
          <w:rFonts w:ascii="Titillium" w:hAnsi="Titillium" w:cs="Calibri"/>
          <w:bCs/>
          <w:color w:val="000000"/>
          <w:sz w:val="18"/>
          <w:szCs w:val="18"/>
          <w:highlight w:val="white"/>
        </w:rPr>
        <w:t>indicata nel presente disciplinare e nel docume</w:t>
      </w:r>
      <w:r w:rsidR="000C344B">
        <w:rPr>
          <w:rFonts w:ascii="Titillium" w:hAnsi="Titillium" w:cs="Calibri"/>
          <w:bCs/>
          <w:color w:val="000000"/>
          <w:sz w:val="18"/>
          <w:szCs w:val="18"/>
          <w:highlight w:val="white"/>
        </w:rPr>
        <w:t>n</w:t>
      </w:r>
      <w:r>
        <w:rPr>
          <w:rFonts w:ascii="Titillium" w:hAnsi="Titillium" w:cs="Calibri"/>
          <w:bCs/>
          <w:color w:val="000000"/>
          <w:sz w:val="18"/>
          <w:szCs w:val="18"/>
          <w:highlight w:val="white"/>
        </w:rPr>
        <w:t xml:space="preserve">to …  </w:t>
      </w:r>
      <w:r>
        <w:rPr>
          <w:rFonts w:ascii="Titillium" w:hAnsi="Titillium" w:cs="Calibri"/>
          <w:bCs/>
          <w:i/>
          <w:iCs/>
          <w:color w:val="000000"/>
          <w:sz w:val="18"/>
          <w:szCs w:val="18"/>
          <w:highlight w:val="white"/>
        </w:rPr>
        <w:t>[indicarne il nome</w:t>
      </w:r>
      <w:r w:rsidR="00600C29">
        <w:rPr>
          <w:rFonts w:ascii="Titillium" w:hAnsi="Titillium" w:cs="Calibri"/>
          <w:bCs/>
          <w:i/>
          <w:iCs/>
          <w:color w:val="000000"/>
          <w:sz w:val="18"/>
          <w:szCs w:val="18"/>
          <w:highlight w:val="white"/>
        </w:rPr>
        <w:t>,</w:t>
      </w:r>
      <w:r>
        <w:rPr>
          <w:rFonts w:ascii="Titillium" w:hAnsi="Titillium" w:cs="Calibri"/>
          <w:bCs/>
          <w:i/>
          <w:iCs/>
          <w:color w:val="000000"/>
          <w:sz w:val="18"/>
          <w:szCs w:val="18"/>
          <w:highlight w:val="white"/>
        </w:rPr>
        <w:t xml:space="preserve"> ad esempio Condizioni generali di utilizzo della Piattaforma per gare telematiche o Regolamento tecnico]</w:t>
      </w:r>
      <w:r>
        <w:rPr>
          <w:rFonts w:ascii="Titillium" w:hAnsi="Titillium" w:cs="Calibri"/>
          <w:bCs/>
          <w:iCs/>
          <w:color w:val="000000"/>
          <w:sz w:val="18"/>
          <w:szCs w:val="18"/>
          <w:highlight w:val="white"/>
        </w:rPr>
        <w:t>, che d</w:t>
      </w:r>
      <w:r w:rsidR="000C344B">
        <w:rPr>
          <w:rFonts w:ascii="Titillium" w:hAnsi="Titillium" w:cs="Calibri"/>
          <w:bCs/>
          <w:iCs/>
          <w:color w:val="000000"/>
          <w:sz w:val="18"/>
          <w:szCs w:val="18"/>
          <w:highlight w:val="white"/>
        </w:rPr>
        <w:t>i</w:t>
      </w:r>
      <w:r>
        <w:rPr>
          <w:rFonts w:ascii="Titillium" w:hAnsi="Titillium" w:cs="Calibri"/>
          <w:bCs/>
          <w:iCs/>
          <w:color w:val="000000"/>
          <w:sz w:val="18"/>
          <w:szCs w:val="18"/>
          <w:highlight w:val="white"/>
        </w:rPr>
        <w:t>sciplina il fu</w:t>
      </w:r>
      <w:r w:rsidR="000C344B">
        <w:rPr>
          <w:rFonts w:ascii="Titillium" w:hAnsi="Titillium" w:cs="Calibri"/>
          <w:bCs/>
          <w:iCs/>
          <w:color w:val="000000"/>
          <w:sz w:val="18"/>
          <w:szCs w:val="18"/>
          <w:highlight w:val="white"/>
        </w:rPr>
        <w:t>n</w:t>
      </w:r>
      <w:r>
        <w:rPr>
          <w:rFonts w:ascii="Titillium" w:hAnsi="Titillium" w:cs="Calibri"/>
          <w:bCs/>
          <w:iCs/>
          <w:color w:val="000000"/>
          <w:sz w:val="18"/>
          <w:szCs w:val="18"/>
          <w:highlight w:val="white"/>
        </w:rPr>
        <w:t>zionamento e l’utilizzo della Piattaforma</w:t>
      </w:r>
      <w:r w:rsidRPr="000C344B">
        <w:rPr>
          <w:rFonts w:ascii="Titillium" w:hAnsi="Titillium" w:cs="Calibri"/>
          <w:bCs/>
          <w:color w:val="000000"/>
          <w:sz w:val="18"/>
          <w:szCs w:val="18"/>
        </w:rPr>
        <w:t>.</w:t>
      </w:r>
    </w:p>
    <w:p w14:paraId="2171757A" w14:textId="77777777" w:rsidR="004C53A8" w:rsidRPr="001F3065" w:rsidRDefault="00870286">
      <w:pPr>
        <w:tabs>
          <w:tab w:val="left" w:pos="709"/>
        </w:tabs>
        <w:spacing w:before="60" w:after="60"/>
        <w:rPr>
          <w:rFonts w:ascii="Titillium" w:hAnsi="Titillium" w:cs="Calibri"/>
          <w:bCs/>
          <w:color w:val="000000"/>
          <w:sz w:val="18"/>
          <w:szCs w:val="18"/>
          <w:highlight w:val="white"/>
        </w:rPr>
      </w:pPr>
      <w:r>
        <w:rPr>
          <w:rFonts w:ascii="Titillium" w:hAnsi="Titillium" w:cs="Calibri"/>
          <w:bCs/>
          <w:color w:val="000000"/>
          <w:sz w:val="18"/>
          <w:szCs w:val="18"/>
          <w:highlight w:val="white"/>
        </w:rPr>
        <w:t>In og</w:t>
      </w:r>
      <w:r w:rsidRPr="001F3065">
        <w:rPr>
          <w:rFonts w:ascii="Titillium" w:hAnsi="Titillium" w:cs="Calibri"/>
          <w:bCs/>
          <w:color w:val="000000"/>
          <w:sz w:val="18"/>
          <w:szCs w:val="18"/>
          <w:highlight w:val="white"/>
        </w:rPr>
        <w:t>ni caso è indispensabile:</w:t>
      </w:r>
    </w:p>
    <w:p w14:paraId="18B48245" w14:textId="44963571" w:rsidR="004C53A8" w:rsidRPr="001F3065" w:rsidRDefault="00870286" w:rsidP="0022153A">
      <w:pPr>
        <w:pStyle w:val="Default"/>
        <w:numPr>
          <w:ilvl w:val="1"/>
          <w:numId w:val="19"/>
        </w:numPr>
        <w:tabs>
          <w:tab w:val="left" w:pos="360"/>
        </w:tabs>
        <w:ind w:left="709" w:hanging="357"/>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disporre almeno di un personal computer conforme agli standard aggiornati di mercato, con connessione</w:t>
      </w:r>
      <w:r w:rsidR="000C344B" w:rsidRPr="001F3065">
        <w:rPr>
          <w:rFonts w:ascii="Titillium" w:eastAsia="Times New Roman" w:hAnsi="Titillium" w:cs="Calibri"/>
          <w:bCs/>
          <w:sz w:val="18"/>
          <w:szCs w:val="18"/>
          <w:highlight w:val="white"/>
          <w:lang w:eastAsia="en-US"/>
        </w:rPr>
        <w:t xml:space="preserve"> </w:t>
      </w:r>
      <w:r w:rsidRPr="001F3065">
        <w:rPr>
          <w:rFonts w:ascii="Titillium" w:eastAsia="Times New Roman" w:hAnsi="Titillium" w:cs="Calibri"/>
          <w:bCs/>
          <w:sz w:val="18"/>
          <w:szCs w:val="18"/>
          <w:highlight w:val="white"/>
          <w:lang w:eastAsia="en-US"/>
        </w:rPr>
        <w:t xml:space="preserve">internet e dotato di un comune browser idoneo ad operare in modo corretto sulla Piattaforma; </w:t>
      </w:r>
    </w:p>
    <w:p w14:paraId="5FF64657" w14:textId="4997473F" w:rsidR="004C53A8" w:rsidRPr="001F3065" w:rsidRDefault="0033206E" w:rsidP="0022153A">
      <w:pPr>
        <w:pStyle w:val="Default"/>
        <w:numPr>
          <w:ilvl w:val="1"/>
          <w:numId w:val="19"/>
        </w:numPr>
        <w:tabs>
          <w:tab w:val="left" w:pos="360"/>
        </w:tabs>
        <w:ind w:left="709" w:hanging="357"/>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disporre di un</w:t>
      </w:r>
      <w:r w:rsidR="00487C8A">
        <w:rPr>
          <w:rFonts w:ascii="Titillium" w:eastAsia="Times New Roman" w:hAnsi="Titillium" w:cs="Calibri"/>
          <w:bCs/>
          <w:sz w:val="18"/>
          <w:szCs w:val="18"/>
          <w:highlight w:val="white"/>
          <w:lang w:eastAsia="en-US"/>
        </w:rPr>
        <w:t xml:space="preserve"> s</w:t>
      </w:r>
      <w:r w:rsidR="009C6153" w:rsidRPr="009C6153">
        <w:rPr>
          <w:rFonts w:ascii="Titillium" w:eastAsia="Times New Roman" w:hAnsi="Titillium" w:cs="Calibri"/>
          <w:bCs/>
          <w:sz w:val="18"/>
          <w:szCs w:val="18"/>
          <w:highlight w:val="white"/>
          <w:lang w:eastAsia="en-US"/>
        </w:rPr>
        <w:t xml:space="preserve">istema pubblico per la gestione dell’identità digitale (SPID) di cui all’articolo 64 del decreto legislativo 7 marzo 2005, n. 82 o </w:t>
      </w:r>
      <w:r w:rsidR="00870286" w:rsidRPr="001F3065">
        <w:rPr>
          <w:rFonts w:ascii="Titillium" w:eastAsia="Times New Roman" w:hAnsi="Titillium" w:cs="Calibri"/>
          <w:bCs/>
          <w:sz w:val="18"/>
          <w:szCs w:val="18"/>
          <w:highlight w:val="white"/>
          <w:lang w:eastAsia="en-US"/>
        </w:rPr>
        <w:t xml:space="preserve">di altri mezzi di identificazione elettronica per il riconoscimento reciproco transfrontaliero ai sensi del Regolamento </w:t>
      </w:r>
      <w:proofErr w:type="spellStart"/>
      <w:r w:rsidR="00870286" w:rsidRPr="001F3065">
        <w:rPr>
          <w:rFonts w:ascii="Titillium" w:eastAsia="Times New Roman" w:hAnsi="Titillium" w:cs="Calibri"/>
          <w:bCs/>
          <w:sz w:val="18"/>
          <w:szCs w:val="18"/>
          <w:highlight w:val="white"/>
          <w:lang w:eastAsia="en-US"/>
        </w:rPr>
        <w:t>eIDAS</w:t>
      </w:r>
      <w:proofErr w:type="spellEnd"/>
      <w:r w:rsidR="00870286" w:rsidRPr="001F3065">
        <w:rPr>
          <w:rFonts w:ascii="Titillium" w:eastAsia="Times New Roman" w:hAnsi="Titillium" w:cs="Calibri"/>
          <w:bCs/>
          <w:sz w:val="18"/>
          <w:szCs w:val="18"/>
          <w:highlight w:val="white"/>
          <w:lang w:eastAsia="en-US"/>
        </w:rPr>
        <w:t>;</w:t>
      </w:r>
    </w:p>
    <w:p w14:paraId="05F55711" w14:textId="7DA011D3" w:rsidR="004C53A8" w:rsidRPr="001F3065" w:rsidRDefault="00870286" w:rsidP="0022153A">
      <w:pPr>
        <w:pStyle w:val="Default"/>
        <w:numPr>
          <w:ilvl w:val="1"/>
          <w:numId w:val="19"/>
        </w:numPr>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avere un </w:t>
      </w:r>
      <w:r w:rsidR="001F64AE">
        <w:rPr>
          <w:rFonts w:ascii="Titillium" w:eastAsia="Times New Roman" w:hAnsi="Titillium" w:cs="Calibri"/>
          <w:bCs/>
          <w:sz w:val="18"/>
          <w:szCs w:val="18"/>
          <w:highlight w:val="white"/>
          <w:lang w:eastAsia="en-US"/>
        </w:rPr>
        <w:t>domicilio digitale presente negli indici di cui agli articol</w:t>
      </w:r>
      <w:r w:rsidR="005E3851">
        <w:rPr>
          <w:rFonts w:ascii="Titillium" w:eastAsia="Times New Roman" w:hAnsi="Titillium" w:cs="Calibri"/>
          <w:bCs/>
          <w:sz w:val="18"/>
          <w:szCs w:val="18"/>
          <w:highlight w:val="white"/>
          <w:lang w:eastAsia="en-US"/>
        </w:rPr>
        <w:t>i</w:t>
      </w:r>
      <w:r w:rsidR="001F64AE">
        <w:rPr>
          <w:rFonts w:ascii="Titillium" w:eastAsia="Times New Roman" w:hAnsi="Titillium" w:cs="Calibri"/>
          <w:bCs/>
          <w:sz w:val="18"/>
          <w:szCs w:val="18"/>
          <w:highlight w:val="white"/>
          <w:lang w:eastAsia="en-US"/>
        </w:rPr>
        <w:t xml:space="preserve"> 6-bis e 6</w:t>
      </w:r>
      <w:r w:rsidR="00A36939">
        <w:rPr>
          <w:rFonts w:ascii="Titillium" w:eastAsia="Times New Roman" w:hAnsi="Titillium" w:cs="Calibri"/>
          <w:bCs/>
          <w:sz w:val="18"/>
          <w:szCs w:val="18"/>
          <w:highlight w:val="white"/>
          <w:lang w:eastAsia="en-US"/>
        </w:rPr>
        <w:t>-</w:t>
      </w:r>
      <w:r w:rsidR="001F64AE">
        <w:rPr>
          <w:rFonts w:ascii="Titillium" w:eastAsia="Times New Roman" w:hAnsi="Titillium" w:cs="Calibri"/>
          <w:bCs/>
          <w:sz w:val="18"/>
          <w:szCs w:val="18"/>
          <w:highlight w:val="white"/>
          <w:lang w:eastAsia="en-US"/>
        </w:rPr>
        <w:t xml:space="preserve">ter del </w:t>
      </w:r>
      <w:r w:rsidR="001F64AE" w:rsidRPr="009C6153">
        <w:rPr>
          <w:rFonts w:ascii="Titillium" w:eastAsia="Times New Roman" w:hAnsi="Titillium" w:cs="Calibri"/>
          <w:bCs/>
          <w:sz w:val="18"/>
          <w:szCs w:val="18"/>
          <w:highlight w:val="white"/>
          <w:lang w:eastAsia="en-US"/>
        </w:rPr>
        <w:t xml:space="preserve">decreto legislativo 7 marzo 2005, n. 82 </w:t>
      </w:r>
      <w:r w:rsidRPr="001F3065">
        <w:rPr>
          <w:rFonts w:ascii="Titillium" w:eastAsia="Times New Roman" w:hAnsi="Titillium" w:cs="Calibri"/>
          <w:bCs/>
          <w:sz w:val="18"/>
          <w:szCs w:val="18"/>
          <w:highlight w:val="white"/>
          <w:lang w:eastAsia="en-US"/>
        </w:rPr>
        <w:t>o, per l’operatore economico transfrontaliero,</w:t>
      </w:r>
      <w:r w:rsidR="000C344B" w:rsidRPr="001F3065">
        <w:rPr>
          <w:rFonts w:ascii="Titillium" w:eastAsia="Times New Roman" w:hAnsi="Titillium" w:cs="Calibri"/>
          <w:bCs/>
          <w:sz w:val="18"/>
          <w:szCs w:val="18"/>
          <w:highlight w:val="white"/>
          <w:lang w:eastAsia="en-US"/>
        </w:rPr>
        <w:t xml:space="preserve"> </w:t>
      </w:r>
      <w:r w:rsidRPr="001F3065">
        <w:rPr>
          <w:rFonts w:ascii="Titillium" w:eastAsia="Times New Roman" w:hAnsi="Titillium" w:cs="Calibri"/>
          <w:bCs/>
          <w:sz w:val="18"/>
          <w:szCs w:val="18"/>
          <w:highlight w:val="white"/>
          <w:lang w:eastAsia="en-US"/>
        </w:rPr>
        <w:t xml:space="preserve">un indirizzo di servizio elettronico di recapito certificato qualificato ai sensi del Regolamento </w:t>
      </w:r>
      <w:proofErr w:type="spellStart"/>
      <w:r w:rsidRPr="001F3065">
        <w:rPr>
          <w:rFonts w:ascii="Titillium" w:eastAsia="Times New Roman" w:hAnsi="Titillium" w:cs="Calibri"/>
          <w:bCs/>
          <w:sz w:val="18"/>
          <w:szCs w:val="18"/>
          <w:highlight w:val="white"/>
          <w:lang w:eastAsia="en-US"/>
        </w:rPr>
        <w:t>eIDAS</w:t>
      </w:r>
      <w:proofErr w:type="spellEnd"/>
      <w:r w:rsidRPr="001F3065">
        <w:rPr>
          <w:rFonts w:ascii="Titillium" w:eastAsia="Times New Roman" w:hAnsi="Titillium" w:cs="Calibri"/>
          <w:bCs/>
          <w:sz w:val="18"/>
          <w:szCs w:val="18"/>
          <w:highlight w:val="white"/>
          <w:lang w:eastAsia="en-US"/>
        </w:rPr>
        <w:t>;</w:t>
      </w:r>
    </w:p>
    <w:p w14:paraId="3019EA63" w14:textId="77777777" w:rsidR="004C53A8" w:rsidRPr="001F3065" w:rsidRDefault="00870286" w:rsidP="0022153A">
      <w:pPr>
        <w:pStyle w:val="Default"/>
        <w:numPr>
          <w:ilvl w:val="1"/>
          <w:numId w:val="19"/>
        </w:numPr>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avere da parte del legale rappresentante dell’operatore economico (o da persona munita di idonei poteri di firma) un certificato di firma digitale, in corso di validità, rilasciato da:</w:t>
      </w:r>
    </w:p>
    <w:p w14:paraId="6D41AF2E" w14:textId="0B982992" w:rsidR="004C53A8" w:rsidRPr="001F3065" w:rsidRDefault="00870286" w:rsidP="0022153A">
      <w:pPr>
        <w:pStyle w:val="Default"/>
        <w:numPr>
          <w:ilvl w:val="1"/>
          <w:numId w:val="18"/>
        </w:numPr>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organismo incluso nell’elenco pubblico dei certificatori tenuto dall’Agenzia per l’Italia Digitale (previsto dall’articolo 29 del decreto legislativo n. 82/05); </w:t>
      </w:r>
    </w:p>
    <w:p w14:paraId="0BEA620A" w14:textId="77777777" w:rsidR="004C53A8" w:rsidRPr="001F3065" w:rsidRDefault="00870286" w:rsidP="0022153A">
      <w:pPr>
        <w:pStyle w:val="Default"/>
        <w:numPr>
          <w:ilvl w:val="1"/>
          <w:numId w:val="18"/>
        </w:numPr>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certificatore operante in base a una licenza o autorizzazione rilasciata da uno Stato membro dell’Unione europea e in possesso dei requisiti previsti dal Regolamento n. 910/14; </w:t>
      </w:r>
    </w:p>
    <w:p w14:paraId="39BFC385" w14:textId="77777777" w:rsidR="004C53A8" w:rsidRDefault="00870286" w:rsidP="0022153A">
      <w:pPr>
        <w:pStyle w:val="Default"/>
        <w:numPr>
          <w:ilvl w:val="1"/>
          <w:numId w:val="18"/>
        </w:numPr>
        <w:tabs>
          <w:tab w:val="left" w:pos="360"/>
        </w:tabs>
        <w:ind w:left="1134"/>
      </w:pPr>
      <w:r w:rsidRPr="001F3065">
        <w:rPr>
          <w:rFonts w:ascii="Titillium" w:eastAsia="Times New Roman" w:hAnsi="Titillium" w:cs="Calibri"/>
          <w:bCs/>
          <w:sz w:val="18"/>
          <w:szCs w:val="18"/>
          <w:highlight w:val="white"/>
          <w:lang w:eastAsia="en-US"/>
        </w:rPr>
        <w:t>un certificatore stabilito in uno Stato non facente parte dell’Unione europea quando ricorre una delle seguenti condizioni</w:t>
      </w:r>
      <w:r>
        <w:rPr>
          <w:rFonts w:ascii="Titillium" w:eastAsia="Times New Roman" w:hAnsi="Titillium" w:cs="Calibri"/>
          <w:bCs/>
          <w:iCs/>
          <w:sz w:val="18"/>
          <w:szCs w:val="18"/>
          <w:highlight w:val="white"/>
        </w:rPr>
        <w:t xml:space="preserve">: </w:t>
      </w:r>
    </w:p>
    <w:p w14:paraId="0CBC8D67" w14:textId="77777777" w:rsidR="004C53A8" w:rsidRDefault="00870286" w:rsidP="00601972">
      <w:pPr>
        <w:pStyle w:val="Default"/>
        <w:numPr>
          <w:ilvl w:val="0"/>
          <w:numId w:val="41"/>
        </w:numPr>
      </w:pPr>
      <w:r>
        <w:rPr>
          <w:rFonts w:ascii="Titillium" w:eastAsia="Times New Roman" w:hAnsi="Titillium" w:cs="Calibri"/>
          <w:bCs/>
          <w:iCs/>
          <w:sz w:val="18"/>
          <w:szCs w:val="18"/>
          <w:highlight w:val="white"/>
        </w:rPr>
        <w:t xml:space="preserve">il certificatore possiede i requisiti previsti dal Regolamento </w:t>
      </w:r>
      <w:r>
        <w:rPr>
          <w:rFonts w:ascii="Titillium" w:hAnsi="Titillium" w:cs="Calibri"/>
          <w:bCs/>
          <w:iCs/>
          <w:sz w:val="18"/>
          <w:szCs w:val="18"/>
        </w:rPr>
        <w:t xml:space="preserve">n. 910/14 </w:t>
      </w:r>
      <w:r>
        <w:rPr>
          <w:rFonts w:ascii="Titillium" w:eastAsia="Times New Roman" w:hAnsi="Titillium" w:cs="Calibri"/>
          <w:bCs/>
          <w:iCs/>
          <w:sz w:val="18"/>
          <w:szCs w:val="18"/>
          <w:highlight w:val="white"/>
        </w:rPr>
        <w:t xml:space="preserve">ed è qualificato in uno stato membro; </w:t>
      </w:r>
    </w:p>
    <w:p w14:paraId="388951DB" w14:textId="38D930A3" w:rsidR="004C53A8" w:rsidRDefault="00870286" w:rsidP="00601972">
      <w:pPr>
        <w:pStyle w:val="Default"/>
        <w:numPr>
          <w:ilvl w:val="0"/>
          <w:numId w:val="41"/>
        </w:numPr>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è garantito da un certificatore stabilito nell’Unione Europea, in possesso dei </w:t>
      </w:r>
      <w:r>
        <w:rPr>
          <w:rFonts w:ascii="Titillium" w:eastAsia="Times New Roman" w:hAnsi="Titillium" w:cs="Calibri"/>
          <w:bCs/>
          <w:iCs/>
          <w:sz w:val="18"/>
          <w:szCs w:val="18"/>
          <w:highlight w:val="white"/>
        </w:rPr>
        <w:lastRenderedPageBreak/>
        <w:t>requisiti di cui al regolamento n. 9100</w:t>
      </w:r>
      <w:r w:rsidR="00A36939">
        <w:rPr>
          <w:rFonts w:ascii="Titillium" w:eastAsia="Times New Roman" w:hAnsi="Titillium" w:cs="Calibri"/>
          <w:bCs/>
          <w:iCs/>
          <w:sz w:val="18"/>
          <w:szCs w:val="18"/>
          <w:highlight w:val="white"/>
        </w:rPr>
        <w:t>/</w:t>
      </w:r>
      <w:r>
        <w:rPr>
          <w:rFonts w:ascii="Titillium" w:eastAsia="Times New Roman" w:hAnsi="Titillium" w:cs="Calibri"/>
          <w:bCs/>
          <w:iCs/>
          <w:sz w:val="18"/>
          <w:szCs w:val="18"/>
          <w:highlight w:val="white"/>
        </w:rPr>
        <w:t xml:space="preserve">14; </w:t>
      </w:r>
    </w:p>
    <w:p w14:paraId="07160332" w14:textId="1F623BBA" w:rsidR="004C53A8" w:rsidRDefault="00870286" w:rsidP="00601972">
      <w:pPr>
        <w:pStyle w:val="Default"/>
        <w:numPr>
          <w:ilvl w:val="0"/>
          <w:numId w:val="41"/>
        </w:numPr>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o il certificatore, è riconosciuto in forza di un accordo bilaterale o multilaterale tra l’Unione Europea e paesi terzi o organizzazioni internazionali. </w:t>
      </w:r>
    </w:p>
    <w:p w14:paraId="7B60BC5B" w14:textId="57BE2767" w:rsidR="004C53A8" w:rsidRPr="00CE2140" w:rsidRDefault="004C667D" w:rsidP="00084AD6">
      <w:pPr>
        <w:pStyle w:val="Titolo3"/>
        <w:numPr>
          <w:ilvl w:val="1"/>
          <w:numId w:val="4"/>
        </w:numPr>
        <w:ind w:left="426"/>
        <w:rPr>
          <w:rFonts w:ascii="Titillium" w:hAnsi="Titillium"/>
          <w:iCs/>
          <w:caps w:val="0"/>
          <w:sz w:val="18"/>
          <w:szCs w:val="18"/>
        </w:rPr>
      </w:pPr>
      <w:bookmarkStart w:id="160" w:name="_Toc139549412"/>
      <w:r>
        <w:rPr>
          <w:rFonts w:ascii="Titillium" w:hAnsi="Titillium"/>
          <w:iCs/>
          <w:caps w:val="0"/>
          <w:sz w:val="18"/>
          <w:szCs w:val="18"/>
        </w:rPr>
        <w:t>IDENTIFICAZIONE</w:t>
      </w:r>
      <w:bookmarkEnd w:id="160"/>
    </w:p>
    <w:p w14:paraId="0A5CA943" w14:textId="77777777" w:rsidR="001F3065" w:rsidRDefault="00870286">
      <w:pPr>
        <w:rPr>
          <w:rFonts w:ascii="Titillium" w:hAnsi="Titillium" w:cs="Calibri"/>
          <w:bCs/>
          <w:iCs/>
          <w:sz w:val="18"/>
          <w:szCs w:val="18"/>
        </w:rPr>
      </w:pPr>
      <w:r>
        <w:rPr>
          <w:rFonts w:ascii="Titillium" w:hAnsi="Titillium" w:cs="Calibri"/>
          <w:bCs/>
          <w:iCs/>
          <w:sz w:val="18"/>
          <w:szCs w:val="18"/>
        </w:rPr>
        <w:t>Per poter presentare offerta è necessario accedere alla Piattaforma.</w:t>
      </w:r>
    </w:p>
    <w:p w14:paraId="65613AAB" w14:textId="16D4AFD3" w:rsidR="001F3065" w:rsidRDefault="00870286">
      <w:pPr>
        <w:rPr>
          <w:rFonts w:ascii="Titillium" w:hAnsi="Titillium"/>
          <w:sz w:val="18"/>
          <w:szCs w:val="18"/>
        </w:rPr>
      </w:pPr>
      <w:r>
        <w:rPr>
          <w:rFonts w:ascii="Titillium" w:hAnsi="Titillium"/>
          <w:sz w:val="18"/>
          <w:szCs w:val="18"/>
        </w:rPr>
        <w:t xml:space="preserve">L’accesso è gratuito ed è consentito a seguito dell’identificazione dell’operatore economico. </w:t>
      </w:r>
    </w:p>
    <w:p w14:paraId="4926EE4A" w14:textId="11642848" w:rsidR="004C53A8" w:rsidRDefault="00870286">
      <w:r>
        <w:rPr>
          <w:rFonts w:ascii="Titillium" w:hAnsi="Titillium"/>
          <w:sz w:val="18"/>
          <w:szCs w:val="18"/>
        </w:rPr>
        <w:t xml:space="preserve">L’identificazione avviene </w:t>
      </w:r>
      <w:r w:rsidR="006517D3">
        <w:rPr>
          <w:rFonts w:ascii="Titillium" w:hAnsi="Titillium"/>
          <w:sz w:val="18"/>
          <w:szCs w:val="18"/>
        </w:rPr>
        <w:t xml:space="preserve">o </w:t>
      </w:r>
      <w:r>
        <w:rPr>
          <w:rFonts w:ascii="Titillium" w:hAnsi="Titillium"/>
          <w:sz w:val="18"/>
          <w:szCs w:val="18"/>
        </w:rPr>
        <w:t xml:space="preserve">mediante </w:t>
      </w:r>
      <w:r w:rsidR="009651A3">
        <w:rPr>
          <w:rFonts w:ascii="Titillium" w:hAnsi="Titillium"/>
          <w:sz w:val="18"/>
          <w:szCs w:val="18"/>
        </w:rPr>
        <w:t>i</w:t>
      </w:r>
      <w:r w:rsidR="009651A3" w:rsidRPr="009651A3">
        <w:rPr>
          <w:rFonts w:ascii="Titillium" w:hAnsi="Titillium"/>
          <w:sz w:val="18"/>
          <w:szCs w:val="18"/>
        </w:rPr>
        <w:t>l sistema pubblico per la gestione dell’identità digitale di cittadini e imprese (SPID</w:t>
      </w:r>
      <w:r w:rsidR="009C6153">
        <w:rPr>
          <w:rFonts w:ascii="Titillium" w:hAnsi="Titillium"/>
          <w:sz w:val="18"/>
          <w:szCs w:val="18"/>
        </w:rPr>
        <w:t>)</w:t>
      </w:r>
      <w:r w:rsidR="009651A3" w:rsidRPr="009651A3">
        <w:rPr>
          <w:rFonts w:ascii="Titillium" w:hAnsi="Titillium"/>
          <w:sz w:val="18"/>
          <w:szCs w:val="18"/>
        </w:rPr>
        <w:t xml:space="preserve"> o </w:t>
      </w:r>
      <w:r>
        <w:rPr>
          <w:rFonts w:ascii="Titillium" w:hAnsi="Titillium"/>
          <w:sz w:val="18"/>
          <w:szCs w:val="18"/>
        </w:rPr>
        <w:t xml:space="preserve">attraverso gli altri mezzi di identificazione elettronica per il riconoscimento reciproco transfrontaliero ai sensi del Regolamento </w:t>
      </w:r>
      <w:proofErr w:type="spellStart"/>
      <w:r>
        <w:rPr>
          <w:rFonts w:ascii="Titillium" w:hAnsi="Titillium"/>
          <w:sz w:val="18"/>
          <w:szCs w:val="18"/>
        </w:rPr>
        <w:t>eIDAS</w:t>
      </w:r>
      <w:proofErr w:type="spellEnd"/>
      <w:r>
        <w:rPr>
          <w:rFonts w:ascii="Titillium" w:hAnsi="Titillium"/>
          <w:sz w:val="18"/>
          <w:szCs w:val="18"/>
        </w:rPr>
        <w:t>.</w:t>
      </w:r>
    </w:p>
    <w:p w14:paraId="75905C3B" w14:textId="77777777" w:rsidR="004C53A8" w:rsidRDefault="00870286">
      <w:pPr>
        <w:pStyle w:val="Default"/>
        <w:tabs>
          <w:tab w:val="left" w:pos="0"/>
        </w:tabs>
        <w:spacing w:before="60" w:after="60"/>
        <w:rPr>
          <w:rFonts w:ascii="Titillium" w:hAnsi="Titillium"/>
          <w:sz w:val="18"/>
          <w:szCs w:val="18"/>
        </w:rPr>
      </w:pPr>
      <w:r>
        <w:rPr>
          <w:rFonts w:ascii="Titillium" w:hAnsi="Titillium"/>
          <w:sz w:val="18"/>
          <w:szCs w:val="18"/>
        </w:rPr>
        <w:t xml:space="preserve">Una volta completata la procedura di identificazione, ad ogni operatore economico identificato viene attribuito un profilo da utilizzare nella procedura di gara. </w:t>
      </w:r>
    </w:p>
    <w:p w14:paraId="7B04A890" w14:textId="1EC63593" w:rsidR="004C53A8" w:rsidRPr="001035D6" w:rsidRDefault="008F2434">
      <w:pPr>
        <w:tabs>
          <w:tab w:val="left" w:pos="0"/>
        </w:tabs>
        <w:spacing w:before="60" w:after="60"/>
        <w:rPr>
          <w:i/>
        </w:rPr>
      </w:pPr>
      <w:r w:rsidRPr="00FF0BFA">
        <w:rPr>
          <w:rFonts w:ascii="Titillium" w:hAnsi="Titillium" w:cs="Calibri"/>
          <w:b/>
          <w:i/>
          <w:sz w:val="18"/>
          <w:szCs w:val="18"/>
        </w:rPr>
        <w:t>[F</w:t>
      </w:r>
      <w:r w:rsidR="00BA1078" w:rsidRPr="00FF0BFA">
        <w:rPr>
          <w:rFonts w:ascii="Titillium" w:hAnsi="Titillium" w:cs="Calibri"/>
          <w:b/>
          <w:i/>
          <w:sz w:val="18"/>
          <w:szCs w:val="18"/>
        </w:rPr>
        <w:t>acoltativa]</w:t>
      </w:r>
      <w:r w:rsidR="00BA1078">
        <w:rPr>
          <w:rFonts w:ascii="Titillium" w:hAnsi="Titillium" w:cs="Calibri"/>
          <w:sz w:val="18"/>
          <w:szCs w:val="18"/>
        </w:rPr>
        <w:t xml:space="preserve"> </w:t>
      </w:r>
      <w:r w:rsidR="00870286">
        <w:rPr>
          <w:rFonts w:ascii="Titillium" w:hAnsi="Titillium" w:cs="Calibri"/>
          <w:sz w:val="18"/>
          <w:szCs w:val="18"/>
        </w:rPr>
        <w:t xml:space="preserve">Eventuali richieste di assistenza di tipo informatico riguardanti l’identificazione e l’accesso alla Piattaforma devono essere effettuate </w:t>
      </w:r>
      <w:r w:rsidR="00870286" w:rsidRPr="001035D6">
        <w:rPr>
          <w:rFonts w:ascii="Titillium" w:hAnsi="Titillium" w:cs="Calibri"/>
          <w:i/>
          <w:sz w:val="18"/>
          <w:szCs w:val="18"/>
        </w:rPr>
        <w:t>[inserire le modalità per richiedere assis</w:t>
      </w:r>
      <w:r w:rsidR="0071510E">
        <w:rPr>
          <w:rFonts w:ascii="Titillium" w:hAnsi="Titillium" w:cs="Calibri"/>
          <w:i/>
          <w:sz w:val="18"/>
          <w:szCs w:val="18"/>
        </w:rPr>
        <w:t>tenza</w:t>
      </w:r>
      <w:r w:rsidR="00600C29">
        <w:rPr>
          <w:rFonts w:ascii="Titillium" w:hAnsi="Titillium" w:cs="Calibri"/>
          <w:i/>
          <w:sz w:val="18"/>
          <w:szCs w:val="18"/>
        </w:rPr>
        <w:t>,</w:t>
      </w:r>
      <w:r w:rsidR="0071510E">
        <w:rPr>
          <w:rFonts w:ascii="Titillium" w:hAnsi="Titillium" w:cs="Calibri"/>
          <w:i/>
          <w:sz w:val="18"/>
          <w:szCs w:val="18"/>
        </w:rPr>
        <w:t xml:space="preserve"> ad esempio contattando </w:t>
      </w:r>
      <w:proofErr w:type="gramStart"/>
      <w:r w:rsidR="0071510E">
        <w:rPr>
          <w:rFonts w:ascii="Titillium" w:hAnsi="Titillium" w:cs="Calibri"/>
          <w:i/>
          <w:sz w:val="18"/>
          <w:szCs w:val="18"/>
        </w:rPr>
        <w:t xml:space="preserve">il </w:t>
      </w:r>
      <w:r w:rsidR="00870286" w:rsidRPr="001035D6">
        <w:rPr>
          <w:rFonts w:ascii="Titillium" w:hAnsi="Titillium" w:cs="Calibri"/>
          <w:i/>
          <w:sz w:val="18"/>
          <w:szCs w:val="18"/>
        </w:rPr>
        <w:t>call</w:t>
      </w:r>
      <w:proofErr w:type="gramEnd"/>
      <w:r w:rsidR="00870286" w:rsidRPr="001035D6">
        <w:rPr>
          <w:rFonts w:ascii="Titillium" w:hAnsi="Titillium" w:cs="Calibri"/>
          <w:i/>
          <w:sz w:val="18"/>
          <w:szCs w:val="18"/>
        </w:rPr>
        <w:t xml:space="preserve"> center ovvero il servizio a ciò deputato al numero ... nei seguenti orari ... oppure invia</w:t>
      </w:r>
      <w:r w:rsidR="00F72D73" w:rsidRPr="001035D6">
        <w:rPr>
          <w:rFonts w:ascii="Titillium" w:hAnsi="Titillium" w:cs="Calibri"/>
          <w:i/>
          <w:sz w:val="18"/>
          <w:szCs w:val="18"/>
        </w:rPr>
        <w:t>ndo</w:t>
      </w:r>
      <w:r w:rsidR="00870286" w:rsidRPr="001035D6">
        <w:rPr>
          <w:rFonts w:ascii="Titillium" w:hAnsi="Titillium" w:cs="Calibri"/>
          <w:i/>
          <w:sz w:val="18"/>
          <w:szCs w:val="18"/>
        </w:rPr>
        <w:t xml:space="preserve"> </w:t>
      </w:r>
      <w:r w:rsidR="00600C29" w:rsidRPr="001035D6">
        <w:rPr>
          <w:rFonts w:ascii="Titillium" w:hAnsi="Titillium" w:cs="Calibri"/>
          <w:i/>
          <w:sz w:val="18"/>
          <w:szCs w:val="18"/>
        </w:rPr>
        <w:t>un’e-mail</w:t>
      </w:r>
      <w:r w:rsidR="00870286" w:rsidRPr="001035D6">
        <w:rPr>
          <w:rFonts w:ascii="Titillium" w:hAnsi="Titillium" w:cs="Calibri"/>
          <w:i/>
          <w:sz w:val="18"/>
          <w:szCs w:val="18"/>
        </w:rPr>
        <w:t xml:space="preserve"> al seguente indirizzo</w:t>
      </w:r>
      <w:r w:rsidR="00F72D73" w:rsidRPr="001035D6">
        <w:rPr>
          <w:rFonts w:ascii="Titillium" w:hAnsi="Titillium" w:cs="Calibri"/>
          <w:i/>
          <w:sz w:val="18"/>
          <w:szCs w:val="18"/>
        </w:rPr>
        <w:t xml:space="preserve"> …</w:t>
      </w:r>
      <w:r w:rsidR="00870286" w:rsidRPr="001035D6">
        <w:rPr>
          <w:rFonts w:ascii="Titillium" w:hAnsi="Titillium" w:cs="Calibri"/>
          <w:i/>
          <w:sz w:val="18"/>
          <w:szCs w:val="18"/>
        </w:rPr>
        <w:t>]</w:t>
      </w:r>
      <w:r w:rsidR="001035D6">
        <w:rPr>
          <w:rFonts w:ascii="Titillium" w:hAnsi="Titillium" w:cs="Calibri"/>
          <w:i/>
          <w:sz w:val="18"/>
          <w:szCs w:val="18"/>
        </w:rPr>
        <w:t>.</w:t>
      </w:r>
    </w:p>
    <w:p w14:paraId="22D9EB7F" w14:textId="77777777" w:rsidR="00BA1078" w:rsidRPr="001B7E2D" w:rsidRDefault="00BA1078" w:rsidP="00BA1078">
      <w:pPr>
        <w:pStyle w:val="Default"/>
        <w:ind w:left="1277"/>
        <w:rPr>
          <w:rFonts w:ascii="Titillium" w:hAnsi="Titillium" w:cs="Calibri"/>
          <w:bCs/>
          <w:iCs/>
          <w:sz w:val="18"/>
          <w:szCs w:val="18"/>
          <w:highlight w:val="white"/>
        </w:rPr>
      </w:pPr>
    </w:p>
    <w:tbl>
      <w:tblPr>
        <w:tblW w:w="9459" w:type="dxa"/>
        <w:tblInd w:w="-108" w:type="dxa"/>
        <w:tblLook w:val="04A0" w:firstRow="1" w:lastRow="0" w:firstColumn="1" w:lastColumn="0" w:noHBand="0" w:noVBand="1"/>
      </w:tblPr>
      <w:tblGrid>
        <w:gridCol w:w="9459"/>
      </w:tblGrid>
      <w:tr w:rsidR="00BA1078" w:rsidRPr="001B7E2D" w14:paraId="4244B0D8" w14:textId="77777777" w:rsidTr="006605E1">
        <w:tc>
          <w:tcPr>
            <w:tcW w:w="9459" w:type="dxa"/>
            <w:tcBorders>
              <w:top w:val="single" w:sz="4" w:space="0" w:color="000000"/>
              <w:left w:val="single" w:sz="4" w:space="0" w:color="000000"/>
              <w:bottom w:val="single" w:sz="4" w:space="0" w:color="000000"/>
              <w:right w:val="single" w:sz="4" w:space="0" w:color="000000"/>
            </w:tcBorders>
          </w:tcPr>
          <w:p w14:paraId="1D2C299A" w14:textId="74979C8A" w:rsidR="00BA1078" w:rsidRPr="00DC299E" w:rsidRDefault="00BA1078" w:rsidP="00DC299E">
            <w:pPr>
              <w:pStyle w:val="Default"/>
              <w:rPr>
                <w:rFonts w:ascii="Titillium" w:hAnsi="Titillium" w:cs="Calibri"/>
                <w:bCs/>
                <w:i/>
                <w:iCs/>
                <w:sz w:val="18"/>
                <w:szCs w:val="18"/>
              </w:rPr>
            </w:pPr>
            <w:r w:rsidRPr="00DC299E">
              <w:rPr>
                <w:rFonts w:ascii="Titillium" w:hAnsi="Titillium" w:cs="Calibri"/>
                <w:bCs/>
                <w:i/>
                <w:iCs/>
                <w:sz w:val="18"/>
                <w:szCs w:val="18"/>
              </w:rPr>
              <w:t xml:space="preserve">N.B.  </w:t>
            </w:r>
            <w:r w:rsidR="005E3851" w:rsidRPr="00DC299E">
              <w:rPr>
                <w:rFonts w:ascii="Titillium" w:hAnsi="Titillium" w:cs="Calibri"/>
                <w:bCs/>
                <w:i/>
                <w:iCs/>
                <w:sz w:val="18"/>
                <w:szCs w:val="18"/>
              </w:rPr>
              <w:t xml:space="preserve">Nelle more </w:t>
            </w:r>
            <w:r w:rsidR="00573D0F" w:rsidRPr="00DC299E">
              <w:rPr>
                <w:rFonts w:ascii="Titillium" w:hAnsi="Titillium" w:cs="Calibri"/>
                <w:bCs/>
                <w:i/>
                <w:iCs/>
                <w:sz w:val="18"/>
                <w:szCs w:val="18"/>
              </w:rPr>
              <w:t>dell’efficacia delle disposizioni del Codice sulla digitalizzazione dei contratti pubblici,</w:t>
            </w:r>
            <w:r w:rsidR="00A1302C" w:rsidRPr="00DC299E">
              <w:rPr>
                <w:rFonts w:ascii="Titillium" w:hAnsi="Titillium" w:cs="Calibri"/>
                <w:bCs/>
                <w:i/>
                <w:iCs/>
                <w:sz w:val="18"/>
                <w:szCs w:val="18"/>
              </w:rPr>
              <w:t xml:space="preserve"> </w:t>
            </w:r>
            <w:r w:rsidRPr="00DC299E">
              <w:rPr>
                <w:rFonts w:ascii="Titillium" w:hAnsi="Titillium" w:cs="Calibri"/>
                <w:bCs/>
                <w:i/>
                <w:iCs/>
                <w:sz w:val="18"/>
                <w:szCs w:val="18"/>
              </w:rPr>
              <w:t>le stazioni appaltanti valutano sulla base delle caratteristiche tecniche del</w:t>
            </w:r>
            <w:r w:rsidR="00CB5329" w:rsidRPr="00DC299E">
              <w:rPr>
                <w:rFonts w:ascii="Titillium" w:hAnsi="Titillium" w:cs="Calibri"/>
                <w:bCs/>
                <w:i/>
                <w:iCs/>
                <w:sz w:val="18"/>
                <w:szCs w:val="18"/>
              </w:rPr>
              <w:t>la piattaforma</w:t>
            </w:r>
            <w:r w:rsidR="008C279F" w:rsidRPr="00DC299E">
              <w:rPr>
                <w:rFonts w:ascii="Titillium" w:hAnsi="Titillium" w:cs="Calibri"/>
                <w:bCs/>
                <w:i/>
                <w:iCs/>
                <w:sz w:val="18"/>
                <w:szCs w:val="18"/>
              </w:rPr>
              <w:t xml:space="preserve"> </w:t>
            </w:r>
            <w:r w:rsidRPr="00DC299E">
              <w:rPr>
                <w:rFonts w:ascii="Titillium" w:hAnsi="Titillium" w:cs="Calibri"/>
                <w:bCs/>
                <w:i/>
                <w:iCs/>
                <w:sz w:val="18"/>
                <w:szCs w:val="18"/>
              </w:rPr>
              <w:t>utilizzat</w:t>
            </w:r>
            <w:r w:rsidR="00CB5329" w:rsidRPr="00DC299E">
              <w:rPr>
                <w:rFonts w:ascii="Titillium" w:hAnsi="Titillium" w:cs="Calibri"/>
                <w:bCs/>
                <w:i/>
                <w:iCs/>
                <w:sz w:val="18"/>
                <w:szCs w:val="18"/>
              </w:rPr>
              <w:t>a</w:t>
            </w:r>
            <w:r w:rsidRPr="00DC299E">
              <w:rPr>
                <w:rFonts w:ascii="Titillium" w:hAnsi="Titillium" w:cs="Calibri"/>
                <w:bCs/>
                <w:i/>
                <w:iCs/>
                <w:sz w:val="18"/>
                <w:szCs w:val="18"/>
              </w:rPr>
              <w:t xml:space="preserve"> se consentire l’accesso all</w:t>
            </w:r>
            <w:r w:rsidR="00CB5329" w:rsidRPr="00DC299E">
              <w:rPr>
                <w:rFonts w:ascii="Titillium" w:hAnsi="Titillium" w:cs="Calibri"/>
                <w:bCs/>
                <w:i/>
                <w:iCs/>
                <w:sz w:val="18"/>
                <w:szCs w:val="18"/>
              </w:rPr>
              <w:t>a</w:t>
            </w:r>
            <w:r w:rsidRPr="00DC299E">
              <w:rPr>
                <w:rFonts w:ascii="Titillium" w:hAnsi="Titillium" w:cs="Calibri"/>
                <w:bCs/>
                <w:i/>
                <w:iCs/>
                <w:sz w:val="18"/>
                <w:szCs w:val="18"/>
              </w:rPr>
              <w:t xml:space="preserve"> stess</w:t>
            </w:r>
            <w:r w:rsidR="00CB5329" w:rsidRPr="00DC299E">
              <w:rPr>
                <w:rFonts w:ascii="Titillium" w:hAnsi="Titillium" w:cs="Calibri"/>
                <w:bCs/>
                <w:i/>
                <w:iCs/>
                <w:sz w:val="18"/>
                <w:szCs w:val="18"/>
              </w:rPr>
              <w:t>a</w:t>
            </w:r>
            <w:r w:rsidRPr="00DC299E">
              <w:rPr>
                <w:rFonts w:ascii="Titillium" w:hAnsi="Titillium" w:cs="Calibri"/>
                <w:bCs/>
                <w:i/>
                <w:iCs/>
                <w:sz w:val="18"/>
                <w:szCs w:val="18"/>
              </w:rPr>
              <w:t xml:space="preserve"> anche tramite il rilascio di specifiche credenziali </w:t>
            </w:r>
            <w:r w:rsidR="00A1302C" w:rsidRPr="00DC299E">
              <w:rPr>
                <w:rFonts w:ascii="Titillium" w:hAnsi="Titillium" w:cs="Calibri"/>
                <w:bCs/>
                <w:i/>
                <w:iCs/>
                <w:sz w:val="18"/>
                <w:szCs w:val="18"/>
              </w:rPr>
              <w:t>e/o</w:t>
            </w:r>
            <w:r w:rsidRPr="00DC299E">
              <w:rPr>
                <w:rFonts w:ascii="Titillium" w:hAnsi="Titillium" w:cs="Calibri"/>
                <w:bCs/>
                <w:i/>
                <w:iCs/>
                <w:sz w:val="18"/>
                <w:szCs w:val="18"/>
              </w:rPr>
              <w:t xml:space="preserve"> mediante una o più del</w:t>
            </w:r>
            <w:r w:rsidRPr="00DC299E">
              <w:rPr>
                <w:rFonts w:ascii="Titillium" w:eastAsia="Times New Roman" w:hAnsi="Titillium" w:cs="Calibri"/>
                <w:bCs/>
                <w:i/>
                <w:sz w:val="18"/>
                <w:szCs w:val="18"/>
                <w:lang w:eastAsia="en-US"/>
              </w:rPr>
              <w:t>le seguenti modalit</w:t>
            </w:r>
            <w:r w:rsidR="00DC299E" w:rsidRPr="00DC299E">
              <w:rPr>
                <w:rFonts w:ascii="Titillium" w:eastAsia="Times New Roman" w:hAnsi="Titillium" w:cs="Calibri"/>
                <w:bCs/>
                <w:i/>
                <w:sz w:val="18"/>
                <w:szCs w:val="18"/>
                <w:lang w:eastAsia="en-US"/>
              </w:rPr>
              <w:t xml:space="preserve">à di identificazione digitale: </w:t>
            </w:r>
            <w:r w:rsidR="00373F22" w:rsidRPr="00DC299E">
              <w:rPr>
                <w:rFonts w:ascii="Titillium" w:eastAsia="Times New Roman" w:hAnsi="Titillium" w:cs="Calibri"/>
                <w:bCs/>
                <w:i/>
                <w:sz w:val="18"/>
                <w:szCs w:val="18"/>
                <w:lang w:eastAsia="en-US"/>
              </w:rPr>
              <w:t>c</w:t>
            </w:r>
            <w:r w:rsidRPr="00DC299E">
              <w:rPr>
                <w:rFonts w:ascii="Titillium" w:eastAsia="Times New Roman" w:hAnsi="Titillium" w:cs="Calibri"/>
                <w:bCs/>
                <w:i/>
                <w:sz w:val="18"/>
                <w:szCs w:val="18"/>
                <w:lang w:eastAsia="en-US"/>
              </w:rPr>
              <w:t xml:space="preserve">arta d’identità elettronica (CIE) di cui all’articolo 66 del decreto legislativo 7 marzo 2005, n. 82 o </w:t>
            </w:r>
            <w:r w:rsidR="00373F22" w:rsidRPr="00DC299E">
              <w:rPr>
                <w:rFonts w:ascii="Titillium" w:eastAsia="Times New Roman" w:hAnsi="Titillium" w:cs="Calibri"/>
                <w:bCs/>
                <w:i/>
                <w:sz w:val="18"/>
                <w:szCs w:val="18"/>
                <w:lang w:eastAsia="en-US"/>
              </w:rPr>
              <w:t>c</w:t>
            </w:r>
            <w:r w:rsidRPr="00DC299E">
              <w:rPr>
                <w:rFonts w:ascii="Titillium" w:eastAsia="Times New Roman" w:hAnsi="Titillium" w:cs="Calibri"/>
                <w:bCs/>
                <w:i/>
                <w:sz w:val="18"/>
                <w:szCs w:val="18"/>
                <w:lang w:eastAsia="en-US"/>
              </w:rPr>
              <w:t xml:space="preserve">arta Nazionale dei Servizi (CNS) di cui all’articolo 66 del medesimo decreto legislativo, </w:t>
            </w:r>
            <w:r w:rsidRPr="00DC299E">
              <w:rPr>
                <w:rFonts w:ascii="Titillium" w:hAnsi="Titillium" w:cs="Calibri"/>
                <w:bCs/>
                <w:i/>
                <w:iCs/>
                <w:sz w:val="18"/>
                <w:szCs w:val="18"/>
              </w:rPr>
              <w:t>modificando in tal caso la lettera b) dell’articolo 1.2</w:t>
            </w:r>
            <w:r w:rsidRPr="00DC299E">
              <w:rPr>
                <w:rFonts w:ascii="Titillium" w:eastAsia="Times New Roman" w:hAnsi="Titillium" w:cs="Calibri"/>
                <w:bCs/>
                <w:sz w:val="18"/>
                <w:szCs w:val="18"/>
                <w:lang w:eastAsia="en-US"/>
              </w:rPr>
              <w:t xml:space="preserve">. </w:t>
            </w:r>
          </w:p>
        </w:tc>
      </w:tr>
    </w:tbl>
    <w:p w14:paraId="78E4F3DA" w14:textId="61F04617" w:rsidR="004C53A8" w:rsidRPr="00084AD6" w:rsidRDefault="00870286" w:rsidP="00084AD6">
      <w:pPr>
        <w:pStyle w:val="Titolo2"/>
        <w:numPr>
          <w:ilvl w:val="0"/>
          <w:numId w:val="4"/>
        </w:numPr>
        <w:spacing w:after="200"/>
        <w:ind w:left="357" w:hanging="357"/>
        <w:rPr>
          <w:rFonts w:ascii="Titillium" w:hAnsi="Titillium"/>
          <w:caps w:val="0"/>
          <w:sz w:val="18"/>
          <w:szCs w:val="18"/>
        </w:rPr>
      </w:pPr>
      <w:bookmarkStart w:id="161" w:name="_Toc482101909"/>
      <w:bookmarkStart w:id="162" w:name="_Toc139549413"/>
      <w:bookmarkEnd w:id="161"/>
      <w:r w:rsidRPr="00084AD6">
        <w:rPr>
          <w:rFonts w:ascii="Titillium" w:hAnsi="Titillium"/>
          <w:caps w:val="0"/>
          <w:sz w:val="18"/>
          <w:szCs w:val="18"/>
        </w:rPr>
        <w:t>DOCUMENTAZIONE DI GARA, CHIARIMENTI E COMUNICAZIONI</w:t>
      </w:r>
      <w:bookmarkEnd w:id="162"/>
    </w:p>
    <w:p w14:paraId="026BD960" w14:textId="3C5AD9BA" w:rsidR="004C53A8" w:rsidRPr="00352F6C" w:rsidRDefault="004C667D" w:rsidP="00084AD6">
      <w:pPr>
        <w:pStyle w:val="Titolo3"/>
        <w:numPr>
          <w:ilvl w:val="1"/>
          <w:numId w:val="4"/>
        </w:numPr>
        <w:ind w:left="142" w:hanging="142"/>
        <w:rPr>
          <w:rFonts w:ascii="Titillium" w:hAnsi="Titillium"/>
          <w:iCs/>
          <w:sz w:val="18"/>
          <w:szCs w:val="18"/>
        </w:rPr>
      </w:pPr>
      <w:bookmarkStart w:id="163" w:name="_Ref138082059"/>
      <w:bookmarkStart w:id="164" w:name="_Toc139549414"/>
      <w:r w:rsidRPr="00352F6C">
        <w:rPr>
          <w:rFonts w:ascii="Titillium" w:hAnsi="Titillium"/>
          <w:iCs/>
          <w:sz w:val="18"/>
          <w:szCs w:val="18"/>
        </w:rPr>
        <w:t>DOCUMENTI DI GARA</w:t>
      </w:r>
      <w:bookmarkEnd w:id="163"/>
      <w:bookmarkEnd w:id="164"/>
    </w:p>
    <w:p w14:paraId="58BB8E9E" w14:textId="77777777" w:rsidR="002874DB" w:rsidRDefault="002874DB">
      <w:pPr>
        <w:spacing w:before="60" w:after="60"/>
        <w:rPr>
          <w:rFonts w:ascii="Titillium" w:hAnsi="Titillium" w:cs="Calibri"/>
          <w:sz w:val="18"/>
          <w:szCs w:val="18"/>
        </w:rPr>
      </w:pPr>
    </w:p>
    <w:p w14:paraId="7E7EEFFE" w14:textId="626F0910" w:rsidR="004C53A8" w:rsidRDefault="00870286">
      <w:pPr>
        <w:spacing w:before="60" w:after="60"/>
        <w:rPr>
          <w:rFonts w:ascii="Titillium" w:hAnsi="Titillium" w:cs="Calibri"/>
          <w:sz w:val="18"/>
          <w:szCs w:val="18"/>
        </w:rPr>
      </w:pPr>
      <w:r>
        <w:rPr>
          <w:rFonts w:ascii="Titillium" w:hAnsi="Titillium" w:cs="Calibri"/>
          <w:sz w:val="18"/>
          <w:szCs w:val="18"/>
        </w:rPr>
        <w:t>La documentazione di gara comprende:</w:t>
      </w:r>
    </w:p>
    <w:p w14:paraId="6A7084D6" w14:textId="77777777" w:rsidR="004C53A8" w:rsidRDefault="00870286" w:rsidP="0022153A">
      <w:pPr>
        <w:numPr>
          <w:ilvl w:val="2"/>
          <w:numId w:val="20"/>
        </w:numPr>
        <w:spacing w:before="60" w:after="60"/>
        <w:ind w:left="709" w:hanging="283"/>
        <w:jc w:val="left"/>
        <w:rPr>
          <w:rFonts w:ascii="Titillium" w:hAnsi="Titillium" w:cs="Calibri"/>
          <w:bCs/>
          <w:iCs/>
          <w:sz w:val="18"/>
          <w:szCs w:val="18"/>
          <w:lang w:eastAsia="it-IT"/>
        </w:rPr>
      </w:pPr>
      <w:r>
        <w:rPr>
          <w:rFonts w:ascii="Titillium" w:hAnsi="Titillium" w:cs="Calibri"/>
          <w:bCs/>
          <w:iCs/>
          <w:sz w:val="18"/>
          <w:szCs w:val="18"/>
          <w:lang w:eastAsia="it-IT"/>
        </w:rPr>
        <w:t>bando di gara;</w:t>
      </w:r>
    </w:p>
    <w:p w14:paraId="79A4E918" w14:textId="77777777" w:rsidR="004C53A8" w:rsidRDefault="00870286" w:rsidP="0022153A">
      <w:pPr>
        <w:numPr>
          <w:ilvl w:val="2"/>
          <w:numId w:val="20"/>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 xml:space="preserve">disciplinare di gara; </w:t>
      </w:r>
    </w:p>
    <w:p w14:paraId="3DD35258" w14:textId="77777777" w:rsidR="006B218D" w:rsidRPr="001B0323" w:rsidRDefault="006B218D" w:rsidP="006B218D">
      <w:pPr>
        <w:numPr>
          <w:ilvl w:val="2"/>
          <w:numId w:val="20"/>
        </w:numPr>
        <w:spacing w:before="60" w:after="60"/>
        <w:ind w:left="709" w:hanging="283"/>
        <w:rPr>
          <w:rFonts w:ascii="Titillium" w:hAnsi="Titillium" w:cs="Calibri"/>
          <w:bCs/>
          <w:iCs/>
          <w:sz w:val="18"/>
          <w:szCs w:val="18"/>
          <w:lang w:eastAsia="it-IT"/>
        </w:rPr>
      </w:pPr>
      <w:r w:rsidRPr="001B0323">
        <w:rPr>
          <w:rFonts w:ascii="Titillium" w:hAnsi="Titillium" w:cs="Calibri"/>
          <w:bCs/>
          <w:iCs/>
          <w:sz w:val="18"/>
          <w:szCs w:val="18"/>
          <w:lang w:eastAsia="it-IT"/>
        </w:rPr>
        <w:t>capitolato speciale</w:t>
      </w:r>
      <w:r>
        <w:rPr>
          <w:rFonts w:ascii="Titillium" w:hAnsi="Titillium" w:cs="Calibri"/>
          <w:bCs/>
          <w:iCs/>
          <w:sz w:val="18"/>
          <w:szCs w:val="18"/>
          <w:lang w:eastAsia="it-IT"/>
        </w:rPr>
        <w:t>;</w:t>
      </w:r>
    </w:p>
    <w:p w14:paraId="6F0ABDED" w14:textId="77777777" w:rsidR="006B218D" w:rsidRPr="001B0323" w:rsidRDefault="006B218D" w:rsidP="006B218D">
      <w:pPr>
        <w:numPr>
          <w:ilvl w:val="2"/>
          <w:numId w:val="20"/>
        </w:numPr>
        <w:spacing w:before="60" w:after="60"/>
        <w:ind w:left="709" w:hanging="283"/>
        <w:rPr>
          <w:rFonts w:ascii="Titillium" w:hAnsi="Titillium" w:cs="Calibri"/>
          <w:bCs/>
          <w:iCs/>
          <w:sz w:val="18"/>
          <w:szCs w:val="18"/>
          <w:lang w:eastAsia="it-IT"/>
        </w:rPr>
      </w:pPr>
      <w:r w:rsidRPr="001B0323">
        <w:rPr>
          <w:rFonts w:ascii="Titillium" w:hAnsi="Titillium" w:cs="Calibri"/>
          <w:bCs/>
          <w:iCs/>
          <w:sz w:val="18"/>
          <w:szCs w:val="18"/>
          <w:lang w:eastAsia="it-IT"/>
        </w:rPr>
        <w:t>schema di contratto</w:t>
      </w:r>
      <w:r>
        <w:rPr>
          <w:rFonts w:ascii="Titillium" w:hAnsi="Titillium" w:cs="Calibri"/>
          <w:bCs/>
          <w:iCs/>
          <w:sz w:val="18"/>
          <w:szCs w:val="18"/>
          <w:lang w:eastAsia="it-IT"/>
        </w:rPr>
        <w:t>;</w:t>
      </w:r>
    </w:p>
    <w:p w14:paraId="468F3860" w14:textId="293497A4" w:rsidR="004C53A8" w:rsidRPr="00DC299E" w:rsidRDefault="00870286" w:rsidP="0022153A">
      <w:pPr>
        <w:numPr>
          <w:ilvl w:val="2"/>
          <w:numId w:val="20"/>
        </w:numPr>
        <w:spacing w:before="60" w:after="60"/>
        <w:ind w:left="709" w:hanging="283"/>
      </w:pPr>
      <w:r w:rsidRPr="00DC299E">
        <w:rPr>
          <w:rFonts w:ascii="Titillium" w:hAnsi="Titillium" w:cs="Calibri"/>
          <w:bCs/>
          <w:iCs/>
          <w:sz w:val="18"/>
          <w:szCs w:val="18"/>
          <w:lang w:eastAsia="it-IT"/>
        </w:rPr>
        <w:t>schema di domanda di partecipazione;</w:t>
      </w:r>
    </w:p>
    <w:p w14:paraId="7F72A20C" w14:textId="09974CF6" w:rsidR="004C53A8" w:rsidRPr="00DC299E" w:rsidRDefault="00870286" w:rsidP="0022153A">
      <w:pPr>
        <w:numPr>
          <w:ilvl w:val="2"/>
          <w:numId w:val="20"/>
        </w:numPr>
        <w:spacing w:before="60" w:after="60"/>
        <w:ind w:left="709" w:hanging="283"/>
        <w:rPr>
          <w:rFonts w:ascii="Titillium" w:hAnsi="Titillium" w:cs="Calibri"/>
          <w:bCs/>
          <w:iCs/>
          <w:sz w:val="18"/>
          <w:szCs w:val="18"/>
          <w:lang w:eastAsia="it-IT"/>
        </w:rPr>
      </w:pPr>
      <w:r w:rsidRPr="00DC299E">
        <w:rPr>
          <w:rFonts w:ascii="Titillium" w:hAnsi="Titillium" w:cs="Calibri"/>
          <w:bCs/>
          <w:iCs/>
          <w:sz w:val="18"/>
          <w:szCs w:val="18"/>
          <w:lang w:eastAsia="it-IT"/>
        </w:rPr>
        <w:t>documento di gara unico europeo;</w:t>
      </w:r>
    </w:p>
    <w:p w14:paraId="6BBFAB21" w14:textId="604273C5" w:rsidR="004C53A8" w:rsidRDefault="00870286" w:rsidP="0022153A">
      <w:pPr>
        <w:numPr>
          <w:ilvl w:val="2"/>
          <w:numId w:val="20"/>
        </w:numPr>
        <w:spacing w:before="60" w:after="60"/>
        <w:ind w:left="709" w:hanging="283"/>
      </w:pPr>
      <w:r>
        <w:rPr>
          <w:rFonts w:ascii="Titillium" w:eastAsia="Calibri" w:hAnsi="Titillium" w:cs="Book-Antiqua,Bold"/>
          <w:bCs/>
          <w:iCs/>
          <w:color w:val="000000"/>
          <w:sz w:val="18"/>
          <w:szCs w:val="18"/>
          <w:lang w:eastAsia="it-IT"/>
        </w:rPr>
        <w:t xml:space="preserve">istruzioni operative per accedere alla Piattaforma e regole tecniche per l’utilizzo della stessa </w:t>
      </w:r>
      <w:r>
        <w:rPr>
          <w:rFonts w:ascii="Titillium" w:eastAsia="Calibri" w:hAnsi="Titillium" w:cs="Book-Antiqua,Bold"/>
          <w:bCs/>
          <w:i/>
          <w:iCs/>
          <w:color w:val="000000"/>
          <w:sz w:val="18"/>
          <w:szCs w:val="18"/>
          <w:lang w:eastAsia="it-IT"/>
        </w:rPr>
        <w:t>[indicare il documento nel quale sono riportate le indicazioni operative e le informazioni per accedere ed utilizzare la Piattaforma, ad esempio Istruzioni tecniche o Manuale utente</w:t>
      </w:r>
      <w:r w:rsidR="00CF0C59">
        <w:rPr>
          <w:rFonts w:ascii="Titillium" w:eastAsia="Calibri" w:hAnsi="Titillium" w:cs="Book-Antiqua,Bold"/>
          <w:bCs/>
          <w:i/>
          <w:iCs/>
          <w:color w:val="000000"/>
          <w:sz w:val="18"/>
          <w:szCs w:val="18"/>
          <w:lang w:eastAsia="it-IT"/>
        </w:rPr>
        <w:t xml:space="preserve"> ovvero il link dove è possibile trovare tale documentazione</w:t>
      </w:r>
      <w:r>
        <w:rPr>
          <w:rFonts w:ascii="Titillium" w:eastAsia="Calibri" w:hAnsi="Titillium" w:cs="Book-Antiqua,Bold"/>
          <w:bCs/>
          <w:i/>
          <w:iCs/>
          <w:color w:val="000000"/>
          <w:sz w:val="18"/>
          <w:szCs w:val="18"/>
          <w:lang w:eastAsia="it-IT"/>
        </w:rPr>
        <w:t>]</w:t>
      </w:r>
      <w:r>
        <w:rPr>
          <w:rFonts w:ascii="Titillium" w:hAnsi="Titillium" w:cs="Calibri"/>
          <w:bCs/>
          <w:sz w:val="18"/>
          <w:szCs w:val="18"/>
          <w:lang w:eastAsia="it-IT"/>
        </w:rPr>
        <w:t>;</w:t>
      </w:r>
    </w:p>
    <w:p w14:paraId="497DDF57" w14:textId="6693910B" w:rsidR="004C53A8" w:rsidRDefault="00D95F9F" w:rsidP="0022153A">
      <w:pPr>
        <w:numPr>
          <w:ilvl w:val="2"/>
          <w:numId w:val="20"/>
        </w:numPr>
        <w:spacing w:before="60" w:after="60"/>
        <w:ind w:left="709" w:hanging="283"/>
      </w:pPr>
      <w:r w:rsidRPr="00D95F9F">
        <w:rPr>
          <w:rFonts w:ascii="Titillium" w:hAnsi="Titillium"/>
          <w:b/>
          <w:bCs/>
          <w:i/>
          <w:color w:val="000000"/>
          <w:sz w:val="18"/>
          <w:szCs w:val="18"/>
          <w:lang w:eastAsia="it-IT"/>
        </w:rPr>
        <w:t>[In caso di protocollo di legalità/patto di integrità]</w:t>
      </w:r>
      <w:r w:rsidR="00870286">
        <w:rPr>
          <w:rFonts w:ascii="Titillium" w:hAnsi="Titillium"/>
          <w:b/>
          <w:bCs/>
          <w:i/>
          <w:color w:val="000000"/>
          <w:sz w:val="18"/>
          <w:szCs w:val="18"/>
          <w:lang w:eastAsia="it-IT"/>
        </w:rPr>
        <w:t>]</w:t>
      </w:r>
      <w:r>
        <w:rPr>
          <w:rFonts w:ascii="Titillium" w:hAnsi="Titillium"/>
          <w:color w:val="000000"/>
          <w:sz w:val="18"/>
          <w:szCs w:val="18"/>
          <w:lang w:eastAsia="it-IT"/>
        </w:rPr>
        <w:t xml:space="preserve"> Il </w:t>
      </w:r>
      <w:r w:rsidR="00870286">
        <w:rPr>
          <w:rFonts w:ascii="Titillium" w:hAnsi="Titillium"/>
          <w:color w:val="000000"/>
          <w:sz w:val="18"/>
          <w:szCs w:val="18"/>
          <w:lang w:eastAsia="it-IT"/>
        </w:rPr>
        <w:t xml:space="preserve">patto di integrità/protocollo di legalità … </w:t>
      </w:r>
      <w:r w:rsidR="00870286">
        <w:rPr>
          <w:rFonts w:ascii="Titillium" w:hAnsi="Titillium"/>
          <w:i/>
          <w:iCs/>
          <w:color w:val="000000"/>
          <w:sz w:val="18"/>
          <w:szCs w:val="18"/>
          <w:lang w:eastAsia="it-IT"/>
        </w:rPr>
        <w:t>[indicare il riferimento normativo o amministrativo, per esempio legge regionale n. … del ..., delibera n. … del … da cui discende l’applicazione del suddetto patto/protocollo]</w:t>
      </w:r>
      <w:r w:rsidR="00870286">
        <w:rPr>
          <w:rFonts w:ascii="Titillium" w:hAnsi="Titillium" w:cs="Calibri"/>
          <w:bCs/>
          <w:iCs/>
          <w:sz w:val="18"/>
          <w:szCs w:val="18"/>
          <w:lang w:eastAsia="it-IT"/>
        </w:rPr>
        <w:t>;</w:t>
      </w:r>
    </w:p>
    <w:p w14:paraId="5068F5A9" w14:textId="37EB3F5A" w:rsidR="004C53A8" w:rsidRDefault="00870286" w:rsidP="0022153A">
      <w:pPr>
        <w:numPr>
          <w:ilvl w:val="2"/>
          <w:numId w:val="20"/>
        </w:numPr>
        <w:spacing w:before="60" w:after="60"/>
        <w:ind w:left="709" w:hanging="283"/>
      </w:pPr>
      <w:r w:rsidRPr="001B0323">
        <w:rPr>
          <w:rFonts w:ascii="Titillium" w:hAnsi="Titillium" w:cs="Calibri"/>
          <w:bCs/>
          <w:iCs/>
          <w:sz w:val="18"/>
          <w:szCs w:val="18"/>
          <w:lang w:eastAsia="it-IT"/>
        </w:rPr>
        <w:t xml:space="preserve">... </w:t>
      </w:r>
      <w:r w:rsidRPr="001B0323">
        <w:rPr>
          <w:rFonts w:ascii="Titillium" w:hAnsi="Titillium" w:cs="Calibri"/>
          <w:bCs/>
          <w:i/>
          <w:iCs/>
          <w:sz w:val="18"/>
          <w:szCs w:val="18"/>
          <w:lang w:eastAsia="it-IT"/>
        </w:rPr>
        <w:t xml:space="preserve">[indicare eventuali altri allegati, ad esempio </w:t>
      </w:r>
      <w:r w:rsidR="00CF0C59" w:rsidRPr="00CF0C59">
        <w:rPr>
          <w:rFonts w:ascii="Titillium" w:hAnsi="Titillium" w:cs="Calibri"/>
          <w:bCs/>
          <w:i/>
          <w:iCs/>
          <w:sz w:val="18"/>
          <w:szCs w:val="18"/>
          <w:lang w:eastAsia="it-IT"/>
        </w:rPr>
        <w:t>modello/schema per la presentazione dell’offerta economica/lista prezzi/dettaglio economico, e in caso di applicazione della clausola sociale l’elenco del personale da riassorbire</w:t>
      </w:r>
      <w:r w:rsidRPr="001B0323">
        <w:rPr>
          <w:rFonts w:ascii="Titillium" w:hAnsi="Titillium" w:cs="Calibri"/>
          <w:bCs/>
          <w:i/>
          <w:iCs/>
          <w:sz w:val="18"/>
          <w:szCs w:val="18"/>
          <w:lang w:eastAsia="it-IT"/>
        </w:rPr>
        <w:t>]</w:t>
      </w:r>
      <w:r w:rsidRPr="001B0323">
        <w:rPr>
          <w:rFonts w:ascii="Titillium" w:hAnsi="Titillium" w:cs="Calibri"/>
          <w:bCs/>
          <w:iCs/>
          <w:sz w:val="18"/>
          <w:szCs w:val="18"/>
          <w:lang w:eastAsia="it-IT"/>
        </w:rPr>
        <w:t xml:space="preserve">. </w:t>
      </w:r>
    </w:p>
    <w:p w14:paraId="65A529E3" w14:textId="5FB6F3BF" w:rsidR="003E6215" w:rsidRDefault="00870286">
      <w:pPr>
        <w:spacing w:before="60" w:after="60"/>
        <w:rPr>
          <w:rFonts w:ascii="Titillium" w:hAnsi="Titillium" w:cs="Calibri"/>
          <w:i/>
          <w:sz w:val="18"/>
          <w:szCs w:val="18"/>
        </w:rPr>
      </w:pPr>
      <w:r>
        <w:rPr>
          <w:rFonts w:ascii="Titillium" w:hAnsi="Titillium" w:cs="Calibri"/>
          <w:sz w:val="18"/>
          <w:szCs w:val="18"/>
        </w:rPr>
        <w:t xml:space="preserve">La documentazione di gara è </w:t>
      </w:r>
      <w:r w:rsidR="00AB22F3">
        <w:rPr>
          <w:rFonts w:ascii="Titillium" w:hAnsi="Titillium" w:cs="Calibri"/>
          <w:sz w:val="18"/>
          <w:szCs w:val="18"/>
        </w:rPr>
        <w:t xml:space="preserve">accessibile gratuitamente, </w:t>
      </w:r>
      <w:r>
        <w:rPr>
          <w:rFonts w:ascii="Titillium" w:hAnsi="Titillium" w:cs="Calibri"/>
          <w:sz w:val="18"/>
          <w:szCs w:val="18"/>
        </w:rPr>
        <w:t xml:space="preserve">sul </w:t>
      </w:r>
      <w:r w:rsidR="003B4B59">
        <w:rPr>
          <w:rFonts w:ascii="Titillium" w:hAnsi="Titillium" w:cs="Calibri"/>
          <w:sz w:val="18"/>
          <w:szCs w:val="18"/>
        </w:rPr>
        <w:t>sito</w:t>
      </w:r>
      <w:r w:rsidR="00F06D2A">
        <w:rPr>
          <w:rFonts w:ascii="Titillium" w:hAnsi="Titillium" w:cs="Calibri"/>
          <w:sz w:val="18"/>
          <w:szCs w:val="18"/>
        </w:rPr>
        <w:t xml:space="preserve"> istituzionale </w:t>
      </w:r>
      <w:r w:rsidR="00A1302C">
        <w:rPr>
          <w:rFonts w:ascii="Titillium" w:hAnsi="Titillium" w:cs="Calibri"/>
          <w:sz w:val="18"/>
          <w:szCs w:val="18"/>
        </w:rPr>
        <w:t xml:space="preserve">della stazione appaltante, nella sezione </w:t>
      </w:r>
      <w:r w:rsidR="00A1302C" w:rsidRPr="001F0977">
        <w:rPr>
          <w:rFonts w:ascii="Titillium" w:hAnsi="Titillium" w:cs="Calibri"/>
          <w:sz w:val="18"/>
          <w:szCs w:val="18"/>
        </w:rPr>
        <w:t>“Amministrazione trasparente</w:t>
      </w:r>
      <w:r w:rsidR="001F0977">
        <w:rPr>
          <w:rFonts w:ascii="Titillium" w:hAnsi="Titillium" w:cs="Calibri"/>
          <w:sz w:val="18"/>
          <w:szCs w:val="18"/>
        </w:rPr>
        <w:t>”, al seguente link:</w:t>
      </w:r>
      <w:r w:rsidR="00522F9E">
        <w:rPr>
          <w:rFonts w:ascii="Titillium" w:hAnsi="Titillium" w:cs="Calibri"/>
          <w:sz w:val="18"/>
          <w:szCs w:val="18"/>
        </w:rPr>
        <w:t xml:space="preserve"> </w:t>
      </w:r>
      <w:r w:rsidRPr="001F0977">
        <w:rPr>
          <w:rFonts w:ascii="Titillium" w:hAnsi="Titillium" w:cs="Calibri"/>
          <w:sz w:val="18"/>
          <w:szCs w:val="18"/>
        </w:rPr>
        <w:t xml:space="preserve">... </w:t>
      </w:r>
      <w:r w:rsidRPr="001F0977">
        <w:rPr>
          <w:rFonts w:ascii="Titillium" w:hAnsi="Titillium" w:cs="Calibri"/>
          <w:i/>
          <w:sz w:val="18"/>
          <w:szCs w:val="18"/>
        </w:rPr>
        <w:t>[indicare il link dal quale è possibile consultare la documentazione]</w:t>
      </w:r>
      <w:r w:rsidRPr="001F0977">
        <w:rPr>
          <w:rFonts w:ascii="Titillium" w:hAnsi="Titillium"/>
          <w:sz w:val="18"/>
          <w:szCs w:val="18"/>
        </w:rPr>
        <w:t xml:space="preserve"> </w:t>
      </w:r>
      <w:r w:rsidRPr="001F0977">
        <w:rPr>
          <w:rFonts w:ascii="Titillium" w:hAnsi="Titillium" w:cs="Calibri"/>
          <w:sz w:val="18"/>
          <w:szCs w:val="18"/>
        </w:rPr>
        <w:t xml:space="preserve">e </w:t>
      </w:r>
      <w:r w:rsidR="00F570C2" w:rsidRPr="001F0977">
        <w:rPr>
          <w:rFonts w:ascii="Titillium" w:hAnsi="Titillium" w:cs="Calibri"/>
          <w:sz w:val="18"/>
          <w:szCs w:val="18"/>
        </w:rPr>
        <w:t>sulla</w:t>
      </w:r>
      <w:r w:rsidR="004A1488" w:rsidRPr="001F0977">
        <w:rPr>
          <w:rFonts w:ascii="Titillium" w:hAnsi="Titillium" w:cs="Calibri"/>
          <w:sz w:val="18"/>
          <w:szCs w:val="18"/>
        </w:rPr>
        <w:t xml:space="preserve"> Piattaforma</w:t>
      </w:r>
      <w:r w:rsidR="00F570C2" w:rsidRPr="001F0977">
        <w:rPr>
          <w:rFonts w:ascii="Titillium" w:hAnsi="Titillium" w:cs="Calibri"/>
          <w:sz w:val="18"/>
          <w:szCs w:val="18"/>
        </w:rPr>
        <w:t xml:space="preserve"> </w:t>
      </w:r>
      <w:r w:rsidRPr="001F0977">
        <w:rPr>
          <w:rFonts w:ascii="Titillium" w:hAnsi="Titillium" w:cs="Calibri"/>
          <w:sz w:val="18"/>
          <w:szCs w:val="18"/>
        </w:rPr>
        <w:t xml:space="preserve">… </w:t>
      </w:r>
      <w:r w:rsidRPr="001F0977">
        <w:rPr>
          <w:rFonts w:ascii="Titillium" w:hAnsi="Titillium" w:cs="Calibri"/>
          <w:i/>
          <w:sz w:val="18"/>
          <w:szCs w:val="18"/>
        </w:rPr>
        <w:t>[indicare l</w:t>
      </w:r>
      <w:r w:rsidR="00BA1078" w:rsidRPr="001F0977">
        <w:rPr>
          <w:rFonts w:ascii="Titillium" w:hAnsi="Titillium" w:cs="Calibri"/>
          <w:i/>
          <w:sz w:val="18"/>
          <w:szCs w:val="18"/>
        </w:rPr>
        <w:t>’apposita sezione</w:t>
      </w:r>
      <w:r w:rsidRPr="001F0977">
        <w:rPr>
          <w:rFonts w:ascii="Titillium" w:hAnsi="Titillium" w:cs="Calibri"/>
          <w:i/>
          <w:sz w:val="18"/>
          <w:szCs w:val="18"/>
        </w:rPr>
        <w:t>].</w:t>
      </w:r>
    </w:p>
    <w:p w14:paraId="46782853" w14:textId="103CC702" w:rsidR="004C53A8" w:rsidRDefault="004C667D" w:rsidP="00084AD6">
      <w:pPr>
        <w:pStyle w:val="Titolo3"/>
        <w:numPr>
          <w:ilvl w:val="1"/>
          <w:numId w:val="4"/>
        </w:numPr>
        <w:ind w:left="426" w:hanging="426"/>
      </w:pPr>
      <w:bookmarkStart w:id="165" w:name="_Toc139549415"/>
      <w:r>
        <w:rPr>
          <w:rFonts w:ascii="Titillium" w:hAnsi="Titillium"/>
          <w:caps w:val="0"/>
          <w:sz w:val="18"/>
          <w:szCs w:val="18"/>
          <w:lang w:val="it-IT"/>
        </w:rPr>
        <w:lastRenderedPageBreak/>
        <w:t>C</w:t>
      </w:r>
      <w:r>
        <w:rPr>
          <w:rFonts w:ascii="Titillium" w:hAnsi="Titillium"/>
          <w:caps w:val="0"/>
          <w:sz w:val="18"/>
          <w:szCs w:val="18"/>
        </w:rPr>
        <w:t>HIARIMENTI</w:t>
      </w:r>
      <w:bookmarkEnd w:id="165"/>
    </w:p>
    <w:p w14:paraId="0AAFD704" w14:textId="7439B000" w:rsidR="004C53A8" w:rsidRDefault="00870286">
      <w:pPr>
        <w:spacing w:before="60" w:after="60"/>
      </w:pPr>
      <w:r>
        <w:rPr>
          <w:rFonts w:ascii="Titillium" w:hAnsi="Titillium" w:cs="Calibri"/>
          <w:sz w:val="18"/>
          <w:szCs w:val="18"/>
        </w:rPr>
        <w:t xml:space="preserve">É possibile ottenere chiarimenti sulla presente procedura mediante la proposizione di quesiti scritti da inoltrare almeno … </w:t>
      </w:r>
      <w:r>
        <w:rPr>
          <w:rFonts w:ascii="Titillium" w:hAnsi="Titillium" w:cs="Calibri"/>
          <w:i/>
          <w:sz w:val="18"/>
          <w:szCs w:val="18"/>
        </w:rPr>
        <w:t>[indicare il numero di giorni, ad esempio 10]</w:t>
      </w:r>
      <w:r w:rsidR="00472411">
        <w:rPr>
          <w:rFonts w:ascii="Titillium" w:hAnsi="Titillium" w:cs="Calibri"/>
          <w:sz w:val="18"/>
          <w:szCs w:val="18"/>
        </w:rPr>
        <w:t xml:space="preserve"> </w:t>
      </w:r>
      <w:r>
        <w:rPr>
          <w:rFonts w:ascii="Titillium" w:hAnsi="Titillium" w:cs="Calibri"/>
          <w:sz w:val="18"/>
          <w:szCs w:val="18"/>
        </w:rPr>
        <w:t xml:space="preserve">giorni prima della scadenza del termine fissato per la presentazione delle offerte in via telematica attraverso la sezione della Piattaforma riservata alle richieste di chiarimenti </w:t>
      </w:r>
      <w:r>
        <w:rPr>
          <w:rFonts w:ascii="Titillium" w:hAnsi="Titillium" w:cs="Calibri"/>
          <w:i/>
          <w:sz w:val="18"/>
          <w:szCs w:val="18"/>
        </w:rPr>
        <w:t xml:space="preserve">[indicare </w:t>
      </w:r>
      <w:r w:rsidR="00F570C2" w:rsidRPr="00F570C2">
        <w:rPr>
          <w:rFonts w:ascii="Titillium" w:hAnsi="Titillium" w:cs="Calibri"/>
          <w:i/>
          <w:sz w:val="18"/>
          <w:szCs w:val="18"/>
        </w:rPr>
        <w:t xml:space="preserve">la Sezione/Area </w:t>
      </w:r>
      <w:r w:rsidR="00F570C2">
        <w:rPr>
          <w:rFonts w:ascii="Titillium" w:hAnsi="Titillium" w:cs="Calibri"/>
          <w:i/>
          <w:sz w:val="18"/>
          <w:szCs w:val="18"/>
        </w:rPr>
        <w:t xml:space="preserve">ovvero il </w:t>
      </w:r>
      <w:r>
        <w:rPr>
          <w:rFonts w:ascii="Titillium" w:hAnsi="Titillium" w:cs="Calibri"/>
          <w:i/>
          <w:sz w:val="18"/>
          <w:szCs w:val="18"/>
        </w:rPr>
        <w:t>link all’area chiarimenti]</w:t>
      </w:r>
      <w:r>
        <w:rPr>
          <w:rFonts w:ascii="Titillium" w:hAnsi="Titillium" w:cs="Calibri"/>
          <w:sz w:val="18"/>
          <w:szCs w:val="18"/>
        </w:rPr>
        <w:t>, previa registrazione alla Piattaforma stessa.</w:t>
      </w:r>
    </w:p>
    <w:p w14:paraId="58E725B5" w14:textId="7DF03333" w:rsidR="00D95F9F" w:rsidRPr="007F54F5" w:rsidRDefault="00D95F9F" w:rsidP="00D95F9F">
      <w:pPr>
        <w:spacing w:before="60" w:after="60"/>
        <w:rPr>
          <w:rFonts w:ascii="Titillium" w:hAnsi="Titillium" w:cs="Calibri"/>
          <w:i/>
          <w:sz w:val="18"/>
          <w:szCs w:val="18"/>
        </w:rPr>
      </w:pPr>
      <w:r>
        <w:rPr>
          <w:rFonts w:ascii="Titillium" w:hAnsi="Titillium" w:cs="Calibri"/>
          <w:sz w:val="18"/>
          <w:szCs w:val="18"/>
        </w:rPr>
        <w:t xml:space="preserve">Le richieste di chiarimenti e le relative risposte sono formulate esclusivamente in lingua </w:t>
      </w:r>
      <w:r w:rsidRPr="007F54F5">
        <w:rPr>
          <w:rFonts w:ascii="Titillium" w:hAnsi="Titillium" w:cs="Calibri"/>
          <w:sz w:val="18"/>
          <w:szCs w:val="18"/>
        </w:rPr>
        <w:t xml:space="preserve">italiana </w:t>
      </w:r>
      <w:r w:rsidRPr="00AA3CB6">
        <w:rPr>
          <w:rFonts w:ascii="Titillium" w:hAnsi="Titillium" w:cs="Calibri"/>
          <w:i/>
          <w:iCs/>
          <w:sz w:val="18"/>
          <w:szCs w:val="18"/>
        </w:rPr>
        <w:t>[</w:t>
      </w:r>
      <w:r w:rsidRPr="007F54F5">
        <w:rPr>
          <w:rFonts w:ascii="Titillium" w:hAnsi="Titillium" w:cs="Calibri"/>
          <w:b/>
          <w:bCs/>
          <w:i/>
          <w:iCs/>
          <w:sz w:val="18"/>
          <w:szCs w:val="18"/>
        </w:rPr>
        <w:t>in alternativa</w:t>
      </w:r>
      <w:r w:rsidRPr="00AA3CB6">
        <w:rPr>
          <w:rFonts w:ascii="Titillium" w:hAnsi="Titillium" w:cs="Calibri"/>
          <w:i/>
          <w:iCs/>
          <w:sz w:val="18"/>
          <w:szCs w:val="18"/>
        </w:rPr>
        <w:t xml:space="preserve"> </w:t>
      </w:r>
      <w:r w:rsidRPr="007F54F5">
        <w:rPr>
          <w:rFonts w:ascii="Titillium" w:hAnsi="Titillium" w:cs="Calibri"/>
          <w:i/>
          <w:iCs/>
          <w:sz w:val="18"/>
          <w:szCs w:val="18"/>
        </w:rPr>
        <w:t>in caso di bilinguismo]</w:t>
      </w:r>
      <w:r w:rsidRPr="00AA3CB6">
        <w:rPr>
          <w:rFonts w:ascii="Titillium" w:hAnsi="Titillium" w:cs="Calibri"/>
          <w:sz w:val="18"/>
          <w:szCs w:val="18"/>
        </w:rPr>
        <w:t xml:space="preserve"> </w:t>
      </w:r>
      <w:r w:rsidRPr="007F54F5">
        <w:rPr>
          <w:rFonts w:ascii="Titillium" w:hAnsi="Titillium" w:cs="Calibri"/>
          <w:sz w:val="18"/>
          <w:szCs w:val="18"/>
        </w:rPr>
        <w:t xml:space="preserve">Le richieste di chiarimenti e le relative risposte sono formulate in lingua </w:t>
      </w:r>
      <w:r w:rsidRPr="007F54F5">
        <w:rPr>
          <w:rFonts w:ascii="Titillium" w:hAnsi="Titillium" w:cs="Calibri"/>
          <w:sz w:val="18"/>
          <w:szCs w:val="18"/>
          <w:lang w:eastAsia="it-IT"/>
        </w:rPr>
        <w:t>italiana [</w:t>
      </w:r>
      <w:r w:rsidRPr="007F54F5">
        <w:rPr>
          <w:rFonts w:ascii="Titillium" w:hAnsi="Titillium" w:cs="Calibri"/>
          <w:i/>
          <w:sz w:val="18"/>
          <w:szCs w:val="18"/>
          <w:lang w:eastAsia="it-IT"/>
        </w:rPr>
        <w:t>e, o specificare]</w:t>
      </w:r>
      <w:r w:rsidRPr="007F54F5">
        <w:rPr>
          <w:rFonts w:ascii="Titillium" w:hAnsi="Titillium" w:cs="Calibri"/>
          <w:sz w:val="18"/>
          <w:szCs w:val="18"/>
        </w:rPr>
        <w:t xml:space="preserve"> … </w:t>
      </w:r>
      <w:r w:rsidRPr="007F54F5">
        <w:rPr>
          <w:rFonts w:ascii="Titillium" w:hAnsi="Titillium" w:cs="Calibri"/>
          <w:i/>
          <w:sz w:val="18"/>
          <w:szCs w:val="18"/>
        </w:rPr>
        <w:t>[indicare l’altra lingua]</w:t>
      </w:r>
      <w:r w:rsidRPr="007F54F5">
        <w:rPr>
          <w:rFonts w:ascii="Titillium" w:hAnsi="Titillium" w:cs="Calibri"/>
          <w:sz w:val="18"/>
          <w:szCs w:val="18"/>
          <w:lang w:eastAsia="it-IT"/>
        </w:rPr>
        <w:t>.</w:t>
      </w:r>
    </w:p>
    <w:p w14:paraId="40FDC326" w14:textId="38E734E3" w:rsidR="004C53A8" w:rsidRDefault="00F25D3D">
      <w:pPr>
        <w:spacing w:before="60" w:after="60"/>
      </w:pPr>
      <w:r>
        <w:rPr>
          <w:rFonts w:ascii="Titillium" w:hAnsi="Titillium" w:cs="Calibri"/>
          <w:sz w:val="18"/>
          <w:szCs w:val="18"/>
        </w:rPr>
        <w:t>L</w:t>
      </w:r>
      <w:r w:rsidR="00870286">
        <w:rPr>
          <w:rFonts w:ascii="Titillium" w:hAnsi="Titillium" w:cs="Calibri"/>
          <w:sz w:val="18"/>
          <w:szCs w:val="18"/>
        </w:rPr>
        <w:t>e risposte a</w:t>
      </w:r>
      <w:r>
        <w:rPr>
          <w:rFonts w:ascii="Titillium" w:hAnsi="Titillium" w:cs="Calibri"/>
          <w:sz w:val="18"/>
          <w:szCs w:val="18"/>
        </w:rPr>
        <w:t xml:space="preserve">lle </w:t>
      </w:r>
      <w:r w:rsidR="00870286">
        <w:rPr>
          <w:rFonts w:ascii="Titillium" w:hAnsi="Titillium" w:cs="Calibri"/>
          <w:sz w:val="18"/>
          <w:szCs w:val="18"/>
        </w:rPr>
        <w:t xml:space="preserve">richieste </w:t>
      </w:r>
      <w:r>
        <w:rPr>
          <w:rFonts w:ascii="Titillium" w:hAnsi="Titillium" w:cs="Calibri"/>
          <w:sz w:val="18"/>
          <w:szCs w:val="18"/>
        </w:rPr>
        <w:t xml:space="preserve">di chiarimenti </w:t>
      </w:r>
      <w:r w:rsidR="00870286">
        <w:rPr>
          <w:rFonts w:ascii="Titillium" w:hAnsi="Titillium" w:cs="Calibri"/>
          <w:sz w:val="18"/>
          <w:szCs w:val="18"/>
        </w:rPr>
        <w:t xml:space="preserve">presentate in tempo utile sono fornite in formato elettronico almeno </w:t>
      </w:r>
      <w:r w:rsidR="00CF0C59">
        <w:rPr>
          <w:rFonts w:ascii="Titillium" w:hAnsi="Titillium" w:cs="Calibri"/>
          <w:sz w:val="18"/>
          <w:szCs w:val="18"/>
        </w:rPr>
        <w:t xml:space="preserve">6 giorni </w:t>
      </w:r>
      <w:r w:rsidR="006F6EA9" w:rsidRPr="00AA3CB6">
        <w:rPr>
          <w:rFonts w:ascii="Titillium" w:hAnsi="Titillium" w:cs="Calibri"/>
          <w:bCs/>
          <w:i/>
          <w:sz w:val="18"/>
          <w:szCs w:val="18"/>
        </w:rPr>
        <w:t>[</w:t>
      </w:r>
      <w:r w:rsidR="00CF0C59" w:rsidRPr="00F570C2">
        <w:rPr>
          <w:rFonts w:ascii="Titillium" w:hAnsi="Titillium" w:cs="Calibri"/>
          <w:b/>
          <w:bCs/>
          <w:i/>
          <w:sz w:val="18"/>
          <w:szCs w:val="18"/>
        </w:rPr>
        <w:t>in alternativa</w:t>
      </w:r>
      <w:r w:rsidR="00CF0C59" w:rsidRPr="00F570C2">
        <w:rPr>
          <w:rFonts w:ascii="Titillium" w:hAnsi="Titillium" w:cs="Calibri"/>
          <w:b/>
          <w:i/>
          <w:sz w:val="18"/>
          <w:szCs w:val="18"/>
        </w:rPr>
        <w:t xml:space="preserve"> </w:t>
      </w:r>
      <w:r w:rsidR="006F6EA9" w:rsidRPr="00F570C2">
        <w:rPr>
          <w:rFonts w:ascii="Titillium" w:hAnsi="Titillium" w:cs="Calibri"/>
          <w:i/>
          <w:sz w:val="18"/>
          <w:szCs w:val="18"/>
        </w:rPr>
        <w:t xml:space="preserve">4 giorni, </w:t>
      </w:r>
      <w:r w:rsidR="00CF0C59" w:rsidRPr="00F570C2">
        <w:rPr>
          <w:rFonts w:ascii="Titillium" w:hAnsi="Titillium" w:cs="Calibri"/>
          <w:i/>
          <w:sz w:val="18"/>
          <w:szCs w:val="18"/>
        </w:rPr>
        <w:t>per le procedure</w:t>
      </w:r>
      <w:r w:rsidR="00287174">
        <w:rPr>
          <w:rFonts w:ascii="Titillium" w:hAnsi="Titillium" w:cs="Calibri"/>
          <w:i/>
          <w:sz w:val="18"/>
          <w:szCs w:val="18"/>
        </w:rPr>
        <w:t xml:space="preserve"> </w:t>
      </w:r>
      <w:r w:rsidR="00B24154">
        <w:rPr>
          <w:rFonts w:ascii="Titillium" w:hAnsi="Titillium" w:cs="Calibri"/>
          <w:i/>
          <w:sz w:val="18"/>
          <w:szCs w:val="18"/>
        </w:rPr>
        <w:t xml:space="preserve">il cui termine è </w:t>
      </w:r>
      <w:r w:rsidR="00B24154" w:rsidRPr="007F54F5">
        <w:rPr>
          <w:rFonts w:ascii="Titillium" w:hAnsi="Titillium" w:cs="Calibri"/>
          <w:i/>
          <w:sz w:val="18"/>
          <w:szCs w:val="18"/>
        </w:rPr>
        <w:t>ridotto</w:t>
      </w:r>
      <w:r w:rsidR="006F6EA9" w:rsidRPr="00AA3CB6">
        <w:rPr>
          <w:rFonts w:ascii="Titillium" w:hAnsi="Titillium" w:cs="Calibri"/>
          <w:i/>
          <w:sz w:val="18"/>
          <w:szCs w:val="18"/>
        </w:rPr>
        <w:t>]</w:t>
      </w:r>
      <w:r w:rsidR="00CF0C59" w:rsidRPr="007F54F5">
        <w:rPr>
          <w:rFonts w:ascii="Titillium" w:hAnsi="Titillium" w:cs="Calibri"/>
          <w:sz w:val="18"/>
          <w:szCs w:val="18"/>
        </w:rPr>
        <w:t xml:space="preserve"> </w:t>
      </w:r>
      <w:r w:rsidR="00870286" w:rsidRPr="007F54F5">
        <w:rPr>
          <w:rFonts w:ascii="Titillium" w:hAnsi="Titillium" w:cs="Calibri"/>
          <w:sz w:val="18"/>
          <w:szCs w:val="18"/>
        </w:rPr>
        <w:t>prima</w:t>
      </w:r>
      <w:r w:rsidR="00870286">
        <w:rPr>
          <w:rFonts w:ascii="Titillium" w:hAnsi="Titillium" w:cs="Calibri"/>
          <w:sz w:val="18"/>
          <w:szCs w:val="18"/>
        </w:rPr>
        <w:t xml:space="preserve"> della scadenza del termine fissato per la presentazione delle offerte, mediante pubblicazione</w:t>
      </w:r>
      <w:r w:rsidR="00CD43C4">
        <w:rPr>
          <w:rFonts w:ascii="Titillium" w:hAnsi="Titillium" w:cs="Calibri"/>
          <w:sz w:val="18"/>
          <w:szCs w:val="18"/>
        </w:rPr>
        <w:t xml:space="preserve"> delle richieste </w:t>
      </w:r>
      <w:r w:rsidR="00870286">
        <w:rPr>
          <w:rFonts w:ascii="Titillium" w:hAnsi="Titillium" w:cs="Calibri"/>
          <w:sz w:val="18"/>
          <w:szCs w:val="18"/>
        </w:rPr>
        <w:t xml:space="preserve">in forma anonima </w:t>
      </w:r>
      <w:r w:rsidR="00CD43C4">
        <w:rPr>
          <w:rFonts w:ascii="Titillium" w:hAnsi="Titillium" w:cs="Calibri"/>
          <w:sz w:val="18"/>
          <w:szCs w:val="18"/>
        </w:rPr>
        <w:t xml:space="preserve">e delle relative risposte </w:t>
      </w:r>
      <w:r w:rsidR="00870286">
        <w:rPr>
          <w:rFonts w:ascii="Titillium" w:hAnsi="Titillium" w:cs="Calibri"/>
          <w:sz w:val="18"/>
          <w:szCs w:val="18"/>
        </w:rPr>
        <w:t>sulla Piattaforma</w:t>
      </w:r>
      <w:r w:rsidR="00CD43C4">
        <w:rPr>
          <w:rFonts w:ascii="Titillium" w:hAnsi="Titillium" w:cs="Calibri"/>
          <w:sz w:val="18"/>
          <w:szCs w:val="18"/>
        </w:rPr>
        <w:t xml:space="preserve"> </w:t>
      </w:r>
      <w:r w:rsidR="00870286">
        <w:rPr>
          <w:rFonts w:ascii="Titillium" w:hAnsi="Titillium" w:cs="Calibri"/>
          <w:sz w:val="18"/>
          <w:szCs w:val="18"/>
        </w:rPr>
        <w:t xml:space="preserve">… </w:t>
      </w:r>
      <w:r w:rsidR="00870286">
        <w:rPr>
          <w:rFonts w:ascii="Titillium" w:hAnsi="Titillium" w:cs="Calibri"/>
          <w:i/>
          <w:sz w:val="18"/>
          <w:szCs w:val="18"/>
        </w:rPr>
        <w:t xml:space="preserve">[indicare </w:t>
      </w:r>
      <w:r>
        <w:rPr>
          <w:rFonts w:ascii="Titillium" w:hAnsi="Titillium" w:cs="Calibri"/>
          <w:i/>
          <w:sz w:val="18"/>
          <w:szCs w:val="18"/>
        </w:rPr>
        <w:t>l’apposita sezione</w:t>
      </w:r>
      <w:r w:rsidR="00870286">
        <w:rPr>
          <w:rFonts w:ascii="Titillium" w:hAnsi="Titillium" w:cs="Calibri"/>
          <w:i/>
          <w:sz w:val="18"/>
          <w:szCs w:val="18"/>
        </w:rPr>
        <w:t>]</w:t>
      </w:r>
      <w:r w:rsidR="00870286">
        <w:rPr>
          <w:rFonts w:ascii="Titillium" w:hAnsi="Titillium" w:cs="Calibri"/>
          <w:sz w:val="18"/>
          <w:szCs w:val="18"/>
        </w:rPr>
        <w:t xml:space="preserve"> e sul sito istituzionale ... </w:t>
      </w:r>
      <w:r w:rsidR="00870286">
        <w:rPr>
          <w:rFonts w:ascii="Titillium" w:hAnsi="Titillium" w:cs="Calibri"/>
          <w:i/>
          <w:sz w:val="18"/>
          <w:szCs w:val="18"/>
        </w:rPr>
        <w:t>[indicare il link dal quale è possibile consultare i chiarimenti]</w:t>
      </w:r>
      <w:r w:rsidR="00870286">
        <w:rPr>
          <w:rFonts w:ascii="Titillium" w:hAnsi="Titillium" w:cs="Calibri"/>
          <w:sz w:val="18"/>
          <w:szCs w:val="18"/>
        </w:rPr>
        <w:t>.</w:t>
      </w:r>
      <w:r w:rsidR="00870286">
        <w:rPr>
          <w:rFonts w:ascii="Titillium" w:hAnsi="Titillium" w:cs="Calibri"/>
          <w:b/>
          <w:sz w:val="18"/>
          <w:szCs w:val="18"/>
        </w:rPr>
        <w:t xml:space="preserve"> </w:t>
      </w:r>
      <w:r w:rsidR="00870286">
        <w:rPr>
          <w:rFonts w:ascii="Titillium" w:hAnsi="Titillium" w:cs="Calibri"/>
          <w:sz w:val="18"/>
          <w:szCs w:val="18"/>
        </w:rPr>
        <w:t xml:space="preserve">Si invitano i concorrenti a visionare costantemente tale </w:t>
      </w:r>
      <w:r w:rsidR="00235BC8">
        <w:rPr>
          <w:rFonts w:ascii="Titillium" w:hAnsi="Titillium" w:cs="Calibri"/>
          <w:sz w:val="18"/>
          <w:szCs w:val="18"/>
        </w:rPr>
        <w:t>sezione della</w:t>
      </w:r>
      <w:r w:rsidR="00870286">
        <w:rPr>
          <w:rFonts w:ascii="Titillium" w:hAnsi="Titillium" w:cs="Calibri"/>
          <w:sz w:val="18"/>
          <w:szCs w:val="18"/>
        </w:rPr>
        <w:t xml:space="preserve"> Piattaforma </w:t>
      </w:r>
      <w:r w:rsidR="00870286" w:rsidRPr="00954345">
        <w:rPr>
          <w:rFonts w:ascii="Titillium" w:hAnsi="Titillium" w:cs="Calibri"/>
          <w:sz w:val="18"/>
          <w:szCs w:val="18"/>
        </w:rPr>
        <w:t>o il sito istituzionale</w:t>
      </w:r>
      <w:r w:rsidR="00870286">
        <w:rPr>
          <w:rFonts w:ascii="Titillium" w:hAnsi="Titillium" w:cs="Calibri"/>
          <w:sz w:val="18"/>
          <w:szCs w:val="18"/>
        </w:rPr>
        <w:t>.</w:t>
      </w:r>
    </w:p>
    <w:p w14:paraId="35BEF1BB" w14:textId="566E01D9" w:rsidR="00EC6709" w:rsidRDefault="00EC6709">
      <w:pPr>
        <w:spacing w:before="60" w:after="60"/>
        <w:rPr>
          <w:rFonts w:ascii="Titillium" w:hAnsi="Titillium" w:cs="Calibri"/>
          <w:sz w:val="18"/>
          <w:szCs w:val="18"/>
        </w:rPr>
      </w:pPr>
      <w:r w:rsidRPr="00840480">
        <w:rPr>
          <w:rFonts w:ascii="Titillium" w:hAnsi="Titillium" w:cs="Calibri"/>
          <w:b/>
          <w:i/>
          <w:sz w:val="18"/>
          <w:szCs w:val="18"/>
        </w:rPr>
        <w:t>[</w:t>
      </w:r>
      <w:r w:rsidR="007F54F5">
        <w:rPr>
          <w:rFonts w:ascii="Titillium" w:hAnsi="Titillium" w:cs="Calibri"/>
          <w:b/>
          <w:i/>
          <w:sz w:val="18"/>
          <w:szCs w:val="18"/>
        </w:rPr>
        <w:t>S</w:t>
      </w:r>
      <w:r w:rsidRPr="00840480">
        <w:rPr>
          <w:rFonts w:ascii="Titillium" w:hAnsi="Titillium" w:cs="Calibri"/>
          <w:b/>
          <w:i/>
          <w:sz w:val="18"/>
          <w:szCs w:val="18"/>
        </w:rPr>
        <w:t>e la Piattaforma lo consente</w:t>
      </w:r>
      <w:r w:rsidRPr="00840480">
        <w:rPr>
          <w:rFonts w:ascii="Titillium" w:hAnsi="Titillium" w:cs="Calibri"/>
          <w:b/>
          <w:sz w:val="18"/>
          <w:szCs w:val="18"/>
        </w:rPr>
        <w:t xml:space="preserve">] </w:t>
      </w:r>
      <w:r>
        <w:rPr>
          <w:rFonts w:ascii="Titillium" w:hAnsi="Titillium" w:cs="Calibri"/>
          <w:sz w:val="18"/>
          <w:szCs w:val="18"/>
        </w:rPr>
        <w:t xml:space="preserve">La Piattaforma invia automaticamente agli operatori economici una segnalazione di avviso. </w:t>
      </w:r>
    </w:p>
    <w:p w14:paraId="62344EC9" w14:textId="26524235" w:rsidR="004C53A8" w:rsidRDefault="00870286">
      <w:pPr>
        <w:spacing w:before="60" w:after="60"/>
        <w:rPr>
          <w:rFonts w:ascii="Titillium" w:hAnsi="Titillium" w:cs="Calibri"/>
          <w:sz w:val="18"/>
          <w:szCs w:val="18"/>
        </w:rPr>
      </w:pPr>
      <w:r>
        <w:rPr>
          <w:rFonts w:ascii="Titillium" w:hAnsi="Titillium" w:cs="Calibri"/>
          <w:sz w:val="18"/>
          <w:szCs w:val="18"/>
        </w:rPr>
        <w:t>Non viene fornita risposta alle richieste presentate</w:t>
      </w:r>
      <w:r w:rsidR="00B24154">
        <w:rPr>
          <w:rFonts w:ascii="Titillium" w:hAnsi="Titillium" w:cs="Calibri"/>
          <w:sz w:val="18"/>
          <w:szCs w:val="18"/>
        </w:rPr>
        <w:t xml:space="preserve"> </w:t>
      </w:r>
      <w:r>
        <w:rPr>
          <w:rFonts w:ascii="Titillium" w:hAnsi="Titillium" w:cs="Calibri"/>
          <w:sz w:val="18"/>
          <w:szCs w:val="18"/>
        </w:rPr>
        <w:t>con modalità diverse da quelle sopra indicate.</w:t>
      </w:r>
    </w:p>
    <w:p w14:paraId="0BBF67E3" w14:textId="77777777" w:rsidR="004C53A8" w:rsidRDefault="004C53A8">
      <w:pPr>
        <w:spacing w:before="60" w:after="60"/>
        <w:rPr>
          <w:rFonts w:ascii="Titillium" w:hAnsi="Titillium" w:cs="Calibri"/>
          <w:sz w:val="18"/>
          <w:szCs w:val="18"/>
        </w:rPr>
      </w:pPr>
    </w:p>
    <w:p w14:paraId="7E47CDBF" w14:textId="70C39A2C" w:rsidR="00B56F83" w:rsidRPr="0078130E" w:rsidRDefault="00B56F83" w:rsidP="0078130E">
      <w:pPr>
        <w:pStyle w:val="Titolo3"/>
        <w:numPr>
          <w:ilvl w:val="1"/>
          <w:numId w:val="4"/>
        </w:numPr>
        <w:ind w:left="426" w:hanging="426"/>
        <w:rPr>
          <w:rFonts w:ascii="Titillium" w:hAnsi="Titillium"/>
          <w:caps w:val="0"/>
          <w:sz w:val="18"/>
          <w:szCs w:val="18"/>
          <w:lang w:val="it-IT"/>
        </w:rPr>
      </w:pPr>
      <w:bookmarkStart w:id="166" w:name="_Ref132304898"/>
      <w:bookmarkStart w:id="167" w:name="_Toc139549416"/>
      <w:r w:rsidRPr="00851D38">
        <w:rPr>
          <w:rFonts w:ascii="Titillium" w:hAnsi="Titillium"/>
          <w:caps w:val="0"/>
          <w:sz w:val="18"/>
          <w:szCs w:val="18"/>
          <w:lang w:val="it-IT"/>
        </w:rPr>
        <w:t>C</w:t>
      </w:r>
      <w:r w:rsidRPr="0078130E">
        <w:rPr>
          <w:rFonts w:ascii="Titillium" w:hAnsi="Titillium"/>
          <w:caps w:val="0"/>
          <w:sz w:val="18"/>
          <w:szCs w:val="18"/>
          <w:lang w:val="it-IT"/>
        </w:rPr>
        <w:t>OMUNICAZIONI</w:t>
      </w:r>
      <w:bookmarkEnd w:id="166"/>
      <w:bookmarkEnd w:id="167"/>
    </w:p>
    <w:p w14:paraId="27D52A1D" w14:textId="0B225F77" w:rsidR="00F86219" w:rsidRDefault="00A426D8" w:rsidP="00A426D8">
      <w:pPr>
        <w:spacing w:before="60" w:after="60"/>
        <w:rPr>
          <w:rFonts w:ascii="Titillium" w:hAnsi="Titillium"/>
          <w:i/>
          <w:iCs/>
          <w:sz w:val="18"/>
          <w:szCs w:val="18"/>
        </w:rPr>
      </w:pPr>
      <w:r w:rsidRPr="00BC4869">
        <w:rPr>
          <w:rFonts w:ascii="Titillium" w:hAnsi="Titillium"/>
          <w:i/>
          <w:iCs/>
          <w:sz w:val="18"/>
          <w:szCs w:val="18"/>
        </w:rPr>
        <w:t xml:space="preserve">[Opzione </w:t>
      </w:r>
      <w:r w:rsidR="00F86219">
        <w:rPr>
          <w:rFonts w:ascii="Titillium" w:hAnsi="Titillium"/>
          <w:i/>
          <w:iCs/>
          <w:sz w:val="18"/>
          <w:szCs w:val="18"/>
        </w:rPr>
        <w:t>1</w:t>
      </w:r>
      <w:r w:rsidR="00CC6C3C">
        <w:rPr>
          <w:rFonts w:ascii="Titillium" w:hAnsi="Titillium"/>
          <w:i/>
          <w:iCs/>
          <w:sz w:val="18"/>
          <w:szCs w:val="18"/>
        </w:rPr>
        <w:t xml:space="preserve"> - utilizzabile</w:t>
      </w:r>
      <w:r w:rsidR="00CC6C3C" w:rsidRPr="00BC4869">
        <w:rPr>
          <w:rFonts w:ascii="Titillium" w:hAnsi="Titillium"/>
          <w:i/>
          <w:iCs/>
          <w:sz w:val="18"/>
          <w:szCs w:val="18"/>
        </w:rPr>
        <w:t xml:space="preserve"> solo fino al </w:t>
      </w:r>
      <w:r w:rsidR="00CC6C3C">
        <w:rPr>
          <w:rFonts w:ascii="Titillium" w:hAnsi="Titillium"/>
          <w:i/>
          <w:iCs/>
          <w:sz w:val="18"/>
          <w:szCs w:val="18"/>
        </w:rPr>
        <w:t>31 dicembre 2023</w:t>
      </w:r>
      <w:r w:rsidR="00F86219">
        <w:rPr>
          <w:rFonts w:ascii="Titillium" w:hAnsi="Titillium"/>
          <w:i/>
          <w:iCs/>
          <w:sz w:val="18"/>
          <w:szCs w:val="18"/>
        </w:rPr>
        <w:t>]</w:t>
      </w:r>
    </w:p>
    <w:p w14:paraId="033EDB71" w14:textId="41683F58" w:rsidR="00A426D8" w:rsidRPr="00BC4869" w:rsidRDefault="00A426D8" w:rsidP="00A426D8">
      <w:pPr>
        <w:spacing w:before="60" w:after="60"/>
      </w:pPr>
      <w:r w:rsidRPr="00BC4869">
        <w:rPr>
          <w:rFonts w:ascii="Titillium" w:hAnsi="Titillium"/>
          <w:sz w:val="18"/>
          <w:szCs w:val="18"/>
        </w:rPr>
        <w:t xml:space="preserve">Tutte le comunicazioni e gli scambi di informazioni sono eseguiti mediante l’utilizzo del domicilio digitale estratto da uno degli indici di cui agli articoli 6-bis, 6-ter, 6-quater, del decreto legislativo n. 82/05 o, per gli operatori economici transfrontalieri, attraverso un indirizzo di servizio elettronico di recapito certificato qualificato ai sensi del Regolamento </w:t>
      </w:r>
      <w:proofErr w:type="spellStart"/>
      <w:r w:rsidRPr="00BC4869">
        <w:rPr>
          <w:rFonts w:ascii="Titillium" w:hAnsi="Titillium"/>
          <w:sz w:val="18"/>
          <w:szCs w:val="18"/>
        </w:rPr>
        <w:t>eIDAS</w:t>
      </w:r>
      <w:proofErr w:type="spellEnd"/>
      <w:r w:rsidRPr="00BC4869">
        <w:rPr>
          <w:rFonts w:ascii="Titillium" w:hAnsi="Titillium"/>
          <w:sz w:val="18"/>
          <w:szCs w:val="18"/>
        </w:rPr>
        <w:t>.: Se l’operatore economico non è presente nei predetti indici elegge domicilio digitale speciale presso la stessa Piattaforma nella …………………..</w:t>
      </w:r>
      <w:r w:rsidRPr="00BC4869">
        <w:rPr>
          <w:rFonts w:ascii="Titillium" w:hAnsi="Titillium"/>
          <w:i/>
          <w:iCs/>
          <w:sz w:val="18"/>
          <w:szCs w:val="18"/>
        </w:rPr>
        <w:t>[indicare l’apposita sezione della Piattaforma ove sono accessibili le comunicazioni e gli scambi di informazione]</w:t>
      </w:r>
      <w:r w:rsidRPr="00BC4869">
        <w:rPr>
          <w:rFonts w:ascii="Titillium" w:hAnsi="Titillium"/>
          <w:sz w:val="18"/>
          <w:szCs w:val="18"/>
        </w:rPr>
        <w:t xml:space="preserve"> e le comunicazioni di cui sopra sono effettuate utilizzando tale domicilio digitale.</w:t>
      </w:r>
    </w:p>
    <w:p w14:paraId="353EAB1B" w14:textId="72A60570" w:rsidR="00A426D8" w:rsidRPr="00BC4869" w:rsidRDefault="00A426D8" w:rsidP="00A426D8">
      <w:pPr>
        <w:spacing w:before="60" w:after="60"/>
      </w:pPr>
      <w:r w:rsidRPr="00BC4869">
        <w:rPr>
          <w:rFonts w:ascii="Titillium" w:hAnsi="Titillium"/>
          <w:i/>
          <w:iCs/>
          <w:sz w:val="18"/>
          <w:szCs w:val="18"/>
        </w:rPr>
        <w:t xml:space="preserve">[Opzione 2 </w:t>
      </w:r>
      <w:r w:rsidR="00F86219">
        <w:rPr>
          <w:rFonts w:ascii="Titillium" w:hAnsi="Titillium"/>
          <w:i/>
          <w:iCs/>
          <w:sz w:val="18"/>
          <w:szCs w:val="18"/>
        </w:rPr>
        <w:t xml:space="preserve">- </w:t>
      </w:r>
      <w:r w:rsidRPr="00BC4869">
        <w:rPr>
          <w:rFonts w:ascii="Titillium" w:hAnsi="Titillium"/>
          <w:i/>
          <w:iCs/>
          <w:sz w:val="18"/>
          <w:szCs w:val="18"/>
        </w:rPr>
        <w:t xml:space="preserve">utilizzabile solo fino a </w:t>
      </w:r>
      <w:r w:rsidR="00F86219">
        <w:rPr>
          <w:rFonts w:ascii="Titillium" w:hAnsi="Titillium"/>
          <w:i/>
          <w:iCs/>
          <w:sz w:val="18"/>
          <w:szCs w:val="18"/>
        </w:rPr>
        <w:t>31 dicembre 2023]</w:t>
      </w:r>
      <w:r w:rsidRPr="00BC4869">
        <w:rPr>
          <w:rFonts w:ascii="Titillium" w:hAnsi="Titillium"/>
          <w:i/>
          <w:iCs/>
          <w:sz w:val="18"/>
          <w:szCs w:val="18"/>
        </w:rPr>
        <w:t>:</w:t>
      </w:r>
    </w:p>
    <w:p w14:paraId="1BBF1C0C" w14:textId="23F3DE34" w:rsidR="00A426D8" w:rsidRPr="00BC4869" w:rsidRDefault="00A426D8" w:rsidP="00A426D8">
      <w:pPr>
        <w:spacing w:before="60" w:after="60"/>
      </w:pPr>
      <w:r w:rsidRPr="00BC4869">
        <w:rPr>
          <w:rFonts w:ascii="Titillium" w:hAnsi="Titillium"/>
          <w:sz w:val="18"/>
          <w:szCs w:val="18"/>
        </w:rPr>
        <w:t>Le comunicazioni tra stazione appaltante e operatori economici avvengono</w:t>
      </w:r>
      <w:r w:rsidRPr="00BC4869">
        <w:rPr>
          <w:rFonts w:ascii="Titillium" w:hAnsi="Titillium"/>
        </w:rPr>
        <w:t xml:space="preserve"> </w:t>
      </w:r>
      <w:r w:rsidRPr="00BC4869">
        <w:rPr>
          <w:rFonts w:ascii="Titillium" w:hAnsi="Titillium"/>
          <w:sz w:val="18"/>
          <w:szCs w:val="18"/>
        </w:rPr>
        <w:t>tramite la Piattaforma e sono accessibili nella ...</w:t>
      </w:r>
      <w:r w:rsidRPr="00BC4869">
        <w:rPr>
          <w:rFonts w:ascii="Titillium" w:hAnsi="Titillium"/>
          <w:i/>
          <w:iCs/>
          <w:sz w:val="18"/>
          <w:szCs w:val="18"/>
        </w:rPr>
        <w:t xml:space="preserve"> [indicare l’apposita sezione della Piattaforma ove sono accessibili le comunicazioni e gli scambi di informazione]</w:t>
      </w:r>
      <w:r w:rsidRPr="00BC4869">
        <w:rPr>
          <w:rFonts w:ascii="Titillium" w:hAnsi="Titillium"/>
          <w:sz w:val="18"/>
          <w:szCs w:val="18"/>
        </w:rPr>
        <w:t xml:space="preserve">. È onere esclusivo dell’operatore economico prenderne visione. </w:t>
      </w:r>
      <w:r w:rsidRPr="00BC4869">
        <w:rPr>
          <w:rFonts w:ascii="Titillium" w:hAnsi="Titillium"/>
          <w:i/>
          <w:iCs/>
          <w:sz w:val="18"/>
          <w:szCs w:val="18"/>
        </w:rPr>
        <w:t>[</w:t>
      </w:r>
      <w:r w:rsidR="007F54F5">
        <w:rPr>
          <w:rFonts w:ascii="Titillium" w:hAnsi="Titillium"/>
          <w:i/>
          <w:iCs/>
          <w:sz w:val="18"/>
          <w:szCs w:val="18"/>
        </w:rPr>
        <w:t>Se</w:t>
      </w:r>
      <w:r w:rsidRPr="00BC4869">
        <w:rPr>
          <w:rFonts w:ascii="Titillium" w:hAnsi="Titillium"/>
          <w:i/>
          <w:iCs/>
          <w:sz w:val="18"/>
          <w:szCs w:val="18"/>
        </w:rPr>
        <w:t xml:space="preserve"> la Piattaforma lo consent</w:t>
      </w:r>
      <w:r w:rsidR="007F54F5">
        <w:rPr>
          <w:rFonts w:ascii="Titillium" w:hAnsi="Titillium"/>
          <w:i/>
          <w:iCs/>
          <w:sz w:val="18"/>
          <w:szCs w:val="18"/>
        </w:rPr>
        <w:t>e</w:t>
      </w:r>
      <w:r w:rsidRPr="00BC4869">
        <w:rPr>
          <w:rFonts w:ascii="Titillium" w:hAnsi="Titillium"/>
          <w:sz w:val="18"/>
          <w:szCs w:val="18"/>
        </w:rPr>
        <w:t>] La Piattaforma invia automaticamente agli operatori economici una segnalazione di avviso. Le comunicazioni relative: a) all'aggiudicazione; b) all'esclusione; c) alla decisione di non aggiudicare l’appalto; d) alla data di avvenuta stipulazione del contratto con l'aggiudicatario; avvengono utilizzando il domicilio digitale presente negli indici di cui agli articoli 6-bis,6-ter, 6</w:t>
      </w:r>
      <w:r w:rsidR="00C83DFA">
        <w:rPr>
          <w:rFonts w:ascii="Titillium" w:hAnsi="Titillium"/>
          <w:sz w:val="18"/>
          <w:szCs w:val="18"/>
        </w:rPr>
        <w:t>-</w:t>
      </w:r>
      <w:r w:rsidRPr="00BC4869">
        <w:rPr>
          <w:rFonts w:ascii="Titillium" w:hAnsi="Titillium"/>
          <w:sz w:val="18"/>
          <w:szCs w:val="18"/>
        </w:rPr>
        <w:t>quater del decreto legislativo n.</w:t>
      </w:r>
      <w:r w:rsidR="00C83DFA">
        <w:rPr>
          <w:rFonts w:ascii="Titillium" w:hAnsi="Titillium"/>
          <w:sz w:val="18"/>
          <w:szCs w:val="18"/>
        </w:rPr>
        <w:t xml:space="preserve"> </w:t>
      </w:r>
      <w:r w:rsidRPr="00BC4869">
        <w:rPr>
          <w:rFonts w:ascii="Titillium" w:hAnsi="Titillium"/>
          <w:sz w:val="18"/>
          <w:szCs w:val="18"/>
        </w:rPr>
        <w:t xml:space="preserve">82/05 o, per gli operatori economici transfrontalieri, attraverso un indirizzo di servizio elettronico di recapito certificato qualificato ai sensi del Regolamento </w:t>
      </w:r>
      <w:proofErr w:type="spellStart"/>
      <w:r w:rsidRPr="00BC4869">
        <w:rPr>
          <w:rFonts w:ascii="Titillium" w:hAnsi="Titillium"/>
          <w:sz w:val="18"/>
          <w:szCs w:val="18"/>
        </w:rPr>
        <w:t>eIDAS</w:t>
      </w:r>
      <w:proofErr w:type="spellEnd"/>
      <w:r w:rsidRPr="00BC4869">
        <w:rPr>
          <w:rFonts w:ascii="Titillium" w:hAnsi="Titillium"/>
          <w:sz w:val="18"/>
          <w:szCs w:val="18"/>
        </w:rPr>
        <w:t>.</w:t>
      </w:r>
      <w:r w:rsidRPr="00BC4869">
        <w:t xml:space="preserve"> </w:t>
      </w:r>
      <w:r w:rsidRPr="00BC4869">
        <w:rPr>
          <w:rFonts w:ascii="Titillium" w:hAnsi="Titillium"/>
          <w:sz w:val="18"/>
          <w:szCs w:val="18"/>
        </w:rPr>
        <w:t xml:space="preserve">Se l’operatore economico non è presente nei predetti indici elegge domicilio digitale speciale presso la stessa Piattaforma e le comunicazioni di cui sopra sono effettuate utilizzando tale domicilio digitale. Le comunicazioni relative all’attivazione del soccorso istruttorio; al subprocedimento di verifica dell’anomalia dell’offerta anomala; alla richiesta di offerta migliorativa e al sorteggio di cui all’articolo </w:t>
      </w:r>
      <w:r w:rsidR="00C87621">
        <w:rPr>
          <w:rFonts w:ascii="Titillium" w:hAnsi="Titillium"/>
          <w:sz w:val="18"/>
          <w:szCs w:val="18"/>
        </w:rPr>
        <w:fldChar w:fldCharType="begin"/>
      </w:r>
      <w:r w:rsidR="00C87621">
        <w:rPr>
          <w:rFonts w:ascii="Titillium" w:hAnsi="Titillium"/>
          <w:sz w:val="18"/>
          <w:szCs w:val="18"/>
        </w:rPr>
        <w:instrText xml:space="preserve"> REF _Ref138148356 \r \h </w:instrText>
      </w:r>
      <w:r w:rsidR="00C87621">
        <w:rPr>
          <w:rFonts w:ascii="Titillium" w:hAnsi="Titillium"/>
          <w:sz w:val="18"/>
          <w:szCs w:val="18"/>
        </w:rPr>
      </w:r>
      <w:r w:rsidR="00C87621">
        <w:rPr>
          <w:rFonts w:ascii="Titillium" w:hAnsi="Titillium"/>
          <w:sz w:val="18"/>
          <w:szCs w:val="18"/>
        </w:rPr>
        <w:fldChar w:fldCharType="separate"/>
      </w:r>
      <w:r w:rsidR="00C87621">
        <w:rPr>
          <w:rFonts w:ascii="Titillium" w:hAnsi="Titillium"/>
          <w:sz w:val="18"/>
          <w:szCs w:val="18"/>
        </w:rPr>
        <w:t>22</w:t>
      </w:r>
      <w:r w:rsidR="00C87621">
        <w:rPr>
          <w:rFonts w:ascii="Titillium" w:hAnsi="Titillium"/>
          <w:sz w:val="18"/>
          <w:szCs w:val="18"/>
        </w:rPr>
        <w:fldChar w:fldCharType="end"/>
      </w:r>
      <w:r w:rsidRPr="00BC4869">
        <w:rPr>
          <w:rFonts w:ascii="Titillium" w:hAnsi="Titillium"/>
          <w:sz w:val="18"/>
          <w:szCs w:val="18"/>
        </w:rPr>
        <w:t>; avvengono presso la Piattaforma.</w:t>
      </w:r>
    </w:p>
    <w:p w14:paraId="122AC27E" w14:textId="6EA8AF38" w:rsidR="001D0EFD" w:rsidRPr="00950882" w:rsidRDefault="001D0EFD" w:rsidP="00A426D8">
      <w:pPr>
        <w:rPr>
          <w:rFonts w:ascii="Titillium" w:hAnsi="Titillium"/>
          <w:i/>
          <w:iCs/>
          <w:sz w:val="18"/>
          <w:szCs w:val="18"/>
        </w:rPr>
      </w:pPr>
      <w:r w:rsidRPr="00950882">
        <w:rPr>
          <w:rFonts w:ascii="Titillium" w:hAnsi="Titillium"/>
          <w:i/>
          <w:iCs/>
          <w:sz w:val="18"/>
          <w:szCs w:val="18"/>
        </w:rPr>
        <w:t>[dal 1° gennaio 2024]</w:t>
      </w:r>
    </w:p>
    <w:p w14:paraId="5856FC91" w14:textId="5E9C34C0" w:rsidR="001D0EFD" w:rsidRDefault="001D0EFD" w:rsidP="00A426D8">
      <w:pPr>
        <w:rPr>
          <w:rFonts w:ascii="Titillium" w:hAnsi="Titillium"/>
          <w:sz w:val="18"/>
          <w:szCs w:val="18"/>
        </w:rPr>
      </w:pPr>
      <w:r>
        <w:rPr>
          <w:rFonts w:ascii="Titillium" w:hAnsi="Titillium"/>
          <w:sz w:val="18"/>
          <w:szCs w:val="18"/>
        </w:rPr>
        <w:t xml:space="preserve">Tutte le comunicazioni e gli scambi di informazioni tra stazione appaltante e operatori economici sono eseguiti in conformità con quanto disposto dal </w:t>
      </w:r>
      <w:r w:rsidR="00950882" w:rsidRPr="00BC4869">
        <w:rPr>
          <w:rFonts w:ascii="Titillium" w:hAnsi="Titillium"/>
          <w:sz w:val="18"/>
          <w:szCs w:val="18"/>
        </w:rPr>
        <w:t>decreto legislativo n. 82/05</w:t>
      </w:r>
      <w:r>
        <w:rPr>
          <w:rFonts w:ascii="Titillium" w:hAnsi="Titillium"/>
          <w:sz w:val="18"/>
          <w:szCs w:val="18"/>
        </w:rPr>
        <w:t>, tramite le piattaforme di approvvigionamento digitale</w:t>
      </w:r>
      <w:r w:rsidR="00DF40D3">
        <w:rPr>
          <w:rFonts w:ascii="Titillium" w:hAnsi="Titillium"/>
          <w:sz w:val="18"/>
          <w:szCs w:val="18"/>
        </w:rPr>
        <w:t xml:space="preserve"> e, per quanto non previsto dalle stesse, mediante utilizzo del domicilio digitale</w:t>
      </w:r>
      <w:r w:rsidR="00DF40D3" w:rsidRPr="00DF40D3">
        <w:rPr>
          <w:rFonts w:ascii="Titillium" w:hAnsi="Titillium"/>
          <w:sz w:val="18"/>
          <w:szCs w:val="18"/>
        </w:rPr>
        <w:t xml:space="preserve"> estratto da uno degli indici di cui agli articoli 6-bis, 6-ter, 6-quater, del decreto legislativo n. 82/05 o, per gli operatori economici transfrontalieri, attraverso un indirizzo di servizio elettronico di recapito certificato qualificato ai sensi del Regolamento </w:t>
      </w:r>
      <w:proofErr w:type="spellStart"/>
      <w:r w:rsidR="00DF40D3" w:rsidRPr="00DF40D3">
        <w:rPr>
          <w:rFonts w:ascii="Titillium" w:hAnsi="Titillium"/>
          <w:sz w:val="18"/>
          <w:szCs w:val="18"/>
        </w:rPr>
        <w:t>eIDAS</w:t>
      </w:r>
      <w:proofErr w:type="spellEnd"/>
      <w:r w:rsidR="00DF40D3">
        <w:rPr>
          <w:rFonts w:ascii="Titillium" w:hAnsi="Titillium"/>
          <w:sz w:val="18"/>
          <w:szCs w:val="18"/>
        </w:rPr>
        <w:t xml:space="preserve">. </w:t>
      </w:r>
    </w:p>
    <w:p w14:paraId="0DA3A9AA" w14:textId="25CBF66C" w:rsidR="00A426D8" w:rsidRDefault="00A426D8" w:rsidP="00A426D8">
      <w:r w:rsidRPr="00BC4869">
        <w:rPr>
          <w:rFonts w:ascii="Titillium" w:hAnsi="Titillium"/>
          <w:sz w:val="18"/>
          <w:szCs w:val="18"/>
        </w:rPr>
        <w:t>In caso di malfunzionamento della piattaforma, la stazione appaltante provvederà all’invio di qualsiasi comunicazione al domicilio digitale presente negli indici di cui ai richiamati articoli 6-bis,6-ter, 6</w:t>
      </w:r>
      <w:r w:rsidR="00C83DFA">
        <w:rPr>
          <w:rFonts w:ascii="Titillium" w:hAnsi="Titillium"/>
          <w:sz w:val="18"/>
          <w:szCs w:val="18"/>
        </w:rPr>
        <w:t>-</w:t>
      </w:r>
      <w:r w:rsidRPr="00BC4869">
        <w:rPr>
          <w:rFonts w:ascii="Titillium" w:hAnsi="Titillium"/>
          <w:sz w:val="18"/>
          <w:szCs w:val="18"/>
        </w:rPr>
        <w:t>quater del decreto legislativo n.</w:t>
      </w:r>
      <w:r w:rsidR="00C83DFA">
        <w:rPr>
          <w:rFonts w:ascii="Titillium" w:hAnsi="Titillium"/>
          <w:sz w:val="18"/>
          <w:szCs w:val="18"/>
        </w:rPr>
        <w:t xml:space="preserve"> </w:t>
      </w:r>
      <w:r w:rsidRPr="00BC4869">
        <w:rPr>
          <w:rFonts w:ascii="Titillium" w:hAnsi="Titillium"/>
          <w:sz w:val="18"/>
          <w:szCs w:val="18"/>
        </w:rPr>
        <w:t>82/05.</w:t>
      </w:r>
    </w:p>
    <w:p w14:paraId="5AB0A62A" w14:textId="77777777" w:rsidR="00A426D8" w:rsidRDefault="00A426D8" w:rsidP="00A426D8">
      <w:pPr>
        <w:spacing w:before="60" w:after="60"/>
      </w:pPr>
      <w:r>
        <w:rPr>
          <w:rFonts w:ascii="Titillium" w:hAnsi="Titillium"/>
          <w:sz w:val="18"/>
          <w:szCs w:val="18"/>
        </w:rPr>
        <w:lastRenderedPageBreak/>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14:paraId="45E37711" w14:textId="4243C402" w:rsidR="00A426D8" w:rsidRDefault="00A426D8" w:rsidP="00A426D8">
      <w:pPr>
        <w:spacing w:before="60" w:after="60"/>
      </w:pPr>
      <w:r>
        <w:rPr>
          <w:rFonts w:ascii="Titillium" w:hAnsi="Titillium"/>
          <w:sz w:val="18"/>
          <w:szCs w:val="18"/>
        </w:rPr>
        <w:t xml:space="preserve">In caso </w:t>
      </w:r>
      <w:r w:rsidRPr="008C279F">
        <w:rPr>
          <w:rFonts w:ascii="Titillium" w:hAnsi="Titillium"/>
          <w:sz w:val="18"/>
          <w:szCs w:val="18"/>
        </w:rPr>
        <w:t xml:space="preserve">di </w:t>
      </w:r>
      <w:r w:rsidRPr="00173996">
        <w:rPr>
          <w:rFonts w:ascii="Titillium" w:hAnsi="Titillium"/>
          <w:sz w:val="18"/>
          <w:szCs w:val="18"/>
        </w:rPr>
        <w:t>consorzi</w:t>
      </w:r>
      <w:r w:rsidR="008C279F" w:rsidRPr="00173996">
        <w:rPr>
          <w:rFonts w:ascii="Titillium" w:hAnsi="Titillium"/>
          <w:sz w:val="18"/>
          <w:szCs w:val="18"/>
        </w:rPr>
        <w:t xml:space="preserve"> di cui all’art. 65 </w:t>
      </w:r>
      <w:proofErr w:type="spellStart"/>
      <w:r w:rsidR="008C279F" w:rsidRPr="00173996">
        <w:rPr>
          <w:rFonts w:ascii="Titillium" w:hAnsi="Titillium"/>
          <w:sz w:val="18"/>
          <w:szCs w:val="18"/>
        </w:rPr>
        <w:t>lett</w:t>
      </w:r>
      <w:proofErr w:type="spellEnd"/>
      <w:r w:rsidR="008C279F" w:rsidRPr="00173996">
        <w:rPr>
          <w:rFonts w:ascii="Titillium" w:hAnsi="Titillium"/>
          <w:sz w:val="18"/>
          <w:szCs w:val="18"/>
        </w:rPr>
        <w:t>. b), c), d) del Codice</w:t>
      </w:r>
      <w:r w:rsidRPr="00173996">
        <w:rPr>
          <w:rFonts w:ascii="Titillium" w:hAnsi="Titillium"/>
          <w:sz w:val="18"/>
          <w:szCs w:val="18"/>
        </w:rPr>
        <w:t>,</w:t>
      </w:r>
      <w:r>
        <w:rPr>
          <w:rFonts w:ascii="Titillium" w:hAnsi="Titillium"/>
          <w:sz w:val="18"/>
          <w:szCs w:val="18"/>
        </w:rPr>
        <w:t xml:space="preserve"> la comunicazione recapitata nei modi sopra indicati al consorzio si intende validamente resa a tutte le consorziate.</w:t>
      </w:r>
    </w:p>
    <w:p w14:paraId="425BB0E6" w14:textId="77777777" w:rsidR="00A426D8" w:rsidRDefault="00A426D8" w:rsidP="00A426D8">
      <w:pPr>
        <w:spacing w:before="60" w:after="60"/>
      </w:pPr>
      <w:r>
        <w:rPr>
          <w:rFonts w:ascii="Titillium" w:hAnsi="Titillium"/>
          <w:sz w:val="18"/>
          <w:szCs w:val="18"/>
        </w:rPr>
        <w:t>In caso di avvalimento, la comunicazione recapitata all’offerente nei modi sopra indicati si intende validamente resa a tutti gli operatori economici ausiliari.</w:t>
      </w:r>
    </w:p>
    <w:p w14:paraId="529E4CB5" w14:textId="7625D660" w:rsidR="00A426D8" w:rsidRDefault="00A426D8" w:rsidP="00A426D8">
      <w:pPr>
        <w:spacing w:before="60" w:after="60"/>
      </w:pPr>
    </w:p>
    <w:tbl>
      <w:tblPr>
        <w:tblW w:w="9210" w:type="dxa"/>
        <w:tblCellMar>
          <w:left w:w="0" w:type="dxa"/>
          <w:right w:w="0" w:type="dxa"/>
        </w:tblCellMar>
        <w:tblLook w:val="04A0" w:firstRow="1" w:lastRow="0" w:firstColumn="1" w:lastColumn="0" w:noHBand="0" w:noVBand="1"/>
      </w:tblPr>
      <w:tblGrid>
        <w:gridCol w:w="9210"/>
      </w:tblGrid>
      <w:tr w:rsidR="00A426D8" w14:paraId="5940EBAA" w14:textId="77777777" w:rsidTr="00A426D8">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19DD6" w14:textId="77777777" w:rsidR="00A426D8" w:rsidRPr="00BC4869" w:rsidRDefault="00A426D8">
            <w:pPr>
              <w:spacing w:before="60" w:after="60"/>
            </w:pPr>
            <w:r>
              <w:rPr>
                <w:rFonts w:ascii="Titillium" w:hAnsi="Titillium"/>
                <w:i/>
                <w:iCs/>
                <w:sz w:val="18"/>
                <w:szCs w:val="18"/>
              </w:rPr>
              <w:t>N.B. Nel caso in cui il sistema consenta l’invio automatico di comunicazioni ad un numero indifferenziato di soggetti, si può prevedere l’invio delle comunicazioni a tutti gli operatori economici che partecipano a raggruppamenti temporanei, GEIE, aggregazioni di rete o consorzi ordinari, anche se non ancora costituiti formalmente, indipendentemente dalla qualifica posseduta.</w:t>
            </w:r>
          </w:p>
        </w:tc>
      </w:tr>
    </w:tbl>
    <w:p w14:paraId="004CBD09" w14:textId="3AD8EA07" w:rsidR="004C53A8" w:rsidRDefault="00870286" w:rsidP="00084AD6">
      <w:pPr>
        <w:pStyle w:val="Titolo2"/>
        <w:numPr>
          <w:ilvl w:val="0"/>
          <w:numId w:val="4"/>
        </w:numPr>
        <w:ind w:left="357" w:hanging="357"/>
      </w:pPr>
      <w:bookmarkStart w:id="168" w:name="_Toc416423353"/>
      <w:bookmarkStart w:id="169" w:name="_Toc406754168"/>
      <w:bookmarkStart w:id="170" w:name="_Toc406058367"/>
      <w:bookmarkStart w:id="171" w:name="_Toc403471261"/>
      <w:bookmarkStart w:id="172" w:name="_Toc397422854"/>
      <w:bookmarkStart w:id="173" w:name="_Toc397346813"/>
      <w:bookmarkStart w:id="174" w:name="_Toc393706898"/>
      <w:bookmarkStart w:id="175" w:name="_Toc393700825"/>
      <w:bookmarkStart w:id="176" w:name="_Toc393283166"/>
      <w:bookmarkStart w:id="177" w:name="_Toc393272650"/>
      <w:bookmarkStart w:id="178" w:name="_Toc393272592"/>
      <w:bookmarkStart w:id="179" w:name="_Toc393187836"/>
      <w:bookmarkStart w:id="180" w:name="_Toc393112119"/>
      <w:bookmarkStart w:id="181" w:name="_Toc393110555"/>
      <w:bookmarkStart w:id="182" w:name="_Toc392577488"/>
      <w:bookmarkStart w:id="183" w:name="_Ref498597801"/>
      <w:bookmarkStart w:id="184" w:name="_Ref131768152"/>
      <w:bookmarkStart w:id="185" w:name="_Ref132303600"/>
      <w:bookmarkStart w:id="186" w:name="_Ref132304546"/>
      <w:bookmarkStart w:id="187" w:name="_Ref132304635"/>
      <w:bookmarkStart w:id="188" w:name="_Toc139549417"/>
      <w:r>
        <w:rPr>
          <w:rFonts w:ascii="Titillium" w:hAnsi="Titillium"/>
          <w:caps w:val="0"/>
          <w:sz w:val="18"/>
          <w:szCs w:val="18"/>
        </w:rPr>
        <w:t>OGGETTO DELL’APPALTO</w:t>
      </w:r>
      <w:r>
        <w:rPr>
          <w:rFonts w:ascii="Titillium" w:hAnsi="Titillium"/>
          <w:caps w:val="0"/>
          <w:sz w:val="18"/>
          <w:szCs w:val="18"/>
          <w:lang w:val="it-IT"/>
        </w:rPr>
        <w:t>, IMPORTO</w:t>
      </w:r>
      <w:r>
        <w:rPr>
          <w:rFonts w:ascii="Titillium" w:hAnsi="Titillium"/>
          <w:caps w:val="0"/>
          <w:sz w:val="18"/>
          <w:szCs w:val="18"/>
        </w:rPr>
        <w:t xml:space="preserve"> E SUDDIVISIONE IN LOTTI</w:t>
      </w:r>
      <w:bookmarkEnd w:id="131"/>
      <w:bookmarkEnd w:id="132"/>
      <w:bookmarkEnd w:id="133"/>
      <w:bookmarkEnd w:id="13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AFCA231" w14:textId="506C4D38" w:rsidR="004C53A8" w:rsidRPr="002E5A26" w:rsidRDefault="00870286" w:rsidP="00C65659">
      <w:pPr>
        <w:spacing w:before="60" w:after="60"/>
        <w:rPr>
          <w:vertAlign w:val="superscript"/>
        </w:rPr>
      </w:pPr>
      <w:r>
        <w:rPr>
          <w:rFonts w:ascii="Titillium" w:hAnsi="Titillium"/>
          <w:sz w:val="18"/>
          <w:szCs w:val="18"/>
        </w:rPr>
        <w:t xml:space="preserve">L’appalto è costituito da un unico lotto poiché …  </w:t>
      </w:r>
      <w:r>
        <w:rPr>
          <w:rFonts w:ascii="Titillium" w:hAnsi="Titillium"/>
          <w:i/>
          <w:sz w:val="18"/>
          <w:szCs w:val="18"/>
        </w:rPr>
        <w:t xml:space="preserve">[motivare la mancata suddivisione in </w:t>
      </w:r>
      <w:r w:rsidRPr="008D3BD6">
        <w:rPr>
          <w:rFonts w:ascii="Titillium" w:hAnsi="Titillium"/>
          <w:i/>
          <w:sz w:val="18"/>
          <w:szCs w:val="18"/>
        </w:rPr>
        <w:t>lotti</w:t>
      </w:r>
      <w:r w:rsidR="00C65659" w:rsidRPr="008D3BD6">
        <w:rPr>
          <w:rFonts w:ascii="Titillium" w:hAnsi="Titillium"/>
          <w:i/>
          <w:sz w:val="18"/>
          <w:szCs w:val="18"/>
        </w:rPr>
        <w:t xml:space="preserve"> tenendo conto dei princìpi europei sulla promozione di condizioni di concorrenza paritarie</w:t>
      </w:r>
      <w:r w:rsidR="002E5A26">
        <w:rPr>
          <w:rFonts w:ascii="Titillium" w:hAnsi="Titillium"/>
          <w:i/>
          <w:sz w:val="18"/>
          <w:szCs w:val="18"/>
        </w:rPr>
        <w:t xml:space="preserve"> per le piccole e medie </w:t>
      </w:r>
      <w:r w:rsidR="002E5A26" w:rsidRPr="002E5A26">
        <w:rPr>
          <w:rFonts w:ascii="Titillium" w:hAnsi="Titillium"/>
          <w:i/>
          <w:sz w:val="18"/>
          <w:szCs w:val="18"/>
        </w:rPr>
        <w:t>imprese].</w:t>
      </w:r>
    </w:p>
    <w:p w14:paraId="68E6F3D0" w14:textId="77777777" w:rsidR="004C53A8" w:rsidRDefault="004C53A8">
      <w:pPr>
        <w:spacing w:before="60" w:after="60"/>
        <w:rPr>
          <w:rFonts w:ascii="Titillium" w:hAnsi="Titillium"/>
          <w:sz w:val="18"/>
          <w:szCs w:val="18"/>
        </w:rPr>
      </w:pPr>
    </w:p>
    <w:p w14:paraId="7F245BC2" w14:textId="77777777" w:rsidR="004C53A8" w:rsidRDefault="00870286">
      <w:pPr>
        <w:spacing w:before="60" w:after="60"/>
      </w:pPr>
      <w:r>
        <w:rPr>
          <w:rFonts w:ascii="Titillium" w:hAnsi="Titillium"/>
          <w:sz w:val="18"/>
          <w:szCs w:val="18"/>
        </w:rPr>
        <w:t>Tabella 1</w:t>
      </w:r>
    </w:p>
    <w:tbl>
      <w:tblPr>
        <w:tblW w:w="9067" w:type="dxa"/>
        <w:tblInd w:w="-108" w:type="dxa"/>
        <w:tblLook w:val="04A0" w:firstRow="1" w:lastRow="0" w:firstColumn="1" w:lastColumn="0" w:noHBand="0" w:noVBand="1"/>
      </w:tblPr>
      <w:tblGrid>
        <w:gridCol w:w="536"/>
        <w:gridCol w:w="4174"/>
        <w:gridCol w:w="1147"/>
        <w:gridCol w:w="1676"/>
        <w:gridCol w:w="1534"/>
      </w:tblGrid>
      <w:tr w:rsidR="00A83638" w14:paraId="0D439C1A" w14:textId="77777777" w:rsidTr="00A83638">
        <w:tc>
          <w:tcPr>
            <w:tcW w:w="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58655" w14:textId="77777777" w:rsidR="00A83638" w:rsidRDefault="00A83638" w:rsidP="00681C4C">
            <w:pPr>
              <w:spacing w:before="60" w:after="60"/>
              <w:jc w:val="center"/>
              <w:rPr>
                <w:rFonts w:ascii="Titillium" w:hAnsi="Titillium"/>
                <w:sz w:val="18"/>
                <w:szCs w:val="18"/>
              </w:rPr>
            </w:pPr>
            <w:bookmarkStart w:id="189" w:name="_Hlk132095196"/>
            <w:r>
              <w:rPr>
                <w:rFonts w:ascii="Titillium" w:hAnsi="Titillium"/>
                <w:sz w:val="18"/>
                <w:szCs w:val="18"/>
              </w:rPr>
              <w:t>n.</w:t>
            </w:r>
          </w:p>
        </w:tc>
        <w:tc>
          <w:tcPr>
            <w:tcW w:w="41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F441F" w14:textId="77777777" w:rsidR="00A83638" w:rsidRDefault="00A83638" w:rsidP="00681C4C">
            <w:pPr>
              <w:spacing w:before="60" w:after="60"/>
              <w:jc w:val="center"/>
              <w:rPr>
                <w:rFonts w:ascii="Titillium" w:hAnsi="Titillium"/>
                <w:sz w:val="18"/>
                <w:szCs w:val="18"/>
              </w:rPr>
            </w:pPr>
            <w:r>
              <w:rPr>
                <w:rFonts w:ascii="Titillium" w:hAnsi="Titillium"/>
                <w:sz w:val="18"/>
                <w:szCs w:val="18"/>
              </w:rPr>
              <w:t>Descrizione servizi/beni/</w:t>
            </w:r>
            <w:r w:rsidRPr="008D3BD6">
              <w:rPr>
                <w:rFonts w:ascii="Titillium" w:hAnsi="Titillium"/>
                <w:sz w:val="18"/>
                <w:szCs w:val="18"/>
              </w:rPr>
              <w:t>lavori</w:t>
            </w:r>
          </w:p>
        </w:tc>
        <w:tc>
          <w:tcPr>
            <w:tcW w:w="11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25198D" w14:textId="77777777" w:rsidR="00A83638" w:rsidRDefault="00A83638" w:rsidP="00681C4C">
            <w:pPr>
              <w:spacing w:before="60" w:after="60"/>
              <w:jc w:val="center"/>
              <w:rPr>
                <w:rFonts w:ascii="Titillium" w:hAnsi="Titillium"/>
                <w:sz w:val="18"/>
                <w:szCs w:val="18"/>
              </w:rPr>
            </w:pPr>
            <w:r>
              <w:rPr>
                <w:rFonts w:ascii="Titillium" w:hAnsi="Titillium"/>
                <w:sz w:val="18"/>
                <w:szCs w:val="18"/>
              </w:rPr>
              <w:t>CPV</w:t>
            </w:r>
          </w:p>
        </w:tc>
        <w:tc>
          <w:tcPr>
            <w:tcW w:w="1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520A38" w14:textId="77777777" w:rsidR="00A83638" w:rsidRPr="009564C4" w:rsidRDefault="00A83638" w:rsidP="00681C4C">
            <w:pPr>
              <w:spacing w:before="60" w:after="60"/>
              <w:jc w:val="center"/>
              <w:rPr>
                <w:rFonts w:ascii="Titillium" w:hAnsi="Titillium"/>
                <w:sz w:val="18"/>
                <w:szCs w:val="18"/>
              </w:rPr>
            </w:pPr>
            <w:r w:rsidRPr="009564C4">
              <w:rPr>
                <w:rFonts w:ascii="Titillium" w:hAnsi="Titillium"/>
                <w:sz w:val="18"/>
                <w:szCs w:val="18"/>
              </w:rPr>
              <w:t>P (principale)</w:t>
            </w:r>
          </w:p>
          <w:p w14:paraId="1B5ED193" w14:textId="77777777" w:rsidR="00A83638" w:rsidRPr="009564C4" w:rsidRDefault="00A83638" w:rsidP="00681C4C">
            <w:pPr>
              <w:spacing w:before="60" w:after="60"/>
              <w:jc w:val="center"/>
              <w:rPr>
                <w:rFonts w:ascii="Titillium" w:hAnsi="Titillium"/>
                <w:sz w:val="18"/>
                <w:szCs w:val="18"/>
              </w:rPr>
            </w:pPr>
            <w:r w:rsidRPr="009564C4">
              <w:rPr>
                <w:rFonts w:ascii="Titillium" w:hAnsi="Titillium"/>
                <w:sz w:val="18"/>
                <w:szCs w:val="18"/>
              </w:rPr>
              <w:t>S (secondaria)</w:t>
            </w:r>
          </w:p>
        </w:tc>
        <w:tc>
          <w:tcPr>
            <w:tcW w:w="1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9AB5F8" w14:textId="77777777" w:rsidR="00A83638" w:rsidRPr="009564C4" w:rsidRDefault="00A83638" w:rsidP="00681C4C">
            <w:pPr>
              <w:spacing w:before="60" w:after="60"/>
              <w:jc w:val="center"/>
              <w:rPr>
                <w:rFonts w:ascii="Titillium" w:hAnsi="Titillium"/>
                <w:sz w:val="18"/>
                <w:szCs w:val="18"/>
              </w:rPr>
            </w:pPr>
            <w:r w:rsidRPr="009564C4">
              <w:rPr>
                <w:rFonts w:ascii="Titillium" w:hAnsi="Titillium"/>
                <w:sz w:val="18"/>
                <w:szCs w:val="18"/>
              </w:rPr>
              <w:t>Importo</w:t>
            </w:r>
          </w:p>
        </w:tc>
      </w:tr>
      <w:tr w:rsidR="00A83638" w14:paraId="44715F68" w14:textId="77777777" w:rsidTr="00A83638">
        <w:tc>
          <w:tcPr>
            <w:tcW w:w="536" w:type="dxa"/>
            <w:tcBorders>
              <w:top w:val="single" w:sz="4" w:space="0" w:color="000000"/>
              <w:left w:val="single" w:sz="4" w:space="0" w:color="000000"/>
              <w:bottom w:val="single" w:sz="4" w:space="0" w:color="000000"/>
              <w:right w:val="single" w:sz="4" w:space="0" w:color="000000"/>
            </w:tcBorders>
            <w:vAlign w:val="center"/>
          </w:tcPr>
          <w:p w14:paraId="75C83CFA" w14:textId="77777777" w:rsidR="00A83638" w:rsidRDefault="00A83638" w:rsidP="00681C4C">
            <w:pPr>
              <w:spacing w:before="60" w:after="60"/>
              <w:jc w:val="center"/>
              <w:rPr>
                <w:rFonts w:ascii="Titillium" w:hAnsi="Titillium"/>
                <w:sz w:val="18"/>
                <w:szCs w:val="18"/>
              </w:rPr>
            </w:pPr>
            <w:r>
              <w:rPr>
                <w:rFonts w:ascii="Titillium" w:hAnsi="Titillium"/>
                <w:sz w:val="18"/>
                <w:szCs w:val="18"/>
              </w:rPr>
              <w:t>1</w:t>
            </w:r>
          </w:p>
        </w:tc>
        <w:tc>
          <w:tcPr>
            <w:tcW w:w="4174" w:type="dxa"/>
            <w:tcBorders>
              <w:top w:val="single" w:sz="4" w:space="0" w:color="000000"/>
              <w:left w:val="single" w:sz="4" w:space="0" w:color="000000"/>
              <w:bottom w:val="single" w:sz="4" w:space="0" w:color="000000"/>
              <w:right w:val="single" w:sz="4" w:space="0" w:color="000000"/>
            </w:tcBorders>
            <w:vAlign w:val="center"/>
          </w:tcPr>
          <w:p w14:paraId="1DD8311E" w14:textId="77777777" w:rsidR="00A83638" w:rsidRDefault="00A83638" w:rsidP="00681C4C">
            <w:pPr>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09E10DC4" w14:textId="77777777" w:rsidR="00A83638" w:rsidRDefault="00A83638" w:rsidP="00681C4C">
            <w:pPr>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19D9BEB8" w14:textId="77777777" w:rsidR="00A83638" w:rsidRDefault="00A83638" w:rsidP="00681C4C">
            <w:pPr>
              <w:spacing w:before="60" w:after="60"/>
              <w:jc w:val="center"/>
              <w:rPr>
                <w:rFonts w:ascii="Titillium" w:hAnsi="Titillium"/>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51765A41" w14:textId="77777777" w:rsidR="00A83638" w:rsidRDefault="00A83638" w:rsidP="00681C4C">
            <w:pPr>
              <w:spacing w:before="60" w:after="60"/>
              <w:jc w:val="center"/>
              <w:rPr>
                <w:rFonts w:ascii="Titillium" w:hAnsi="Titillium"/>
                <w:sz w:val="18"/>
                <w:szCs w:val="18"/>
              </w:rPr>
            </w:pPr>
          </w:p>
        </w:tc>
      </w:tr>
      <w:tr w:rsidR="00A83638" w14:paraId="4CDEABAA" w14:textId="77777777" w:rsidTr="00A83638">
        <w:tc>
          <w:tcPr>
            <w:tcW w:w="536" w:type="dxa"/>
            <w:tcBorders>
              <w:top w:val="single" w:sz="4" w:space="0" w:color="000000"/>
              <w:left w:val="single" w:sz="4" w:space="0" w:color="000000"/>
              <w:bottom w:val="single" w:sz="4" w:space="0" w:color="000000"/>
              <w:right w:val="single" w:sz="4" w:space="0" w:color="000000"/>
            </w:tcBorders>
            <w:vAlign w:val="center"/>
          </w:tcPr>
          <w:p w14:paraId="4C65F2EB" w14:textId="77777777" w:rsidR="00A83638" w:rsidRDefault="00A83638" w:rsidP="00681C4C">
            <w:pPr>
              <w:spacing w:before="60" w:after="60"/>
              <w:jc w:val="center"/>
              <w:rPr>
                <w:rFonts w:ascii="Titillium" w:hAnsi="Titillium"/>
                <w:sz w:val="18"/>
                <w:szCs w:val="18"/>
              </w:rPr>
            </w:pPr>
            <w:r>
              <w:rPr>
                <w:rFonts w:ascii="Titillium" w:hAnsi="Titillium"/>
                <w:sz w:val="18"/>
                <w:szCs w:val="18"/>
              </w:rPr>
              <w:t>2</w:t>
            </w:r>
          </w:p>
        </w:tc>
        <w:tc>
          <w:tcPr>
            <w:tcW w:w="4174" w:type="dxa"/>
            <w:tcBorders>
              <w:top w:val="single" w:sz="4" w:space="0" w:color="000000"/>
              <w:left w:val="single" w:sz="4" w:space="0" w:color="000000"/>
              <w:bottom w:val="single" w:sz="4" w:space="0" w:color="000000"/>
              <w:right w:val="single" w:sz="4" w:space="0" w:color="000000"/>
            </w:tcBorders>
            <w:vAlign w:val="center"/>
          </w:tcPr>
          <w:p w14:paraId="7E250EEA" w14:textId="77777777" w:rsidR="00A83638" w:rsidRDefault="00A83638" w:rsidP="00681C4C">
            <w:pPr>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6EBA1646" w14:textId="77777777" w:rsidR="00A83638" w:rsidRDefault="00A83638" w:rsidP="00681C4C">
            <w:pPr>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73F57197" w14:textId="77777777" w:rsidR="00A83638" w:rsidRDefault="00A83638" w:rsidP="00681C4C">
            <w:pPr>
              <w:spacing w:before="60" w:after="60"/>
              <w:jc w:val="center"/>
              <w:rPr>
                <w:rFonts w:ascii="Titillium" w:hAnsi="Titillium"/>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2A1398EE" w14:textId="77777777" w:rsidR="00A83638" w:rsidRDefault="00A83638" w:rsidP="00681C4C">
            <w:pPr>
              <w:spacing w:before="60" w:after="60"/>
              <w:jc w:val="center"/>
              <w:rPr>
                <w:rFonts w:ascii="Titillium" w:hAnsi="Titillium"/>
                <w:sz w:val="18"/>
                <w:szCs w:val="18"/>
              </w:rPr>
            </w:pPr>
          </w:p>
        </w:tc>
      </w:tr>
      <w:tr w:rsidR="00A83638" w14:paraId="77212D41" w14:textId="77777777" w:rsidTr="00A83638">
        <w:tc>
          <w:tcPr>
            <w:tcW w:w="536" w:type="dxa"/>
            <w:tcBorders>
              <w:top w:val="single" w:sz="4" w:space="0" w:color="000000"/>
              <w:left w:val="single" w:sz="4" w:space="0" w:color="000000"/>
              <w:bottom w:val="single" w:sz="4" w:space="0" w:color="000000"/>
              <w:right w:val="single" w:sz="4" w:space="0" w:color="000000"/>
            </w:tcBorders>
            <w:vAlign w:val="center"/>
          </w:tcPr>
          <w:p w14:paraId="156C845C" w14:textId="77777777" w:rsidR="00A83638" w:rsidRDefault="00A83638" w:rsidP="00681C4C">
            <w:pPr>
              <w:spacing w:before="60" w:after="60"/>
              <w:jc w:val="center"/>
              <w:rPr>
                <w:rFonts w:ascii="Titillium" w:hAnsi="Titillium"/>
                <w:sz w:val="18"/>
                <w:szCs w:val="18"/>
              </w:rPr>
            </w:pPr>
            <w:r>
              <w:rPr>
                <w:rFonts w:ascii="Titillium" w:hAnsi="Titillium"/>
                <w:sz w:val="18"/>
                <w:szCs w:val="18"/>
              </w:rPr>
              <w:t>3</w:t>
            </w:r>
          </w:p>
        </w:tc>
        <w:tc>
          <w:tcPr>
            <w:tcW w:w="4174" w:type="dxa"/>
            <w:tcBorders>
              <w:top w:val="single" w:sz="4" w:space="0" w:color="000000"/>
              <w:left w:val="single" w:sz="4" w:space="0" w:color="000000"/>
              <w:bottom w:val="single" w:sz="4" w:space="0" w:color="000000"/>
              <w:right w:val="single" w:sz="4" w:space="0" w:color="000000"/>
            </w:tcBorders>
            <w:vAlign w:val="center"/>
          </w:tcPr>
          <w:p w14:paraId="7F1E6A9A" w14:textId="77777777" w:rsidR="00A83638" w:rsidRDefault="00A83638" w:rsidP="00681C4C">
            <w:pPr>
              <w:spacing w:before="60" w:after="60"/>
              <w:jc w:val="center"/>
              <w:rPr>
                <w:rFonts w:ascii="Titillium" w:hAnsi="Titillium"/>
                <w:sz w:val="18"/>
                <w:szCs w:val="18"/>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4CEC8417" w14:textId="77777777" w:rsidR="00A83638" w:rsidRDefault="00A83638" w:rsidP="00681C4C">
            <w:pPr>
              <w:spacing w:before="60" w:after="60"/>
              <w:jc w:val="center"/>
              <w:rPr>
                <w:rFonts w:ascii="Titillium" w:hAnsi="Titillium"/>
                <w:sz w:val="18"/>
                <w:szCs w:val="18"/>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289440CC" w14:textId="77777777" w:rsidR="00A83638" w:rsidRDefault="00A83638" w:rsidP="00681C4C">
            <w:pPr>
              <w:spacing w:before="60" w:after="60"/>
              <w:jc w:val="center"/>
              <w:rPr>
                <w:rFonts w:ascii="Titillium" w:hAnsi="Titillium"/>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5A868ECD" w14:textId="77777777" w:rsidR="00A83638" w:rsidRDefault="00A83638" w:rsidP="00681C4C">
            <w:pPr>
              <w:spacing w:before="60" w:after="60"/>
              <w:jc w:val="center"/>
              <w:rPr>
                <w:rFonts w:ascii="Titillium" w:hAnsi="Titillium"/>
                <w:sz w:val="18"/>
                <w:szCs w:val="18"/>
              </w:rPr>
            </w:pPr>
          </w:p>
        </w:tc>
      </w:tr>
      <w:tr w:rsidR="00A83638" w14:paraId="64EE328B" w14:textId="77777777" w:rsidTr="00A83638">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4ED20E33" w14:textId="77777777" w:rsidR="00A83638" w:rsidRDefault="00A83638" w:rsidP="00681C4C">
            <w:pPr>
              <w:pStyle w:val="Paragrafoelenco"/>
              <w:numPr>
                <w:ilvl w:val="0"/>
                <w:numId w:val="77"/>
              </w:numPr>
              <w:spacing w:before="60" w:after="60"/>
              <w:ind w:left="3232" w:hanging="284"/>
              <w:jc w:val="left"/>
            </w:pPr>
            <w:r>
              <w:rPr>
                <w:rFonts w:ascii="Titillium" w:hAnsi="Titillium"/>
                <w:b/>
                <w:sz w:val="18"/>
                <w:szCs w:val="18"/>
              </w:rPr>
              <w:t>Importo a base di gara</w:t>
            </w:r>
          </w:p>
        </w:tc>
        <w:tc>
          <w:tcPr>
            <w:tcW w:w="1534" w:type="dxa"/>
            <w:tcBorders>
              <w:top w:val="single" w:sz="4" w:space="0" w:color="000000"/>
              <w:left w:val="single" w:sz="4" w:space="0" w:color="000000"/>
              <w:bottom w:val="single" w:sz="4" w:space="0" w:color="000000"/>
              <w:right w:val="single" w:sz="4" w:space="0" w:color="000000"/>
            </w:tcBorders>
            <w:vAlign w:val="center"/>
          </w:tcPr>
          <w:p w14:paraId="6B779078" w14:textId="77777777" w:rsidR="00A83638" w:rsidRDefault="00A83638" w:rsidP="00681C4C">
            <w:pPr>
              <w:spacing w:before="60" w:after="60"/>
              <w:jc w:val="center"/>
              <w:rPr>
                <w:rFonts w:ascii="Titillium" w:hAnsi="Titillium"/>
                <w:sz w:val="18"/>
                <w:szCs w:val="18"/>
              </w:rPr>
            </w:pPr>
          </w:p>
        </w:tc>
      </w:tr>
      <w:tr w:rsidR="00A83638" w14:paraId="0847560A" w14:textId="77777777" w:rsidTr="00A83638">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2115EE84" w14:textId="77777777" w:rsidR="00A83638" w:rsidRDefault="00A83638" w:rsidP="00681C4C">
            <w:pPr>
              <w:pStyle w:val="Paragrafoelenco"/>
              <w:numPr>
                <w:ilvl w:val="0"/>
                <w:numId w:val="77"/>
              </w:numPr>
              <w:spacing w:before="60" w:after="60"/>
              <w:ind w:left="3232" w:hanging="284"/>
              <w:jc w:val="left"/>
            </w:pPr>
            <w:r>
              <w:rPr>
                <w:rFonts w:ascii="Titillium" w:hAnsi="Titillium"/>
                <w:b/>
                <w:sz w:val="18"/>
                <w:szCs w:val="18"/>
              </w:rPr>
              <w:t xml:space="preserve">Oneri per la sicurezza da interferenze non soggetti a ribasso </w:t>
            </w:r>
            <w:r>
              <w:rPr>
                <w:rFonts w:ascii="Titillium" w:hAnsi="Titillium"/>
                <w:i/>
                <w:sz w:val="18"/>
                <w:szCs w:val="18"/>
              </w:rPr>
              <w:t>[indicare € 0,00 in caso di assenza di rischi]</w:t>
            </w:r>
          </w:p>
        </w:tc>
        <w:tc>
          <w:tcPr>
            <w:tcW w:w="1534" w:type="dxa"/>
            <w:tcBorders>
              <w:top w:val="single" w:sz="4" w:space="0" w:color="000000"/>
              <w:left w:val="single" w:sz="4" w:space="0" w:color="000000"/>
              <w:bottom w:val="single" w:sz="4" w:space="0" w:color="000000"/>
              <w:right w:val="single" w:sz="4" w:space="0" w:color="000000"/>
            </w:tcBorders>
            <w:vAlign w:val="center"/>
          </w:tcPr>
          <w:p w14:paraId="616C06A2" w14:textId="77777777" w:rsidR="00A83638" w:rsidRDefault="00A83638" w:rsidP="00681C4C">
            <w:pPr>
              <w:spacing w:before="60" w:after="60"/>
              <w:jc w:val="center"/>
              <w:rPr>
                <w:rFonts w:ascii="Titillium" w:hAnsi="Titillium"/>
                <w:sz w:val="18"/>
                <w:szCs w:val="18"/>
              </w:rPr>
            </w:pPr>
          </w:p>
        </w:tc>
      </w:tr>
      <w:tr w:rsidR="00A83638" w:rsidRPr="00E42CEB" w14:paraId="2025C0EE" w14:textId="77777777" w:rsidTr="00A83638">
        <w:tc>
          <w:tcPr>
            <w:tcW w:w="7533" w:type="dxa"/>
            <w:gridSpan w:val="4"/>
            <w:tcBorders>
              <w:top w:val="single" w:sz="4" w:space="0" w:color="000000"/>
              <w:left w:val="single" w:sz="4" w:space="0" w:color="000000"/>
              <w:bottom w:val="single" w:sz="4" w:space="0" w:color="000000"/>
              <w:right w:val="single" w:sz="4" w:space="0" w:color="000000"/>
            </w:tcBorders>
            <w:vAlign w:val="center"/>
          </w:tcPr>
          <w:p w14:paraId="33BC614D" w14:textId="77777777" w:rsidR="00A83638" w:rsidRPr="00E42CEB" w:rsidRDefault="00A83638" w:rsidP="00681C4C">
            <w:pPr>
              <w:pStyle w:val="Paragrafoelenco"/>
              <w:spacing w:before="60" w:after="60"/>
              <w:ind w:left="2807" w:hanging="284"/>
              <w:jc w:val="left"/>
              <w:rPr>
                <w:rFonts w:ascii="Titillium" w:hAnsi="Titillium"/>
                <w:b/>
                <w:sz w:val="18"/>
                <w:szCs w:val="18"/>
              </w:rPr>
            </w:pPr>
            <w:r w:rsidRPr="00E42CEB">
              <w:rPr>
                <w:rFonts w:ascii="Titillium" w:hAnsi="Titillium"/>
                <w:b/>
                <w:sz w:val="18"/>
                <w:szCs w:val="18"/>
              </w:rPr>
              <w:t>A)</w:t>
            </w:r>
            <w:r>
              <w:rPr>
                <w:rFonts w:ascii="Titillium" w:hAnsi="Titillium"/>
                <w:b/>
                <w:sz w:val="18"/>
                <w:szCs w:val="18"/>
              </w:rPr>
              <w:t xml:space="preserve"> </w:t>
            </w:r>
            <w:r w:rsidRPr="00E42CEB">
              <w:rPr>
                <w:rFonts w:ascii="Titillium" w:hAnsi="Titillium"/>
                <w:b/>
                <w:sz w:val="18"/>
                <w:szCs w:val="18"/>
              </w:rPr>
              <w:t>+ B) Importo complessivo</w:t>
            </w:r>
          </w:p>
        </w:tc>
        <w:tc>
          <w:tcPr>
            <w:tcW w:w="1534" w:type="dxa"/>
            <w:tcBorders>
              <w:top w:val="single" w:sz="4" w:space="0" w:color="000000"/>
              <w:left w:val="single" w:sz="4" w:space="0" w:color="000000"/>
              <w:bottom w:val="single" w:sz="4" w:space="0" w:color="000000"/>
              <w:right w:val="single" w:sz="4" w:space="0" w:color="000000"/>
            </w:tcBorders>
            <w:vAlign w:val="center"/>
          </w:tcPr>
          <w:p w14:paraId="5CED8C21" w14:textId="77777777" w:rsidR="00A83638" w:rsidRPr="00E42CEB" w:rsidRDefault="00A83638" w:rsidP="00681C4C">
            <w:pPr>
              <w:pStyle w:val="Paragrafoelenco"/>
              <w:numPr>
                <w:ilvl w:val="0"/>
                <w:numId w:val="77"/>
              </w:numPr>
              <w:spacing w:before="60" w:after="60"/>
              <w:ind w:left="2835"/>
              <w:jc w:val="left"/>
              <w:rPr>
                <w:rFonts w:ascii="Titillium" w:hAnsi="Titillium"/>
                <w:b/>
                <w:sz w:val="18"/>
                <w:szCs w:val="18"/>
              </w:rPr>
            </w:pPr>
          </w:p>
        </w:tc>
      </w:tr>
      <w:bookmarkEnd w:id="189"/>
    </w:tbl>
    <w:p w14:paraId="0C6FCC64" w14:textId="77777777" w:rsidR="00B309E3" w:rsidRDefault="00B309E3" w:rsidP="00B309E3">
      <w:pPr>
        <w:spacing w:before="60" w:after="60"/>
        <w:rPr>
          <w:rFonts w:ascii="Titillium" w:hAnsi="Titillium" w:cs="Calibri"/>
          <w:i/>
          <w:sz w:val="18"/>
          <w:szCs w:val="18"/>
        </w:rPr>
      </w:pPr>
    </w:p>
    <w:p w14:paraId="6A713179" w14:textId="014D457F" w:rsidR="00B309E3" w:rsidRPr="001C5FCC" w:rsidRDefault="00B309E3" w:rsidP="00B309E3">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rPr>
      </w:pPr>
      <w:r w:rsidRPr="001C5FCC">
        <w:rPr>
          <w:rFonts w:ascii="Titillium" w:hAnsi="Titillium" w:cs="Calibri"/>
          <w:i/>
          <w:sz w:val="18"/>
          <w:szCs w:val="18"/>
        </w:rPr>
        <w:t xml:space="preserve">N.B. Nel caso di appalti misti, l’eventuale componente lavori non può rappresentare l’oggetto principale dell’affidamento. </w:t>
      </w:r>
    </w:p>
    <w:p w14:paraId="3DBB0324" w14:textId="77777777" w:rsidR="00B309E3" w:rsidRDefault="00B309E3" w:rsidP="00C32E81">
      <w:pPr>
        <w:spacing w:before="60" w:after="60"/>
        <w:rPr>
          <w:rFonts w:ascii="Titillium" w:hAnsi="Titillium"/>
          <w:sz w:val="18"/>
          <w:szCs w:val="18"/>
        </w:rPr>
      </w:pPr>
    </w:p>
    <w:p w14:paraId="0F655C1A" w14:textId="24916DD5" w:rsidR="00CC6C3C" w:rsidRDefault="00E42CEB" w:rsidP="00815271">
      <w:pPr>
        <w:spacing w:before="60" w:after="60"/>
        <w:rPr>
          <w:rFonts w:ascii="Titillium" w:hAnsi="Titillium"/>
          <w:b/>
          <w:i/>
          <w:sz w:val="18"/>
          <w:szCs w:val="18"/>
        </w:rPr>
      </w:pPr>
      <w:r w:rsidRPr="003117C4">
        <w:rPr>
          <w:rFonts w:ascii="Titillium" w:hAnsi="Titillium"/>
          <w:b/>
          <w:i/>
          <w:sz w:val="18"/>
          <w:szCs w:val="18"/>
        </w:rPr>
        <w:t>[In caso di appalto di servizi o appalto misto di servizi e forniture</w:t>
      </w:r>
      <w:r w:rsidR="00BC41F7" w:rsidRPr="00BC41F7">
        <w:rPr>
          <w:rFonts w:ascii="Titillium" w:hAnsi="Titillium"/>
          <w:b/>
          <w:i/>
          <w:sz w:val="18"/>
          <w:szCs w:val="18"/>
        </w:rPr>
        <w:t xml:space="preserve"> </w:t>
      </w:r>
      <w:r w:rsidR="00BC41F7">
        <w:rPr>
          <w:rFonts w:ascii="Titillium" w:hAnsi="Titillium"/>
          <w:b/>
          <w:i/>
          <w:sz w:val="18"/>
          <w:szCs w:val="18"/>
        </w:rPr>
        <w:t>riportare il testo seguente fino all’indicazione del contratto collettivo compreso</w:t>
      </w:r>
      <w:r w:rsidR="00B309E3">
        <w:rPr>
          <w:rFonts w:ascii="Titillium" w:hAnsi="Titillium"/>
          <w:b/>
          <w:i/>
          <w:sz w:val="18"/>
          <w:szCs w:val="18"/>
        </w:rPr>
        <w:t xml:space="preserve">. Non applicabile ai </w:t>
      </w:r>
      <w:r w:rsidR="00B309E3" w:rsidRPr="00B309E3">
        <w:rPr>
          <w:rFonts w:ascii="Titillium" w:hAnsi="Titillium"/>
          <w:b/>
          <w:i/>
          <w:sz w:val="18"/>
          <w:szCs w:val="18"/>
        </w:rPr>
        <w:t>servizi di natura intellettuale e</w:t>
      </w:r>
      <w:r w:rsidR="00B309E3">
        <w:rPr>
          <w:rFonts w:ascii="Titillium" w:hAnsi="Titillium"/>
          <w:b/>
          <w:i/>
          <w:sz w:val="18"/>
          <w:szCs w:val="18"/>
        </w:rPr>
        <w:t>d alle</w:t>
      </w:r>
      <w:r w:rsidR="00B309E3" w:rsidRPr="00B309E3">
        <w:rPr>
          <w:rFonts w:ascii="Titillium" w:hAnsi="Titillium"/>
          <w:b/>
          <w:i/>
          <w:sz w:val="18"/>
          <w:szCs w:val="18"/>
        </w:rPr>
        <w:t xml:space="preserve"> fornitur</w:t>
      </w:r>
      <w:r w:rsidR="00A83638">
        <w:rPr>
          <w:rFonts w:ascii="Titillium" w:hAnsi="Titillium"/>
          <w:b/>
          <w:i/>
          <w:sz w:val="18"/>
          <w:szCs w:val="18"/>
        </w:rPr>
        <w:t>e</w:t>
      </w:r>
      <w:r w:rsidR="00B309E3" w:rsidRPr="00B309E3">
        <w:rPr>
          <w:rFonts w:ascii="Titillium" w:hAnsi="Titillium"/>
          <w:b/>
          <w:i/>
          <w:sz w:val="18"/>
          <w:szCs w:val="18"/>
        </w:rPr>
        <w:t xml:space="preserve"> senza posa in opera</w:t>
      </w:r>
      <w:r w:rsidRPr="003117C4">
        <w:rPr>
          <w:rFonts w:ascii="Titillium" w:hAnsi="Titillium"/>
          <w:b/>
          <w:i/>
          <w:sz w:val="18"/>
          <w:szCs w:val="18"/>
        </w:rPr>
        <w:t>]</w:t>
      </w:r>
    </w:p>
    <w:p w14:paraId="5F1DA5A9" w14:textId="13F026C0" w:rsidR="00815271" w:rsidRDefault="00E42CEB" w:rsidP="00815271">
      <w:pPr>
        <w:spacing w:before="60" w:after="60"/>
      </w:pPr>
      <w:r>
        <w:rPr>
          <w:rFonts w:ascii="Titillium" w:hAnsi="Titillium"/>
          <w:sz w:val="18"/>
          <w:szCs w:val="18"/>
        </w:rPr>
        <w:t xml:space="preserve">L’importo a base di gara comprende i costi della manodopera che la stazione appaltante ha stimato pari ad € </w:t>
      </w:r>
      <w:r>
        <w:rPr>
          <w:rFonts w:ascii="Titillium" w:hAnsi="Titillium"/>
          <w:i/>
          <w:sz w:val="18"/>
          <w:szCs w:val="18"/>
        </w:rPr>
        <w:t xml:space="preserve">… </w:t>
      </w:r>
      <w:r w:rsidR="00E062AB">
        <w:rPr>
          <w:rFonts w:ascii="Titillium" w:hAnsi="Titillium"/>
          <w:i/>
          <w:sz w:val="18"/>
          <w:szCs w:val="18"/>
        </w:rPr>
        <w:t xml:space="preserve">[indicare l’importo] </w:t>
      </w:r>
      <w:r w:rsidR="00815271">
        <w:rPr>
          <w:rFonts w:ascii="Titillium" w:hAnsi="Titillium"/>
          <w:sz w:val="18"/>
          <w:szCs w:val="18"/>
        </w:rPr>
        <w:t xml:space="preserve">calcolati sulla base dei seguenti elementi … </w:t>
      </w:r>
      <w:r w:rsidR="00815271">
        <w:rPr>
          <w:rFonts w:ascii="Titillium" w:hAnsi="Titillium"/>
          <w:i/>
          <w:sz w:val="18"/>
          <w:szCs w:val="18"/>
        </w:rPr>
        <w:t xml:space="preserve">[precisare gli elementi attraverso i quali si è pervenuti alla determinazione del costo stimato </w:t>
      </w:r>
      <w:r w:rsidR="00815271" w:rsidRPr="003117C4">
        <w:rPr>
          <w:rFonts w:ascii="Titillium" w:hAnsi="Titillium"/>
          <w:i/>
          <w:sz w:val="18"/>
          <w:szCs w:val="18"/>
        </w:rPr>
        <w:t>o</w:t>
      </w:r>
      <w:r w:rsidR="00815271">
        <w:rPr>
          <w:rFonts w:ascii="Titillium" w:hAnsi="Titillium"/>
          <w:i/>
          <w:sz w:val="18"/>
          <w:szCs w:val="18"/>
        </w:rPr>
        <w:t xml:space="preserve"> eventualmente</w:t>
      </w:r>
      <w:r w:rsidR="00815271" w:rsidRPr="003117C4">
        <w:rPr>
          <w:rFonts w:ascii="Titillium" w:hAnsi="Titillium"/>
          <w:i/>
          <w:sz w:val="18"/>
          <w:szCs w:val="18"/>
        </w:rPr>
        <w:t xml:space="preserve"> indicare l’allegato che contiene questa informazione</w:t>
      </w:r>
      <w:r w:rsidR="00815271">
        <w:rPr>
          <w:rFonts w:ascii="Titillium" w:hAnsi="Titillium"/>
          <w:i/>
          <w:sz w:val="18"/>
          <w:szCs w:val="18"/>
        </w:rPr>
        <w:t xml:space="preserve">] </w:t>
      </w:r>
      <w:r w:rsidR="00815271" w:rsidRPr="00E062AB">
        <w:rPr>
          <w:rFonts w:ascii="Titillium" w:hAnsi="Titillium"/>
          <w:iCs/>
          <w:sz w:val="18"/>
          <w:szCs w:val="18"/>
        </w:rPr>
        <w:t>e riferiti a</w:t>
      </w:r>
      <w:r w:rsidR="00815271">
        <w:rPr>
          <w:rFonts w:ascii="Titillium" w:hAnsi="Titillium"/>
          <w:iCs/>
          <w:sz w:val="18"/>
          <w:szCs w:val="18"/>
        </w:rPr>
        <w:t xml:space="preserve"> … </w:t>
      </w:r>
      <w:r w:rsidR="00815271">
        <w:rPr>
          <w:rFonts w:ascii="Titillium" w:hAnsi="Titillium"/>
          <w:i/>
          <w:sz w:val="18"/>
          <w:szCs w:val="18"/>
        </w:rPr>
        <w:t xml:space="preserve"> [specificare a quali servizi o forniture si riferiscono i costi della manodopera]</w:t>
      </w:r>
      <w:r w:rsidR="00815271">
        <w:rPr>
          <w:rFonts w:ascii="Titillium" w:hAnsi="Titillium"/>
          <w:sz w:val="18"/>
          <w:szCs w:val="18"/>
        </w:rPr>
        <w:t>.</w:t>
      </w:r>
    </w:p>
    <w:p w14:paraId="03039FDB" w14:textId="30B12799" w:rsidR="00815271" w:rsidRPr="00871272" w:rsidRDefault="00815271" w:rsidP="00815271">
      <w:pPr>
        <w:spacing w:before="60" w:after="60"/>
        <w:rPr>
          <w:rFonts w:ascii="Titillium" w:hAnsi="Titillium"/>
          <w:b/>
          <w:iCs/>
          <w:sz w:val="18"/>
          <w:szCs w:val="18"/>
        </w:rPr>
      </w:pPr>
      <w:r w:rsidRPr="00871272">
        <w:rPr>
          <w:rFonts w:ascii="Titillium" w:hAnsi="Titillium"/>
          <w:b/>
          <w:bCs/>
          <w:iCs/>
          <w:sz w:val="18"/>
          <w:szCs w:val="18"/>
        </w:rPr>
        <w:t xml:space="preserve">I costi della manodopera </w:t>
      </w:r>
      <w:r w:rsidR="00B309E3" w:rsidRPr="00871272">
        <w:rPr>
          <w:rFonts w:ascii="Titillium" w:hAnsi="Titillium"/>
          <w:b/>
          <w:bCs/>
          <w:iCs/>
          <w:sz w:val="18"/>
          <w:szCs w:val="18"/>
        </w:rPr>
        <w:t xml:space="preserve">non </w:t>
      </w:r>
      <w:r w:rsidRPr="00871272">
        <w:rPr>
          <w:rFonts w:ascii="Titillium" w:hAnsi="Titillium"/>
          <w:b/>
          <w:bCs/>
          <w:iCs/>
          <w:sz w:val="18"/>
          <w:szCs w:val="18"/>
        </w:rPr>
        <w:t xml:space="preserve">sono </w:t>
      </w:r>
      <w:r w:rsidR="00B309E3" w:rsidRPr="00871272">
        <w:rPr>
          <w:rFonts w:ascii="Titillium" w:hAnsi="Titillium"/>
          <w:b/>
          <w:bCs/>
          <w:iCs/>
          <w:sz w:val="18"/>
          <w:szCs w:val="18"/>
        </w:rPr>
        <w:t>soggetti</w:t>
      </w:r>
      <w:r w:rsidRPr="00871272">
        <w:rPr>
          <w:rFonts w:ascii="Titillium" w:hAnsi="Titillium"/>
          <w:b/>
          <w:bCs/>
          <w:iCs/>
          <w:sz w:val="18"/>
          <w:szCs w:val="18"/>
        </w:rPr>
        <w:t xml:space="preserve"> al ribasso</w:t>
      </w:r>
      <w:r w:rsidRPr="00871272">
        <w:rPr>
          <w:rFonts w:ascii="Titillium" w:hAnsi="Titillium"/>
          <w:b/>
          <w:iCs/>
          <w:sz w:val="18"/>
          <w:szCs w:val="18"/>
        </w:rPr>
        <w:t>.</w:t>
      </w:r>
    </w:p>
    <w:p w14:paraId="06424951" w14:textId="4A8E67B9" w:rsidR="00815271" w:rsidRPr="00815271" w:rsidRDefault="00815271" w:rsidP="00815271">
      <w:pPr>
        <w:spacing w:before="60" w:after="60"/>
        <w:rPr>
          <w:rFonts w:ascii="Titillium" w:hAnsi="Titillium"/>
          <w:iCs/>
          <w:sz w:val="18"/>
          <w:szCs w:val="18"/>
        </w:rPr>
      </w:pPr>
      <w:r w:rsidRPr="00815271">
        <w:rPr>
          <w:rFonts w:ascii="Titillium" w:hAnsi="Titillium"/>
          <w:iCs/>
          <w:sz w:val="18"/>
          <w:szCs w:val="18"/>
        </w:rPr>
        <w:t xml:space="preserve">Il contratto collettivo applicato è/I contratti collettivi applicati sono </w:t>
      </w:r>
      <w:r w:rsidRPr="00B309E3">
        <w:rPr>
          <w:rFonts w:ascii="Titillium" w:hAnsi="Titillium"/>
          <w:i/>
          <w:sz w:val="18"/>
          <w:szCs w:val="18"/>
        </w:rPr>
        <w:t>... [fornire i dettagli in questa sezione o mediante rinvio ad un allegato]</w:t>
      </w:r>
      <w:r w:rsidRPr="00815271">
        <w:rPr>
          <w:rFonts w:ascii="Titillium" w:hAnsi="Titillium"/>
          <w:iCs/>
          <w:sz w:val="18"/>
          <w:szCs w:val="18"/>
        </w:rPr>
        <w:t>.</w:t>
      </w:r>
    </w:p>
    <w:p w14:paraId="68BE0CC0" w14:textId="4EA631DF" w:rsidR="004C53A8" w:rsidRDefault="00870286">
      <w:pPr>
        <w:spacing w:before="60" w:after="60"/>
      </w:pPr>
      <w:r>
        <w:rPr>
          <w:rFonts w:ascii="Titillium" w:hAnsi="Titillium" w:cs="Calibri"/>
          <w:b/>
          <w:i/>
          <w:sz w:val="18"/>
          <w:szCs w:val="18"/>
        </w:rPr>
        <w:lastRenderedPageBreak/>
        <w:t>[</w:t>
      </w:r>
      <w:r w:rsidR="00F44182">
        <w:rPr>
          <w:rFonts w:ascii="Titillium" w:hAnsi="Titillium" w:cs="Calibri"/>
          <w:b/>
          <w:i/>
          <w:sz w:val="18"/>
          <w:szCs w:val="18"/>
        </w:rPr>
        <w:t>I</w:t>
      </w:r>
      <w:r>
        <w:rPr>
          <w:rFonts w:ascii="Titillium" w:hAnsi="Titillium" w:cs="Calibri"/>
          <w:b/>
          <w:i/>
          <w:sz w:val="18"/>
          <w:szCs w:val="18"/>
        </w:rPr>
        <w:t xml:space="preserve">n caso di pubblicazione dei prezzi di riferimento dei beni o servizi oggetto di </w:t>
      </w:r>
      <w:r w:rsidRPr="00F44182">
        <w:rPr>
          <w:rFonts w:ascii="Titillium" w:hAnsi="Titillium" w:cs="Calibri"/>
          <w:b/>
          <w:i/>
          <w:sz w:val="18"/>
          <w:szCs w:val="18"/>
        </w:rPr>
        <w:t xml:space="preserve">affidamento] </w:t>
      </w:r>
      <w:r w:rsidRPr="00F44182">
        <w:rPr>
          <w:rFonts w:ascii="Titillium" w:hAnsi="Titillium"/>
          <w:sz w:val="18"/>
          <w:szCs w:val="18"/>
        </w:rPr>
        <w:t xml:space="preserve">L’importo a base di gara è stato calcolato considerando i prezzi di riferimento per … </w:t>
      </w:r>
      <w:r w:rsidRPr="00F44182">
        <w:rPr>
          <w:rFonts w:ascii="Titillium" w:hAnsi="Titillium"/>
          <w:i/>
          <w:sz w:val="18"/>
          <w:szCs w:val="18"/>
        </w:rPr>
        <w:t>[inserire i beni o servizi]</w:t>
      </w:r>
      <w:r w:rsidRPr="00F44182">
        <w:rPr>
          <w:rFonts w:ascii="Titillium" w:hAnsi="Titillium"/>
          <w:sz w:val="18"/>
          <w:szCs w:val="18"/>
        </w:rPr>
        <w:t xml:space="preserve">, di cui alla delibera dell’ANAC n. … del … </w:t>
      </w:r>
      <w:r w:rsidRPr="00F44182">
        <w:rPr>
          <w:rFonts w:ascii="Titillium" w:hAnsi="Titillium"/>
          <w:i/>
          <w:sz w:val="18"/>
          <w:szCs w:val="18"/>
        </w:rPr>
        <w:t>[la stazione appaltante indica la delibera di riferimento vigente alla data di pubblicazione</w:t>
      </w:r>
      <w:r w:rsidRPr="001C67CA">
        <w:rPr>
          <w:rFonts w:ascii="Titillium" w:hAnsi="Titillium"/>
          <w:i/>
          <w:sz w:val="18"/>
          <w:szCs w:val="18"/>
        </w:rPr>
        <w:t xml:space="preserve"> del bando]</w:t>
      </w:r>
      <w:r w:rsidRPr="001C67CA">
        <w:rPr>
          <w:rFonts w:ascii="Titillium" w:hAnsi="Titillium"/>
          <w:sz w:val="18"/>
          <w:szCs w:val="18"/>
        </w:rPr>
        <w:t>.</w:t>
      </w:r>
    </w:p>
    <w:p w14:paraId="61818A4C" w14:textId="77777777" w:rsidR="00A83638" w:rsidRDefault="00A83638" w:rsidP="00A83638">
      <w:pPr>
        <w:spacing w:before="60" w:after="60"/>
        <w:rPr>
          <w:rFonts w:ascii="Titillium" w:hAnsi="Titillium" w:cs="Calibri"/>
          <w:i/>
          <w:iCs/>
          <w:sz w:val="18"/>
          <w:szCs w:val="18"/>
        </w:rPr>
      </w:pPr>
      <w:r w:rsidRPr="00F44182">
        <w:rPr>
          <w:rFonts w:ascii="Titillium" w:hAnsi="Titillium" w:cs="Calibri"/>
          <w:b/>
          <w:bCs/>
          <w:i/>
          <w:iCs/>
          <w:sz w:val="18"/>
          <w:szCs w:val="18"/>
        </w:rPr>
        <w:t>[In caso di oneri per la sicurezza da interferenze di importo pari a € 0,00]</w:t>
      </w:r>
      <w:r w:rsidRPr="0099078E">
        <w:rPr>
          <w:rFonts w:ascii="Titillium" w:hAnsi="Titillium" w:cs="Calibri"/>
          <w:sz w:val="18"/>
          <w:szCs w:val="18"/>
        </w:rPr>
        <w:t xml:space="preserve"> </w:t>
      </w:r>
      <w:r>
        <w:rPr>
          <w:rFonts w:ascii="Titillium" w:hAnsi="Titillium" w:cs="Calibri"/>
          <w:sz w:val="18"/>
          <w:szCs w:val="18"/>
        </w:rPr>
        <w:t>L’importo</w:t>
      </w:r>
      <w:r w:rsidRPr="00C32E81">
        <w:rPr>
          <w:rFonts w:ascii="Titillium" w:hAnsi="Titillium" w:cs="Calibri"/>
          <w:sz w:val="18"/>
          <w:szCs w:val="18"/>
        </w:rPr>
        <w:t xml:space="preserve"> degli oneri per la sicurezza d</w:t>
      </w:r>
      <w:r>
        <w:rPr>
          <w:rFonts w:ascii="Titillium" w:hAnsi="Titillium" w:cs="Calibri"/>
          <w:sz w:val="18"/>
          <w:szCs w:val="18"/>
        </w:rPr>
        <w:t>a interferenze è pari a € 0,00 poiché ...</w:t>
      </w:r>
      <w:r w:rsidRPr="0099078E">
        <w:rPr>
          <w:rFonts w:ascii="Titillium" w:hAnsi="Titillium" w:cs="Calibri"/>
          <w:i/>
          <w:iCs/>
          <w:sz w:val="18"/>
          <w:szCs w:val="18"/>
        </w:rPr>
        <w:t xml:space="preserve"> </w:t>
      </w:r>
      <w:r>
        <w:rPr>
          <w:rFonts w:ascii="Titillium" w:hAnsi="Titillium" w:cs="Calibri"/>
          <w:i/>
          <w:iCs/>
          <w:sz w:val="18"/>
          <w:szCs w:val="18"/>
        </w:rPr>
        <w:t>[</w:t>
      </w:r>
      <w:r w:rsidRPr="0099078E">
        <w:rPr>
          <w:rFonts w:ascii="Titillium" w:hAnsi="Titillium" w:cs="Calibri"/>
          <w:i/>
          <w:iCs/>
          <w:sz w:val="18"/>
          <w:szCs w:val="18"/>
        </w:rPr>
        <w:t>indicare i motivi</w:t>
      </w:r>
      <w:r>
        <w:rPr>
          <w:rFonts w:ascii="Titillium" w:hAnsi="Titillium" w:cs="Calibri"/>
          <w:i/>
          <w:iCs/>
          <w:sz w:val="18"/>
          <w:szCs w:val="18"/>
        </w:rPr>
        <w:t>]</w:t>
      </w:r>
    </w:p>
    <w:p w14:paraId="5C135546" w14:textId="77777777" w:rsidR="00A83638" w:rsidRDefault="00A83638" w:rsidP="00A83638">
      <w:pPr>
        <w:spacing w:before="60" w:after="60"/>
        <w:rPr>
          <w:rFonts w:ascii="Titillium" w:hAnsi="Titillium" w:cs="Calibri"/>
          <w:sz w:val="18"/>
          <w:szCs w:val="18"/>
        </w:rPr>
      </w:pPr>
      <w:r>
        <w:rPr>
          <w:rFonts w:ascii="Titillium" w:hAnsi="Titillium"/>
          <w:sz w:val="18"/>
          <w:szCs w:val="18"/>
        </w:rPr>
        <w:t xml:space="preserve">L’importo complessivo è al </w:t>
      </w:r>
      <w:r>
        <w:rPr>
          <w:rFonts w:ascii="Titillium" w:hAnsi="Titillium" w:cs="Calibri"/>
          <w:sz w:val="18"/>
          <w:szCs w:val="18"/>
        </w:rPr>
        <w:t>netto di</w:t>
      </w:r>
      <w:r>
        <w:rPr>
          <w:rFonts w:ascii="Titillium" w:hAnsi="Titillium" w:cs="Calibri"/>
          <w:i/>
          <w:sz w:val="18"/>
          <w:szCs w:val="18"/>
        </w:rPr>
        <w:t xml:space="preserve"> </w:t>
      </w:r>
      <w:r>
        <w:rPr>
          <w:rFonts w:ascii="Titillium" w:hAnsi="Titillium" w:cs="Calibri"/>
          <w:sz w:val="18"/>
          <w:szCs w:val="18"/>
        </w:rPr>
        <w:t>Iva</w:t>
      </w:r>
      <w:r w:rsidRPr="00C32E81">
        <w:rPr>
          <w:rFonts w:ascii="Titillium" w:hAnsi="Titillium" w:cs="Calibri"/>
          <w:sz w:val="18"/>
          <w:szCs w:val="18"/>
        </w:rPr>
        <w:t>.</w:t>
      </w:r>
    </w:p>
    <w:p w14:paraId="3177D6FC" w14:textId="6A6E7833" w:rsidR="00141DDC" w:rsidRDefault="00141DDC" w:rsidP="00871272">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Pr>
          <w:rFonts w:ascii="Titillium" w:hAnsi="Titillium"/>
          <w:i/>
          <w:sz w:val="18"/>
          <w:szCs w:val="18"/>
        </w:rPr>
        <w:t>N.B. La stazione appaltante deve dettagliare, nel bando o in un apposito allegato, le modalità di calcolo della base d’asta, esplicitando le componenti e le relative quantità che hanno condotto all’importo complessivo.</w:t>
      </w:r>
    </w:p>
    <w:p w14:paraId="2616121D" w14:textId="77777777" w:rsidR="00A83638" w:rsidRDefault="00A83638" w:rsidP="00A83638">
      <w:pPr>
        <w:spacing w:before="60" w:after="60"/>
        <w:rPr>
          <w:rFonts w:ascii="Titillium" w:hAnsi="Titillium"/>
          <w:sz w:val="18"/>
          <w:szCs w:val="18"/>
        </w:rPr>
      </w:pPr>
    </w:p>
    <w:p w14:paraId="0E5F9601" w14:textId="0E491E24" w:rsidR="00A83638" w:rsidRDefault="00A83638" w:rsidP="00A83638">
      <w:pPr>
        <w:spacing w:before="60" w:after="60"/>
        <w:rPr>
          <w:rFonts w:ascii="Titillium" w:hAnsi="Titillium"/>
          <w:sz w:val="18"/>
          <w:szCs w:val="18"/>
        </w:rPr>
      </w:pPr>
      <w:r>
        <w:rPr>
          <w:rFonts w:ascii="Titillium" w:hAnsi="Titillium"/>
          <w:sz w:val="18"/>
          <w:szCs w:val="18"/>
        </w:rPr>
        <w:t xml:space="preserve">L’appalto è finanziato con </w:t>
      </w:r>
      <w:r>
        <w:rPr>
          <w:rFonts w:ascii="Titillium" w:hAnsi="Titillium"/>
          <w:i/>
          <w:sz w:val="18"/>
          <w:szCs w:val="18"/>
        </w:rPr>
        <w:t>… [descrivere le fonti di finanziamento]</w:t>
      </w:r>
      <w:r>
        <w:rPr>
          <w:rFonts w:ascii="Titillium" w:hAnsi="Titillium"/>
          <w:sz w:val="18"/>
          <w:szCs w:val="18"/>
        </w:rPr>
        <w:t>.</w:t>
      </w:r>
    </w:p>
    <w:p w14:paraId="7B9FE969" w14:textId="77777777" w:rsidR="00141DDC" w:rsidRDefault="00141DDC">
      <w:pPr>
        <w:spacing w:before="60" w:after="60"/>
        <w:rPr>
          <w:rFonts w:ascii="Titillium" w:hAnsi="Titillium"/>
          <w:b/>
          <w:i/>
          <w:szCs w:val="24"/>
        </w:rPr>
      </w:pPr>
    </w:p>
    <w:p w14:paraId="268F455E" w14:textId="24AF1A0B" w:rsidR="004C53A8" w:rsidRPr="00414909" w:rsidRDefault="00F44182">
      <w:pPr>
        <w:spacing w:before="60" w:after="60"/>
        <w:rPr>
          <w:rFonts w:ascii="Titillium" w:hAnsi="Titillium"/>
          <w:b/>
          <w:i/>
          <w:sz w:val="18"/>
          <w:szCs w:val="18"/>
        </w:rPr>
      </w:pPr>
      <w:r>
        <w:rPr>
          <w:rFonts w:ascii="Titillium" w:hAnsi="Titillium"/>
          <w:b/>
          <w:i/>
          <w:sz w:val="18"/>
          <w:szCs w:val="18"/>
        </w:rPr>
        <w:t>[I</w:t>
      </w:r>
      <w:r w:rsidR="00870286">
        <w:rPr>
          <w:rFonts w:ascii="Titillium" w:hAnsi="Titillium"/>
          <w:b/>
          <w:i/>
          <w:sz w:val="18"/>
          <w:szCs w:val="18"/>
        </w:rPr>
        <w:t>n alternativa, in caso di suddivisione in lotti, sostituire il testo precedente con quello seguente]</w:t>
      </w:r>
    </w:p>
    <w:p w14:paraId="6164EF4D" w14:textId="77777777" w:rsidR="004C53A8" w:rsidRDefault="00870286">
      <w:pPr>
        <w:spacing w:before="60" w:after="60"/>
        <w:rPr>
          <w:rFonts w:ascii="Titillium" w:hAnsi="Titillium"/>
          <w:sz w:val="18"/>
          <w:szCs w:val="18"/>
        </w:rPr>
      </w:pPr>
      <w:r>
        <w:rPr>
          <w:rFonts w:ascii="Titillium" w:hAnsi="Titillium"/>
          <w:sz w:val="18"/>
          <w:szCs w:val="18"/>
        </w:rPr>
        <w:t>L’appalto è suddiviso nei seguenti lotti:</w:t>
      </w:r>
    </w:p>
    <w:p w14:paraId="783D5A1A" w14:textId="058D9E0F"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527049">
        <w:rPr>
          <w:rFonts w:ascii="Titillium" w:hAnsi="Titillium"/>
          <w:noProof/>
          <w:sz w:val="18"/>
        </w:rPr>
        <w:t>1</w:t>
      </w:r>
      <w:r>
        <w:rPr>
          <w:rFonts w:ascii="Titillium" w:hAnsi="Titillium"/>
          <w:sz w:val="18"/>
        </w:rPr>
        <w:fldChar w:fldCharType="end"/>
      </w:r>
    </w:p>
    <w:tbl>
      <w:tblPr>
        <w:tblW w:w="5000" w:type="pct"/>
        <w:tblLook w:val="04A0" w:firstRow="1" w:lastRow="0" w:firstColumn="1" w:lastColumn="0" w:noHBand="0" w:noVBand="1"/>
      </w:tblPr>
      <w:tblGrid>
        <w:gridCol w:w="846"/>
        <w:gridCol w:w="3267"/>
        <w:gridCol w:w="2552"/>
        <w:gridCol w:w="2549"/>
      </w:tblGrid>
      <w:tr w:rsidR="004C53A8" w14:paraId="6B19DCB4" w14:textId="77777777" w:rsidTr="00CE3EE4">
        <w:tc>
          <w:tcPr>
            <w:tcW w:w="45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4B67E52" w14:textId="77777777" w:rsidR="004C53A8" w:rsidRDefault="00870286">
            <w:pPr>
              <w:jc w:val="center"/>
              <w:rPr>
                <w:rFonts w:ascii="Titillium" w:hAnsi="Titillium"/>
                <w:sz w:val="18"/>
                <w:szCs w:val="18"/>
              </w:rPr>
            </w:pPr>
            <w:r>
              <w:rPr>
                <w:rFonts w:ascii="Titillium" w:hAnsi="Titillium"/>
                <w:sz w:val="18"/>
                <w:szCs w:val="18"/>
              </w:rPr>
              <w:t>Numero lotto</w:t>
            </w:r>
          </w:p>
        </w:tc>
        <w:tc>
          <w:tcPr>
            <w:tcW w:w="1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818F8C3" w14:textId="77777777" w:rsidR="004C53A8" w:rsidRPr="00F86058" w:rsidRDefault="00870286">
            <w:pPr>
              <w:jc w:val="center"/>
              <w:rPr>
                <w:rFonts w:ascii="Titillium" w:hAnsi="Titillium"/>
                <w:sz w:val="18"/>
                <w:szCs w:val="18"/>
              </w:rPr>
            </w:pPr>
            <w:r w:rsidRPr="00F86058">
              <w:rPr>
                <w:rFonts w:ascii="Titillium" w:hAnsi="Titillium"/>
                <w:sz w:val="18"/>
                <w:szCs w:val="18"/>
              </w:rPr>
              <w:t>Oggetto del lotto</w:t>
            </w:r>
          </w:p>
        </w:tc>
        <w:tc>
          <w:tcPr>
            <w:tcW w:w="138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10C3D0A" w14:textId="77777777" w:rsidR="004C53A8" w:rsidRPr="00F86058" w:rsidRDefault="00870286">
            <w:pPr>
              <w:jc w:val="center"/>
              <w:rPr>
                <w:rFonts w:ascii="Titillium" w:hAnsi="Titillium"/>
                <w:sz w:val="18"/>
                <w:szCs w:val="18"/>
              </w:rPr>
            </w:pPr>
            <w:r w:rsidRPr="00F86058">
              <w:rPr>
                <w:rFonts w:ascii="Titillium" w:hAnsi="Titillium"/>
                <w:sz w:val="18"/>
                <w:szCs w:val="18"/>
              </w:rPr>
              <w:t>CIG</w:t>
            </w:r>
          </w:p>
        </w:tc>
        <w:tc>
          <w:tcPr>
            <w:tcW w:w="138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8E6733" w14:textId="77777777" w:rsidR="004C53A8" w:rsidRPr="00F86058" w:rsidRDefault="00870286">
            <w:pPr>
              <w:jc w:val="center"/>
              <w:rPr>
                <w:rFonts w:ascii="Titillium" w:hAnsi="Titillium"/>
                <w:sz w:val="18"/>
                <w:szCs w:val="18"/>
              </w:rPr>
            </w:pPr>
            <w:r w:rsidRPr="00F86058">
              <w:rPr>
                <w:rFonts w:ascii="Titillium" w:hAnsi="Titillium"/>
                <w:sz w:val="18"/>
                <w:szCs w:val="18"/>
              </w:rPr>
              <w:t>Importo</w:t>
            </w:r>
          </w:p>
        </w:tc>
      </w:tr>
      <w:tr w:rsidR="004C53A8" w14:paraId="38D535B4" w14:textId="77777777" w:rsidTr="00CE3EE4">
        <w:tc>
          <w:tcPr>
            <w:tcW w:w="459" w:type="pct"/>
            <w:tcBorders>
              <w:top w:val="single" w:sz="4" w:space="0" w:color="000000"/>
              <w:left w:val="single" w:sz="4" w:space="0" w:color="000000"/>
              <w:bottom w:val="single" w:sz="4" w:space="0" w:color="000000"/>
              <w:right w:val="single" w:sz="4" w:space="0" w:color="000000"/>
            </w:tcBorders>
          </w:tcPr>
          <w:p w14:paraId="5A34CE24" w14:textId="77777777" w:rsidR="004C53A8" w:rsidRDefault="004C53A8">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36D51285" w14:textId="77777777" w:rsidR="004C53A8" w:rsidRDefault="004C53A8"/>
        </w:tc>
        <w:tc>
          <w:tcPr>
            <w:tcW w:w="1385" w:type="pct"/>
            <w:tcBorders>
              <w:top w:val="single" w:sz="4" w:space="0" w:color="000000"/>
              <w:left w:val="single" w:sz="4" w:space="0" w:color="000000"/>
              <w:bottom w:val="single" w:sz="4" w:space="0" w:color="000000"/>
              <w:right w:val="single" w:sz="4" w:space="0" w:color="000000"/>
            </w:tcBorders>
          </w:tcPr>
          <w:p w14:paraId="2734512F" w14:textId="77777777" w:rsidR="004C53A8" w:rsidRDefault="004C53A8"/>
        </w:tc>
        <w:tc>
          <w:tcPr>
            <w:tcW w:w="1384" w:type="pct"/>
            <w:tcBorders>
              <w:top w:val="single" w:sz="4" w:space="0" w:color="000000"/>
              <w:left w:val="single" w:sz="4" w:space="0" w:color="000000"/>
              <w:bottom w:val="single" w:sz="4" w:space="0" w:color="000000"/>
              <w:right w:val="single" w:sz="4" w:space="0" w:color="000000"/>
            </w:tcBorders>
          </w:tcPr>
          <w:p w14:paraId="1D1B3BE3" w14:textId="77777777" w:rsidR="004C53A8" w:rsidRDefault="004C53A8"/>
        </w:tc>
      </w:tr>
      <w:tr w:rsidR="004C53A8" w14:paraId="62CC5A8E" w14:textId="77777777" w:rsidTr="00CE3EE4">
        <w:tc>
          <w:tcPr>
            <w:tcW w:w="459" w:type="pct"/>
            <w:tcBorders>
              <w:top w:val="single" w:sz="4" w:space="0" w:color="000000"/>
              <w:left w:val="single" w:sz="4" w:space="0" w:color="000000"/>
              <w:bottom w:val="single" w:sz="4" w:space="0" w:color="000000"/>
              <w:right w:val="single" w:sz="4" w:space="0" w:color="000000"/>
            </w:tcBorders>
          </w:tcPr>
          <w:p w14:paraId="667A03BE" w14:textId="77777777" w:rsidR="004C53A8" w:rsidRDefault="004C53A8">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71EE898E" w14:textId="77777777" w:rsidR="004C53A8" w:rsidRDefault="004C53A8"/>
        </w:tc>
        <w:tc>
          <w:tcPr>
            <w:tcW w:w="1385" w:type="pct"/>
            <w:tcBorders>
              <w:top w:val="single" w:sz="4" w:space="0" w:color="000000"/>
              <w:left w:val="single" w:sz="4" w:space="0" w:color="000000"/>
              <w:bottom w:val="single" w:sz="4" w:space="0" w:color="000000"/>
              <w:right w:val="single" w:sz="4" w:space="0" w:color="000000"/>
            </w:tcBorders>
          </w:tcPr>
          <w:p w14:paraId="671FFE40" w14:textId="77777777" w:rsidR="004C53A8" w:rsidRDefault="004C53A8"/>
        </w:tc>
        <w:tc>
          <w:tcPr>
            <w:tcW w:w="1384" w:type="pct"/>
            <w:tcBorders>
              <w:top w:val="single" w:sz="4" w:space="0" w:color="000000"/>
              <w:left w:val="single" w:sz="4" w:space="0" w:color="000000"/>
              <w:bottom w:val="single" w:sz="4" w:space="0" w:color="000000"/>
              <w:right w:val="single" w:sz="4" w:space="0" w:color="000000"/>
            </w:tcBorders>
          </w:tcPr>
          <w:p w14:paraId="5169CC38" w14:textId="77777777" w:rsidR="004C53A8" w:rsidRDefault="004C53A8"/>
        </w:tc>
      </w:tr>
      <w:tr w:rsidR="004C53A8" w14:paraId="0BB7450D" w14:textId="77777777" w:rsidTr="00CE3EE4">
        <w:tc>
          <w:tcPr>
            <w:tcW w:w="459" w:type="pct"/>
            <w:tcBorders>
              <w:top w:val="single" w:sz="4" w:space="0" w:color="000000"/>
              <w:left w:val="single" w:sz="4" w:space="0" w:color="000000"/>
              <w:bottom w:val="single" w:sz="4" w:space="0" w:color="000000"/>
              <w:right w:val="single" w:sz="4" w:space="0" w:color="000000"/>
            </w:tcBorders>
          </w:tcPr>
          <w:p w14:paraId="54BAEE19" w14:textId="77777777" w:rsidR="004C53A8" w:rsidRDefault="004C53A8">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224D203B" w14:textId="77777777" w:rsidR="004C53A8" w:rsidRDefault="004C53A8"/>
        </w:tc>
        <w:tc>
          <w:tcPr>
            <w:tcW w:w="1385" w:type="pct"/>
            <w:tcBorders>
              <w:top w:val="single" w:sz="4" w:space="0" w:color="000000"/>
              <w:left w:val="single" w:sz="4" w:space="0" w:color="000000"/>
              <w:bottom w:val="single" w:sz="4" w:space="0" w:color="000000"/>
              <w:right w:val="single" w:sz="4" w:space="0" w:color="000000"/>
            </w:tcBorders>
          </w:tcPr>
          <w:p w14:paraId="03DA4789" w14:textId="77777777" w:rsidR="004C53A8" w:rsidRDefault="004C53A8"/>
        </w:tc>
        <w:tc>
          <w:tcPr>
            <w:tcW w:w="1384" w:type="pct"/>
            <w:tcBorders>
              <w:top w:val="single" w:sz="4" w:space="0" w:color="000000"/>
              <w:left w:val="single" w:sz="4" w:space="0" w:color="000000"/>
              <w:bottom w:val="single" w:sz="4" w:space="0" w:color="000000"/>
              <w:right w:val="single" w:sz="4" w:space="0" w:color="000000"/>
            </w:tcBorders>
          </w:tcPr>
          <w:p w14:paraId="67F70CE9" w14:textId="77777777" w:rsidR="004C53A8" w:rsidRDefault="004C53A8"/>
        </w:tc>
      </w:tr>
      <w:tr w:rsidR="004C53A8" w14:paraId="44F7A226" w14:textId="77777777" w:rsidTr="00CE3EE4">
        <w:tc>
          <w:tcPr>
            <w:tcW w:w="459" w:type="pct"/>
            <w:tcBorders>
              <w:top w:val="single" w:sz="4" w:space="0" w:color="000000"/>
              <w:left w:val="single" w:sz="4" w:space="0" w:color="000000"/>
              <w:bottom w:val="single" w:sz="4" w:space="0" w:color="000000"/>
              <w:right w:val="single" w:sz="4" w:space="0" w:color="000000"/>
            </w:tcBorders>
          </w:tcPr>
          <w:p w14:paraId="10E0C79C" w14:textId="77777777" w:rsidR="004C53A8" w:rsidRDefault="004C53A8">
            <w:pPr>
              <w:rPr>
                <w:rFonts w:ascii="Titillium" w:hAnsi="Titillium"/>
                <w:sz w:val="18"/>
                <w:szCs w:val="18"/>
              </w:rPr>
            </w:pPr>
          </w:p>
        </w:tc>
        <w:tc>
          <w:tcPr>
            <w:tcW w:w="1773" w:type="pct"/>
            <w:tcBorders>
              <w:top w:val="single" w:sz="4" w:space="0" w:color="000000"/>
              <w:left w:val="single" w:sz="4" w:space="0" w:color="000000"/>
              <w:bottom w:val="single" w:sz="4" w:space="0" w:color="000000"/>
              <w:right w:val="single" w:sz="4" w:space="0" w:color="000000"/>
            </w:tcBorders>
          </w:tcPr>
          <w:p w14:paraId="1A5674E1" w14:textId="77777777" w:rsidR="004C53A8" w:rsidRDefault="004C53A8"/>
        </w:tc>
        <w:tc>
          <w:tcPr>
            <w:tcW w:w="1385" w:type="pct"/>
            <w:tcBorders>
              <w:top w:val="single" w:sz="4" w:space="0" w:color="000000"/>
              <w:left w:val="single" w:sz="4" w:space="0" w:color="000000"/>
              <w:bottom w:val="single" w:sz="4" w:space="0" w:color="000000"/>
              <w:right w:val="single" w:sz="4" w:space="0" w:color="000000"/>
            </w:tcBorders>
          </w:tcPr>
          <w:p w14:paraId="01CEA0FA" w14:textId="77777777" w:rsidR="004C53A8" w:rsidRDefault="004C53A8"/>
        </w:tc>
        <w:tc>
          <w:tcPr>
            <w:tcW w:w="1384" w:type="pct"/>
            <w:tcBorders>
              <w:top w:val="single" w:sz="4" w:space="0" w:color="000000"/>
              <w:left w:val="single" w:sz="4" w:space="0" w:color="000000"/>
              <w:bottom w:val="single" w:sz="4" w:space="0" w:color="000000"/>
              <w:right w:val="single" w:sz="4" w:space="0" w:color="000000"/>
            </w:tcBorders>
          </w:tcPr>
          <w:p w14:paraId="6F024400" w14:textId="77777777" w:rsidR="004C53A8" w:rsidRDefault="004C53A8"/>
        </w:tc>
      </w:tr>
    </w:tbl>
    <w:p w14:paraId="75F17B48" w14:textId="419609AD" w:rsidR="004C53A8" w:rsidRDefault="004C53A8"/>
    <w:tbl>
      <w:tblPr>
        <w:tblStyle w:val="Grigliatabella"/>
        <w:tblW w:w="0" w:type="auto"/>
        <w:tblLook w:val="04A0" w:firstRow="1" w:lastRow="0" w:firstColumn="1" w:lastColumn="0" w:noHBand="0" w:noVBand="1"/>
      </w:tblPr>
      <w:tblGrid>
        <w:gridCol w:w="9214"/>
      </w:tblGrid>
      <w:tr w:rsidR="0062074A" w:rsidRPr="00F72B41" w14:paraId="59BD5401" w14:textId="77777777" w:rsidTr="0062074A">
        <w:tc>
          <w:tcPr>
            <w:tcW w:w="9214" w:type="dxa"/>
          </w:tcPr>
          <w:p w14:paraId="535E0A48" w14:textId="33ABC6A2" w:rsidR="0062074A" w:rsidRPr="00F72B41" w:rsidRDefault="0062074A" w:rsidP="0025573B">
            <w:pPr>
              <w:rPr>
                <w:i/>
                <w:iCs/>
              </w:rPr>
            </w:pPr>
            <w:r w:rsidRPr="00F72B41">
              <w:rPr>
                <w:rFonts w:ascii="Titillium" w:hAnsi="Titillium"/>
                <w:i/>
                <w:iCs/>
                <w:sz w:val="18"/>
                <w:szCs w:val="18"/>
              </w:rPr>
              <w:t xml:space="preserve">N.B. </w:t>
            </w:r>
            <w:r w:rsidR="0025573B" w:rsidRPr="00F72B41">
              <w:rPr>
                <w:rFonts w:ascii="Titillium" w:hAnsi="Titillium"/>
                <w:i/>
                <w:iCs/>
                <w:sz w:val="18"/>
                <w:szCs w:val="18"/>
              </w:rPr>
              <w:t xml:space="preserve">In caso si opti per la scelta di non sottoporre a gara </w:t>
            </w:r>
            <w:r w:rsidR="001C67CA">
              <w:rPr>
                <w:rFonts w:ascii="Titillium" w:hAnsi="Titillium"/>
                <w:i/>
                <w:iCs/>
                <w:sz w:val="18"/>
                <w:szCs w:val="18"/>
              </w:rPr>
              <w:t xml:space="preserve">i </w:t>
            </w:r>
            <w:r w:rsidR="0025573B" w:rsidRPr="00F72B41">
              <w:rPr>
                <w:rFonts w:ascii="Titillium" w:hAnsi="Titillium"/>
                <w:i/>
                <w:iCs/>
                <w:sz w:val="18"/>
                <w:szCs w:val="18"/>
              </w:rPr>
              <w:t xml:space="preserve">lotti di importo complessivamente inferiore a </w:t>
            </w:r>
            <w:r w:rsidRPr="00F72B41">
              <w:rPr>
                <w:rFonts w:ascii="Titillium" w:hAnsi="Titillium"/>
                <w:i/>
                <w:iCs/>
                <w:sz w:val="18"/>
                <w:szCs w:val="18"/>
              </w:rPr>
              <w:t>80.000</w:t>
            </w:r>
            <w:r w:rsidR="001C67CA">
              <w:rPr>
                <w:rFonts w:ascii="Titillium" w:hAnsi="Titillium"/>
                <w:i/>
                <w:iCs/>
                <w:sz w:val="18"/>
                <w:szCs w:val="18"/>
              </w:rPr>
              <w:t>,00</w:t>
            </w:r>
            <w:r w:rsidR="0025573B" w:rsidRPr="00F72B41">
              <w:rPr>
                <w:rFonts w:ascii="Titillium" w:hAnsi="Titillium"/>
                <w:i/>
                <w:iCs/>
                <w:sz w:val="18"/>
                <w:szCs w:val="18"/>
              </w:rPr>
              <w:t xml:space="preserve"> </w:t>
            </w:r>
            <w:r w:rsidR="00C1651C" w:rsidRPr="00F72B41">
              <w:rPr>
                <w:rFonts w:ascii="Titillium" w:hAnsi="Titillium"/>
                <w:i/>
                <w:iCs/>
                <w:sz w:val="18"/>
                <w:szCs w:val="18"/>
              </w:rPr>
              <w:t xml:space="preserve">euro </w:t>
            </w:r>
            <w:r w:rsidR="0025573B" w:rsidRPr="00F72B41">
              <w:rPr>
                <w:rFonts w:ascii="Titillium" w:hAnsi="Titillium"/>
                <w:i/>
                <w:iCs/>
                <w:sz w:val="18"/>
                <w:szCs w:val="18"/>
              </w:rPr>
              <w:t xml:space="preserve">che non superino il venti per cento dell’importo complessivo di tutti i lotti in cui è stata frazionata la gara, la stazione appaltante </w:t>
            </w:r>
            <w:r w:rsidR="001C67CA">
              <w:rPr>
                <w:rFonts w:ascii="Titillium" w:hAnsi="Titillium"/>
                <w:i/>
                <w:iCs/>
                <w:sz w:val="18"/>
                <w:szCs w:val="18"/>
              </w:rPr>
              <w:t xml:space="preserve">riporta nell’elenco </w:t>
            </w:r>
            <w:r w:rsidR="0025573B" w:rsidRPr="00F72B41">
              <w:rPr>
                <w:rFonts w:ascii="Titillium" w:hAnsi="Titillium"/>
                <w:i/>
                <w:iCs/>
                <w:sz w:val="18"/>
                <w:szCs w:val="18"/>
              </w:rPr>
              <w:t>tali lotti, specificando che non sono soggetti a gara.</w:t>
            </w:r>
          </w:p>
        </w:tc>
      </w:tr>
    </w:tbl>
    <w:p w14:paraId="33FDFB81" w14:textId="1FE2D332" w:rsidR="0062074A" w:rsidRDefault="0062074A"/>
    <w:p w14:paraId="44350945" w14:textId="52F82C88" w:rsidR="00D31D18" w:rsidRPr="003B35CA" w:rsidRDefault="00D31D18" w:rsidP="00290A8B">
      <w:pPr>
        <w:spacing w:before="60" w:after="60"/>
        <w:rPr>
          <w:rFonts w:ascii="Titillium" w:hAnsi="Titillium"/>
          <w:i/>
          <w:iCs/>
          <w:sz w:val="18"/>
          <w:szCs w:val="18"/>
        </w:rPr>
      </w:pPr>
      <w:r w:rsidRPr="003B35CA">
        <w:rPr>
          <w:rFonts w:ascii="Titillium" w:hAnsi="Titillium"/>
          <w:sz w:val="18"/>
          <w:szCs w:val="18"/>
        </w:rPr>
        <w:t>I lotti sono stati individuati utilizzando i seguenti criteri</w:t>
      </w:r>
      <w:r>
        <w:rPr>
          <w:rFonts w:ascii="Titillium" w:hAnsi="Titillium"/>
          <w:i/>
          <w:iCs/>
          <w:sz w:val="18"/>
          <w:szCs w:val="18"/>
        </w:rPr>
        <w:t xml:space="preserve"> ….</w:t>
      </w:r>
      <w:r w:rsidRPr="003B35CA">
        <w:rPr>
          <w:rFonts w:ascii="Titillium" w:hAnsi="Titillium"/>
          <w:i/>
          <w:iCs/>
          <w:sz w:val="18"/>
          <w:szCs w:val="18"/>
        </w:rPr>
        <w:t xml:space="preserve"> </w:t>
      </w:r>
      <w:r>
        <w:rPr>
          <w:rFonts w:ascii="Titillium" w:hAnsi="Titillium"/>
          <w:i/>
          <w:iCs/>
          <w:sz w:val="18"/>
          <w:szCs w:val="18"/>
        </w:rPr>
        <w:t xml:space="preserve"> </w:t>
      </w:r>
      <w:r w:rsidRPr="003B35CA">
        <w:rPr>
          <w:rFonts w:ascii="Titillium" w:hAnsi="Titillium"/>
          <w:i/>
          <w:iCs/>
          <w:sz w:val="18"/>
          <w:szCs w:val="18"/>
        </w:rPr>
        <w:t>[Indicare i criteri di natura qualitativa o quantitativa concretamente seguiti nella suddivisione in lotti</w:t>
      </w:r>
      <w:r w:rsidRPr="003E4EEF">
        <w:rPr>
          <w:rFonts w:ascii="Titillium" w:hAnsi="Titillium"/>
          <w:i/>
          <w:iCs/>
          <w:sz w:val="18"/>
          <w:szCs w:val="18"/>
        </w:rPr>
        <w:t xml:space="preserve">, </w:t>
      </w:r>
      <w:r w:rsidR="00290A8B" w:rsidRPr="003E4EEF">
        <w:rPr>
          <w:rFonts w:ascii="Titillium" w:hAnsi="Titillium"/>
          <w:i/>
          <w:iCs/>
          <w:sz w:val="18"/>
          <w:szCs w:val="18"/>
        </w:rPr>
        <w:t xml:space="preserve">al fine di garantire l’effettiva possibilità di partecipazione da parte </w:t>
      </w:r>
      <w:proofErr w:type="gramStart"/>
      <w:r w:rsidR="00290A8B" w:rsidRPr="003E4EEF">
        <w:rPr>
          <w:rFonts w:ascii="Titillium" w:hAnsi="Titillium"/>
          <w:i/>
          <w:iCs/>
          <w:sz w:val="18"/>
          <w:szCs w:val="18"/>
        </w:rPr>
        <w:t>delle</w:t>
      </w:r>
      <w:r w:rsidR="00EE2F42" w:rsidRPr="003E4EEF">
        <w:rPr>
          <w:rFonts w:ascii="Titillium" w:hAnsi="Titillium"/>
          <w:i/>
          <w:iCs/>
          <w:sz w:val="18"/>
          <w:szCs w:val="18"/>
        </w:rPr>
        <w:t xml:space="preserve"> </w:t>
      </w:r>
      <w:r w:rsidR="00290A8B" w:rsidRPr="003E4EEF">
        <w:rPr>
          <w:rFonts w:ascii="Titillium" w:hAnsi="Titillium"/>
          <w:i/>
          <w:iCs/>
          <w:sz w:val="18"/>
          <w:szCs w:val="18"/>
        </w:rPr>
        <w:t>microimprese</w:t>
      </w:r>
      <w:proofErr w:type="gramEnd"/>
      <w:r w:rsidR="00290A8B" w:rsidRPr="003E4EEF">
        <w:rPr>
          <w:rFonts w:ascii="Titillium" w:hAnsi="Titillium"/>
          <w:i/>
          <w:iCs/>
          <w:sz w:val="18"/>
          <w:szCs w:val="18"/>
        </w:rPr>
        <w:t>, piccole e medie imprese]</w:t>
      </w:r>
    </w:p>
    <w:p w14:paraId="2CC70D83" w14:textId="77777777" w:rsidR="00D31D18" w:rsidRDefault="00D31D18">
      <w:pPr>
        <w:spacing w:before="60" w:after="60"/>
        <w:rPr>
          <w:rFonts w:ascii="Titillium" w:hAnsi="Titillium"/>
          <w:sz w:val="18"/>
          <w:szCs w:val="18"/>
        </w:rPr>
      </w:pPr>
    </w:p>
    <w:p w14:paraId="1C8B3201" w14:textId="55C9762A" w:rsidR="004C53A8" w:rsidRDefault="00870286">
      <w:pPr>
        <w:spacing w:before="60" w:after="60"/>
        <w:rPr>
          <w:rFonts w:ascii="Titillium" w:hAnsi="Titillium"/>
          <w:sz w:val="18"/>
          <w:szCs w:val="18"/>
        </w:rPr>
      </w:pPr>
      <w:r>
        <w:rPr>
          <w:rFonts w:ascii="Titillium" w:hAnsi="Titillium"/>
          <w:sz w:val="18"/>
          <w:szCs w:val="18"/>
        </w:rPr>
        <w:t>Il dettaglio delle prestazioni oggetto di ogni lotto è il seguente:</w:t>
      </w:r>
    </w:p>
    <w:p w14:paraId="32CD10D0" w14:textId="77777777" w:rsidR="003117C4" w:rsidRDefault="00870286" w:rsidP="003117C4">
      <w:pPr>
        <w:spacing w:before="60" w:after="60"/>
        <w:rPr>
          <w:rFonts w:ascii="Titillium" w:hAnsi="Titillium"/>
          <w:i/>
          <w:sz w:val="18"/>
          <w:szCs w:val="18"/>
        </w:rPr>
      </w:pPr>
      <w:r>
        <w:rPr>
          <w:rFonts w:ascii="Titillium" w:hAnsi="Titillium"/>
          <w:i/>
          <w:sz w:val="18"/>
          <w:szCs w:val="18"/>
        </w:rPr>
        <w:t>[Ripetere per ogni lotto fino al periodo relativo ai prezzi di riferimento pubblicati da ANAC]</w:t>
      </w:r>
    </w:p>
    <w:p w14:paraId="4EA97EBE" w14:textId="77777777" w:rsidR="00D31D18" w:rsidRDefault="00D31D18">
      <w:pPr>
        <w:spacing w:before="60" w:after="60"/>
        <w:rPr>
          <w:rFonts w:ascii="Titillium" w:hAnsi="Titillium"/>
          <w:iCs/>
          <w:sz w:val="18"/>
          <w:szCs w:val="18"/>
        </w:rPr>
      </w:pPr>
    </w:p>
    <w:p w14:paraId="549DC59E" w14:textId="2A13A4E4" w:rsidR="004C53A8" w:rsidRDefault="00870286">
      <w:pPr>
        <w:spacing w:before="60" w:after="60"/>
        <w:rPr>
          <w:rFonts w:ascii="Titillium" w:hAnsi="Titillium"/>
          <w:i/>
          <w:sz w:val="18"/>
          <w:szCs w:val="18"/>
        </w:rPr>
      </w:pPr>
      <w:r>
        <w:rPr>
          <w:rFonts w:ascii="Titillium" w:hAnsi="Titillium"/>
          <w:b/>
          <w:sz w:val="18"/>
          <w:szCs w:val="18"/>
        </w:rPr>
        <w:t xml:space="preserve">Lotto n. </w:t>
      </w:r>
      <w:r>
        <w:rPr>
          <w:rFonts w:ascii="Titillium" w:hAnsi="Titillium"/>
          <w:i/>
          <w:sz w:val="18"/>
          <w:szCs w:val="18"/>
        </w:rPr>
        <w:t>...</w:t>
      </w:r>
      <w:r>
        <w:rPr>
          <w:rFonts w:ascii="Titillium" w:hAnsi="Titillium"/>
          <w:b/>
          <w:sz w:val="18"/>
          <w:szCs w:val="18"/>
        </w:rPr>
        <w:t xml:space="preserve"> </w:t>
      </w:r>
      <w:r>
        <w:rPr>
          <w:rFonts w:ascii="Titillium" w:hAnsi="Titillium"/>
          <w:i/>
          <w:sz w:val="18"/>
          <w:szCs w:val="18"/>
        </w:rPr>
        <w:t xml:space="preserve">[indicare il numero di lotto] </w:t>
      </w:r>
      <w:r>
        <w:rPr>
          <w:rFonts w:ascii="Titillium" w:hAnsi="Titillium"/>
          <w:b/>
          <w:i/>
          <w:sz w:val="18"/>
          <w:szCs w:val="18"/>
        </w:rPr>
        <w:t xml:space="preserve">CIG </w:t>
      </w:r>
      <w:r>
        <w:rPr>
          <w:rFonts w:ascii="Titillium" w:hAnsi="Titillium"/>
          <w:i/>
          <w:sz w:val="18"/>
          <w:szCs w:val="18"/>
        </w:rPr>
        <w:t xml:space="preserve">… </w:t>
      </w:r>
    </w:p>
    <w:p w14:paraId="7BAD4528" w14:textId="29C088BA" w:rsidR="00D31D18" w:rsidRDefault="00D31D18" w:rsidP="00D31D18">
      <w:pPr>
        <w:spacing w:before="60" w:after="60"/>
        <w:rPr>
          <w:rFonts w:ascii="Titillium" w:hAnsi="Titillium"/>
          <w:sz w:val="18"/>
        </w:rPr>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527049">
        <w:rPr>
          <w:rFonts w:ascii="Titillium" w:hAnsi="Titillium"/>
          <w:noProof/>
          <w:sz w:val="18"/>
        </w:rPr>
        <w:t>2</w:t>
      </w:r>
      <w:r>
        <w:rPr>
          <w:rFonts w:ascii="Titillium" w:hAnsi="Titillium"/>
          <w:sz w:val="18"/>
        </w:rPr>
        <w:fldChar w:fldCharType="end"/>
      </w:r>
    </w:p>
    <w:tbl>
      <w:tblPr>
        <w:tblW w:w="5000" w:type="pct"/>
        <w:tblLook w:val="04A0" w:firstRow="1" w:lastRow="0" w:firstColumn="1" w:lastColumn="0" w:noHBand="0" w:noVBand="1"/>
      </w:tblPr>
      <w:tblGrid>
        <w:gridCol w:w="546"/>
        <w:gridCol w:w="4242"/>
        <w:gridCol w:w="1166"/>
        <w:gridCol w:w="1703"/>
        <w:gridCol w:w="1557"/>
      </w:tblGrid>
      <w:tr w:rsidR="00C73237" w14:paraId="58C0B012" w14:textId="77777777" w:rsidTr="00CE3EE4">
        <w:tc>
          <w:tcPr>
            <w:tcW w:w="29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E5AEB74" w14:textId="77777777" w:rsidR="00C73237" w:rsidRDefault="00C73237" w:rsidP="00DC299E">
            <w:pPr>
              <w:spacing w:before="60" w:after="60"/>
              <w:jc w:val="center"/>
              <w:rPr>
                <w:rFonts w:ascii="Titillium" w:hAnsi="Titillium"/>
                <w:sz w:val="18"/>
                <w:szCs w:val="18"/>
              </w:rPr>
            </w:pPr>
            <w:r>
              <w:rPr>
                <w:rFonts w:ascii="Titillium" w:hAnsi="Titillium"/>
                <w:sz w:val="18"/>
                <w:szCs w:val="18"/>
              </w:rPr>
              <w:t>n.</w:t>
            </w:r>
          </w:p>
        </w:tc>
        <w:tc>
          <w:tcPr>
            <w:tcW w:w="230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107C6E4" w14:textId="77777777" w:rsidR="00C73237" w:rsidRDefault="00C73237" w:rsidP="00DC299E">
            <w:pPr>
              <w:spacing w:before="60" w:after="60"/>
              <w:jc w:val="center"/>
              <w:rPr>
                <w:rFonts w:ascii="Titillium" w:hAnsi="Titillium"/>
                <w:sz w:val="18"/>
                <w:szCs w:val="18"/>
              </w:rPr>
            </w:pPr>
            <w:r>
              <w:rPr>
                <w:rFonts w:ascii="Titillium" w:hAnsi="Titillium"/>
                <w:sz w:val="18"/>
                <w:szCs w:val="18"/>
              </w:rPr>
              <w:t>Descrizione servizi/beni/</w:t>
            </w:r>
            <w:r w:rsidRPr="00DC299E">
              <w:rPr>
                <w:rFonts w:ascii="Titillium" w:hAnsi="Titillium"/>
                <w:sz w:val="18"/>
                <w:szCs w:val="18"/>
              </w:rPr>
              <w:t>lavori</w:t>
            </w:r>
          </w:p>
        </w:tc>
        <w:tc>
          <w:tcPr>
            <w:tcW w:w="6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65D526" w14:textId="77777777" w:rsidR="00C73237" w:rsidRDefault="00C73237" w:rsidP="00DC299E">
            <w:pPr>
              <w:spacing w:before="60" w:after="60"/>
              <w:jc w:val="center"/>
              <w:rPr>
                <w:rFonts w:ascii="Titillium" w:hAnsi="Titillium"/>
                <w:sz w:val="18"/>
                <w:szCs w:val="18"/>
              </w:rPr>
            </w:pPr>
            <w:r>
              <w:rPr>
                <w:rFonts w:ascii="Titillium" w:hAnsi="Titillium"/>
                <w:sz w:val="18"/>
                <w:szCs w:val="18"/>
              </w:rPr>
              <w:t>CPV</w:t>
            </w:r>
          </w:p>
        </w:tc>
        <w:tc>
          <w:tcPr>
            <w:tcW w:w="9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AECEC0" w14:textId="77777777" w:rsidR="00C73237" w:rsidRPr="009564C4" w:rsidRDefault="00C73237" w:rsidP="00DC299E">
            <w:pPr>
              <w:spacing w:before="60" w:after="60"/>
              <w:jc w:val="center"/>
              <w:rPr>
                <w:rFonts w:ascii="Titillium" w:hAnsi="Titillium"/>
                <w:sz w:val="18"/>
                <w:szCs w:val="18"/>
              </w:rPr>
            </w:pPr>
            <w:r w:rsidRPr="009564C4">
              <w:rPr>
                <w:rFonts w:ascii="Titillium" w:hAnsi="Titillium"/>
                <w:sz w:val="18"/>
                <w:szCs w:val="18"/>
              </w:rPr>
              <w:t>P (principale)</w:t>
            </w:r>
          </w:p>
          <w:p w14:paraId="483E66B7" w14:textId="77777777" w:rsidR="00C73237" w:rsidRPr="009564C4" w:rsidRDefault="00C73237" w:rsidP="00DC299E">
            <w:pPr>
              <w:spacing w:before="60" w:after="60"/>
              <w:jc w:val="center"/>
              <w:rPr>
                <w:rFonts w:ascii="Titillium" w:hAnsi="Titillium"/>
                <w:sz w:val="18"/>
                <w:szCs w:val="18"/>
              </w:rPr>
            </w:pPr>
            <w:r w:rsidRPr="009564C4">
              <w:rPr>
                <w:rFonts w:ascii="Titillium" w:hAnsi="Titillium"/>
                <w:sz w:val="18"/>
                <w:szCs w:val="18"/>
              </w:rPr>
              <w:t>S (secondaria)</w:t>
            </w:r>
          </w:p>
        </w:tc>
        <w:tc>
          <w:tcPr>
            <w:tcW w:w="8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F75D3D" w14:textId="77777777" w:rsidR="00C73237" w:rsidRPr="009564C4" w:rsidRDefault="00C73237" w:rsidP="00DC299E">
            <w:pPr>
              <w:spacing w:before="60" w:after="60"/>
              <w:jc w:val="center"/>
              <w:rPr>
                <w:rFonts w:ascii="Titillium" w:hAnsi="Titillium"/>
                <w:sz w:val="18"/>
                <w:szCs w:val="18"/>
              </w:rPr>
            </w:pPr>
            <w:r w:rsidRPr="009564C4">
              <w:rPr>
                <w:rFonts w:ascii="Titillium" w:hAnsi="Titillium"/>
                <w:sz w:val="18"/>
                <w:szCs w:val="18"/>
              </w:rPr>
              <w:t>Importo</w:t>
            </w:r>
          </w:p>
        </w:tc>
      </w:tr>
      <w:tr w:rsidR="00C73237" w14:paraId="418CE466" w14:textId="77777777" w:rsidTr="00CE3EE4">
        <w:tc>
          <w:tcPr>
            <w:tcW w:w="296" w:type="pct"/>
            <w:tcBorders>
              <w:top w:val="single" w:sz="4" w:space="0" w:color="000000"/>
              <w:left w:val="single" w:sz="4" w:space="0" w:color="000000"/>
              <w:bottom w:val="single" w:sz="4" w:space="0" w:color="000000"/>
              <w:right w:val="single" w:sz="4" w:space="0" w:color="000000"/>
            </w:tcBorders>
            <w:vAlign w:val="center"/>
          </w:tcPr>
          <w:p w14:paraId="732F843E" w14:textId="77777777" w:rsidR="00C73237" w:rsidRDefault="00C73237" w:rsidP="00DC299E">
            <w:pPr>
              <w:spacing w:before="60" w:after="60"/>
              <w:jc w:val="center"/>
              <w:rPr>
                <w:rFonts w:ascii="Titillium" w:hAnsi="Titillium"/>
                <w:sz w:val="18"/>
                <w:szCs w:val="18"/>
              </w:rPr>
            </w:pPr>
            <w:r>
              <w:rPr>
                <w:rFonts w:ascii="Titillium" w:hAnsi="Titillium"/>
                <w:sz w:val="18"/>
                <w:szCs w:val="18"/>
              </w:rPr>
              <w:t>1</w:t>
            </w:r>
          </w:p>
        </w:tc>
        <w:tc>
          <w:tcPr>
            <w:tcW w:w="2302" w:type="pct"/>
            <w:tcBorders>
              <w:top w:val="single" w:sz="4" w:space="0" w:color="000000"/>
              <w:left w:val="single" w:sz="4" w:space="0" w:color="000000"/>
              <w:bottom w:val="single" w:sz="4" w:space="0" w:color="000000"/>
              <w:right w:val="single" w:sz="4" w:space="0" w:color="000000"/>
            </w:tcBorders>
            <w:vAlign w:val="center"/>
          </w:tcPr>
          <w:p w14:paraId="00F13956" w14:textId="77777777" w:rsidR="00C73237" w:rsidRDefault="00C73237" w:rsidP="00DC299E">
            <w:pPr>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413140A1" w14:textId="77777777" w:rsidR="00C73237" w:rsidRDefault="00C73237" w:rsidP="00DC299E">
            <w:pPr>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198936A9" w14:textId="77777777" w:rsidR="00C73237" w:rsidRDefault="00C73237" w:rsidP="00DC299E">
            <w:pPr>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4002ABFD" w14:textId="77777777" w:rsidR="00C73237" w:rsidRDefault="00C73237" w:rsidP="00DC299E">
            <w:pPr>
              <w:spacing w:before="60" w:after="60"/>
              <w:jc w:val="center"/>
              <w:rPr>
                <w:rFonts w:ascii="Titillium" w:hAnsi="Titillium"/>
                <w:sz w:val="18"/>
                <w:szCs w:val="18"/>
              </w:rPr>
            </w:pPr>
          </w:p>
        </w:tc>
      </w:tr>
      <w:tr w:rsidR="00C73237" w14:paraId="6C59B064" w14:textId="77777777" w:rsidTr="00CE3EE4">
        <w:tc>
          <w:tcPr>
            <w:tcW w:w="296" w:type="pct"/>
            <w:tcBorders>
              <w:top w:val="single" w:sz="4" w:space="0" w:color="000000"/>
              <w:left w:val="single" w:sz="4" w:space="0" w:color="000000"/>
              <w:bottom w:val="single" w:sz="4" w:space="0" w:color="000000"/>
              <w:right w:val="single" w:sz="4" w:space="0" w:color="000000"/>
            </w:tcBorders>
            <w:vAlign w:val="center"/>
          </w:tcPr>
          <w:p w14:paraId="5522EE93" w14:textId="77777777" w:rsidR="00C73237" w:rsidRDefault="00C73237" w:rsidP="00DC299E">
            <w:pPr>
              <w:spacing w:before="60" w:after="60"/>
              <w:jc w:val="center"/>
              <w:rPr>
                <w:rFonts w:ascii="Titillium" w:hAnsi="Titillium"/>
                <w:sz w:val="18"/>
                <w:szCs w:val="18"/>
              </w:rPr>
            </w:pPr>
            <w:r>
              <w:rPr>
                <w:rFonts w:ascii="Titillium" w:hAnsi="Titillium"/>
                <w:sz w:val="18"/>
                <w:szCs w:val="18"/>
              </w:rPr>
              <w:t>2</w:t>
            </w:r>
          </w:p>
        </w:tc>
        <w:tc>
          <w:tcPr>
            <w:tcW w:w="2302" w:type="pct"/>
            <w:tcBorders>
              <w:top w:val="single" w:sz="4" w:space="0" w:color="000000"/>
              <w:left w:val="single" w:sz="4" w:space="0" w:color="000000"/>
              <w:bottom w:val="single" w:sz="4" w:space="0" w:color="000000"/>
              <w:right w:val="single" w:sz="4" w:space="0" w:color="000000"/>
            </w:tcBorders>
            <w:vAlign w:val="center"/>
          </w:tcPr>
          <w:p w14:paraId="38276F38" w14:textId="77777777" w:rsidR="00C73237" w:rsidRDefault="00C73237" w:rsidP="00DC299E">
            <w:pPr>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5BE28DCF" w14:textId="77777777" w:rsidR="00C73237" w:rsidRDefault="00C73237" w:rsidP="00DC299E">
            <w:pPr>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1D672F91" w14:textId="77777777" w:rsidR="00C73237" w:rsidRDefault="00C73237" w:rsidP="00DC299E">
            <w:pPr>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1A98A0B3" w14:textId="77777777" w:rsidR="00C73237" w:rsidRDefault="00C73237" w:rsidP="00DC299E">
            <w:pPr>
              <w:spacing w:before="60" w:after="60"/>
              <w:jc w:val="center"/>
              <w:rPr>
                <w:rFonts w:ascii="Titillium" w:hAnsi="Titillium"/>
                <w:sz w:val="18"/>
                <w:szCs w:val="18"/>
              </w:rPr>
            </w:pPr>
          </w:p>
        </w:tc>
      </w:tr>
      <w:tr w:rsidR="00C73237" w14:paraId="68D9BDD7" w14:textId="77777777" w:rsidTr="00CE3EE4">
        <w:tc>
          <w:tcPr>
            <w:tcW w:w="296" w:type="pct"/>
            <w:tcBorders>
              <w:top w:val="single" w:sz="4" w:space="0" w:color="000000"/>
              <w:left w:val="single" w:sz="4" w:space="0" w:color="000000"/>
              <w:bottom w:val="single" w:sz="4" w:space="0" w:color="000000"/>
              <w:right w:val="single" w:sz="4" w:space="0" w:color="000000"/>
            </w:tcBorders>
            <w:vAlign w:val="center"/>
          </w:tcPr>
          <w:p w14:paraId="47D0E377" w14:textId="77777777" w:rsidR="00C73237" w:rsidRDefault="00C73237" w:rsidP="00DC299E">
            <w:pPr>
              <w:spacing w:before="60" w:after="60"/>
              <w:jc w:val="center"/>
              <w:rPr>
                <w:rFonts w:ascii="Titillium" w:hAnsi="Titillium"/>
                <w:sz w:val="18"/>
                <w:szCs w:val="18"/>
              </w:rPr>
            </w:pPr>
            <w:r>
              <w:rPr>
                <w:rFonts w:ascii="Titillium" w:hAnsi="Titillium"/>
                <w:sz w:val="18"/>
                <w:szCs w:val="18"/>
              </w:rPr>
              <w:t>3</w:t>
            </w:r>
          </w:p>
        </w:tc>
        <w:tc>
          <w:tcPr>
            <w:tcW w:w="2302" w:type="pct"/>
            <w:tcBorders>
              <w:top w:val="single" w:sz="4" w:space="0" w:color="000000"/>
              <w:left w:val="single" w:sz="4" w:space="0" w:color="000000"/>
              <w:bottom w:val="single" w:sz="4" w:space="0" w:color="000000"/>
              <w:right w:val="single" w:sz="4" w:space="0" w:color="000000"/>
            </w:tcBorders>
            <w:vAlign w:val="center"/>
          </w:tcPr>
          <w:p w14:paraId="33B31EE1" w14:textId="77777777" w:rsidR="00C73237" w:rsidRDefault="00C73237" w:rsidP="00DC299E">
            <w:pPr>
              <w:spacing w:before="60" w:after="60"/>
              <w:jc w:val="center"/>
              <w:rPr>
                <w:rFonts w:ascii="Titillium" w:hAnsi="Titillium"/>
                <w:sz w:val="18"/>
                <w:szCs w:val="18"/>
              </w:rPr>
            </w:pPr>
          </w:p>
        </w:tc>
        <w:tc>
          <w:tcPr>
            <w:tcW w:w="633" w:type="pct"/>
            <w:tcBorders>
              <w:top w:val="single" w:sz="4" w:space="0" w:color="000000"/>
              <w:left w:val="single" w:sz="4" w:space="0" w:color="000000"/>
              <w:bottom w:val="single" w:sz="4" w:space="0" w:color="000000"/>
              <w:right w:val="single" w:sz="4" w:space="0" w:color="000000"/>
            </w:tcBorders>
            <w:vAlign w:val="center"/>
          </w:tcPr>
          <w:p w14:paraId="79B45E9F" w14:textId="77777777" w:rsidR="00C73237" w:rsidRDefault="00C73237" w:rsidP="00DC299E">
            <w:pPr>
              <w:spacing w:before="60" w:after="60"/>
              <w:jc w:val="center"/>
              <w:rPr>
                <w:rFonts w:ascii="Titillium" w:hAnsi="Titillium"/>
                <w:sz w:val="18"/>
                <w:szCs w:val="18"/>
              </w:rPr>
            </w:pPr>
          </w:p>
        </w:tc>
        <w:tc>
          <w:tcPr>
            <w:tcW w:w="924" w:type="pct"/>
            <w:tcBorders>
              <w:top w:val="single" w:sz="4" w:space="0" w:color="000000"/>
              <w:left w:val="single" w:sz="4" w:space="0" w:color="000000"/>
              <w:bottom w:val="single" w:sz="4" w:space="0" w:color="000000"/>
              <w:right w:val="single" w:sz="4" w:space="0" w:color="000000"/>
            </w:tcBorders>
            <w:vAlign w:val="center"/>
          </w:tcPr>
          <w:p w14:paraId="179F0581" w14:textId="77777777" w:rsidR="00C73237" w:rsidRDefault="00C73237" w:rsidP="00DC299E">
            <w:pPr>
              <w:spacing w:before="60" w:after="60"/>
              <w:jc w:val="center"/>
              <w:rPr>
                <w:rFonts w:ascii="Titillium" w:hAnsi="Titillium"/>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4AA2F690" w14:textId="77777777" w:rsidR="00C73237" w:rsidRDefault="00C73237" w:rsidP="00DC299E">
            <w:pPr>
              <w:spacing w:before="60" w:after="60"/>
              <w:jc w:val="center"/>
              <w:rPr>
                <w:rFonts w:ascii="Titillium" w:hAnsi="Titillium"/>
                <w:sz w:val="18"/>
                <w:szCs w:val="18"/>
              </w:rPr>
            </w:pPr>
          </w:p>
        </w:tc>
      </w:tr>
      <w:tr w:rsidR="00C73237" w14:paraId="2C21D9A3" w14:textId="77777777" w:rsidTr="00CE3EE4">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0454BE8C" w14:textId="77777777" w:rsidR="00C73237" w:rsidRDefault="00C73237" w:rsidP="00CE3EE4">
            <w:pPr>
              <w:pStyle w:val="Paragrafoelenco"/>
              <w:numPr>
                <w:ilvl w:val="0"/>
                <w:numId w:val="80"/>
              </w:numPr>
              <w:spacing w:before="60" w:after="60"/>
              <w:ind w:left="3261" w:hanging="284"/>
              <w:jc w:val="left"/>
            </w:pPr>
            <w:r>
              <w:rPr>
                <w:rFonts w:ascii="Titillium" w:hAnsi="Titillium"/>
                <w:b/>
                <w:sz w:val="18"/>
                <w:szCs w:val="18"/>
              </w:rPr>
              <w:t>Importo a base di gara</w:t>
            </w:r>
          </w:p>
        </w:tc>
        <w:tc>
          <w:tcPr>
            <w:tcW w:w="845" w:type="pct"/>
            <w:tcBorders>
              <w:top w:val="single" w:sz="4" w:space="0" w:color="000000"/>
              <w:left w:val="single" w:sz="4" w:space="0" w:color="000000"/>
              <w:bottom w:val="single" w:sz="4" w:space="0" w:color="000000"/>
              <w:right w:val="single" w:sz="4" w:space="0" w:color="000000"/>
            </w:tcBorders>
            <w:vAlign w:val="center"/>
          </w:tcPr>
          <w:p w14:paraId="421EA161" w14:textId="77777777" w:rsidR="00C73237" w:rsidRDefault="00C73237" w:rsidP="00DC299E">
            <w:pPr>
              <w:spacing w:before="60" w:after="60"/>
              <w:jc w:val="center"/>
              <w:rPr>
                <w:rFonts w:ascii="Titillium" w:hAnsi="Titillium"/>
                <w:sz w:val="18"/>
                <w:szCs w:val="18"/>
              </w:rPr>
            </w:pPr>
          </w:p>
        </w:tc>
      </w:tr>
      <w:tr w:rsidR="00C73237" w14:paraId="2EBF4A8E" w14:textId="77777777" w:rsidTr="00CE3EE4">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29A6FC10" w14:textId="77777777" w:rsidR="00C73237" w:rsidRDefault="00C73237" w:rsidP="00C73237">
            <w:pPr>
              <w:pStyle w:val="Paragrafoelenco"/>
              <w:numPr>
                <w:ilvl w:val="0"/>
                <w:numId w:val="80"/>
              </w:numPr>
              <w:spacing w:before="60" w:after="60"/>
              <w:ind w:left="3232" w:hanging="284"/>
              <w:jc w:val="left"/>
            </w:pPr>
            <w:r>
              <w:rPr>
                <w:rFonts w:ascii="Titillium" w:hAnsi="Titillium"/>
                <w:b/>
                <w:sz w:val="18"/>
                <w:szCs w:val="18"/>
              </w:rPr>
              <w:t xml:space="preserve">Oneri per la sicurezza da interferenze non soggetti a ribasso </w:t>
            </w:r>
            <w:r>
              <w:rPr>
                <w:rFonts w:ascii="Titillium" w:hAnsi="Titillium"/>
                <w:i/>
                <w:sz w:val="18"/>
                <w:szCs w:val="18"/>
              </w:rPr>
              <w:t>[indicare € 0,00 in caso di assenza di rischi]</w:t>
            </w:r>
          </w:p>
        </w:tc>
        <w:tc>
          <w:tcPr>
            <w:tcW w:w="845" w:type="pct"/>
            <w:tcBorders>
              <w:top w:val="single" w:sz="4" w:space="0" w:color="000000"/>
              <w:left w:val="single" w:sz="4" w:space="0" w:color="000000"/>
              <w:bottom w:val="single" w:sz="4" w:space="0" w:color="000000"/>
              <w:right w:val="single" w:sz="4" w:space="0" w:color="000000"/>
            </w:tcBorders>
            <w:vAlign w:val="center"/>
          </w:tcPr>
          <w:p w14:paraId="0620ADFC" w14:textId="77777777" w:rsidR="00C73237" w:rsidRDefault="00C73237" w:rsidP="00DC299E">
            <w:pPr>
              <w:spacing w:before="60" w:after="60"/>
              <w:jc w:val="center"/>
              <w:rPr>
                <w:rFonts w:ascii="Titillium" w:hAnsi="Titillium"/>
                <w:sz w:val="18"/>
                <w:szCs w:val="18"/>
              </w:rPr>
            </w:pPr>
          </w:p>
        </w:tc>
      </w:tr>
      <w:tr w:rsidR="00C73237" w:rsidRPr="00E42CEB" w14:paraId="029D9CEB" w14:textId="77777777" w:rsidTr="00CE3EE4">
        <w:tc>
          <w:tcPr>
            <w:tcW w:w="4155" w:type="pct"/>
            <w:gridSpan w:val="4"/>
            <w:tcBorders>
              <w:top w:val="single" w:sz="4" w:space="0" w:color="000000"/>
              <w:left w:val="single" w:sz="4" w:space="0" w:color="000000"/>
              <w:bottom w:val="single" w:sz="4" w:space="0" w:color="000000"/>
              <w:right w:val="single" w:sz="4" w:space="0" w:color="000000"/>
            </w:tcBorders>
            <w:vAlign w:val="center"/>
          </w:tcPr>
          <w:p w14:paraId="7B9BF14A" w14:textId="77777777" w:rsidR="00C73237" w:rsidRPr="00E42CEB" w:rsidRDefault="00C73237" w:rsidP="00DC299E">
            <w:pPr>
              <w:pStyle w:val="Paragrafoelenco"/>
              <w:spacing w:before="60" w:after="60"/>
              <w:ind w:left="2807" w:hanging="284"/>
              <w:jc w:val="left"/>
              <w:rPr>
                <w:rFonts w:ascii="Titillium" w:hAnsi="Titillium"/>
                <w:b/>
                <w:sz w:val="18"/>
                <w:szCs w:val="18"/>
              </w:rPr>
            </w:pPr>
            <w:r w:rsidRPr="00E42CEB">
              <w:rPr>
                <w:rFonts w:ascii="Titillium" w:hAnsi="Titillium"/>
                <w:b/>
                <w:sz w:val="18"/>
                <w:szCs w:val="18"/>
              </w:rPr>
              <w:lastRenderedPageBreak/>
              <w:t>A)</w:t>
            </w:r>
            <w:r>
              <w:rPr>
                <w:rFonts w:ascii="Titillium" w:hAnsi="Titillium"/>
                <w:b/>
                <w:sz w:val="18"/>
                <w:szCs w:val="18"/>
              </w:rPr>
              <w:t xml:space="preserve"> </w:t>
            </w:r>
            <w:r w:rsidRPr="00E42CEB">
              <w:rPr>
                <w:rFonts w:ascii="Titillium" w:hAnsi="Titillium"/>
                <w:b/>
                <w:sz w:val="18"/>
                <w:szCs w:val="18"/>
              </w:rPr>
              <w:t>+ B) Importo complessivo</w:t>
            </w:r>
          </w:p>
        </w:tc>
        <w:tc>
          <w:tcPr>
            <w:tcW w:w="845" w:type="pct"/>
            <w:tcBorders>
              <w:top w:val="single" w:sz="4" w:space="0" w:color="000000"/>
              <w:left w:val="single" w:sz="4" w:space="0" w:color="000000"/>
              <w:bottom w:val="single" w:sz="4" w:space="0" w:color="000000"/>
              <w:right w:val="single" w:sz="4" w:space="0" w:color="000000"/>
            </w:tcBorders>
            <w:vAlign w:val="center"/>
          </w:tcPr>
          <w:p w14:paraId="28849D91" w14:textId="77777777" w:rsidR="00C73237" w:rsidRPr="00E42CEB" w:rsidRDefault="00C73237" w:rsidP="00C73237">
            <w:pPr>
              <w:pStyle w:val="Paragrafoelenco"/>
              <w:numPr>
                <w:ilvl w:val="0"/>
                <w:numId w:val="80"/>
              </w:numPr>
              <w:spacing w:before="60" w:after="60"/>
              <w:ind w:left="2835"/>
              <w:jc w:val="left"/>
              <w:rPr>
                <w:rFonts w:ascii="Titillium" w:hAnsi="Titillium"/>
                <w:b/>
                <w:sz w:val="18"/>
                <w:szCs w:val="18"/>
              </w:rPr>
            </w:pPr>
          </w:p>
        </w:tc>
      </w:tr>
    </w:tbl>
    <w:p w14:paraId="0CDEEEFF" w14:textId="77777777" w:rsidR="00A83638" w:rsidRDefault="00A83638" w:rsidP="00D31D18">
      <w:pPr>
        <w:spacing w:before="60" w:after="60"/>
        <w:rPr>
          <w:rFonts w:ascii="Titillium" w:hAnsi="Titillium"/>
          <w:sz w:val="18"/>
          <w:szCs w:val="18"/>
        </w:rPr>
      </w:pPr>
    </w:p>
    <w:p w14:paraId="563603C0" w14:textId="66D563A9" w:rsidR="00350C24" w:rsidRDefault="00A83638" w:rsidP="00A83638">
      <w:pPr>
        <w:spacing w:before="60" w:after="60"/>
        <w:rPr>
          <w:rFonts w:ascii="Titillium" w:hAnsi="Titillium"/>
          <w:b/>
          <w:i/>
          <w:sz w:val="18"/>
          <w:szCs w:val="18"/>
        </w:rPr>
      </w:pPr>
      <w:r w:rsidRPr="003117C4">
        <w:rPr>
          <w:rFonts w:ascii="Titillium" w:hAnsi="Titillium"/>
          <w:b/>
          <w:i/>
          <w:sz w:val="18"/>
          <w:szCs w:val="18"/>
        </w:rPr>
        <w:t>[In caso di appalto di servizi o appalto misto di servizi e forniture</w:t>
      </w:r>
      <w:r w:rsidR="00350C24">
        <w:rPr>
          <w:rFonts w:ascii="Titillium" w:hAnsi="Titillium"/>
          <w:b/>
          <w:i/>
          <w:sz w:val="18"/>
          <w:szCs w:val="18"/>
        </w:rPr>
        <w:t xml:space="preserve"> riportare il testo seguente fino all’indicazione del contratto collettivo compreso.</w:t>
      </w:r>
      <w:r>
        <w:rPr>
          <w:rFonts w:ascii="Titillium" w:hAnsi="Titillium"/>
          <w:b/>
          <w:i/>
          <w:sz w:val="18"/>
          <w:szCs w:val="18"/>
        </w:rPr>
        <w:t xml:space="preserve"> Non applicabile ai </w:t>
      </w:r>
      <w:r w:rsidRPr="00B309E3">
        <w:rPr>
          <w:rFonts w:ascii="Titillium" w:hAnsi="Titillium"/>
          <w:b/>
          <w:i/>
          <w:sz w:val="18"/>
          <w:szCs w:val="18"/>
        </w:rPr>
        <w:t>servizi di natura intellettuale e</w:t>
      </w:r>
      <w:r>
        <w:rPr>
          <w:rFonts w:ascii="Titillium" w:hAnsi="Titillium"/>
          <w:b/>
          <w:i/>
          <w:sz w:val="18"/>
          <w:szCs w:val="18"/>
        </w:rPr>
        <w:t>d alle</w:t>
      </w:r>
      <w:r w:rsidRPr="00B309E3">
        <w:rPr>
          <w:rFonts w:ascii="Titillium" w:hAnsi="Titillium"/>
          <w:b/>
          <w:i/>
          <w:sz w:val="18"/>
          <w:szCs w:val="18"/>
        </w:rPr>
        <w:t xml:space="preserve"> fornitur</w:t>
      </w:r>
      <w:r>
        <w:rPr>
          <w:rFonts w:ascii="Titillium" w:hAnsi="Titillium"/>
          <w:b/>
          <w:i/>
          <w:sz w:val="18"/>
          <w:szCs w:val="18"/>
        </w:rPr>
        <w:t>e</w:t>
      </w:r>
      <w:r w:rsidRPr="00B309E3">
        <w:rPr>
          <w:rFonts w:ascii="Titillium" w:hAnsi="Titillium"/>
          <w:b/>
          <w:i/>
          <w:sz w:val="18"/>
          <w:szCs w:val="18"/>
        </w:rPr>
        <w:t xml:space="preserve"> senza posa in opera</w:t>
      </w:r>
      <w:r w:rsidRPr="003117C4">
        <w:rPr>
          <w:rFonts w:ascii="Titillium" w:hAnsi="Titillium"/>
          <w:b/>
          <w:i/>
          <w:sz w:val="18"/>
          <w:szCs w:val="18"/>
        </w:rPr>
        <w:t>]</w:t>
      </w:r>
    </w:p>
    <w:p w14:paraId="2EE21323" w14:textId="672A0EC8" w:rsidR="00A83638" w:rsidRDefault="00A83638" w:rsidP="00A83638">
      <w:pPr>
        <w:spacing w:before="60" w:after="60"/>
      </w:pPr>
      <w:r>
        <w:rPr>
          <w:rFonts w:ascii="Titillium" w:hAnsi="Titillium"/>
          <w:sz w:val="18"/>
          <w:szCs w:val="18"/>
        </w:rPr>
        <w:t xml:space="preserve">L’importo a base di gara comprende i costi della manodopera che la stazione appaltante ha stimato pari ad € </w:t>
      </w:r>
      <w:r>
        <w:rPr>
          <w:rFonts w:ascii="Titillium" w:hAnsi="Titillium"/>
          <w:i/>
          <w:sz w:val="18"/>
          <w:szCs w:val="18"/>
        </w:rPr>
        <w:t xml:space="preserve">… [indicare l’importo] </w:t>
      </w:r>
      <w:r>
        <w:rPr>
          <w:rFonts w:ascii="Titillium" w:hAnsi="Titillium"/>
          <w:sz w:val="18"/>
          <w:szCs w:val="18"/>
        </w:rPr>
        <w:t xml:space="preserve">calcolati sulla base dei seguenti elementi … </w:t>
      </w:r>
      <w:r>
        <w:rPr>
          <w:rFonts w:ascii="Titillium" w:hAnsi="Titillium"/>
          <w:i/>
          <w:sz w:val="18"/>
          <w:szCs w:val="18"/>
        </w:rPr>
        <w:t xml:space="preserve">[precisare gli elementi attraverso i quali si è pervenuti alla determinazione del costo stimato </w:t>
      </w:r>
      <w:r w:rsidRPr="003117C4">
        <w:rPr>
          <w:rFonts w:ascii="Titillium" w:hAnsi="Titillium"/>
          <w:i/>
          <w:sz w:val="18"/>
          <w:szCs w:val="18"/>
        </w:rPr>
        <w:t>o</w:t>
      </w:r>
      <w:r>
        <w:rPr>
          <w:rFonts w:ascii="Titillium" w:hAnsi="Titillium"/>
          <w:i/>
          <w:sz w:val="18"/>
          <w:szCs w:val="18"/>
        </w:rPr>
        <w:t xml:space="preserve"> eventualmente</w:t>
      </w:r>
      <w:r w:rsidRPr="003117C4">
        <w:rPr>
          <w:rFonts w:ascii="Titillium" w:hAnsi="Titillium"/>
          <w:i/>
          <w:sz w:val="18"/>
          <w:szCs w:val="18"/>
        </w:rPr>
        <w:t xml:space="preserve"> indicare l’allegato che contiene questa informazione</w:t>
      </w:r>
      <w:r>
        <w:rPr>
          <w:rFonts w:ascii="Titillium" w:hAnsi="Titillium"/>
          <w:i/>
          <w:sz w:val="18"/>
          <w:szCs w:val="18"/>
        </w:rPr>
        <w:t xml:space="preserve">] </w:t>
      </w:r>
      <w:r w:rsidRPr="00E062AB">
        <w:rPr>
          <w:rFonts w:ascii="Titillium" w:hAnsi="Titillium"/>
          <w:iCs/>
          <w:sz w:val="18"/>
          <w:szCs w:val="18"/>
        </w:rPr>
        <w:t>e riferiti a</w:t>
      </w:r>
      <w:r>
        <w:rPr>
          <w:rFonts w:ascii="Titillium" w:hAnsi="Titillium"/>
          <w:iCs/>
          <w:sz w:val="18"/>
          <w:szCs w:val="18"/>
        </w:rPr>
        <w:t xml:space="preserve"> … </w:t>
      </w:r>
      <w:r>
        <w:rPr>
          <w:rFonts w:ascii="Titillium" w:hAnsi="Titillium"/>
          <w:i/>
          <w:sz w:val="18"/>
          <w:szCs w:val="18"/>
        </w:rPr>
        <w:t xml:space="preserve"> [specificare a quali servizi o forniture si riferiscono i costi della manodopera]</w:t>
      </w:r>
      <w:r>
        <w:rPr>
          <w:rFonts w:ascii="Titillium" w:hAnsi="Titillium"/>
          <w:sz w:val="18"/>
          <w:szCs w:val="18"/>
        </w:rPr>
        <w:t>.</w:t>
      </w:r>
    </w:p>
    <w:p w14:paraId="3204E089" w14:textId="77777777" w:rsidR="00A83638" w:rsidRDefault="00A83638" w:rsidP="00A83638">
      <w:pPr>
        <w:spacing w:before="60" w:after="60"/>
        <w:rPr>
          <w:rFonts w:ascii="Titillium" w:hAnsi="Titillium"/>
          <w:iCs/>
          <w:sz w:val="18"/>
          <w:szCs w:val="18"/>
        </w:rPr>
      </w:pPr>
      <w:r w:rsidRPr="00B309E3">
        <w:rPr>
          <w:rFonts w:ascii="Titillium" w:hAnsi="Titillium"/>
          <w:b/>
          <w:bCs/>
          <w:iCs/>
          <w:sz w:val="18"/>
          <w:szCs w:val="18"/>
        </w:rPr>
        <w:t>I costi della manodopera non sono soggetti al ribasso</w:t>
      </w:r>
      <w:r w:rsidRPr="00B309E3">
        <w:rPr>
          <w:rFonts w:ascii="Titillium" w:hAnsi="Titillium"/>
          <w:iCs/>
          <w:sz w:val="18"/>
          <w:szCs w:val="18"/>
        </w:rPr>
        <w:t>.</w:t>
      </w:r>
    </w:p>
    <w:p w14:paraId="0026B1CE" w14:textId="77777777" w:rsidR="00A83638" w:rsidRPr="00815271" w:rsidRDefault="00A83638" w:rsidP="00A83638">
      <w:pPr>
        <w:spacing w:before="60" w:after="60"/>
        <w:rPr>
          <w:rFonts w:ascii="Titillium" w:hAnsi="Titillium"/>
          <w:iCs/>
          <w:sz w:val="18"/>
          <w:szCs w:val="18"/>
        </w:rPr>
      </w:pPr>
      <w:r w:rsidRPr="00815271">
        <w:rPr>
          <w:rFonts w:ascii="Titillium" w:hAnsi="Titillium"/>
          <w:iCs/>
          <w:sz w:val="18"/>
          <w:szCs w:val="18"/>
        </w:rPr>
        <w:t xml:space="preserve">Il contratto collettivo applicato è/I contratti collettivi applicati sono </w:t>
      </w:r>
      <w:r w:rsidRPr="00B309E3">
        <w:rPr>
          <w:rFonts w:ascii="Titillium" w:hAnsi="Titillium"/>
          <w:i/>
          <w:sz w:val="18"/>
          <w:szCs w:val="18"/>
        </w:rPr>
        <w:t>... [fornire i dettagli in questa sezione o mediante rinvio ad un allegato]</w:t>
      </w:r>
      <w:r w:rsidRPr="00815271">
        <w:rPr>
          <w:rFonts w:ascii="Titillium" w:hAnsi="Titillium"/>
          <w:iCs/>
          <w:sz w:val="18"/>
          <w:szCs w:val="18"/>
        </w:rPr>
        <w:t>.</w:t>
      </w:r>
    </w:p>
    <w:p w14:paraId="677FCAA1" w14:textId="77777777" w:rsidR="00A83638" w:rsidRDefault="00A83638" w:rsidP="00A83638">
      <w:pPr>
        <w:spacing w:before="60" w:after="60"/>
      </w:pPr>
      <w:r>
        <w:rPr>
          <w:rFonts w:ascii="Titillium" w:hAnsi="Titillium" w:cs="Calibri"/>
          <w:b/>
          <w:i/>
          <w:sz w:val="18"/>
          <w:szCs w:val="18"/>
        </w:rPr>
        <w:t xml:space="preserve">[In caso di pubblicazione dei prezzi di riferimento dei beni o servizi oggetto di </w:t>
      </w:r>
      <w:r w:rsidRPr="00F44182">
        <w:rPr>
          <w:rFonts w:ascii="Titillium" w:hAnsi="Titillium" w:cs="Calibri"/>
          <w:b/>
          <w:i/>
          <w:sz w:val="18"/>
          <w:szCs w:val="18"/>
        </w:rPr>
        <w:t xml:space="preserve">affidamento] </w:t>
      </w:r>
      <w:r w:rsidRPr="00F44182">
        <w:rPr>
          <w:rFonts w:ascii="Titillium" w:hAnsi="Titillium"/>
          <w:sz w:val="18"/>
          <w:szCs w:val="18"/>
        </w:rPr>
        <w:t xml:space="preserve">L’importo a base di gara è stato calcolato considerando i prezzi di riferimento per … </w:t>
      </w:r>
      <w:r w:rsidRPr="00F44182">
        <w:rPr>
          <w:rFonts w:ascii="Titillium" w:hAnsi="Titillium"/>
          <w:i/>
          <w:sz w:val="18"/>
          <w:szCs w:val="18"/>
        </w:rPr>
        <w:t>[inserire i beni o servizi]</w:t>
      </w:r>
      <w:r w:rsidRPr="00F44182">
        <w:rPr>
          <w:rFonts w:ascii="Titillium" w:hAnsi="Titillium"/>
          <w:sz w:val="18"/>
          <w:szCs w:val="18"/>
        </w:rPr>
        <w:t xml:space="preserve">, di cui alla delibera dell’ANAC n. … del … </w:t>
      </w:r>
      <w:r w:rsidRPr="00F44182">
        <w:rPr>
          <w:rFonts w:ascii="Titillium" w:hAnsi="Titillium"/>
          <w:i/>
          <w:sz w:val="18"/>
          <w:szCs w:val="18"/>
        </w:rPr>
        <w:t>[la stazione appaltante indica la delibera di riferimento vigente alla data di pubblicazione</w:t>
      </w:r>
      <w:r w:rsidRPr="001C67CA">
        <w:rPr>
          <w:rFonts w:ascii="Titillium" w:hAnsi="Titillium"/>
          <w:i/>
          <w:sz w:val="18"/>
          <w:szCs w:val="18"/>
        </w:rPr>
        <w:t xml:space="preserve"> del bando]</w:t>
      </w:r>
      <w:r w:rsidRPr="001C67CA">
        <w:rPr>
          <w:rFonts w:ascii="Titillium" w:hAnsi="Titillium"/>
          <w:sz w:val="18"/>
          <w:szCs w:val="18"/>
        </w:rPr>
        <w:t>.</w:t>
      </w:r>
    </w:p>
    <w:p w14:paraId="2C8D756E" w14:textId="77777777" w:rsidR="00A83638" w:rsidRDefault="00A83638" w:rsidP="00A83638">
      <w:pPr>
        <w:spacing w:before="60" w:after="60"/>
        <w:rPr>
          <w:rFonts w:ascii="Titillium" w:hAnsi="Titillium" w:cs="Calibri"/>
          <w:i/>
          <w:iCs/>
          <w:sz w:val="18"/>
          <w:szCs w:val="18"/>
        </w:rPr>
      </w:pPr>
      <w:r w:rsidRPr="00F44182">
        <w:rPr>
          <w:rFonts w:ascii="Titillium" w:hAnsi="Titillium" w:cs="Calibri"/>
          <w:b/>
          <w:bCs/>
          <w:i/>
          <w:iCs/>
          <w:sz w:val="18"/>
          <w:szCs w:val="18"/>
        </w:rPr>
        <w:t>[In caso di oneri per la sicurezza da interferenze di importo pari a € 0,00]</w:t>
      </w:r>
      <w:r w:rsidRPr="0099078E">
        <w:rPr>
          <w:rFonts w:ascii="Titillium" w:hAnsi="Titillium" w:cs="Calibri"/>
          <w:sz w:val="18"/>
          <w:szCs w:val="18"/>
        </w:rPr>
        <w:t xml:space="preserve"> </w:t>
      </w:r>
      <w:r>
        <w:rPr>
          <w:rFonts w:ascii="Titillium" w:hAnsi="Titillium" w:cs="Calibri"/>
          <w:sz w:val="18"/>
          <w:szCs w:val="18"/>
        </w:rPr>
        <w:t>L’importo</w:t>
      </w:r>
      <w:r w:rsidRPr="00C32E81">
        <w:rPr>
          <w:rFonts w:ascii="Titillium" w:hAnsi="Titillium" w:cs="Calibri"/>
          <w:sz w:val="18"/>
          <w:szCs w:val="18"/>
        </w:rPr>
        <w:t xml:space="preserve"> degli oneri per la sicurezza d</w:t>
      </w:r>
      <w:r>
        <w:rPr>
          <w:rFonts w:ascii="Titillium" w:hAnsi="Titillium" w:cs="Calibri"/>
          <w:sz w:val="18"/>
          <w:szCs w:val="18"/>
        </w:rPr>
        <w:t>a interferenze è pari a € 0,00 poiché ...</w:t>
      </w:r>
      <w:r w:rsidRPr="0099078E">
        <w:rPr>
          <w:rFonts w:ascii="Titillium" w:hAnsi="Titillium" w:cs="Calibri"/>
          <w:i/>
          <w:iCs/>
          <w:sz w:val="18"/>
          <w:szCs w:val="18"/>
        </w:rPr>
        <w:t xml:space="preserve"> </w:t>
      </w:r>
      <w:r>
        <w:rPr>
          <w:rFonts w:ascii="Titillium" w:hAnsi="Titillium" w:cs="Calibri"/>
          <w:i/>
          <w:iCs/>
          <w:sz w:val="18"/>
          <w:szCs w:val="18"/>
        </w:rPr>
        <w:t>[</w:t>
      </w:r>
      <w:r w:rsidRPr="0099078E">
        <w:rPr>
          <w:rFonts w:ascii="Titillium" w:hAnsi="Titillium" w:cs="Calibri"/>
          <w:i/>
          <w:iCs/>
          <w:sz w:val="18"/>
          <w:szCs w:val="18"/>
        </w:rPr>
        <w:t>indicare i motivi</w:t>
      </w:r>
      <w:r>
        <w:rPr>
          <w:rFonts w:ascii="Titillium" w:hAnsi="Titillium" w:cs="Calibri"/>
          <w:i/>
          <w:iCs/>
          <w:sz w:val="18"/>
          <w:szCs w:val="18"/>
        </w:rPr>
        <w:t>]</w:t>
      </w:r>
    </w:p>
    <w:p w14:paraId="4651D246" w14:textId="77777777" w:rsidR="00A83638" w:rsidRDefault="00A83638" w:rsidP="00A83638">
      <w:pPr>
        <w:spacing w:before="60" w:after="60"/>
        <w:rPr>
          <w:rFonts w:ascii="Titillium" w:hAnsi="Titillium" w:cs="Calibri"/>
          <w:sz w:val="18"/>
          <w:szCs w:val="18"/>
        </w:rPr>
      </w:pPr>
      <w:r>
        <w:rPr>
          <w:rFonts w:ascii="Titillium" w:hAnsi="Titillium"/>
          <w:sz w:val="18"/>
          <w:szCs w:val="18"/>
        </w:rPr>
        <w:t xml:space="preserve">L’importo complessivo è al </w:t>
      </w:r>
      <w:r>
        <w:rPr>
          <w:rFonts w:ascii="Titillium" w:hAnsi="Titillium" w:cs="Calibri"/>
          <w:sz w:val="18"/>
          <w:szCs w:val="18"/>
        </w:rPr>
        <w:t>netto di</w:t>
      </w:r>
      <w:r>
        <w:rPr>
          <w:rFonts w:ascii="Titillium" w:hAnsi="Titillium" w:cs="Calibri"/>
          <w:i/>
          <w:sz w:val="18"/>
          <w:szCs w:val="18"/>
        </w:rPr>
        <w:t xml:space="preserve"> </w:t>
      </w:r>
      <w:r>
        <w:rPr>
          <w:rFonts w:ascii="Titillium" w:hAnsi="Titillium" w:cs="Calibri"/>
          <w:sz w:val="18"/>
          <w:szCs w:val="18"/>
        </w:rPr>
        <w:t>Iva</w:t>
      </w:r>
      <w:r w:rsidRPr="00C32E81">
        <w:rPr>
          <w:rFonts w:ascii="Titillium" w:hAnsi="Titillium" w:cs="Calibri"/>
          <w:sz w:val="18"/>
          <w:szCs w:val="18"/>
        </w:rPr>
        <w:t>.</w:t>
      </w:r>
    </w:p>
    <w:p w14:paraId="60B30BB5" w14:textId="77777777" w:rsidR="00141DDC" w:rsidRDefault="00141DDC" w:rsidP="00141DDC">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Pr>
          <w:rFonts w:ascii="Titillium" w:hAnsi="Titillium"/>
          <w:i/>
          <w:sz w:val="18"/>
          <w:szCs w:val="18"/>
        </w:rPr>
        <w:t>N.B. La stazione appaltante deve dettagliare, nel bando o in un apposito allegato, le modalità di calcolo della base d’asta, esplicitando le componenti e le relative quantità che hanno condotto all’importo complessivo.</w:t>
      </w:r>
    </w:p>
    <w:p w14:paraId="49DED740" w14:textId="77777777" w:rsidR="00A83638" w:rsidRDefault="00A83638" w:rsidP="00A83638">
      <w:pPr>
        <w:spacing w:before="60" w:after="60"/>
        <w:rPr>
          <w:rFonts w:ascii="Titillium" w:hAnsi="Titillium"/>
          <w:sz w:val="18"/>
          <w:szCs w:val="18"/>
        </w:rPr>
      </w:pPr>
    </w:p>
    <w:p w14:paraId="04F4875F" w14:textId="77777777" w:rsidR="00A83638" w:rsidRDefault="00A83638" w:rsidP="00A83638">
      <w:pPr>
        <w:spacing w:before="60" w:after="60"/>
        <w:rPr>
          <w:rFonts w:ascii="Titillium" w:hAnsi="Titillium"/>
          <w:sz w:val="18"/>
          <w:szCs w:val="18"/>
        </w:rPr>
      </w:pPr>
      <w:r>
        <w:rPr>
          <w:rFonts w:ascii="Titillium" w:hAnsi="Titillium"/>
          <w:sz w:val="18"/>
          <w:szCs w:val="18"/>
        </w:rPr>
        <w:t xml:space="preserve">L’appalto è finanziato con </w:t>
      </w:r>
      <w:r>
        <w:rPr>
          <w:rFonts w:ascii="Titillium" w:hAnsi="Titillium"/>
          <w:i/>
          <w:sz w:val="18"/>
          <w:szCs w:val="18"/>
        </w:rPr>
        <w:t>… [descrivere le fonti di finanziamento]</w:t>
      </w:r>
      <w:r>
        <w:rPr>
          <w:rFonts w:ascii="Titillium" w:hAnsi="Titillium"/>
          <w:sz w:val="18"/>
          <w:szCs w:val="18"/>
        </w:rPr>
        <w:t>.</w:t>
      </w:r>
    </w:p>
    <w:p w14:paraId="72362F03" w14:textId="77777777" w:rsidR="00F44182" w:rsidRDefault="00F44182" w:rsidP="00E51974">
      <w:pPr>
        <w:spacing w:before="60" w:after="60"/>
      </w:pPr>
    </w:p>
    <w:p w14:paraId="4509DE22" w14:textId="77777777" w:rsidR="00974DF5" w:rsidRPr="00974DF5" w:rsidRDefault="004C667D" w:rsidP="00084AD6">
      <w:pPr>
        <w:pStyle w:val="Titolo3"/>
        <w:numPr>
          <w:ilvl w:val="1"/>
          <w:numId w:val="4"/>
        </w:numPr>
        <w:spacing w:before="120"/>
        <w:ind w:left="426" w:hanging="426"/>
      </w:pPr>
      <w:bookmarkStart w:id="190" w:name="_Toc484688264"/>
      <w:bookmarkStart w:id="191" w:name="_Toc484605395"/>
      <w:bookmarkStart w:id="192" w:name="_Toc484605271"/>
      <w:bookmarkStart w:id="193" w:name="_Toc484526551"/>
      <w:bookmarkStart w:id="194" w:name="_Toc484449056"/>
      <w:bookmarkStart w:id="195" w:name="_Toc484448932"/>
      <w:bookmarkStart w:id="196" w:name="_Toc484448808"/>
      <w:bookmarkStart w:id="197" w:name="_Toc484448685"/>
      <w:bookmarkStart w:id="198" w:name="_Toc484448561"/>
      <w:bookmarkStart w:id="199" w:name="_Toc484448437"/>
      <w:bookmarkStart w:id="200" w:name="_Toc484448313"/>
      <w:bookmarkStart w:id="201" w:name="_Toc484448189"/>
      <w:bookmarkStart w:id="202" w:name="_Toc484448064"/>
      <w:bookmarkStart w:id="203" w:name="_Toc484440405"/>
      <w:bookmarkStart w:id="204" w:name="_Toc484440045"/>
      <w:bookmarkStart w:id="205" w:name="_Toc484439921"/>
      <w:bookmarkStart w:id="206" w:name="_Toc484439798"/>
      <w:bookmarkStart w:id="207" w:name="_Toc484438878"/>
      <w:bookmarkStart w:id="208" w:name="_Toc484438754"/>
      <w:bookmarkStart w:id="209" w:name="_Toc484438630"/>
      <w:bookmarkStart w:id="210" w:name="_Toc484429055"/>
      <w:bookmarkStart w:id="211" w:name="_Toc484428885"/>
      <w:bookmarkStart w:id="212" w:name="_Toc484097713"/>
      <w:bookmarkStart w:id="213" w:name="_Toc484011639"/>
      <w:bookmarkStart w:id="214" w:name="_Toc484011164"/>
      <w:bookmarkStart w:id="215" w:name="_Toc484011042"/>
      <w:bookmarkStart w:id="216" w:name="_Toc484010920"/>
      <w:bookmarkStart w:id="217" w:name="_Toc484010796"/>
      <w:bookmarkStart w:id="218" w:name="_Toc484010674"/>
      <w:bookmarkStart w:id="219" w:name="_Toc483906924"/>
      <w:bookmarkStart w:id="220" w:name="_Toc483571547"/>
      <w:bookmarkStart w:id="221" w:name="_Toc483571426"/>
      <w:bookmarkStart w:id="222" w:name="_Toc483473997"/>
      <w:bookmarkStart w:id="223" w:name="_Toc483401200"/>
      <w:bookmarkStart w:id="224" w:name="_Toc483325721"/>
      <w:bookmarkStart w:id="225" w:name="_Toc483316418"/>
      <w:bookmarkStart w:id="226" w:name="_Toc483316287"/>
      <w:bookmarkStart w:id="227" w:name="_Toc483316084"/>
      <w:bookmarkStart w:id="228" w:name="_Toc483315878"/>
      <w:bookmarkStart w:id="229" w:name="_Toc483302328"/>
      <w:bookmarkStart w:id="230" w:name="_Toc485218255"/>
      <w:bookmarkStart w:id="231" w:name="_Toc484688819"/>
      <w:bookmarkStart w:id="232" w:name="_Toc139549418"/>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974DF5">
        <w:rPr>
          <w:rFonts w:ascii="Titillium" w:hAnsi="Titillium"/>
          <w:sz w:val="18"/>
          <w:szCs w:val="18"/>
          <w:lang w:val="it-IT"/>
        </w:rPr>
        <w:t>D</w:t>
      </w:r>
      <w:r w:rsidRPr="00974DF5">
        <w:rPr>
          <w:rFonts w:ascii="Titillium" w:hAnsi="Titillium"/>
          <w:sz w:val="18"/>
          <w:szCs w:val="18"/>
        </w:rPr>
        <w:t>URATA</w:t>
      </w:r>
      <w:bookmarkEnd w:id="232"/>
      <w:r w:rsidR="00B102C5" w:rsidRPr="00974DF5">
        <w:rPr>
          <w:rFonts w:ascii="Titillium" w:hAnsi="Titillium"/>
          <w:sz w:val="18"/>
          <w:szCs w:val="18"/>
          <w:lang w:val="it-IT"/>
        </w:rPr>
        <w:t xml:space="preserve"> </w:t>
      </w:r>
    </w:p>
    <w:p w14:paraId="0858E77B" w14:textId="7FAC2B1E" w:rsidR="004C53A8" w:rsidRPr="00F5507D" w:rsidRDefault="00870286" w:rsidP="00F5507D">
      <w:pPr>
        <w:spacing w:before="120" w:after="60"/>
        <w:rPr>
          <w:rFonts w:ascii="Titillium" w:hAnsi="Titillium"/>
          <w:sz w:val="18"/>
          <w:szCs w:val="18"/>
        </w:rPr>
      </w:pPr>
      <w:r w:rsidRPr="00F5507D">
        <w:rPr>
          <w:rFonts w:ascii="Titillium" w:hAnsi="Titillium"/>
          <w:b/>
          <w:bCs/>
          <w:i/>
          <w:sz w:val="18"/>
          <w:szCs w:val="18"/>
        </w:rPr>
        <w:t>[In caso di appalto di servizi]</w:t>
      </w:r>
      <w:r w:rsidRPr="00F5507D">
        <w:rPr>
          <w:rFonts w:ascii="Titillium" w:hAnsi="Titillium"/>
          <w:sz w:val="18"/>
          <w:szCs w:val="18"/>
        </w:rPr>
        <w:t xml:space="preserve"> La durata dell’appalto (escluse le eventuali opzioni) è di … </w:t>
      </w:r>
      <w:r w:rsidRPr="00950882">
        <w:rPr>
          <w:rFonts w:ascii="Titillium" w:hAnsi="Titillium"/>
          <w:i/>
          <w:iCs/>
          <w:sz w:val="18"/>
          <w:szCs w:val="18"/>
        </w:rPr>
        <w:t>[indicare mesi/anni],</w:t>
      </w:r>
      <w:r w:rsidRPr="00F5507D">
        <w:rPr>
          <w:rFonts w:ascii="Titillium" w:hAnsi="Titillium"/>
          <w:sz w:val="18"/>
          <w:szCs w:val="18"/>
        </w:rPr>
        <w:t xml:space="preserve"> decorrenti dalla data di … </w:t>
      </w:r>
      <w:r w:rsidRPr="00950882">
        <w:rPr>
          <w:rFonts w:ascii="Titillium" w:hAnsi="Titillium"/>
          <w:i/>
          <w:iCs/>
          <w:sz w:val="18"/>
          <w:szCs w:val="18"/>
        </w:rPr>
        <w:t>[indicare il termine iniziale: per esempio la sottoscrizione del contratto. In caso di suddivisione dell’appalto in più lotti specificare eventuali durate differenziate per ciascun lotto].</w:t>
      </w:r>
    </w:p>
    <w:p w14:paraId="55B51387" w14:textId="2552F1FF" w:rsidR="004C53A8" w:rsidRDefault="00870286">
      <w:pPr>
        <w:spacing w:before="120" w:after="60"/>
        <w:rPr>
          <w:rFonts w:ascii="Titillium" w:hAnsi="Titillium"/>
          <w:sz w:val="18"/>
          <w:szCs w:val="18"/>
        </w:rPr>
      </w:pPr>
      <w:r w:rsidRPr="00E7138C">
        <w:rPr>
          <w:rFonts w:ascii="Titillium" w:hAnsi="Titillium"/>
          <w:b/>
          <w:i/>
          <w:sz w:val="18"/>
          <w:szCs w:val="18"/>
        </w:rPr>
        <w:t>[In caso di appalto di forniture]</w:t>
      </w:r>
      <w:r>
        <w:rPr>
          <w:rFonts w:ascii="Titillium" w:hAnsi="Titillium"/>
          <w:sz w:val="18"/>
          <w:szCs w:val="18"/>
        </w:rPr>
        <w:t xml:space="preserve"> La fornitura è effettuata ... </w:t>
      </w:r>
      <w:r w:rsidRPr="00950882">
        <w:rPr>
          <w:rFonts w:ascii="Titillium" w:hAnsi="Titillium"/>
          <w:i/>
          <w:iCs/>
          <w:sz w:val="18"/>
          <w:szCs w:val="18"/>
        </w:rPr>
        <w:t>[indicare</w:t>
      </w:r>
      <w:r>
        <w:rPr>
          <w:rFonts w:ascii="Titillium" w:hAnsi="Titillium"/>
          <w:i/>
          <w:sz w:val="18"/>
          <w:szCs w:val="18"/>
        </w:rPr>
        <w:t xml:space="preserve"> i termini per l’esecuzione della fornitura, per esempio entro 30 giorni; con cadenza quindicinale secondo quanto specificato nel progetto</w:t>
      </w:r>
      <w:r w:rsidRPr="00950882">
        <w:rPr>
          <w:rFonts w:ascii="Titillium" w:hAnsi="Titillium"/>
          <w:i/>
          <w:iCs/>
          <w:sz w:val="18"/>
          <w:szCs w:val="18"/>
        </w:rPr>
        <w:t>]</w:t>
      </w:r>
      <w:r>
        <w:rPr>
          <w:rFonts w:ascii="Titillium" w:hAnsi="Titillium"/>
          <w:sz w:val="18"/>
          <w:szCs w:val="18"/>
        </w:rPr>
        <w:t xml:space="preserve">, decorrenti dalla data di … </w:t>
      </w:r>
      <w:r w:rsidRPr="00950882">
        <w:rPr>
          <w:rFonts w:ascii="Titillium" w:hAnsi="Titillium"/>
          <w:i/>
          <w:iCs/>
          <w:sz w:val="18"/>
          <w:szCs w:val="18"/>
        </w:rPr>
        <w:t>[i</w:t>
      </w:r>
      <w:r>
        <w:rPr>
          <w:rFonts w:ascii="Titillium" w:hAnsi="Titillium"/>
          <w:i/>
          <w:sz w:val="18"/>
          <w:szCs w:val="18"/>
        </w:rPr>
        <w:t>ndicare il termine iniziale: per esempio la sottoscrizione del contratto. In caso di suddivisione dell’appalto in più lotti specificare eventuali durate differenziate per ciascun lo</w:t>
      </w:r>
      <w:r w:rsidRPr="00AA00BF">
        <w:rPr>
          <w:rFonts w:ascii="Titillium" w:hAnsi="Titillium"/>
          <w:i/>
          <w:sz w:val="18"/>
          <w:szCs w:val="18"/>
        </w:rPr>
        <w:t>tto]</w:t>
      </w:r>
      <w:r w:rsidRPr="00950882">
        <w:rPr>
          <w:rFonts w:ascii="Titillium" w:hAnsi="Titillium"/>
          <w:iCs/>
          <w:sz w:val="18"/>
          <w:szCs w:val="18"/>
        </w:rPr>
        <w:t>.</w:t>
      </w:r>
    </w:p>
    <w:p w14:paraId="7A1A947B" w14:textId="0CD4EF39" w:rsidR="00FD309B" w:rsidRDefault="00FD309B">
      <w:pPr>
        <w:spacing w:before="120" w:after="60"/>
        <w:rPr>
          <w:rFonts w:ascii="Titillium" w:hAnsi="Titillium"/>
          <w:sz w:val="18"/>
          <w:szCs w:val="18"/>
        </w:rPr>
      </w:pPr>
    </w:p>
    <w:p w14:paraId="7041E0D6" w14:textId="613C59B8" w:rsidR="00FD309B" w:rsidRPr="00FD309B" w:rsidRDefault="00FE0914" w:rsidP="00FD309B">
      <w:pPr>
        <w:pStyle w:val="Titolo3"/>
        <w:numPr>
          <w:ilvl w:val="1"/>
          <w:numId w:val="4"/>
        </w:numPr>
        <w:spacing w:before="120"/>
        <w:ind w:left="426" w:hanging="426"/>
        <w:rPr>
          <w:rFonts w:ascii="Titillium" w:hAnsi="Titillium"/>
          <w:sz w:val="18"/>
          <w:szCs w:val="18"/>
          <w:lang w:val="it-IT"/>
        </w:rPr>
      </w:pPr>
      <w:bookmarkStart w:id="233" w:name="_Toc139549419"/>
      <w:r>
        <w:rPr>
          <w:rFonts w:ascii="Titillium" w:hAnsi="Titillium"/>
          <w:sz w:val="18"/>
          <w:szCs w:val="18"/>
          <w:lang w:val="it-IT"/>
        </w:rPr>
        <w:t>REVISIONE PREZZI</w:t>
      </w:r>
      <w:bookmarkEnd w:id="233"/>
    </w:p>
    <w:p w14:paraId="27B2512E" w14:textId="6DF1B2B1" w:rsidR="00FD309B" w:rsidRDefault="00FD309B">
      <w:pPr>
        <w:spacing w:before="120" w:after="60"/>
        <w:rPr>
          <w:rFonts w:ascii="Titillium" w:hAnsi="Titillium"/>
          <w:sz w:val="18"/>
          <w:szCs w:val="18"/>
        </w:rPr>
      </w:pPr>
      <w:r>
        <w:rPr>
          <w:rFonts w:ascii="Titillium" w:hAnsi="Titillium"/>
          <w:b/>
          <w:bCs/>
          <w:iCs/>
          <w:sz w:val="18"/>
          <w:szCs w:val="18"/>
        </w:rPr>
        <w:t>Q</w:t>
      </w:r>
      <w:r w:rsidRPr="00FD309B">
        <w:rPr>
          <w:rFonts w:ascii="Titillium" w:hAnsi="Titillium"/>
          <w:iCs/>
          <w:sz w:val="18"/>
          <w:szCs w:val="18"/>
        </w:rPr>
        <w:t>ualora nel corso di esecuzione del contratto</w:t>
      </w:r>
      <w:r w:rsidR="005B36E2">
        <w:rPr>
          <w:rFonts w:ascii="Titillium" w:hAnsi="Titillium"/>
          <w:iCs/>
          <w:sz w:val="18"/>
          <w:szCs w:val="18"/>
        </w:rPr>
        <w:t>, al verificarsi di particolari condizioni di natura oggettiva,</w:t>
      </w:r>
      <w:r w:rsidRPr="00FD309B">
        <w:rPr>
          <w:rFonts w:ascii="Titillium" w:hAnsi="Titillium"/>
          <w:iCs/>
          <w:sz w:val="18"/>
          <w:szCs w:val="18"/>
        </w:rPr>
        <w:t xml:space="preserve"> si </w:t>
      </w:r>
      <w:r w:rsidR="00871272">
        <w:rPr>
          <w:rFonts w:ascii="Titillium" w:hAnsi="Titillium"/>
          <w:iCs/>
          <w:sz w:val="18"/>
          <w:szCs w:val="18"/>
        </w:rPr>
        <w:t>determin</w:t>
      </w:r>
      <w:r w:rsidRPr="00FD309B">
        <w:rPr>
          <w:rFonts w:ascii="Titillium" w:hAnsi="Titillium"/>
          <w:iCs/>
          <w:sz w:val="18"/>
          <w:szCs w:val="18"/>
        </w:rPr>
        <w:t xml:space="preserve">a </w:t>
      </w:r>
      <w:r w:rsidRPr="00FD309B">
        <w:rPr>
          <w:rFonts w:ascii="Titillium" w:hAnsi="Titillium" w:cs="Calibri"/>
          <w:iCs/>
          <w:sz w:val="18"/>
          <w:szCs w:val="18"/>
        </w:rPr>
        <w:t xml:space="preserve">una variazione, in aumento o in diminuzione, del costo del servizio </w:t>
      </w:r>
      <w:r w:rsidRPr="00FD309B">
        <w:rPr>
          <w:rFonts w:ascii="Titillium" w:hAnsi="Titillium" w:cs="Calibri"/>
          <w:i/>
          <w:sz w:val="18"/>
          <w:szCs w:val="18"/>
        </w:rPr>
        <w:t>[o in alternativa dei beni]</w:t>
      </w:r>
      <w:r w:rsidRPr="00FD309B">
        <w:rPr>
          <w:rFonts w:ascii="Titillium" w:hAnsi="Titillium" w:cs="Calibri"/>
          <w:iCs/>
          <w:sz w:val="18"/>
          <w:szCs w:val="18"/>
        </w:rPr>
        <w:t xml:space="preserve"> superiore al cinque per cento, dell’importo complessivo, i prezzi sono aggiornati, nella misura dell’ottanta per cento della variazione, in relazione </w:t>
      </w:r>
      <w:r w:rsidR="003C2199">
        <w:rPr>
          <w:rFonts w:ascii="Titillium" w:hAnsi="Titillium" w:cs="Calibri"/>
          <w:iCs/>
          <w:sz w:val="18"/>
          <w:szCs w:val="18"/>
        </w:rPr>
        <w:t>alle prestazioni da eseguire</w:t>
      </w:r>
      <w:r w:rsidRPr="00FD309B">
        <w:rPr>
          <w:rFonts w:ascii="Titillium" w:hAnsi="Titillium" w:cs="Calibri"/>
          <w:iCs/>
          <w:sz w:val="18"/>
          <w:szCs w:val="18"/>
        </w:rPr>
        <w:t xml:space="preserve">. Ai fini del calcolo della variazione dei prezzi si utilizza … </w:t>
      </w:r>
      <w:r w:rsidR="00527049">
        <w:rPr>
          <w:rFonts w:ascii="Titillium" w:hAnsi="Titillium" w:cs="Calibri"/>
          <w:i/>
          <w:sz w:val="18"/>
          <w:szCs w:val="18"/>
        </w:rPr>
        <w:t>[i</w:t>
      </w:r>
      <w:r w:rsidRPr="00527049">
        <w:rPr>
          <w:rFonts w:ascii="Titillium" w:hAnsi="Titillium" w:cs="Calibri"/>
          <w:i/>
          <w:sz w:val="18"/>
          <w:szCs w:val="18"/>
        </w:rPr>
        <w:t>ndicare quale indice o quale combinazione di indici tra quelli indicati all’articolo 60, comma 3, lettera b del Codic</w:t>
      </w:r>
      <w:r w:rsidR="00527049">
        <w:rPr>
          <w:rFonts w:ascii="Titillium" w:hAnsi="Titillium" w:cs="Calibri"/>
          <w:i/>
          <w:sz w:val="18"/>
          <w:szCs w:val="18"/>
        </w:rPr>
        <w:t>e]</w:t>
      </w:r>
      <w:r>
        <w:rPr>
          <w:rFonts w:ascii="Titillium" w:hAnsi="Titillium"/>
          <w:sz w:val="18"/>
          <w:szCs w:val="18"/>
        </w:rPr>
        <w:t>.</w:t>
      </w:r>
    </w:p>
    <w:p w14:paraId="07D4BCDA" w14:textId="77777777" w:rsidR="00F5507D" w:rsidRDefault="00F5507D">
      <w:pPr>
        <w:spacing w:before="120" w:after="60"/>
        <w:rPr>
          <w:rFonts w:ascii="Titillium" w:hAnsi="Titillium"/>
          <w:sz w:val="18"/>
          <w:szCs w:val="18"/>
        </w:rPr>
      </w:pPr>
    </w:p>
    <w:p w14:paraId="36F0B876" w14:textId="0A749971" w:rsidR="00974DF5" w:rsidRPr="00FD309B" w:rsidRDefault="00E45209" w:rsidP="00FD309B">
      <w:pPr>
        <w:pStyle w:val="Titolo3"/>
        <w:numPr>
          <w:ilvl w:val="1"/>
          <w:numId w:val="4"/>
        </w:numPr>
        <w:spacing w:before="120"/>
        <w:ind w:left="426" w:hanging="426"/>
        <w:rPr>
          <w:rFonts w:ascii="Titillium" w:hAnsi="Titillium"/>
          <w:sz w:val="18"/>
          <w:szCs w:val="18"/>
          <w:lang w:val="it-IT"/>
        </w:rPr>
      </w:pPr>
      <w:bookmarkStart w:id="234" w:name="_Toc139549420"/>
      <w:r w:rsidRPr="001E2327">
        <w:rPr>
          <w:rFonts w:ascii="Titillium" w:hAnsi="Titillium"/>
          <w:sz w:val="18"/>
          <w:szCs w:val="18"/>
          <w:lang w:val="it-IT"/>
        </w:rPr>
        <w:t>MODIFICA DEL CONTRATTO IN FASE DI ESECUZIONE</w:t>
      </w:r>
      <w:bookmarkEnd w:id="234"/>
    </w:p>
    <w:p w14:paraId="66D25C53" w14:textId="77777777" w:rsidR="00AC00A8" w:rsidRPr="00E7138C" w:rsidRDefault="00AC00A8" w:rsidP="00AC00A8">
      <w:pPr>
        <w:spacing w:before="60" w:after="60"/>
        <w:rPr>
          <w:rFonts w:ascii="Titillium" w:hAnsi="Titillium" w:cs="Calibri"/>
          <w:b/>
          <w:i/>
          <w:iCs/>
          <w:sz w:val="18"/>
          <w:szCs w:val="18"/>
        </w:rPr>
      </w:pPr>
      <w:r w:rsidRPr="00E7138C">
        <w:rPr>
          <w:rFonts w:ascii="Titillium" w:hAnsi="Titillium" w:cs="Calibri"/>
          <w:b/>
          <w:i/>
          <w:iCs/>
          <w:sz w:val="18"/>
          <w:szCs w:val="18"/>
        </w:rPr>
        <w:t xml:space="preserve">[In caso di suddivisione dell’appalto in più lotti specificare, per ciascuno di essi, le seguenti clausole] </w:t>
      </w:r>
    </w:p>
    <w:p w14:paraId="30A9FE72" w14:textId="25CCD622" w:rsidR="00B7182E" w:rsidRDefault="00AC00A8" w:rsidP="00AC00A8">
      <w:pPr>
        <w:spacing w:before="120" w:after="60"/>
        <w:rPr>
          <w:rFonts w:ascii="Titillium" w:hAnsi="Titillium"/>
          <w:sz w:val="18"/>
          <w:szCs w:val="18"/>
        </w:rPr>
      </w:pPr>
      <w:r w:rsidRPr="002D04ED">
        <w:rPr>
          <w:rFonts w:ascii="Titillium" w:hAnsi="Titillium"/>
          <w:b/>
          <w:i/>
          <w:sz w:val="18"/>
          <w:szCs w:val="18"/>
        </w:rPr>
        <w:t>[Facoltativo</w:t>
      </w:r>
      <w:r w:rsidR="00E10448">
        <w:rPr>
          <w:rFonts w:ascii="Titillium" w:hAnsi="Titillium"/>
          <w:b/>
          <w:i/>
          <w:sz w:val="18"/>
          <w:szCs w:val="18"/>
        </w:rPr>
        <w:t>]</w:t>
      </w:r>
      <w:r w:rsidRPr="002D04ED">
        <w:rPr>
          <w:rFonts w:ascii="Titillium" w:hAnsi="Titillium"/>
          <w:b/>
          <w:i/>
          <w:sz w:val="18"/>
          <w:szCs w:val="18"/>
        </w:rPr>
        <w:t xml:space="preserve"> </w:t>
      </w:r>
      <w:r w:rsidR="00E10448" w:rsidRPr="00E10448">
        <w:rPr>
          <w:rFonts w:ascii="Titillium" w:hAnsi="Titillium"/>
          <w:b/>
          <w:iCs/>
          <w:sz w:val="18"/>
          <w:szCs w:val="18"/>
        </w:rPr>
        <w:t>Opzione di p</w:t>
      </w:r>
      <w:r w:rsidRPr="00E10448">
        <w:rPr>
          <w:rFonts w:ascii="Titillium" w:hAnsi="Titillium"/>
          <w:b/>
          <w:iCs/>
          <w:sz w:val="18"/>
          <w:szCs w:val="18"/>
        </w:rPr>
        <w:t xml:space="preserve">roroga del </w:t>
      </w:r>
      <w:r w:rsidR="00B102C5" w:rsidRPr="00E10448">
        <w:rPr>
          <w:rFonts w:ascii="Titillium" w:hAnsi="Titillium"/>
          <w:b/>
          <w:iCs/>
          <w:sz w:val="18"/>
          <w:szCs w:val="18"/>
        </w:rPr>
        <w:t>contratto</w:t>
      </w:r>
      <w:r w:rsidR="00E10448" w:rsidRPr="00E10448">
        <w:rPr>
          <w:rFonts w:ascii="Titillium" w:hAnsi="Titillium"/>
          <w:bCs/>
          <w:iCs/>
          <w:sz w:val="18"/>
          <w:szCs w:val="18"/>
        </w:rPr>
        <w:t>: la stazione appaltante si riserva di prorogare</w:t>
      </w:r>
      <w:r w:rsidR="00E10448">
        <w:rPr>
          <w:rFonts w:ascii="Titillium" w:hAnsi="Titillium"/>
          <w:b/>
          <w:iCs/>
          <w:sz w:val="18"/>
          <w:szCs w:val="18"/>
        </w:rPr>
        <w:t xml:space="preserve"> i</w:t>
      </w:r>
      <w:r w:rsidRPr="002D04ED">
        <w:rPr>
          <w:rFonts w:ascii="Titillium" w:hAnsi="Titillium"/>
          <w:iCs/>
          <w:sz w:val="18"/>
          <w:szCs w:val="18"/>
        </w:rPr>
        <w:t>l contratto</w:t>
      </w:r>
      <w:r w:rsidR="00B102C5" w:rsidRPr="002D04ED">
        <w:rPr>
          <w:rFonts w:ascii="Titillium" w:hAnsi="Titillium"/>
          <w:iCs/>
          <w:sz w:val="18"/>
          <w:szCs w:val="18"/>
        </w:rPr>
        <w:t xml:space="preserve"> per una durata </w:t>
      </w:r>
      <w:r w:rsidR="002D04ED" w:rsidRPr="003E4EEF">
        <w:rPr>
          <w:rFonts w:ascii="Titillium" w:hAnsi="Titillium"/>
          <w:iCs/>
          <w:sz w:val="18"/>
          <w:szCs w:val="18"/>
        </w:rPr>
        <w:t xml:space="preserve">massima </w:t>
      </w:r>
      <w:r w:rsidR="00B102C5" w:rsidRPr="003E4EEF">
        <w:rPr>
          <w:rFonts w:ascii="Titillium" w:hAnsi="Titillium"/>
          <w:iCs/>
          <w:sz w:val="18"/>
          <w:szCs w:val="18"/>
        </w:rPr>
        <w:t>pari a</w:t>
      </w:r>
      <w:proofErr w:type="gramStart"/>
      <w:r w:rsidR="00B102C5" w:rsidRPr="003E4EEF">
        <w:rPr>
          <w:rFonts w:ascii="Titillium" w:hAnsi="Titillium"/>
          <w:b/>
          <w:i/>
          <w:sz w:val="18"/>
          <w:szCs w:val="18"/>
        </w:rPr>
        <w:t xml:space="preserve"> </w:t>
      </w:r>
      <w:r w:rsidR="00B102C5" w:rsidRPr="003E4EEF">
        <w:rPr>
          <w:rFonts w:ascii="Titillium" w:hAnsi="Titillium"/>
          <w:i/>
          <w:sz w:val="18"/>
          <w:szCs w:val="18"/>
        </w:rPr>
        <w:t>….</w:t>
      </w:r>
      <w:proofErr w:type="gramEnd"/>
      <w:r w:rsidR="00B102C5" w:rsidRPr="003E4EEF">
        <w:rPr>
          <w:rFonts w:ascii="Titillium" w:hAnsi="Titillium"/>
          <w:i/>
          <w:sz w:val="18"/>
          <w:szCs w:val="18"/>
        </w:rPr>
        <w:t>.</w:t>
      </w:r>
      <w:r w:rsidR="00B7182E" w:rsidRPr="003E4EEF">
        <w:rPr>
          <w:rFonts w:ascii="Titillium" w:hAnsi="Titillium"/>
          <w:i/>
          <w:sz w:val="18"/>
          <w:szCs w:val="18"/>
        </w:rPr>
        <w:t xml:space="preserve"> [indicare </w:t>
      </w:r>
      <w:proofErr w:type="gramStart"/>
      <w:r w:rsidR="00B7182E" w:rsidRPr="003E4EEF">
        <w:rPr>
          <w:rFonts w:ascii="Titillium" w:hAnsi="Titillium"/>
          <w:i/>
          <w:sz w:val="18"/>
          <w:szCs w:val="18"/>
        </w:rPr>
        <w:t>mesi,/</w:t>
      </w:r>
      <w:proofErr w:type="gramEnd"/>
      <w:r w:rsidR="00B7182E" w:rsidRPr="003E4EEF">
        <w:rPr>
          <w:rFonts w:ascii="Titillium" w:hAnsi="Titillium"/>
          <w:i/>
          <w:sz w:val="18"/>
          <w:szCs w:val="18"/>
        </w:rPr>
        <w:t xml:space="preserve">giorni] </w:t>
      </w:r>
      <w:r w:rsidR="00B102C5" w:rsidRPr="003E4EEF">
        <w:rPr>
          <w:rFonts w:ascii="Titillium" w:hAnsi="Titillium"/>
          <w:i/>
          <w:sz w:val="18"/>
          <w:szCs w:val="18"/>
        </w:rPr>
        <w:t xml:space="preserve"> </w:t>
      </w:r>
      <w:r w:rsidR="00B7182E" w:rsidRPr="003E4EEF">
        <w:rPr>
          <w:rFonts w:ascii="Titillium" w:hAnsi="Titillium"/>
          <w:sz w:val="18"/>
          <w:szCs w:val="18"/>
        </w:rPr>
        <w:t>ai prez</w:t>
      </w:r>
      <w:r w:rsidR="00974DF5" w:rsidRPr="003E4EEF">
        <w:rPr>
          <w:rFonts w:ascii="Titillium" w:hAnsi="Titillium"/>
          <w:sz w:val="18"/>
          <w:szCs w:val="18"/>
        </w:rPr>
        <w:t>zi, patti e condizioni stabiliti</w:t>
      </w:r>
      <w:r w:rsidR="00B7182E" w:rsidRPr="003E4EEF">
        <w:rPr>
          <w:rFonts w:ascii="Titillium" w:hAnsi="Titillium"/>
          <w:sz w:val="18"/>
          <w:szCs w:val="18"/>
        </w:rPr>
        <w:t xml:space="preserve"> nel contratto</w:t>
      </w:r>
      <w:r w:rsidR="00B7182E" w:rsidRPr="00AA00BF">
        <w:rPr>
          <w:rFonts w:ascii="Titillium" w:hAnsi="Titillium"/>
          <w:b/>
          <w:i/>
          <w:iCs/>
          <w:sz w:val="18"/>
          <w:szCs w:val="18"/>
        </w:rPr>
        <w:t xml:space="preserve"> [o, in alternativa] </w:t>
      </w:r>
      <w:r w:rsidR="00B7182E" w:rsidRPr="003E4EEF">
        <w:rPr>
          <w:rFonts w:ascii="Titillium" w:hAnsi="Titillium"/>
          <w:sz w:val="18"/>
          <w:szCs w:val="18"/>
        </w:rPr>
        <w:t>alle condizioni</w:t>
      </w:r>
      <w:r w:rsidR="00B7182E" w:rsidRPr="002D04ED">
        <w:rPr>
          <w:rFonts w:ascii="Titillium" w:hAnsi="Titillium"/>
          <w:sz w:val="18"/>
          <w:szCs w:val="18"/>
        </w:rPr>
        <w:t xml:space="preserve"> </w:t>
      </w:r>
      <w:r w:rsidR="00B7182E" w:rsidRPr="002D04ED">
        <w:rPr>
          <w:rFonts w:ascii="Titillium" w:hAnsi="Titillium"/>
          <w:sz w:val="18"/>
          <w:szCs w:val="18"/>
        </w:rPr>
        <w:lastRenderedPageBreak/>
        <w:t>di mercato ove più favorevoli per la stazione appaltante</w:t>
      </w:r>
      <w:r w:rsidR="00B7182E" w:rsidRPr="002D04ED">
        <w:rPr>
          <w:rFonts w:ascii="Titillium" w:hAnsi="Titillium"/>
          <w:b/>
          <w:bCs/>
          <w:iCs/>
          <w:sz w:val="18"/>
          <w:szCs w:val="18"/>
        </w:rPr>
        <w:t>.</w:t>
      </w:r>
      <w:r w:rsidR="00DE5825" w:rsidRPr="002D04ED">
        <w:rPr>
          <w:rFonts w:ascii="Titillium" w:hAnsi="Titillium"/>
          <w:iCs/>
          <w:sz w:val="18"/>
          <w:szCs w:val="18"/>
        </w:rPr>
        <w:t xml:space="preserve"> </w:t>
      </w:r>
      <w:r w:rsidR="007814A7" w:rsidRPr="002D04ED">
        <w:rPr>
          <w:rFonts w:ascii="Titillium" w:hAnsi="Titillium"/>
          <w:iCs/>
          <w:sz w:val="18"/>
          <w:szCs w:val="18"/>
        </w:rPr>
        <w:t>L’importo</w:t>
      </w:r>
      <w:r w:rsidR="00DE5825" w:rsidRPr="007B5239">
        <w:rPr>
          <w:rFonts w:ascii="Titillium" w:hAnsi="Titillium"/>
          <w:iCs/>
          <w:sz w:val="18"/>
          <w:szCs w:val="18"/>
        </w:rPr>
        <w:t xml:space="preserve"> stimato di tale opzione è pari a € … </w:t>
      </w:r>
      <w:r w:rsidR="007C7A52" w:rsidRPr="007C7A52">
        <w:rPr>
          <w:rFonts w:ascii="Titillium" w:hAnsi="Titillium"/>
          <w:i/>
          <w:sz w:val="18"/>
          <w:szCs w:val="18"/>
        </w:rPr>
        <w:t xml:space="preserve">[indicare l’importo], </w:t>
      </w:r>
      <w:r w:rsidR="007C7A52" w:rsidRPr="007B5239">
        <w:rPr>
          <w:rFonts w:ascii="Titillium" w:hAnsi="Titillium"/>
          <w:iCs/>
          <w:sz w:val="18"/>
          <w:szCs w:val="18"/>
        </w:rPr>
        <w:t>al netto di Iva</w:t>
      </w:r>
      <w:r w:rsidR="00974DF5" w:rsidRPr="007B5239">
        <w:rPr>
          <w:rFonts w:ascii="Titillium" w:hAnsi="Titillium"/>
          <w:iCs/>
          <w:sz w:val="18"/>
          <w:szCs w:val="18"/>
        </w:rPr>
        <w:t xml:space="preserve">. </w:t>
      </w:r>
      <w:r w:rsidR="00DE5825" w:rsidRPr="007B5239">
        <w:rPr>
          <w:rFonts w:ascii="Titillium" w:hAnsi="Titillium"/>
          <w:iCs/>
          <w:sz w:val="18"/>
          <w:szCs w:val="18"/>
        </w:rPr>
        <w:t>L’</w:t>
      </w:r>
      <w:r w:rsidR="00DE5825" w:rsidRPr="007C7A52">
        <w:rPr>
          <w:rFonts w:ascii="Titillium" w:hAnsi="Titillium"/>
          <w:sz w:val="18"/>
          <w:szCs w:val="18"/>
        </w:rPr>
        <w:t>esercizio di tale facoltà è comunicato all’appaltatore almeno … [</w:t>
      </w:r>
      <w:r w:rsidR="00DE5825" w:rsidRPr="00AC00A8">
        <w:rPr>
          <w:rFonts w:ascii="Titillium" w:hAnsi="Titillium"/>
          <w:i/>
          <w:sz w:val="18"/>
          <w:szCs w:val="18"/>
        </w:rPr>
        <w:t>indicare i giorni/mesi</w:t>
      </w:r>
      <w:r w:rsidR="00DE5825" w:rsidRPr="007C7A52">
        <w:rPr>
          <w:rFonts w:ascii="Titillium" w:hAnsi="Titillium"/>
          <w:sz w:val="18"/>
          <w:szCs w:val="18"/>
        </w:rPr>
        <w:t>] prima della scadenza del contratto.</w:t>
      </w:r>
    </w:p>
    <w:p w14:paraId="420084B6" w14:textId="2E48DA2D" w:rsidR="002D04ED" w:rsidRDefault="00C70823" w:rsidP="002D04ED">
      <w:pPr>
        <w:spacing w:before="60" w:after="60"/>
        <w:rPr>
          <w:rFonts w:ascii="Titillium" w:hAnsi="Titillium"/>
          <w:sz w:val="18"/>
          <w:szCs w:val="18"/>
        </w:rPr>
      </w:pPr>
      <w:r>
        <w:rPr>
          <w:rFonts w:ascii="Titillium" w:hAnsi="Titillium"/>
          <w:bCs/>
          <w:sz w:val="18"/>
          <w:szCs w:val="18"/>
        </w:rPr>
        <w:t>In casi eccezionali, i</w:t>
      </w:r>
      <w:r w:rsidR="0017789F" w:rsidRPr="00E10448">
        <w:rPr>
          <w:rFonts w:ascii="Titillium" w:hAnsi="Titillium"/>
          <w:bCs/>
          <w:sz w:val="18"/>
          <w:szCs w:val="18"/>
        </w:rPr>
        <w:t>l contratto in corso di esecuzione può</w:t>
      </w:r>
      <w:r w:rsidR="00144EA0">
        <w:rPr>
          <w:rFonts w:ascii="Titillium" w:hAnsi="Titillium"/>
          <w:bCs/>
          <w:sz w:val="18"/>
          <w:szCs w:val="18"/>
        </w:rPr>
        <w:t xml:space="preserve"> essere </w:t>
      </w:r>
      <w:r w:rsidR="0017789F" w:rsidRPr="00E10448">
        <w:rPr>
          <w:rFonts w:ascii="Titillium" w:hAnsi="Titillium"/>
          <w:bCs/>
          <w:sz w:val="18"/>
          <w:szCs w:val="18"/>
        </w:rPr>
        <w:t xml:space="preserve">prorogato per il tempo strettamente necessario alla conclusione della procedura di individuazione del nuovo contraente se si verificano </w:t>
      </w:r>
      <w:r w:rsidR="0009275D" w:rsidRPr="00E10448">
        <w:rPr>
          <w:rFonts w:ascii="Titillium" w:hAnsi="Titillium"/>
          <w:sz w:val="18"/>
          <w:szCs w:val="18"/>
        </w:rPr>
        <w:t>le condizioni indicate all’art</w:t>
      </w:r>
      <w:r w:rsidR="004E7A85">
        <w:rPr>
          <w:rFonts w:ascii="Titillium" w:hAnsi="Titillium"/>
          <w:sz w:val="18"/>
          <w:szCs w:val="18"/>
        </w:rPr>
        <w:t>icolo</w:t>
      </w:r>
      <w:r w:rsidR="0009275D" w:rsidRPr="00E10448">
        <w:rPr>
          <w:rFonts w:ascii="Titillium" w:hAnsi="Titillium"/>
          <w:sz w:val="18"/>
          <w:szCs w:val="18"/>
        </w:rPr>
        <w:t xml:space="preserve"> 120</w:t>
      </w:r>
      <w:r w:rsidR="004E7A85">
        <w:rPr>
          <w:rFonts w:ascii="Titillium" w:hAnsi="Titillium"/>
          <w:sz w:val="18"/>
          <w:szCs w:val="18"/>
        </w:rPr>
        <w:t>,</w:t>
      </w:r>
      <w:r w:rsidR="0009275D" w:rsidRPr="00E10448">
        <w:rPr>
          <w:rFonts w:ascii="Titillium" w:hAnsi="Titillium"/>
          <w:sz w:val="18"/>
          <w:szCs w:val="18"/>
        </w:rPr>
        <w:t xml:space="preserve"> comma 11</w:t>
      </w:r>
      <w:r w:rsidR="004E7A85">
        <w:rPr>
          <w:rFonts w:ascii="Titillium" w:hAnsi="Titillium"/>
          <w:sz w:val="18"/>
          <w:szCs w:val="18"/>
        </w:rPr>
        <w:t>, del Codice</w:t>
      </w:r>
      <w:r w:rsidR="00144EA0">
        <w:rPr>
          <w:rFonts w:ascii="Titillium" w:hAnsi="Titillium"/>
          <w:sz w:val="18"/>
          <w:szCs w:val="18"/>
        </w:rPr>
        <w:t>.</w:t>
      </w:r>
      <w:r w:rsidR="0009275D" w:rsidRPr="00E10448">
        <w:rPr>
          <w:rFonts w:ascii="Titillium" w:hAnsi="Titillium"/>
          <w:b/>
          <w:bCs/>
          <w:i/>
          <w:sz w:val="18"/>
          <w:szCs w:val="18"/>
        </w:rPr>
        <w:t xml:space="preserve"> </w:t>
      </w:r>
      <w:r w:rsidR="0009275D" w:rsidRPr="00E10448">
        <w:rPr>
          <w:rFonts w:ascii="Titillium" w:hAnsi="Titillium"/>
          <w:sz w:val="18"/>
          <w:szCs w:val="18"/>
        </w:rPr>
        <w:t>In tal caso il contraente è tenuto all’esecuzione delle prestazioni oggetto del contratto agli stessi prezzi, patti e condizioni previsti nel contratto.</w:t>
      </w:r>
    </w:p>
    <w:p w14:paraId="391BF007" w14:textId="727B8DDC" w:rsidR="004C53A8" w:rsidRDefault="00870286">
      <w:pPr>
        <w:spacing w:before="60" w:after="60"/>
        <w:rPr>
          <w:rFonts w:ascii="Titillium" w:hAnsi="Titillium" w:cs="Calibri"/>
          <w:iCs/>
          <w:sz w:val="18"/>
          <w:szCs w:val="18"/>
        </w:rPr>
      </w:pPr>
      <w:bookmarkStart w:id="235" w:name="_Toc484688266"/>
      <w:bookmarkStart w:id="236" w:name="_Toc484605397"/>
      <w:bookmarkStart w:id="237" w:name="_Toc484605273"/>
      <w:bookmarkStart w:id="238" w:name="_Toc484526553"/>
      <w:bookmarkStart w:id="239" w:name="_Toc484449058"/>
      <w:bookmarkStart w:id="240" w:name="_Toc484448934"/>
      <w:bookmarkStart w:id="241" w:name="_Toc484448810"/>
      <w:bookmarkStart w:id="242" w:name="_Toc484448687"/>
      <w:bookmarkStart w:id="243" w:name="_Toc484448563"/>
      <w:bookmarkStart w:id="244" w:name="_Toc484448439"/>
      <w:bookmarkStart w:id="245" w:name="_Toc484448315"/>
      <w:bookmarkStart w:id="246" w:name="_Toc484448191"/>
      <w:bookmarkStart w:id="247" w:name="_Toc484448066"/>
      <w:bookmarkStart w:id="248" w:name="_Toc484440407"/>
      <w:bookmarkStart w:id="249" w:name="_Toc484440047"/>
      <w:bookmarkStart w:id="250" w:name="_Toc484439923"/>
      <w:bookmarkStart w:id="251" w:name="_Toc484439800"/>
      <w:bookmarkStart w:id="252" w:name="_Toc484438880"/>
      <w:bookmarkStart w:id="253" w:name="_Toc484438756"/>
      <w:bookmarkStart w:id="254" w:name="_Toc484438632"/>
      <w:bookmarkStart w:id="255" w:name="_Toc484429057"/>
      <w:bookmarkStart w:id="256" w:name="_Toc484428887"/>
      <w:bookmarkStart w:id="257" w:name="_Toc484097715"/>
      <w:bookmarkStart w:id="258" w:name="_Toc484011641"/>
      <w:bookmarkStart w:id="259" w:name="_Toc484011166"/>
      <w:bookmarkStart w:id="260" w:name="_Toc484011044"/>
      <w:bookmarkStart w:id="261" w:name="_Toc484010922"/>
      <w:bookmarkStart w:id="262" w:name="_Toc484010798"/>
      <w:bookmarkStart w:id="263" w:name="_Toc484010676"/>
      <w:bookmarkStart w:id="264" w:name="_Toc483906926"/>
      <w:bookmarkStart w:id="265" w:name="_Toc483571549"/>
      <w:bookmarkStart w:id="266" w:name="_Toc483571428"/>
      <w:bookmarkStart w:id="267" w:name="_Toc483473999"/>
      <w:bookmarkStart w:id="268" w:name="_Toc483401202"/>
      <w:bookmarkStart w:id="269" w:name="_Toc483325723"/>
      <w:bookmarkStart w:id="270" w:name="_Toc483316420"/>
      <w:bookmarkStart w:id="271" w:name="_Toc483316289"/>
      <w:bookmarkStart w:id="272" w:name="_Toc483316086"/>
      <w:bookmarkStart w:id="273" w:name="_Toc483315880"/>
      <w:bookmarkStart w:id="274" w:name="_Toc483302330"/>
      <w:bookmarkStart w:id="275" w:name="_Toc482098999"/>
      <w:bookmarkStart w:id="276" w:name="_Toc482097901"/>
      <w:bookmarkStart w:id="277" w:name="_Toc482097709"/>
      <w:bookmarkStart w:id="278" w:name="_Toc482097620"/>
      <w:bookmarkStart w:id="279" w:name="_Toc482097531"/>
      <w:bookmarkStart w:id="280" w:name="_Toc482025708"/>
      <w:bookmarkStart w:id="281" w:name="_Toc485218257"/>
      <w:bookmarkStart w:id="282" w:name="_Toc48468882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ascii="Titillium" w:hAnsi="Titillium"/>
          <w:b/>
          <w:bCs/>
          <w:i/>
          <w:sz w:val="18"/>
          <w:szCs w:val="18"/>
        </w:rPr>
        <w:t>[</w:t>
      </w:r>
      <w:r>
        <w:rPr>
          <w:rFonts w:ascii="Titillium" w:hAnsi="Titillium"/>
          <w:b/>
          <w:i/>
          <w:sz w:val="18"/>
          <w:szCs w:val="18"/>
        </w:rPr>
        <w:t>Facoltativo</w:t>
      </w:r>
      <w:r w:rsidR="00E10448">
        <w:rPr>
          <w:rFonts w:ascii="Titillium" w:hAnsi="Titillium"/>
          <w:b/>
          <w:i/>
          <w:sz w:val="18"/>
          <w:szCs w:val="18"/>
        </w:rPr>
        <w:t>]</w:t>
      </w:r>
      <w:r w:rsidR="00E10448">
        <w:rPr>
          <w:rFonts w:ascii="Titillium" w:hAnsi="Titillium"/>
          <w:i/>
          <w:sz w:val="18"/>
          <w:szCs w:val="18"/>
        </w:rPr>
        <w:t xml:space="preserve"> </w:t>
      </w:r>
      <w:r w:rsidR="00E10448" w:rsidRPr="00E10448">
        <w:rPr>
          <w:rFonts w:ascii="Titillium" w:hAnsi="Titillium"/>
          <w:b/>
          <w:bCs/>
          <w:iCs/>
          <w:sz w:val="18"/>
          <w:szCs w:val="18"/>
        </w:rPr>
        <w:t>A</w:t>
      </w:r>
      <w:r w:rsidRPr="00E10448">
        <w:rPr>
          <w:rFonts w:ascii="Titillium" w:hAnsi="Titillium"/>
          <w:b/>
          <w:bCs/>
          <w:iCs/>
          <w:sz w:val="18"/>
          <w:szCs w:val="18"/>
        </w:rPr>
        <w:t>ffidamento di servizi analoghi</w:t>
      </w:r>
      <w:r w:rsidR="00A926EC" w:rsidRPr="00E10448">
        <w:rPr>
          <w:rFonts w:ascii="Titillium" w:hAnsi="Titillium" w:cs="Calibri"/>
          <w:b/>
          <w:bCs/>
          <w:iCs/>
          <w:sz w:val="18"/>
          <w:szCs w:val="18"/>
        </w:rPr>
        <w:t xml:space="preserve"> di cui all’</w:t>
      </w:r>
      <w:r w:rsidR="00895365" w:rsidRPr="00E10448">
        <w:rPr>
          <w:rFonts w:ascii="Titillium" w:hAnsi="Titillium" w:cs="Calibri"/>
          <w:b/>
          <w:bCs/>
          <w:iCs/>
          <w:sz w:val="18"/>
          <w:szCs w:val="18"/>
        </w:rPr>
        <w:t xml:space="preserve">articolo </w:t>
      </w:r>
      <w:r w:rsidR="00F92F0C" w:rsidRPr="00E10448">
        <w:rPr>
          <w:rFonts w:ascii="Titillium" w:hAnsi="Titillium" w:cs="Calibri"/>
          <w:b/>
          <w:bCs/>
          <w:iCs/>
          <w:sz w:val="18"/>
          <w:szCs w:val="18"/>
        </w:rPr>
        <w:t>76, comma</w:t>
      </w:r>
      <w:r w:rsidR="00F92F0C" w:rsidRPr="00E10448">
        <w:rPr>
          <w:rFonts w:ascii="Titillium" w:hAnsi="Titillium" w:cs="Calibri"/>
          <w:b/>
          <w:iCs/>
          <w:sz w:val="18"/>
          <w:szCs w:val="18"/>
        </w:rPr>
        <w:t xml:space="preserve"> 6,</w:t>
      </w:r>
      <w:r w:rsidR="00A926EC" w:rsidRPr="00E10448">
        <w:rPr>
          <w:rFonts w:ascii="Titillium" w:hAnsi="Titillium" w:cs="Calibri"/>
          <w:b/>
          <w:iCs/>
          <w:sz w:val="18"/>
          <w:szCs w:val="18"/>
        </w:rPr>
        <w:t xml:space="preserve"> del Codice</w:t>
      </w:r>
      <w:r w:rsidR="00E10448">
        <w:rPr>
          <w:rFonts w:ascii="Titillium" w:hAnsi="Titillium" w:cs="Calibri"/>
          <w:b/>
          <w:iCs/>
          <w:sz w:val="18"/>
          <w:szCs w:val="18"/>
        </w:rPr>
        <w:t>:</w:t>
      </w:r>
      <w:r>
        <w:rPr>
          <w:rFonts w:ascii="Titillium" w:hAnsi="Titillium" w:cs="Calibri"/>
          <w:iCs/>
          <w:sz w:val="18"/>
          <w:szCs w:val="18"/>
        </w:rPr>
        <w:t xml:space="preserve"> </w:t>
      </w:r>
      <w:r w:rsidR="00E10448">
        <w:rPr>
          <w:rFonts w:ascii="Titillium" w:hAnsi="Titillium" w:cs="Calibri"/>
          <w:iCs/>
          <w:sz w:val="18"/>
          <w:szCs w:val="18"/>
        </w:rPr>
        <w:t>e</w:t>
      </w:r>
      <w:r w:rsidR="00C57FE1">
        <w:rPr>
          <w:rFonts w:ascii="Titillium" w:hAnsi="Titillium" w:cs="Calibri"/>
          <w:iCs/>
          <w:sz w:val="18"/>
          <w:szCs w:val="18"/>
        </w:rPr>
        <w:t xml:space="preserve">ntro … </w:t>
      </w:r>
      <w:r w:rsidR="00C57FE1" w:rsidRPr="00C57FE1">
        <w:rPr>
          <w:rFonts w:ascii="Titillium" w:hAnsi="Titillium" w:cs="Calibri"/>
          <w:i/>
          <w:iCs/>
          <w:sz w:val="18"/>
          <w:szCs w:val="18"/>
        </w:rPr>
        <w:t>[indicare il termine, che comunque non può superare il triennio successivo alla stipula del contratto originale]</w:t>
      </w:r>
      <w:r w:rsidR="007B5239">
        <w:rPr>
          <w:rFonts w:ascii="Titillium" w:hAnsi="Titillium" w:cs="Calibri"/>
          <w:iCs/>
          <w:sz w:val="18"/>
          <w:szCs w:val="18"/>
        </w:rPr>
        <w:t>, la stazione appaltante si riserva la facoltà di affidare</w:t>
      </w:r>
      <w:r>
        <w:rPr>
          <w:rFonts w:ascii="Titillium" w:hAnsi="Titillium" w:cs="Calibri"/>
          <w:iCs/>
          <w:sz w:val="18"/>
          <w:szCs w:val="18"/>
        </w:rPr>
        <w:t xml:space="preserve"> all’aggiudicatario nuovi servizi consistenti nella ripetizione d</w:t>
      </w:r>
      <w:r w:rsidR="00C57FE1">
        <w:rPr>
          <w:rFonts w:ascii="Titillium" w:hAnsi="Titillium" w:cs="Calibri"/>
          <w:iCs/>
          <w:sz w:val="18"/>
          <w:szCs w:val="18"/>
        </w:rPr>
        <w:t>e</w:t>
      </w:r>
      <w:r>
        <w:rPr>
          <w:rFonts w:ascii="Titillium" w:hAnsi="Titillium" w:cs="Calibri"/>
          <w:iCs/>
          <w:sz w:val="18"/>
          <w:szCs w:val="18"/>
        </w:rPr>
        <w:t xml:space="preserve">i </w:t>
      </w:r>
      <w:r w:rsidR="00C57FE1">
        <w:rPr>
          <w:rFonts w:ascii="Titillium" w:hAnsi="Titillium" w:cs="Calibri"/>
          <w:iCs/>
          <w:sz w:val="18"/>
          <w:szCs w:val="18"/>
        </w:rPr>
        <w:t xml:space="preserve">seguenti </w:t>
      </w:r>
      <w:r>
        <w:rPr>
          <w:rFonts w:ascii="Titillium" w:hAnsi="Titillium" w:cs="Calibri"/>
          <w:iCs/>
          <w:sz w:val="18"/>
          <w:szCs w:val="18"/>
        </w:rPr>
        <w:t>servizi</w:t>
      </w:r>
      <w:r w:rsidR="00C57FE1">
        <w:rPr>
          <w:rFonts w:ascii="Titillium" w:hAnsi="Titillium" w:cs="Calibri"/>
          <w:iCs/>
          <w:sz w:val="18"/>
          <w:szCs w:val="18"/>
        </w:rPr>
        <w:t xml:space="preserve">: </w:t>
      </w:r>
      <w:r>
        <w:rPr>
          <w:rFonts w:ascii="Titillium" w:hAnsi="Titillium" w:cs="Calibri"/>
          <w:iCs/>
          <w:sz w:val="18"/>
          <w:szCs w:val="18"/>
        </w:rPr>
        <w:t xml:space="preserve">… </w:t>
      </w:r>
      <w:r w:rsidRPr="00484FCC">
        <w:rPr>
          <w:rFonts w:ascii="Titillium" w:hAnsi="Titillium" w:cs="Calibri"/>
          <w:i/>
          <w:iCs/>
          <w:sz w:val="18"/>
          <w:szCs w:val="18"/>
        </w:rPr>
        <w:t>[precisare le prestazioni oggetto dell’eventuale affidamento</w:t>
      </w:r>
      <w:r w:rsidR="00C57FE1">
        <w:rPr>
          <w:rFonts w:ascii="Titillium" w:hAnsi="Titillium" w:cs="Calibri"/>
          <w:i/>
          <w:iCs/>
          <w:sz w:val="18"/>
          <w:szCs w:val="18"/>
        </w:rPr>
        <w:t xml:space="preserve"> e la relativa durata</w:t>
      </w:r>
      <w:r w:rsidRPr="00484FCC">
        <w:rPr>
          <w:rFonts w:ascii="Titillium" w:hAnsi="Titillium" w:cs="Calibri"/>
          <w:i/>
          <w:iCs/>
          <w:sz w:val="18"/>
          <w:szCs w:val="18"/>
        </w:rPr>
        <w:t>]</w:t>
      </w:r>
      <w:r>
        <w:rPr>
          <w:rFonts w:ascii="Titillium" w:hAnsi="Titillium" w:cs="Calibri"/>
          <w:iCs/>
          <w:sz w:val="18"/>
          <w:szCs w:val="18"/>
        </w:rPr>
        <w:t xml:space="preserve">, per un importo stimato complessivamente non superiore ad € … </w:t>
      </w:r>
      <w:r>
        <w:rPr>
          <w:rFonts w:ascii="Titillium" w:hAnsi="Titillium"/>
          <w:sz w:val="18"/>
          <w:szCs w:val="18"/>
        </w:rPr>
        <w:t xml:space="preserve"> </w:t>
      </w:r>
      <w:r w:rsidRPr="00484FCC">
        <w:rPr>
          <w:rFonts w:ascii="Titillium" w:hAnsi="Titillium" w:cs="Calibri"/>
          <w:i/>
          <w:iCs/>
          <w:sz w:val="18"/>
          <w:szCs w:val="18"/>
        </w:rPr>
        <w:t>[indicare l’importo</w:t>
      </w:r>
      <w:r>
        <w:rPr>
          <w:rFonts w:ascii="Titillium" w:hAnsi="Titillium" w:cs="Calibri"/>
          <w:iCs/>
          <w:sz w:val="18"/>
          <w:szCs w:val="18"/>
        </w:rPr>
        <w:t xml:space="preserve">], </w:t>
      </w:r>
      <w:r>
        <w:rPr>
          <w:rFonts w:ascii="Titillium" w:hAnsi="Titillium" w:cs="Calibri"/>
          <w:sz w:val="18"/>
          <w:szCs w:val="18"/>
        </w:rPr>
        <w:t xml:space="preserve">al netto di Iva </w:t>
      </w:r>
    </w:p>
    <w:p w14:paraId="67FA2F98" w14:textId="06E68280" w:rsidR="00E41EDE" w:rsidRPr="00E41EDE" w:rsidRDefault="00E41EDE" w:rsidP="00E41EDE">
      <w:pPr>
        <w:spacing w:before="60" w:after="60"/>
        <w:rPr>
          <w:rFonts w:ascii="Titillium" w:hAnsi="Titillium"/>
          <w:bCs/>
          <w:iCs/>
          <w:sz w:val="18"/>
          <w:szCs w:val="18"/>
        </w:rPr>
      </w:pPr>
      <w:r w:rsidRPr="00871272">
        <w:rPr>
          <w:rFonts w:ascii="Titillium" w:hAnsi="Titillium"/>
          <w:b/>
          <w:i/>
          <w:sz w:val="18"/>
          <w:szCs w:val="18"/>
        </w:rPr>
        <w:t xml:space="preserve">[Facoltativo] </w:t>
      </w:r>
      <w:r w:rsidRPr="00871272">
        <w:rPr>
          <w:rFonts w:ascii="Titillium" w:hAnsi="Titillium"/>
          <w:b/>
          <w:iCs/>
          <w:sz w:val="18"/>
          <w:szCs w:val="18"/>
        </w:rPr>
        <w:t xml:space="preserve">Variazione fino a concorrenza del quinto dell’importo del contratto: </w:t>
      </w:r>
      <w:r w:rsidRPr="00871272">
        <w:rPr>
          <w:rFonts w:ascii="Titillium" w:hAnsi="Titillium"/>
          <w:bCs/>
          <w:iCs/>
          <w:sz w:val="18"/>
          <w:szCs w:val="18"/>
        </w:rPr>
        <w:t>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r w:rsidRPr="00E41EDE">
        <w:rPr>
          <w:rFonts w:ascii="Titillium" w:hAnsi="Titillium"/>
          <w:bCs/>
          <w:iCs/>
          <w:sz w:val="18"/>
          <w:szCs w:val="18"/>
        </w:rPr>
        <w:t xml:space="preserve"> </w:t>
      </w:r>
    </w:p>
    <w:p w14:paraId="77B859EF" w14:textId="0569A40B" w:rsidR="004C53A8" w:rsidRPr="003E4EEF" w:rsidRDefault="00870286">
      <w:pPr>
        <w:spacing w:before="60" w:after="60"/>
        <w:rPr>
          <w:rFonts w:ascii="Titillium" w:hAnsi="Titillium" w:cs="Calibri"/>
          <w:i/>
          <w:iCs/>
          <w:sz w:val="18"/>
          <w:szCs w:val="18"/>
        </w:rPr>
      </w:pPr>
      <w:r>
        <w:rPr>
          <w:rFonts w:ascii="Titillium" w:hAnsi="Titillium" w:cs="Calibri"/>
          <w:b/>
          <w:bCs/>
          <w:i/>
          <w:iCs/>
          <w:sz w:val="18"/>
          <w:szCs w:val="18"/>
        </w:rPr>
        <w:t>[</w:t>
      </w:r>
      <w:r>
        <w:rPr>
          <w:rFonts w:ascii="Titillium" w:hAnsi="Titillium"/>
          <w:b/>
          <w:bCs/>
          <w:i/>
          <w:sz w:val="18"/>
          <w:szCs w:val="18"/>
        </w:rPr>
        <w:t>Facoltativo</w:t>
      </w:r>
      <w:r w:rsidR="00944586">
        <w:rPr>
          <w:rFonts w:ascii="Titillium" w:hAnsi="Titillium"/>
          <w:b/>
          <w:bCs/>
          <w:i/>
          <w:sz w:val="18"/>
          <w:szCs w:val="18"/>
        </w:rPr>
        <w:t xml:space="preserve">] </w:t>
      </w:r>
      <w:r w:rsidRPr="00944586">
        <w:rPr>
          <w:rFonts w:ascii="Titillium" w:hAnsi="Titillium"/>
          <w:b/>
          <w:bCs/>
          <w:iCs/>
          <w:sz w:val="18"/>
          <w:szCs w:val="18"/>
        </w:rPr>
        <w:t>M</w:t>
      </w:r>
      <w:r w:rsidRPr="00944586">
        <w:rPr>
          <w:rFonts w:ascii="Titillium" w:hAnsi="Titillium" w:cs="Calibri"/>
          <w:b/>
          <w:bCs/>
          <w:iCs/>
          <w:sz w:val="18"/>
          <w:szCs w:val="18"/>
        </w:rPr>
        <w:t xml:space="preserve">odifiche del contratto ai sensi dell’articolo </w:t>
      </w:r>
      <w:r w:rsidR="00F92F0C" w:rsidRPr="00944586">
        <w:rPr>
          <w:rFonts w:ascii="Titillium" w:hAnsi="Titillium" w:cs="Calibri"/>
          <w:b/>
          <w:bCs/>
          <w:iCs/>
          <w:sz w:val="18"/>
          <w:szCs w:val="18"/>
        </w:rPr>
        <w:t>120</w:t>
      </w:r>
      <w:r w:rsidR="004E7A85">
        <w:rPr>
          <w:rFonts w:ascii="Titillium" w:hAnsi="Titillium" w:cs="Calibri"/>
          <w:b/>
          <w:bCs/>
          <w:iCs/>
          <w:sz w:val="18"/>
          <w:szCs w:val="18"/>
        </w:rPr>
        <w:t>,</w:t>
      </w:r>
      <w:r w:rsidRPr="00944586">
        <w:rPr>
          <w:rFonts w:ascii="Titillium" w:hAnsi="Titillium" w:cs="Calibri"/>
          <w:b/>
          <w:bCs/>
          <w:iCs/>
          <w:sz w:val="18"/>
          <w:szCs w:val="18"/>
        </w:rPr>
        <w:t xml:space="preserve"> comma 1</w:t>
      </w:r>
      <w:r w:rsidR="004E7A85">
        <w:rPr>
          <w:rFonts w:ascii="Titillium" w:hAnsi="Titillium" w:cs="Calibri"/>
          <w:b/>
          <w:bCs/>
          <w:iCs/>
          <w:sz w:val="18"/>
          <w:szCs w:val="18"/>
        </w:rPr>
        <w:t>,</w:t>
      </w:r>
      <w:r w:rsidRPr="00944586">
        <w:rPr>
          <w:rFonts w:ascii="Titillium" w:hAnsi="Titillium" w:cs="Calibri"/>
          <w:b/>
          <w:bCs/>
          <w:iCs/>
          <w:sz w:val="18"/>
          <w:szCs w:val="18"/>
        </w:rPr>
        <w:t xml:space="preserve"> lettera a) del Codic</w:t>
      </w:r>
      <w:r w:rsidR="00944586">
        <w:rPr>
          <w:rFonts w:ascii="Titillium" w:hAnsi="Titillium" w:cs="Calibri"/>
          <w:b/>
          <w:bCs/>
          <w:iCs/>
          <w:sz w:val="18"/>
          <w:szCs w:val="18"/>
        </w:rPr>
        <w:t xml:space="preserve">e: </w:t>
      </w:r>
      <w:r w:rsidR="00944586" w:rsidRPr="00944586">
        <w:rPr>
          <w:rFonts w:ascii="Titillium" w:hAnsi="Titillium" w:cs="Calibri"/>
          <w:iCs/>
          <w:sz w:val="18"/>
          <w:szCs w:val="18"/>
        </w:rPr>
        <w:t>la stazione appaltante si riserva di modificare</w:t>
      </w:r>
      <w:r w:rsidR="00944586">
        <w:rPr>
          <w:rFonts w:ascii="Titillium" w:hAnsi="Titillium" w:cs="Calibri"/>
          <w:b/>
          <w:bCs/>
          <w:iCs/>
          <w:sz w:val="18"/>
          <w:szCs w:val="18"/>
        </w:rPr>
        <w:t xml:space="preserve"> i</w:t>
      </w:r>
      <w:r>
        <w:rPr>
          <w:rFonts w:ascii="Titillium" w:hAnsi="Titillium" w:cs="Calibri"/>
          <w:iCs/>
          <w:sz w:val="18"/>
          <w:szCs w:val="18"/>
        </w:rPr>
        <w:t>l contratto</w:t>
      </w:r>
      <w:r w:rsidR="00944586">
        <w:rPr>
          <w:rFonts w:ascii="Titillium" w:hAnsi="Titillium" w:cs="Calibri"/>
          <w:iCs/>
          <w:sz w:val="18"/>
          <w:szCs w:val="18"/>
        </w:rPr>
        <w:t xml:space="preserve"> in corso di esecuzione</w:t>
      </w:r>
      <w:r>
        <w:rPr>
          <w:rFonts w:ascii="Titillium" w:hAnsi="Titillium" w:cs="Calibri"/>
          <w:iCs/>
          <w:sz w:val="18"/>
          <w:szCs w:val="18"/>
        </w:rPr>
        <w:t xml:space="preserve">, nei seguenti casi: … </w:t>
      </w:r>
      <w:r w:rsidRPr="00AA00BF">
        <w:rPr>
          <w:rFonts w:ascii="Titillium" w:hAnsi="Titillium" w:cs="Calibri"/>
          <w:i/>
          <w:sz w:val="18"/>
          <w:szCs w:val="18"/>
        </w:rPr>
        <w:t>[indicare</w:t>
      </w:r>
      <w:r>
        <w:rPr>
          <w:rFonts w:ascii="Titillium" w:hAnsi="Titillium" w:cs="Calibri"/>
          <w:i/>
          <w:iCs/>
          <w:sz w:val="18"/>
          <w:szCs w:val="18"/>
        </w:rPr>
        <w:t xml:space="preserve"> </w:t>
      </w:r>
      <w:bookmarkStart w:id="283" w:name="_Hlk127471187"/>
      <w:r>
        <w:rPr>
          <w:rFonts w:ascii="Titillium" w:hAnsi="Titillium" w:cs="Calibri"/>
          <w:i/>
          <w:iCs/>
          <w:sz w:val="18"/>
          <w:szCs w:val="18"/>
        </w:rPr>
        <w:t>in modo chiaro, preciso ed inequivocabile</w:t>
      </w:r>
      <w:bookmarkEnd w:id="283"/>
      <w:r>
        <w:rPr>
          <w:rFonts w:ascii="Titillium" w:hAnsi="Titillium" w:cs="Calibri"/>
          <w:i/>
          <w:iCs/>
          <w:sz w:val="18"/>
          <w:szCs w:val="18"/>
        </w:rPr>
        <w:t xml:space="preserve">, la portata e la natura delle modifiche contrattuali, nonché le condizioni alle quali esse possono essere </w:t>
      </w:r>
      <w:r w:rsidR="000E0E7C" w:rsidRPr="003E4EEF">
        <w:rPr>
          <w:rFonts w:ascii="Titillium" w:hAnsi="Titillium" w:cs="Calibri"/>
          <w:i/>
          <w:iCs/>
          <w:sz w:val="18"/>
          <w:szCs w:val="18"/>
        </w:rPr>
        <w:t>effettuate</w:t>
      </w:r>
      <w:r w:rsidR="00AA00BF">
        <w:rPr>
          <w:rFonts w:ascii="Titillium" w:hAnsi="Titillium" w:cs="Calibri"/>
          <w:i/>
          <w:iCs/>
          <w:sz w:val="18"/>
          <w:szCs w:val="18"/>
        </w:rPr>
        <w:t>]</w:t>
      </w:r>
      <w:r w:rsidRPr="003E4EEF">
        <w:rPr>
          <w:rFonts w:ascii="Titillium" w:hAnsi="Titillium" w:cs="Calibri"/>
          <w:i/>
          <w:iCs/>
          <w:sz w:val="18"/>
          <w:szCs w:val="18"/>
        </w:rPr>
        <w:t xml:space="preserve">. </w:t>
      </w:r>
    </w:p>
    <w:p w14:paraId="64715C4E" w14:textId="0389C55A" w:rsidR="00970309" w:rsidRPr="003E4EEF" w:rsidRDefault="00970309" w:rsidP="00970309">
      <w:pPr>
        <w:spacing w:before="60" w:after="60"/>
        <w:rPr>
          <w:rFonts w:ascii="Titillium" w:hAnsi="Titillium" w:cs="Calibri"/>
          <w:i/>
          <w:iCs/>
          <w:sz w:val="18"/>
          <w:szCs w:val="18"/>
        </w:rPr>
      </w:pPr>
      <w:r w:rsidRPr="003E4EEF">
        <w:rPr>
          <w:rFonts w:ascii="Titillium" w:hAnsi="Titillium" w:cs="Calibri"/>
          <w:b/>
          <w:bCs/>
          <w:i/>
          <w:iCs/>
          <w:sz w:val="18"/>
          <w:szCs w:val="18"/>
        </w:rPr>
        <w:t>[Facoltativo]</w:t>
      </w:r>
      <w:r w:rsidRPr="003E4EEF">
        <w:rPr>
          <w:rFonts w:ascii="Titillium" w:hAnsi="Titillium" w:cs="Calibri"/>
          <w:i/>
          <w:iCs/>
          <w:sz w:val="18"/>
          <w:szCs w:val="18"/>
        </w:rPr>
        <w:t xml:space="preserve"> </w:t>
      </w:r>
      <w:r w:rsidR="00EB3D58" w:rsidRPr="003E4EEF">
        <w:rPr>
          <w:rFonts w:ascii="Titillium" w:hAnsi="Titillium" w:cs="Calibri"/>
          <w:b/>
          <w:bCs/>
          <w:sz w:val="18"/>
          <w:szCs w:val="18"/>
        </w:rPr>
        <w:t>C</w:t>
      </w:r>
      <w:r w:rsidRPr="003E4EEF">
        <w:rPr>
          <w:rFonts w:ascii="Titillium" w:hAnsi="Titillium" w:cs="Calibri"/>
          <w:b/>
          <w:bCs/>
          <w:sz w:val="18"/>
          <w:szCs w:val="18"/>
        </w:rPr>
        <w:t>lausola di rinegoziazione</w:t>
      </w:r>
      <w:r w:rsidRPr="003E4EEF">
        <w:rPr>
          <w:rFonts w:ascii="Titillium" w:hAnsi="Titillium" w:cs="Calibri"/>
          <w:sz w:val="18"/>
          <w:szCs w:val="18"/>
        </w:rPr>
        <w:t xml:space="preserve">: </w:t>
      </w:r>
      <w:r w:rsidR="00EB3D58" w:rsidRPr="003E4EEF">
        <w:rPr>
          <w:rFonts w:ascii="Titillium" w:hAnsi="Titillium" w:cs="Calibri"/>
          <w:sz w:val="18"/>
          <w:szCs w:val="18"/>
        </w:rPr>
        <w:t>….</w:t>
      </w:r>
      <w:r w:rsidRPr="003E4EEF">
        <w:rPr>
          <w:rFonts w:ascii="Titillium" w:hAnsi="Titillium" w:cs="Calibri"/>
          <w:sz w:val="18"/>
          <w:szCs w:val="18"/>
        </w:rPr>
        <w:t xml:space="preserve"> </w:t>
      </w:r>
      <w:r w:rsidR="00EB3D58" w:rsidRPr="003E4EEF">
        <w:rPr>
          <w:rFonts w:ascii="Titillium" w:hAnsi="Titillium" w:cs="Calibri"/>
          <w:i/>
          <w:iCs/>
          <w:sz w:val="18"/>
          <w:szCs w:val="18"/>
        </w:rPr>
        <w:t>[ai sensi dell’art</w:t>
      </w:r>
      <w:r w:rsidR="004E7A85">
        <w:rPr>
          <w:rFonts w:ascii="Titillium" w:hAnsi="Titillium" w:cs="Calibri"/>
          <w:i/>
          <w:iCs/>
          <w:sz w:val="18"/>
          <w:szCs w:val="18"/>
        </w:rPr>
        <w:t>icolo</w:t>
      </w:r>
      <w:r w:rsidR="00EB3D58" w:rsidRPr="003E4EEF">
        <w:rPr>
          <w:rFonts w:ascii="Titillium" w:hAnsi="Titillium" w:cs="Calibri"/>
          <w:i/>
          <w:iCs/>
          <w:sz w:val="18"/>
          <w:szCs w:val="18"/>
        </w:rPr>
        <w:t xml:space="preserve"> 9 del Codice, la stazione appaltante può prevedere clausole di rinegoziazione, specie quando il contratto risulta particolarmente esposto per la sua durata, per il contesto economico di riferimento o per altre circostanze, al rischio delle interferenze da sopravvenienze</w:t>
      </w:r>
      <w:r w:rsidR="00765158" w:rsidRPr="003E4EEF">
        <w:rPr>
          <w:rFonts w:ascii="Titillium" w:hAnsi="Titillium" w:cs="Calibri"/>
          <w:i/>
          <w:iCs/>
          <w:sz w:val="18"/>
          <w:szCs w:val="18"/>
        </w:rPr>
        <w:t>]</w:t>
      </w:r>
    </w:p>
    <w:p w14:paraId="06E96B05" w14:textId="56E6761B" w:rsidR="00970309" w:rsidRDefault="00970309" w:rsidP="00970309">
      <w:pPr>
        <w:spacing w:before="60" w:after="60"/>
        <w:rPr>
          <w:rFonts w:ascii="Titillium" w:hAnsi="Titillium" w:cs="Calibri"/>
          <w:i/>
          <w:iCs/>
          <w:sz w:val="18"/>
          <w:szCs w:val="18"/>
        </w:rPr>
      </w:pPr>
      <w:r>
        <w:rPr>
          <w:rFonts w:ascii="Titillium" w:hAnsi="Titillium" w:cs="Calibri"/>
          <w:b/>
          <w:bCs/>
          <w:i/>
          <w:iCs/>
          <w:sz w:val="18"/>
          <w:szCs w:val="18"/>
        </w:rPr>
        <w:t>[</w:t>
      </w:r>
      <w:r>
        <w:rPr>
          <w:rFonts w:ascii="Titillium" w:hAnsi="Titillium"/>
          <w:b/>
          <w:bCs/>
          <w:i/>
          <w:sz w:val="18"/>
          <w:szCs w:val="18"/>
        </w:rPr>
        <w:t xml:space="preserve">Facoltativo] </w:t>
      </w:r>
      <w:r w:rsidRPr="00944586">
        <w:rPr>
          <w:rFonts w:ascii="Titillium" w:hAnsi="Titillium"/>
          <w:b/>
          <w:bCs/>
          <w:iCs/>
          <w:sz w:val="18"/>
          <w:szCs w:val="18"/>
        </w:rPr>
        <w:t>M</w:t>
      </w:r>
      <w:r w:rsidRPr="00944586">
        <w:rPr>
          <w:rFonts w:ascii="Titillium" w:hAnsi="Titillium" w:cs="Calibri"/>
          <w:b/>
          <w:bCs/>
          <w:iCs/>
          <w:sz w:val="18"/>
          <w:szCs w:val="18"/>
        </w:rPr>
        <w:t>odifiche del contratto ai sensi dell’articolo 120</w:t>
      </w:r>
      <w:r w:rsidR="004E7A85">
        <w:rPr>
          <w:rFonts w:ascii="Titillium" w:hAnsi="Titillium" w:cs="Calibri"/>
          <w:b/>
          <w:bCs/>
          <w:iCs/>
          <w:sz w:val="18"/>
          <w:szCs w:val="18"/>
        </w:rPr>
        <w:t>,</w:t>
      </w:r>
      <w:r w:rsidRPr="00944586">
        <w:rPr>
          <w:rFonts w:ascii="Titillium" w:hAnsi="Titillium" w:cs="Calibri"/>
          <w:b/>
          <w:bCs/>
          <w:iCs/>
          <w:sz w:val="18"/>
          <w:szCs w:val="18"/>
        </w:rPr>
        <w:t xml:space="preserve"> comma 1</w:t>
      </w:r>
      <w:r w:rsidR="004E7A85">
        <w:rPr>
          <w:rFonts w:ascii="Titillium" w:hAnsi="Titillium" w:cs="Calibri"/>
          <w:b/>
          <w:bCs/>
          <w:iCs/>
          <w:sz w:val="18"/>
          <w:szCs w:val="18"/>
        </w:rPr>
        <w:t>,</w:t>
      </w:r>
      <w:r w:rsidRPr="00944586">
        <w:rPr>
          <w:rFonts w:ascii="Titillium" w:hAnsi="Titillium" w:cs="Calibri"/>
          <w:b/>
          <w:bCs/>
          <w:iCs/>
          <w:sz w:val="18"/>
          <w:szCs w:val="18"/>
        </w:rPr>
        <w:t xml:space="preserve"> lettera </w:t>
      </w:r>
      <w:r>
        <w:rPr>
          <w:rFonts w:ascii="Titillium" w:hAnsi="Titillium" w:cs="Calibri"/>
          <w:b/>
          <w:bCs/>
          <w:iCs/>
          <w:sz w:val="18"/>
          <w:szCs w:val="18"/>
        </w:rPr>
        <w:t>d</w:t>
      </w:r>
      <w:r w:rsidRPr="00944586">
        <w:rPr>
          <w:rFonts w:ascii="Titillium" w:hAnsi="Titillium" w:cs="Calibri"/>
          <w:b/>
          <w:bCs/>
          <w:iCs/>
          <w:sz w:val="18"/>
          <w:szCs w:val="18"/>
        </w:rPr>
        <w:t>) del Codic</w:t>
      </w:r>
      <w:r>
        <w:rPr>
          <w:rFonts w:ascii="Titillium" w:hAnsi="Titillium" w:cs="Calibri"/>
          <w:b/>
          <w:bCs/>
          <w:iCs/>
          <w:sz w:val="18"/>
          <w:szCs w:val="18"/>
        </w:rPr>
        <w:t xml:space="preserve">e: </w:t>
      </w:r>
      <w:r w:rsidRPr="00944586">
        <w:rPr>
          <w:rFonts w:ascii="Titillium" w:hAnsi="Titillium" w:cs="Calibri"/>
          <w:iCs/>
          <w:sz w:val="18"/>
          <w:szCs w:val="18"/>
        </w:rPr>
        <w:t>la stazione appaltante si riserva</w:t>
      </w:r>
      <w:r>
        <w:rPr>
          <w:rFonts w:ascii="Titillium" w:hAnsi="Titillium" w:cs="Calibri"/>
          <w:iCs/>
          <w:sz w:val="18"/>
          <w:szCs w:val="18"/>
        </w:rPr>
        <w:t>, in corso di esecuzione,</w:t>
      </w:r>
      <w:r w:rsidRPr="00944586">
        <w:rPr>
          <w:rFonts w:ascii="Titillium" w:hAnsi="Titillium" w:cs="Calibri"/>
          <w:iCs/>
          <w:sz w:val="18"/>
          <w:szCs w:val="18"/>
        </w:rPr>
        <w:t xml:space="preserve"> di </w:t>
      </w:r>
      <w:r>
        <w:rPr>
          <w:rFonts w:ascii="Titillium" w:hAnsi="Titillium" w:cs="Calibri"/>
          <w:iCs/>
          <w:sz w:val="18"/>
          <w:szCs w:val="18"/>
        </w:rPr>
        <w:t>sostituire l’aggiudicatario iniziale con un nuovo contraente nei seguenti casi: …</w:t>
      </w:r>
      <w:r w:rsidRPr="00AA00BF">
        <w:rPr>
          <w:rFonts w:ascii="Titillium" w:hAnsi="Titillium" w:cs="Calibri"/>
          <w:i/>
          <w:sz w:val="18"/>
          <w:szCs w:val="18"/>
        </w:rPr>
        <w:t xml:space="preserve"> [</w:t>
      </w:r>
      <w:r>
        <w:rPr>
          <w:rFonts w:ascii="Titillium" w:hAnsi="Titillium" w:cs="Calibri"/>
          <w:i/>
          <w:iCs/>
          <w:sz w:val="18"/>
          <w:szCs w:val="18"/>
        </w:rPr>
        <w:t xml:space="preserve">indicare in modo chiaro, preciso ed inequivocabile, </w:t>
      </w:r>
      <w:r w:rsidRPr="0033662A">
        <w:rPr>
          <w:rFonts w:ascii="Titillium" w:hAnsi="Titillium" w:cs="Calibri"/>
          <w:i/>
          <w:iCs/>
          <w:sz w:val="18"/>
          <w:szCs w:val="18"/>
        </w:rPr>
        <w:t>le relative circostanze</w:t>
      </w:r>
      <w:r>
        <w:rPr>
          <w:rFonts w:ascii="Titillium" w:hAnsi="Titillium" w:cs="Calibri"/>
          <w:i/>
          <w:iCs/>
          <w:sz w:val="18"/>
          <w:szCs w:val="18"/>
        </w:rPr>
        <w:t>].</w:t>
      </w:r>
    </w:p>
    <w:p w14:paraId="15B54832" w14:textId="77777777" w:rsidR="009564C4" w:rsidRDefault="009564C4">
      <w:pPr>
        <w:spacing w:before="60" w:after="60"/>
        <w:rPr>
          <w:rFonts w:ascii="Titillium" w:hAnsi="Titillium"/>
          <w:b/>
          <w:bCs/>
          <w:i/>
          <w:sz w:val="18"/>
          <w:szCs w:val="18"/>
        </w:rPr>
      </w:pPr>
    </w:p>
    <w:p w14:paraId="3F416C42" w14:textId="4F1145E4" w:rsidR="004C53A8" w:rsidRPr="00BF470E" w:rsidRDefault="00870286">
      <w:pPr>
        <w:spacing w:before="60" w:after="60"/>
        <w:rPr>
          <w:i/>
        </w:rPr>
      </w:pPr>
      <w:r>
        <w:rPr>
          <w:rFonts w:ascii="Titillium" w:hAnsi="Titillium"/>
          <w:b/>
          <w:bCs/>
          <w:i/>
          <w:sz w:val="18"/>
          <w:szCs w:val="18"/>
        </w:rPr>
        <w:t>[In caso di inserimento di una o più delle suddette clausole facoltative.</w:t>
      </w:r>
      <w:r w:rsidRPr="007814A7">
        <w:rPr>
          <w:rFonts w:ascii="Titillium" w:hAnsi="Titillium"/>
          <w:b/>
          <w:bCs/>
          <w:i/>
          <w:sz w:val="18"/>
          <w:szCs w:val="18"/>
        </w:rPr>
        <w:t>]</w:t>
      </w:r>
      <w:r>
        <w:rPr>
          <w:rFonts w:ascii="Titillium" w:hAnsi="Titillium"/>
          <w:b/>
          <w:bCs/>
          <w:sz w:val="18"/>
          <w:szCs w:val="18"/>
        </w:rPr>
        <w:t xml:space="preserve"> </w:t>
      </w:r>
      <w:r>
        <w:rPr>
          <w:rFonts w:ascii="Titillium" w:hAnsi="Titillium"/>
          <w:sz w:val="18"/>
          <w:szCs w:val="18"/>
        </w:rPr>
        <w:t xml:space="preserve">Il </w:t>
      </w:r>
      <w:r w:rsidRPr="007814A7">
        <w:rPr>
          <w:rFonts w:ascii="Titillium" w:hAnsi="Titillium"/>
          <w:b/>
          <w:bCs/>
          <w:sz w:val="18"/>
          <w:szCs w:val="18"/>
        </w:rPr>
        <w:t xml:space="preserve">valore </w:t>
      </w:r>
      <w:r w:rsidR="00484FCC" w:rsidRPr="007814A7">
        <w:rPr>
          <w:rFonts w:ascii="Titillium" w:hAnsi="Titillium"/>
          <w:b/>
          <w:bCs/>
          <w:sz w:val="18"/>
          <w:szCs w:val="18"/>
        </w:rPr>
        <w:t>globale</w:t>
      </w:r>
      <w:r w:rsidRPr="007814A7">
        <w:rPr>
          <w:rFonts w:ascii="Titillium" w:hAnsi="Titillium"/>
          <w:b/>
          <w:bCs/>
          <w:sz w:val="18"/>
          <w:szCs w:val="18"/>
        </w:rPr>
        <w:t xml:space="preserve"> stimato</w:t>
      </w:r>
      <w:r>
        <w:rPr>
          <w:rFonts w:ascii="Titillium" w:hAnsi="Titillium"/>
          <w:sz w:val="18"/>
          <w:szCs w:val="18"/>
        </w:rPr>
        <w:t xml:space="preserve"> dell’appalto è pari ad € </w:t>
      </w:r>
      <w:r w:rsidRPr="00BF470E">
        <w:rPr>
          <w:rFonts w:ascii="Titillium" w:hAnsi="Titillium"/>
          <w:i/>
          <w:sz w:val="18"/>
          <w:szCs w:val="18"/>
        </w:rPr>
        <w:t xml:space="preserve">... </w:t>
      </w:r>
      <w:r w:rsidRPr="00BF470E">
        <w:rPr>
          <w:rFonts w:ascii="Titillium" w:hAnsi="Titillium" w:cs="Calibri"/>
          <w:i/>
          <w:sz w:val="18"/>
          <w:szCs w:val="18"/>
        </w:rPr>
        <w:t>[indicare il valore, in caso di più lotti indicare la somma di tutti i lotti],</w:t>
      </w:r>
      <w:r>
        <w:rPr>
          <w:rFonts w:ascii="Titillium" w:hAnsi="Titillium" w:cs="Calibri"/>
          <w:sz w:val="18"/>
          <w:szCs w:val="18"/>
        </w:rPr>
        <w:t xml:space="preserve"> al netto di Iva </w:t>
      </w:r>
      <w:r w:rsidRPr="00BF470E">
        <w:rPr>
          <w:rFonts w:ascii="Titillium" w:hAnsi="Titillium" w:cs="Calibri"/>
          <w:i/>
          <w:sz w:val="18"/>
          <w:szCs w:val="18"/>
        </w:rPr>
        <w:t>[così suddiviso. In caso di più lotti riportare una tabella per ciascun lotto]:</w:t>
      </w:r>
    </w:p>
    <w:p w14:paraId="4BE2F2D9" w14:textId="2ABD9DB2" w:rsidR="004C53A8" w:rsidRDefault="00870286">
      <w:pPr>
        <w:pStyle w:val="Didascalia"/>
        <w:rPr>
          <w:rFonts w:ascii="Titillium" w:hAnsi="Titillium"/>
          <w:sz w:val="18"/>
        </w:rPr>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527049">
        <w:rPr>
          <w:rFonts w:ascii="Titillium" w:hAnsi="Titillium"/>
          <w:noProof/>
          <w:sz w:val="18"/>
        </w:rPr>
        <w:t>3</w:t>
      </w:r>
      <w:r>
        <w:rPr>
          <w:rFonts w:ascii="Titillium" w:hAnsi="Titillium"/>
          <w:sz w:val="18"/>
        </w:rPr>
        <w:fldChar w:fldCharType="end"/>
      </w:r>
    </w:p>
    <w:tbl>
      <w:tblPr>
        <w:tblStyle w:val="Grigliatabella"/>
        <w:tblW w:w="0" w:type="auto"/>
        <w:tblLook w:val="04A0" w:firstRow="1" w:lastRow="0" w:firstColumn="1" w:lastColumn="0" w:noHBand="0" w:noVBand="1"/>
      </w:tblPr>
      <w:tblGrid>
        <w:gridCol w:w="5949"/>
        <w:gridCol w:w="3265"/>
      </w:tblGrid>
      <w:tr w:rsidR="007814A7" w:rsidRPr="007814A7" w14:paraId="64FBFE8B" w14:textId="77777777" w:rsidTr="000047CD">
        <w:tc>
          <w:tcPr>
            <w:tcW w:w="5949" w:type="dxa"/>
          </w:tcPr>
          <w:p w14:paraId="2BD9B1D8" w14:textId="63B5A57E" w:rsidR="007814A7" w:rsidRPr="007814A7" w:rsidRDefault="007814A7" w:rsidP="007814A7">
            <w:pPr>
              <w:rPr>
                <w:rFonts w:ascii="Titillium" w:hAnsi="Titillium"/>
                <w:sz w:val="18"/>
                <w:szCs w:val="18"/>
              </w:rPr>
            </w:pPr>
            <w:r>
              <w:rPr>
                <w:rFonts w:ascii="Titillium" w:hAnsi="Titillium"/>
                <w:b/>
                <w:sz w:val="18"/>
                <w:szCs w:val="18"/>
              </w:rPr>
              <w:t xml:space="preserve">Importo complessivo </w:t>
            </w:r>
            <w:r w:rsidR="00E41EDE">
              <w:rPr>
                <w:rFonts w:ascii="Titillium" w:hAnsi="Titillium"/>
                <w:b/>
                <w:sz w:val="18"/>
                <w:szCs w:val="18"/>
              </w:rPr>
              <w:t>(A+B)</w:t>
            </w:r>
          </w:p>
        </w:tc>
        <w:tc>
          <w:tcPr>
            <w:tcW w:w="3265" w:type="dxa"/>
          </w:tcPr>
          <w:p w14:paraId="5988824F" w14:textId="77777777" w:rsidR="007814A7" w:rsidRPr="007814A7" w:rsidRDefault="007814A7" w:rsidP="007814A7">
            <w:pPr>
              <w:rPr>
                <w:rFonts w:ascii="Titillium" w:hAnsi="Titillium"/>
                <w:sz w:val="18"/>
                <w:szCs w:val="18"/>
              </w:rPr>
            </w:pPr>
          </w:p>
        </w:tc>
      </w:tr>
      <w:tr w:rsidR="007814A7" w:rsidRPr="00871272" w14:paraId="56AA466F" w14:textId="77777777" w:rsidTr="000047CD">
        <w:tc>
          <w:tcPr>
            <w:tcW w:w="5949" w:type="dxa"/>
          </w:tcPr>
          <w:p w14:paraId="3260FF47" w14:textId="22C8AF87" w:rsidR="007814A7" w:rsidRPr="00871272" w:rsidRDefault="002D04ED" w:rsidP="007814A7">
            <w:pPr>
              <w:rPr>
                <w:rFonts w:ascii="Titillium" w:hAnsi="Titillium"/>
                <w:sz w:val="18"/>
                <w:szCs w:val="18"/>
              </w:rPr>
            </w:pPr>
            <w:r w:rsidRPr="00871272">
              <w:rPr>
                <w:rFonts w:ascii="Titillium" w:hAnsi="Titillium"/>
                <w:sz w:val="18"/>
                <w:szCs w:val="18"/>
              </w:rPr>
              <w:t>Importo per l</w:t>
            </w:r>
            <w:r w:rsidR="00527891" w:rsidRPr="00871272">
              <w:rPr>
                <w:rFonts w:ascii="Titillium" w:hAnsi="Titillium"/>
                <w:sz w:val="18"/>
                <w:szCs w:val="18"/>
              </w:rPr>
              <w:t>’opzione di</w:t>
            </w:r>
            <w:r w:rsidRPr="00871272">
              <w:rPr>
                <w:rFonts w:ascii="Titillium" w:hAnsi="Titillium"/>
                <w:sz w:val="18"/>
                <w:szCs w:val="18"/>
              </w:rPr>
              <w:t xml:space="preserve"> proroga</w:t>
            </w:r>
          </w:p>
        </w:tc>
        <w:tc>
          <w:tcPr>
            <w:tcW w:w="3265" w:type="dxa"/>
          </w:tcPr>
          <w:p w14:paraId="4E2E0608" w14:textId="77777777" w:rsidR="007814A7" w:rsidRPr="00871272" w:rsidRDefault="007814A7" w:rsidP="007814A7">
            <w:pPr>
              <w:rPr>
                <w:rFonts w:ascii="Titillium" w:hAnsi="Titillium"/>
                <w:sz w:val="18"/>
                <w:szCs w:val="18"/>
              </w:rPr>
            </w:pPr>
          </w:p>
        </w:tc>
      </w:tr>
      <w:tr w:rsidR="007814A7" w:rsidRPr="00871272" w14:paraId="11000409" w14:textId="77777777" w:rsidTr="000047CD">
        <w:tc>
          <w:tcPr>
            <w:tcW w:w="5949" w:type="dxa"/>
          </w:tcPr>
          <w:p w14:paraId="50489329" w14:textId="3B18898A" w:rsidR="007814A7" w:rsidRPr="00871272" w:rsidRDefault="002D04ED" w:rsidP="007231A5">
            <w:pPr>
              <w:rPr>
                <w:rFonts w:ascii="Titillium" w:hAnsi="Titillium"/>
                <w:sz w:val="18"/>
                <w:szCs w:val="18"/>
              </w:rPr>
            </w:pPr>
            <w:r w:rsidRPr="00871272">
              <w:rPr>
                <w:rFonts w:ascii="Titillium" w:hAnsi="Titillium"/>
                <w:sz w:val="18"/>
                <w:szCs w:val="18"/>
              </w:rPr>
              <w:t>importo per servizi analoghi</w:t>
            </w:r>
          </w:p>
        </w:tc>
        <w:tc>
          <w:tcPr>
            <w:tcW w:w="3265" w:type="dxa"/>
          </w:tcPr>
          <w:p w14:paraId="0B427E9D" w14:textId="77777777" w:rsidR="007814A7" w:rsidRPr="00871272" w:rsidRDefault="007814A7" w:rsidP="007231A5">
            <w:pPr>
              <w:rPr>
                <w:rFonts w:ascii="Titillium" w:hAnsi="Titillium"/>
                <w:sz w:val="18"/>
                <w:szCs w:val="18"/>
              </w:rPr>
            </w:pPr>
          </w:p>
        </w:tc>
      </w:tr>
      <w:tr w:rsidR="00724829" w:rsidRPr="00871272" w14:paraId="05D00401" w14:textId="77777777" w:rsidTr="000047CD">
        <w:tc>
          <w:tcPr>
            <w:tcW w:w="5949" w:type="dxa"/>
          </w:tcPr>
          <w:p w14:paraId="7809CDBC" w14:textId="390C0156" w:rsidR="00724829" w:rsidRPr="00871272" w:rsidRDefault="003E00CC" w:rsidP="002D04ED">
            <w:pPr>
              <w:rPr>
                <w:rFonts w:ascii="Titillium" w:hAnsi="Titillium"/>
                <w:sz w:val="18"/>
                <w:szCs w:val="18"/>
              </w:rPr>
            </w:pPr>
            <w:r w:rsidRPr="00871272">
              <w:rPr>
                <w:rFonts w:ascii="Titillium" w:hAnsi="Titillium"/>
                <w:sz w:val="18"/>
                <w:szCs w:val="18"/>
              </w:rPr>
              <w:t>Importo massimo del quinto d’obbligo</w:t>
            </w:r>
            <w:r w:rsidR="000047CD" w:rsidRPr="00871272">
              <w:rPr>
                <w:rFonts w:ascii="Titillium" w:hAnsi="Titillium"/>
                <w:sz w:val="18"/>
                <w:szCs w:val="18"/>
              </w:rPr>
              <w:t>, i</w:t>
            </w:r>
            <w:r w:rsidRPr="00871272">
              <w:rPr>
                <w:rFonts w:ascii="Titillium" w:hAnsi="Titillium"/>
                <w:sz w:val="18"/>
                <w:szCs w:val="18"/>
              </w:rPr>
              <w:t>n caso di variazioni in aumento</w:t>
            </w:r>
          </w:p>
        </w:tc>
        <w:tc>
          <w:tcPr>
            <w:tcW w:w="3265" w:type="dxa"/>
          </w:tcPr>
          <w:p w14:paraId="2B26AD38" w14:textId="77777777" w:rsidR="00724829" w:rsidRPr="00871272" w:rsidRDefault="00724829" w:rsidP="002D04ED">
            <w:pPr>
              <w:rPr>
                <w:rFonts w:ascii="Titillium" w:hAnsi="Titillium"/>
                <w:sz w:val="18"/>
                <w:szCs w:val="18"/>
              </w:rPr>
            </w:pPr>
          </w:p>
        </w:tc>
      </w:tr>
      <w:tr w:rsidR="002D04ED" w:rsidRPr="00871272" w14:paraId="568F4FB0" w14:textId="77777777" w:rsidTr="000047CD">
        <w:tc>
          <w:tcPr>
            <w:tcW w:w="5949" w:type="dxa"/>
          </w:tcPr>
          <w:p w14:paraId="48A78D2F" w14:textId="2ED50EA5" w:rsidR="002D04ED" w:rsidRPr="00871272" w:rsidRDefault="002D04ED" w:rsidP="002D04ED">
            <w:pPr>
              <w:rPr>
                <w:rFonts w:ascii="Titillium" w:hAnsi="Titillium"/>
                <w:sz w:val="18"/>
                <w:szCs w:val="18"/>
              </w:rPr>
            </w:pPr>
            <w:r w:rsidRPr="00871272">
              <w:rPr>
                <w:rFonts w:ascii="Titillium" w:hAnsi="Titillium"/>
                <w:sz w:val="18"/>
                <w:szCs w:val="18"/>
              </w:rPr>
              <w:t>….</w:t>
            </w:r>
            <w:r w:rsidRPr="00871272">
              <w:rPr>
                <w:rFonts w:ascii="Titillium" w:hAnsi="Titillium"/>
                <w:i/>
                <w:iCs/>
                <w:sz w:val="18"/>
                <w:szCs w:val="18"/>
              </w:rPr>
              <w:t xml:space="preserve"> </w:t>
            </w:r>
            <w:r w:rsidR="0033662A" w:rsidRPr="00871272">
              <w:rPr>
                <w:rFonts w:ascii="Titillium" w:hAnsi="Titillium"/>
                <w:i/>
                <w:iCs/>
                <w:sz w:val="18"/>
                <w:szCs w:val="18"/>
              </w:rPr>
              <w:t>[</w:t>
            </w:r>
            <w:r w:rsidR="00177B1B" w:rsidRPr="00871272">
              <w:rPr>
                <w:rFonts w:ascii="Titillium" w:hAnsi="Titillium"/>
                <w:i/>
                <w:iCs/>
                <w:sz w:val="18"/>
                <w:szCs w:val="18"/>
              </w:rPr>
              <w:t>Importo delle ulteriori opzioni,</w:t>
            </w:r>
            <w:r w:rsidR="0033662A" w:rsidRPr="00871272">
              <w:rPr>
                <w:rFonts w:ascii="Titillium" w:hAnsi="Titillium"/>
                <w:i/>
                <w:iCs/>
                <w:sz w:val="18"/>
                <w:szCs w:val="18"/>
              </w:rPr>
              <w:t xml:space="preserve"> ove q</w:t>
            </w:r>
            <w:r w:rsidR="00C70823" w:rsidRPr="00871272">
              <w:rPr>
                <w:rFonts w:ascii="Titillium" w:hAnsi="Titillium"/>
                <w:i/>
                <w:iCs/>
                <w:sz w:val="18"/>
                <w:szCs w:val="18"/>
              </w:rPr>
              <w:t>u</w:t>
            </w:r>
            <w:r w:rsidR="0033662A" w:rsidRPr="00871272">
              <w:rPr>
                <w:rFonts w:ascii="Titillium" w:hAnsi="Titillium"/>
                <w:i/>
                <w:iCs/>
                <w:sz w:val="18"/>
                <w:szCs w:val="18"/>
              </w:rPr>
              <w:t>antificabili</w:t>
            </w:r>
            <w:r w:rsidR="00C70823" w:rsidRPr="00871272">
              <w:rPr>
                <w:rFonts w:ascii="Titillium" w:hAnsi="Titillium"/>
                <w:i/>
                <w:iCs/>
                <w:sz w:val="18"/>
                <w:szCs w:val="18"/>
              </w:rPr>
              <w:t>]</w:t>
            </w:r>
          </w:p>
        </w:tc>
        <w:tc>
          <w:tcPr>
            <w:tcW w:w="3265" w:type="dxa"/>
          </w:tcPr>
          <w:p w14:paraId="5EE01B97" w14:textId="77777777" w:rsidR="002D04ED" w:rsidRPr="00871272" w:rsidRDefault="002D04ED" w:rsidP="002D04ED">
            <w:pPr>
              <w:rPr>
                <w:rFonts w:ascii="Titillium" w:hAnsi="Titillium"/>
                <w:sz w:val="18"/>
                <w:szCs w:val="18"/>
              </w:rPr>
            </w:pPr>
          </w:p>
        </w:tc>
      </w:tr>
      <w:tr w:rsidR="002D04ED" w:rsidRPr="007814A7" w14:paraId="0884061B" w14:textId="77777777" w:rsidTr="000047CD">
        <w:tc>
          <w:tcPr>
            <w:tcW w:w="5949" w:type="dxa"/>
          </w:tcPr>
          <w:p w14:paraId="32155014" w14:textId="2C4FD07A" w:rsidR="002D04ED" w:rsidRPr="00871272" w:rsidRDefault="001A53BE" w:rsidP="001A53BE">
            <w:pPr>
              <w:jc w:val="right"/>
              <w:rPr>
                <w:rFonts w:ascii="Titillium" w:hAnsi="Titillium"/>
                <w:sz w:val="18"/>
                <w:szCs w:val="18"/>
              </w:rPr>
            </w:pPr>
            <w:r w:rsidRPr="00871272">
              <w:rPr>
                <w:rFonts w:ascii="Titillium" w:hAnsi="Titillium"/>
                <w:b/>
                <w:bCs/>
                <w:sz w:val="18"/>
                <w:szCs w:val="18"/>
              </w:rPr>
              <w:t>Valore globale stimato</w:t>
            </w:r>
          </w:p>
        </w:tc>
        <w:tc>
          <w:tcPr>
            <w:tcW w:w="3265" w:type="dxa"/>
          </w:tcPr>
          <w:p w14:paraId="76ADE701" w14:textId="466436FB" w:rsidR="002D04ED" w:rsidRPr="001A53BE" w:rsidRDefault="001A53BE" w:rsidP="002D04ED">
            <w:pPr>
              <w:rPr>
                <w:rFonts w:ascii="Titillium" w:hAnsi="Titillium"/>
                <w:i/>
                <w:iCs/>
                <w:sz w:val="18"/>
                <w:szCs w:val="18"/>
              </w:rPr>
            </w:pPr>
            <w:r w:rsidRPr="00871272">
              <w:rPr>
                <w:rFonts w:ascii="Titillium" w:hAnsi="Titillium"/>
                <w:i/>
                <w:iCs/>
                <w:sz w:val="18"/>
                <w:szCs w:val="18"/>
              </w:rPr>
              <w:t xml:space="preserve"> … [somma di tutti gli importi]</w:t>
            </w:r>
          </w:p>
        </w:tc>
      </w:tr>
    </w:tbl>
    <w:p w14:paraId="797BBDAA" w14:textId="4707996D" w:rsidR="004C53A8" w:rsidRDefault="004C53A8"/>
    <w:p w14:paraId="1B281F84" w14:textId="4C2B6C77" w:rsidR="004C53A8" w:rsidRPr="00A33ECF" w:rsidRDefault="00870286" w:rsidP="00084AD6">
      <w:pPr>
        <w:pStyle w:val="Titolo2"/>
        <w:numPr>
          <w:ilvl w:val="0"/>
          <w:numId w:val="4"/>
        </w:numPr>
        <w:ind w:left="357" w:hanging="357"/>
        <w:rPr>
          <w:iCs w:val="0"/>
        </w:rPr>
      </w:pPr>
      <w:bookmarkStart w:id="284" w:name="_Toc498419727"/>
      <w:bookmarkStart w:id="285" w:name="_Toc497831535"/>
      <w:bookmarkStart w:id="286" w:name="_Toc139549421"/>
      <w:bookmarkEnd w:id="284"/>
      <w:bookmarkEnd w:id="285"/>
      <w:r w:rsidRPr="00A33ECF">
        <w:rPr>
          <w:rFonts w:ascii="Titillium" w:hAnsi="Titillium"/>
          <w:iCs w:val="0"/>
          <w:sz w:val="18"/>
          <w:szCs w:val="18"/>
        </w:rPr>
        <w:t>SOGGETTI AMMESSI IN FORMA SINGOLA E ASSOCIATA</w:t>
      </w:r>
      <w:r w:rsidRPr="00A33ECF">
        <w:rPr>
          <w:rFonts w:ascii="Titillium" w:hAnsi="Titillium"/>
          <w:iCs w:val="0"/>
          <w:sz w:val="18"/>
          <w:szCs w:val="18"/>
          <w:lang w:val="it-IT"/>
        </w:rPr>
        <w:t xml:space="preserve"> E CONDIZIONI DI PARTECIPAZIONE</w:t>
      </w:r>
      <w:bookmarkEnd w:id="286"/>
    </w:p>
    <w:p w14:paraId="214A9CE1" w14:textId="0CFD3486" w:rsidR="00A17C7D" w:rsidRDefault="00A17C7D">
      <w:pPr>
        <w:spacing w:before="60" w:after="60"/>
        <w:rPr>
          <w:rFonts w:ascii="Titillium" w:hAnsi="Titillium" w:cs="Calibri"/>
          <w:sz w:val="18"/>
          <w:szCs w:val="18"/>
        </w:rPr>
      </w:pPr>
      <w:r w:rsidRPr="00065D5F">
        <w:rPr>
          <w:rFonts w:ascii="Titillium" w:hAnsi="Titillium" w:cs="Calibri"/>
          <w:i/>
          <w:iCs/>
          <w:sz w:val="18"/>
          <w:szCs w:val="18"/>
        </w:rPr>
        <w:t>[</w:t>
      </w:r>
      <w:r w:rsidRPr="00065D5F">
        <w:rPr>
          <w:rFonts w:ascii="Titillium" w:hAnsi="Titillium" w:cs="Calibri"/>
          <w:b/>
          <w:i/>
          <w:iCs/>
          <w:sz w:val="18"/>
          <w:szCs w:val="18"/>
        </w:rPr>
        <w:t>Facoltativo</w:t>
      </w:r>
      <w:r w:rsidR="00B92C43">
        <w:rPr>
          <w:rFonts w:ascii="Titillium" w:hAnsi="Titillium" w:cs="Calibri"/>
          <w:b/>
          <w:i/>
          <w:iCs/>
          <w:sz w:val="18"/>
          <w:szCs w:val="18"/>
        </w:rPr>
        <w:t>:</w:t>
      </w:r>
      <w:r w:rsidRPr="00065D5F">
        <w:rPr>
          <w:rFonts w:ascii="Titillium" w:hAnsi="Titillium" w:cs="Calibri"/>
          <w:b/>
          <w:i/>
          <w:iCs/>
          <w:sz w:val="18"/>
          <w:szCs w:val="18"/>
        </w:rPr>
        <w:t xml:space="preserve"> riserva di partecipazione</w:t>
      </w:r>
      <w:r w:rsidR="00065D5F" w:rsidRPr="00065D5F">
        <w:rPr>
          <w:rFonts w:ascii="Titillium" w:hAnsi="Titillium" w:cs="Calibri"/>
          <w:b/>
          <w:i/>
          <w:iCs/>
          <w:sz w:val="18"/>
          <w:szCs w:val="18"/>
        </w:rPr>
        <w:t>]</w:t>
      </w:r>
      <w:r w:rsidRPr="00065D5F">
        <w:rPr>
          <w:rFonts w:ascii="Titillium" w:hAnsi="Titillium" w:cs="Calibri"/>
          <w:sz w:val="18"/>
          <w:szCs w:val="18"/>
        </w:rPr>
        <w:t xml:space="preserve"> </w:t>
      </w:r>
      <w:r w:rsidR="00FD309B" w:rsidRPr="00065D5F">
        <w:rPr>
          <w:rFonts w:ascii="Titillium" w:hAnsi="Titillium" w:cs="Calibri"/>
          <w:sz w:val="18"/>
          <w:szCs w:val="18"/>
        </w:rPr>
        <w:t xml:space="preserve">La </w:t>
      </w:r>
      <w:r w:rsidRPr="00065D5F">
        <w:rPr>
          <w:rFonts w:ascii="Titillium" w:hAnsi="Titillium" w:cs="Calibri"/>
          <w:sz w:val="18"/>
          <w:szCs w:val="18"/>
        </w:rPr>
        <w:t>partecipazione alla presente gara è riservata a operatori economici, cooperative sociali o loro consorzi il cui scopo principale sia l’integrazione sociale e professionale delle persone con disabilità o svantaggiate</w:t>
      </w:r>
      <w:r w:rsidR="00F75651">
        <w:rPr>
          <w:rFonts w:ascii="Titillium" w:hAnsi="Titillium" w:cs="Calibri"/>
          <w:sz w:val="18"/>
          <w:szCs w:val="18"/>
        </w:rPr>
        <w:t>.</w:t>
      </w:r>
      <w:r>
        <w:rPr>
          <w:rFonts w:ascii="Titillium" w:hAnsi="Titillium" w:cs="Calibri"/>
          <w:sz w:val="18"/>
          <w:szCs w:val="18"/>
        </w:rPr>
        <w:t xml:space="preserve"> </w:t>
      </w:r>
      <w:r w:rsidR="00252C0A" w:rsidRPr="00065D5F">
        <w:rPr>
          <w:rFonts w:ascii="Titillium" w:hAnsi="Titillium" w:cs="Calibri"/>
          <w:i/>
          <w:iCs/>
          <w:sz w:val="18"/>
          <w:szCs w:val="18"/>
        </w:rPr>
        <w:t>[</w:t>
      </w:r>
      <w:r w:rsidR="00252C0A">
        <w:rPr>
          <w:rFonts w:ascii="Titillium" w:hAnsi="Titillium" w:cs="Calibri"/>
          <w:b/>
          <w:i/>
          <w:iCs/>
          <w:sz w:val="18"/>
          <w:szCs w:val="18"/>
        </w:rPr>
        <w:t>in alternativa</w:t>
      </w:r>
      <w:r w:rsidR="00252C0A" w:rsidRPr="00065D5F">
        <w:rPr>
          <w:rFonts w:ascii="Titillium" w:hAnsi="Titillium" w:cs="Calibri"/>
          <w:b/>
          <w:i/>
          <w:iCs/>
          <w:sz w:val="18"/>
          <w:szCs w:val="18"/>
        </w:rPr>
        <w:t>]</w:t>
      </w:r>
      <w:r w:rsidR="00252C0A">
        <w:rPr>
          <w:rFonts w:ascii="Titillium" w:hAnsi="Titillium" w:cs="Calibri"/>
          <w:b/>
          <w:i/>
          <w:iCs/>
          <w:sz w:val="18"/>
          <w:szCs w:val="18"/>
        </w:rPr>
        <w:t xml:space="preserve"> </w:t>
      </w:r>
      <w:r w:rsidR="00252C0A">
        <w:rPr>
          <w:rFonts w:ascii="Titillium" w:hAnsi="Titillium" w:cs="Calibri"/>
          <w:sz w:val="18"/>
          <w:szCs w:val="18"/>
        </w:rPr>
        <w:t>L’esecuzione del contratto</w:t>
      </w:r>
      <w:r w:rsidR="00252C0A" w:rsidRPr="00065D5F">
        <w:rPr>
          <w:rFonts w:ascii="Titillium" w:hAnsi="Titillium" w:cs="Calibri"/>
          <w:sz w:val="18"/>
          <w:szCs w:val="18"/>
        </w:rPr>
        <w:t xml:space="preserve"> è riservata a operatori economici, cooperative sociali o loro consorzi </w:t>
      </w:r>
      <w:r w:rsidR="00252C0A">
        <w:rPr>
          <w:rFonts w:ascii="Titillium" w:hAnsi="Titillium" w:cs="Calibri"/>
          <w:sz w:val="18"/>
          <w:szCs w:val="18"/>
        </w:rPr>
        <w:t>che nell’ambito di programmi di lavoro protetto occupano almeno il trenta percento di lavoratori</w:t>
      </w:r>
      <w:r w:rsidR="00252C0A" w:rsidRPr="00065D5F">
        <w:rPr>
          <w:rFonts w:ascii="Titillium" w:hAnsi="Titillium" w:cs="Calibri"/>
          <w:sz w:val="18"/>
          <w:szCs w:val="18"/>
        </w:rPr>
        <w:t xml:space="preserve"> con disabilità o svantaggiat</w:t>
      </w:r>
      <w:r w:rsidR="00252C0A">
        <w:rPr>
          <w:rFonts w:ascii="Titillium" w:hAnsi="Titillium" w:cs="Calibri"/>
          <w:sz w:val="18"/>
          <w:szCs w:val="18"/>
        </w:rPr>
        <w:t>i.</w:t>
      </w:r>
    </w:p>
    <w:p w14:paraId="72B6E17C" w14:textId="414B8015" w:rsidR="00F75651" w:rsidRPr="00A76F5D" w:rsidRDefault="00F75651" w:rsidP="00F75651">
      <w:pPr>
        <w:spacing w:before="60" w:after="60"/>
        <w:rPr>
          <w:rFonts w:ascii="Titillium" w:hAnsi="Titillium" w:cs="Calibri"/>
          <w:sz w:val="18"/>
          <w:szCs w:val="18"/>
        </w:rPr>
      </w:pPr>
      <w:r w:rsidRPr="00A76F5D">
        <w:rPr>
          <w:rFonts w:ascii="Titillium" w:hAnsi="Titillium" w:cs="Calibri"/>
          <w:sz w:val="18"/>
          <w:szCs w:val="18"/>
        </w:rPr>
        <w:t>Gli operatori economici possono partecipare alla presente gara in forma singola o associata.</w:t>
      </w:r>
    </w:p>
    <w:p w14:paraId="6CF536F9" w14:textId="77777777" w:rsidR="00F75651" w:rsidRPr="00A76F5D" w:rsidRDefault="00F75651" w:rsidP="00F75651">
      <w:pPr>
        <w:spacing w:before="60" w:after="60"/>
        <w:rPr>
          <w:rFonts w:ascii="Titillium" w:hAnsi="Titillium" w:cs="Calibri"/>
          <w:sz w:val="18"/>
          <w:szCs w:val="18"/>
        </w:rPr>
      </w:pPr>
      <w:r w:rsidRPr="00A76F5D">
        <w:rPr>
          <w:rFonts w:ascii="Titillium" w:hAnsi="Titillium" w:cs="Calibri"/>
          <w:sz w:val="18"/>
          <w:szCs w:val="18"/>
        </w:rPr>
        <w:t xml:space="preserve">Ai soggetti costituiti in forma associata si applicano le disposizioni di cui agli articoli 67 e 68 del Codice. </w:t>
      </w:r>
    </w:p>
    <w:p w14:paraId="16B8D6CF" w14:textId="686A7101" w:rsidR="00ED40D0" w:rsidRDefault="00ED40D0" w:rsidP="00ED40D0">
      <w:pPr>
        <w:spacing w:before="60" w:after="60"/>
        <w:rPr>
          <w:rFonts w:ascii="Titillium" w:hAnsi="Titillium" w:cs="Courier New"/>
          <w:sz w:val="18"/>
          <w:szCs w:val="18"/>
        </w:rPr>
      </w:pPr>
      <w:r w:rsidRPr="00ED40D0">
        <w:rPr>
          <w:rFonts w:ascii="Titillium" w:hAnsi="Titillium" w:cs="Courier New"/>
          <w:sz w:val="18"/>
          <w:szCs w:val="18"/>
        </w:rPr>
        <w:lastRenderedPageBreak/>
        <w:t>I consorzi di cui a</w:t>
      </w:r>
      <w:r w:rsidR="005E1B8C">
        <w:rPr>
          <w:rFonts w:ascii="Titillium" w:hAnsi="Titillium" w:cs="Courier New"/>
          <w:sz w:val="18"/>
          <w:szCs w:val="18"/>
        </w:rPr>
        <w:t xml:space="preserve">gli articoli </w:t>
      </w:r>
      <w:r w:rsidRPr="00ED40D0">
        <w:rPr>
          <w:rFonts w:ascii="Titillium" w:hAnsi="Titillium" w:cs="Courier New"/>
          <w:sz w:val="18"/>
          <w:szCs w:val="18"/>
        </w:rPr>
        <w:t>65</w:t>
      </w:r>
      <w:r w:rsidR="005E1B8C">
        <w:rPr>
          <w:rFonts w:ascii="Titillium" w:hAnsi="Titillium" w:cs="Courier New"/>
          <w:sz w:val="18"/>
          <w:szCs w:val="18"/>
        </w:rPr>
        <w:t>, comma 2</w:t>
      </w:r>
      <w:r w:rsidRPr="00ED40D0">
        <w:rPr>
          <w:rFonts w:ascii="Titillium" w:hAnsi="Titillium" w:cs="Courier New"/>
          <w:sz w:val="18"/>
          <w:szCs w:val="18"/>
        </w:rPr>
        <w:t xml:space="preserve"> del Codice che intendono eseguire le prestazioni tramite i propri consorziati sono tenuti ad indicare per quali consorziati il consorzio concorre.</w:t>
      </w:r>
    </w:p>
    <w:p w14:paraId="69732CAC" w14:textId="01720E1F" w:rsidR="005E1B8C" w:rsidRPr="00ED40D0" w:rsidRDefault="005E1B8C" w:rsidP="00ED40D0">
      <w:pPr>
        <w:spacing w:before="60" w:after="60"/>
        <w:rPr>
          <w:rFonts w:ascii="Titillium" w:hAnsi="Titillium" w:cs="Courier New"/>
          <w:sz w:val="18"/>
          <w:szCs w:val="18"/>
        </w:rPr>
      </w:pPr>
      <w:r>
        <w:rPr>
          <w:rFonts w:ascii="Titillium" w:hAnsi="Titillium" w:cs="Courier New"/>
          <w:sz w:val="18"/>
          <w:szCs w:val="18"/>
        </w:rPr>
        <w:t xml:space="preserve">I consorzi di cui all’articolo 65, comma </w:t>
      </w:r>
      <w:r w:rsidR="00F40093">
        <w:rPr>
          <w:rFonts w:ascii="Titillium" w:hAnsi="Titillium" w:cs="Courier New"/>
          <w:sz w:val="18"/>
          <w:szCs w:val="18"/>
        </w:rPr>
        <w:t>2</w:t>
      </w:r>
      <w:r>
        <w:rPr>
          <w:rFonts w:ascii="Titillium" w:hAnsi="Titillium" w:cs="Courier New"/>
          <w:sz w:val="18"/>
          <w:szCs w:val="18"/>
        </w:rPr>
        <w:t>, lettere b) e c) sono tenuti ad indicare per quali consorziati il consorzio concorre.</w:t>
      </w:r>
    </w:p>
    <w:p w14:paraId="5B7CEAC7" w14:textId="0F946D04" w:rsidR="00D91A50" w:rsidRPr="00A76F5D" w:rsidRDefault="00D91A50" w:rsidP="00D91A50">
      <w:pPr>
        <w:spacing w:before="60" w:after="60"/>
        <w:rPr>
          <w:rFonts w:ascii="Titillium" w:hAnsi="Titillium" w:cs="Courier New"/>
          <w:sz w:val="18"/>
          <w:szCs w:val="18"/>
        </w:rPr>
      </w:pPr>
      <w:r w:rsidRPr="00A76F5D">
        <w:rPr>
          <w:rFonts w:ascii="Titillium" w:hAnsi="Titillium" w:cs="Courier New"/>
          <w:b/>
          <w:i/>
          <w:iCs/>
          <w:sz w:val="18"/>
          <w:szCs w:val="18"/>
        </w:rPr>
        <w:t>[Facoltativo]</w:t>
      </w:r>
      <w:r w:rsidRPr="00A76F5D">
        <w:rPr>
          <w:rFonts w:ascii="Titillium" w:hAnsi="Titillium" w:cs="Courier New"/>
          <w:b/>
          <w:sz w:val="18"/>
          <w:szCs w:val="18"/>
        </w:rPr>
        <w:t xml:space="preserve"> </w:t>
      </w:r>
      <w:r w:rsidRPr="00A76F5D">
        <w:rPr>
          <w:rFonts w:ascii="Titillium" w:hAnsi="Titillium" w:cs="Courier New"/>
          <w:sz w:val="18"/>
          <w:szCs w:val="18"/>
        </w:rPr>
        <w:t xml:space="preserve">Possono essere </w:t>
      </w:r>
      <w:r w:rsidRPr="00A76F5D">
        <w:rPr>
          <w:rFonts w:ascii="Titillium" w:hAnsi="Titillium" w:cs="Courier New"/>
          <w:b/>
          <w:sz w:val="18"/>
          <w:szCs w:val="18"/>
        </w:rPr>
        <w:t>esclusi</w:t>
      </w:r>
      <w:r w:rsidRPr="00A76F5D">
        <w:rPr>
          <w:rFonts w:ascii="Titillium" w:hAnsi="Titillium" w:cs="Courier New"/>
          <w:sz w:val="18"/>
          <w:szCs w:val="18"/>
        </w:rPr>
        <w:t xml:space="preserve"> dalla gara, previo contraddittorio, i raggruppamenti temporanei costituiti da due o più operatori economici che singolarmente hanno i requisiti per partecipare alla gara. Tale facoltà non opera nel caso in cui i raggruppamenti sono costituiti da imprese controllate e/o collegate ai sensi dell’articolo 2359 </w:t>
      </w:r>
      <w:r w:rsidR="004E7A85">
        <w:rPr>
          <w:rFonts w:ascii="Titillium" w:hAnsi="Titillium" w:cs="Courier New"/>
          <w:sz w:val="18"/>
          <w:szCs w:val="18"/>
        </w:rPr>
        <w:t>del Codice civile</w:t>
      </w:r>
      <w:r w:rsidRPr="00A76F5D">
        <w:rPr>
          <w:rFonts w:ascii="Titillium" w:hAnsi="Titillium" w:cs="Courier New"/>
          <w:sz w:val="18"/>
          <w:szCs w:val="18"/>
        </w:rPr>
        <w:t xml:space="preserve">. </w:t>
      </w:r>
    </w:p>
    <w:p w14:paraId="2B61F28D" w14:textId="77777777" w:rsidR="00F75651" w:rsidRDefault="00F75651" w:rsidP="00F75651">
      <w:pPr>
        <w:spacing w:before="60" w:after="60"/>
        <w:rPr>
          <w:rFonts w:ascii="Titillium" w:hAnsi="Titillium" w:cs="Calibri"/>
          <w:iCs/>
          <w:sz w:val="18"/>
          <w:szCs w:val="18"/>
        </w:rPr>
      </w:pPr>
      <w:r>
        <w:rPr>
          <w:rFonts w:ascii="Titillium" w:hAnsi="Titillium" w:cs="Courier New"/>
          <w:sz w:val="18"/>
          <w:szCs w:val="18"/>
        </w:rPr>
        <w:t xml:space="preserve">Il concorrente che partecipa alla gara </w:t>
      </w:r>
      <w:r w:rsidRPr="006F6FFB">
        <w:rPr>
          <w:rFonts w:ascii="Titillium" w:hAnsi="Titillium" w:cs="Calibri"/>
          <w:i/>
          <w:sz w:val="18"/>
          <w:szCs w:val="18"/>
        </w:rPr>
        <w:t>[in caso di suddivisione dell’appalto in lotti distinti sostituire “gara” con “singolo lotto”]</w:t>
      </w:r>
      <w:r>
        <w:rPr>
          <w:rFonts w:ascii="Titillium" w:hAnsi="Titillium" w:cs="Calibri"/>
          <w:i/>
          <w:sz w:val="18"/>
          <w:szCs w:val="18"/>
        </w:rPr>
        <w:t xml:space="preserve"> </w:t>
      </w:r>
      <w:r w:rsidRPr="00FB119D">
        <w:rPr>
          <w:rFonts w:ascii="Titillium" w:hAnsi="Titillium" w:cs="Calibri"/>
          <w:iCs/>
          <w:sz w:val="18"/>
          <w:szCs w:val="18"/>
        </w:rPr>
        <w:t>in una delle form</w:t>
      </w:r>
      <w:r>
        <w:rPr>
          <w:rFonts w:ascii="Titillium" w:hAnsi="Titillium" w:cs="Calibri"/>
          <w:iCs/>
          <w:sz w:val="18"/>
          <w:szCs w:val="18"/>
        </w:rPr>
        <w:t>e di seguito indicate</w:t>
      </w:r>
      <w:r w:rsidRPr="00FB119D">
        <w:rPr>
          <w:rFonts w:ascii="Titillium" w:hAnsi="Titillium" w:cs="Calibri"/>
          <w:iCs/>
          <w:sz w:val="18"/>
          <w:szCs w:val="18"/>
        </w:rPr>
        <w:t xml:space="preserve"> è</w:t>
      </w:r>
      <w:r>
        <w:rPr>
          <w:rFonts w:ascii="Titillium" w:hAnsi="Titillium" w:cs="Calibri"/>
          <w:iCs/>
          <w:sz w:val="18"/>
          <w:szCs w:val="18"/>
        </w:rPr>
        <w:t xml:space="preserve"> escluso nel caso in cui la stazione </w:t>
      </w:r>
      <w:bookmarkStart w:id="287" w:name="_Hlk130830647"/>
      <w:r>
        <w:rPr>
          <w:rFonts w:ascii="Titillium" w:hAnsi="Titillium" w:cs="Calibri"/>
          <w:iCs/>
          <w:sz w:val="18"/>
          <w:szCs w:val="18"/>
        </w:rPr>
        <w:t>appaltante accerti la sussistenza di</w:t>
      </w:r>
      <w:r w:rsidRPr="00AE02A4">
        <w:rPr>
          <w:rFonts w:ascii="Titillium" w:hAnsi="Titillium" w:cs="Calibri"/>
          <w:iCs/>
          <w:sz w:val="18"/>
          <w:szCs w:val="18"/>
        </w:rPr>
        <w:t xml:space="preserve"> rilevanti indizi tali da far ritenere che le offerte degli operatori economici siano imputabili ad un</w:t>
      </w:r>
      <w:r>
        <w:rPr>
          <w:rFonts w:ascii="Titillium" w:hAnsi="Titillium" w:cs="Calibri"/>
          <w:iCs/>
          <w:sz w:val="18"/>
          <w:szCs w:val="18"/>
        </w:rPr>
        <w:t xml:space="preserve"> </w:t>
      </w:r>
      <w:r w:rsidRPr="00AE02A4">
        <w:rPr>
          <w:rFonts w:ascii="Titillium" w:hAnsi="Titillium" w:cs="Calibri"/>
          <w:iCs/>
          <w:sz w:val="18"/>
          <w:szCs w:val="18"/>
        </w:rPr>
        <w:t>unico centro decisiona</w:t>
      </w:r>
      <w:bookmarkEnd w:id="287"/>
      <w:r w:rsidRPr="00AE02A4">
        <w:rPr>
          <w:rFonts w:ascii="Titillium" w:hAnsi="Titillium" w:cs="Calibri"/>
          <w:iCs/>
          <w:sz w:val="18"/>
          <w:szCs w:val="18"/>
        </w:rPr>
        <w:t>le a cagione di accordi intercorsi con altri operatori economici partecipanti alla stessa</w:t>
      </w:r>
      <w:r>
        <w:rPr>
          <w:rFonts w:ascii="Titillium" w:hAnsi="Titillium" w:cs="Calibri"/>
          <w:iCs/>
          <w:sz w:val="18"/>
          <w:szCs w:val="18"/>
        </w:rPr>
        <w:t xml:space="preserve"> </w:t>
      </w:r>
      <w:r w:rsidRPr="00AE02A4">
        <w:rPr>
          <w:rFonts w:ascii="Titillium" w:hAnsi="Titillium" w:cs="Calibri"/>
          <w:iCs/>
          <w:sz w:val="18"/>
          <w:szCs w:val="18"/>
        </w:rPr>
        <w:t>gara</w:t>
      </w:r>
      <w:r>
        <w:rPr>
          <w:rFonts w:ascii="Titillium" w:hAnsi="Titillium" w:cs="Calibri"/>
          <w:iCs/>
          <w:sz w:val="18"/>
          <w:szCs w:val="18"/>
        </w:rPr>
        <w:t>:</w:t>
      </w:r>
    </w:p>
    <w:p w14:paraId="67A2CFB4" w14:textId="3DAA4FBB" w:rsidR="00F75651" w:rsidRPr="00814AE5" w:rsidRDefault="00F75651" w:rsidP="00F75651">
      <w:pPr>
        <w:pStyle w:val="Paragrafoelenco"/>
        <w:numPr>
          <w:ilvl w:val="0"/>
          <w:numId w:val="67"/>
        </w:numPr>
        <w:spacing w:before="60" w:after="60"/>
        <w:rPr>
          <w:rFonts w:ascii="Titillium" w:hAnsi="Titillium" w:cs="Courier New"/>
          <w:sz w:val="18"/>
          <w:szCs w:val="18"/>
        </w:rPr>
      </w:pPr>
      <w:r>
        <w:rPr>
          <w:rFonts w:ascii="Titillium" w:hAnsi="Titillium" w:cs="Courier New"/>
          <w:sz w:val="18"/>
          <w:szCs w:val="18"/>
        </w:rPr>
        <w:t xml:space="preserve">partecipazione </w:t>
      </w:r>
      <w:r w:rsidRPr="006F6FFB">
        <w:rPr>
          <w:rFonts w:ascii="Titillium" w:hAnsi="Titillium" w:cs="Courier New"/>
          <w:sz w:val="18"/>
          <w:szCs w:val="18"/>
        </w:rPr>
        <w:t>in più</w:t>
      </w:r>
      <w:r w:rsidRPr="006F6FFB">
        <w:rPr>
          <w:rFonts w:ascii="Titillium" w:hAnsi="Titillium" w:cs="Courier New"/>
          <w:b/>
          <w:sz w:val="18"/>
          <w:szCs w:val="18"/>
        </w:rPr>
        <w:t xml:space="preserve"> </w:t>
      </w:r>
      <w:r w:rsidRPr="006F6FFB">
        <w:rPr>
          <w:rFonts w:ascii="Titillium" w:hAnsi="Titillium" w:cs="Courier New"/>
          <w:sz w:val="18"/>
          <w:szCs w:val="18"/>
        </w:rPr>
        <w:t xml:space="preserve">di un raggruppamento temporaneo o consorzio ordinario di concorrenti o </w:t>
      </w:r>
      <w:r w:rsidRPr="006F6FFB">
        <w:rPr>
          <w:rFonts w:ascii="Titillium" w:hAnsi="Titillium" w:cs="Calibri"/>
          <w:sz w:val="18"/>
          <w:szCs w:val="18"/>
        </w:rPr>
        <w:t xml:space="preserve">aggregazione di operatori economici aderenti al contratto di rete (nel prosieguo, aggregazione </w:t>
      </w:r>
      <w:r w:rsidRPr="006F6FFB">
        <w:rPr>
          <w:rFonts w:ascii="Titillium" w:hAnsi="Titillium"/>
          <w:sz w:val="18"/>
          <w:szCs w:val="18"/>
        </w:rPr>
        <w:t>di reti</w:t>
      </w:r>
      <w:r w:rsidRPr="006F6FFB">
        <w:rPr>
          <w:rFonts w:ascii="Titillium" w:hAnsi="Titillium" w:cs="Calibri"/>
          <w:sz w:val="18"/>
          <w:szCs w:val="18"/>
        </w:rPr>
        <w:t>sti)</w:t>
      </w:r>
      <w:r w:rsidR="004E7A85">
        <w:rPr>
          <w:rFonts w:ascii="Titillium" w:hAnsi="Titillium" w:cs="Calibri"/>
          <w:sz w:val="18"/>
          <w:szCs w:val="18"/>
        </w:rPr>
        <w:t>;</w:t>
      </w:r>
    </w:p>
    <w:p w14:paraId="6C072D57" w14:textId="77777777" w:rsidR="00F75651" w:rsidRDefault="00F75651" w:rsidP="00F75651">
      <w:pPr>
        <w:pStyle w:val="Paragrafoelenco"/>
        <w:numPr>
          <w:ilvl w:val="0"/>
          <w:numId w:val="67"/>
        </w:numPr>
        <w:spacing w:before="60" w:after="60"/>
        <w:rPr>
          <w:rFonts w:ascii="Titillium" w:hAnsi="Titillium" w:cs="Courier New"/>
          <w:sz w:val="18"/>
          <w:szCs w:val="18"/>
        </w:rPr>
      </w:pPr>
      <w:r w:rsidRPr="00AE02A4">
        <w:rPr>
          <w:rFonts w:ascii="Titillium" w:hAnsi="Titillium" w:cs="Courier New"/>
          <w:sz w:val="18"/>
          <w:szCs w:val="18"/>
        </w:rPr>
        <w:t>partecipazione sia in raggruppamento o consorzio ordinario di concorrenti sia in forma individuale:</w:t>
      </w:r>
    </w:p>
    <w:p w14:paraId="6A635398" w14:textId="77777777" w:rsidR="00F75651" w:rsidRPr="001F523C" w:rsidRDefault="00F75651" w:rsidP="00F75651">
      <w:pPr>
        <w:pStyle w:val="Paragrafoelenco"/>
        <w:numPr>
          <w:ilvl w:val="0"/>
          <w:numId w:val="67"/>
        </w:numPr>
        <w:spacing w:before="60" w:after="60"/>
        <w:rPr>
          <w:rFonts w:ascii="Titillium" w:hAnsi="Titillium" w:cs="Calibri"/>
          <w:sz w:val="18"/>
          <w:szCs w:val="18"/>
        </w:rPr>
      </w:pPr>
      <w:r>
        <w:rPr>
          <w:rFonts w:ascii="Titillium" w:hAnsi="Titillium" w:cs="Courier New"/>
          <w:sz w:val="18"/>
          <w:szCs w:val="18"/>
        </w:rPr>
        <w:t xml:space="preserve">partecipazione sia in aggregazione di retisti sia in forma individuale. </w:t>
      </w:r>
      <w:r>
        <w:rPr>
          <w:rFonts w:ascii="Titillium" w:hAnsi="Titillium" w:cs="Calibri"/>
          <w:sz w:val="18"/>
          <w:szCs w:val="18"/>
        </w:rPr>
        <w:t xml:space="preserve">Tale esclusione non si applica alle </w:t>
      </w:r>
      <w:r w:rsidRPr="00AE02A4">
        <w:rPr>
          <w:rFonts w:ascii="Titillium" w:hAnsi="Titillium" w:cs="Calibri"/>
          <w:sz w:val="18"/>
          <w:szCs w:val="18"/>
        </w:rPr>
        <w:t xml:space="preserve">retiste </w:t>
      </w:r>
      <w:r>
        <w:rPr>
          <w:rFonts w:ascii="Titillium" w:hAnsi="Titillium" w:cs="Courier New"/>
          <w:sz w:val="18"/>
          <w:szCs w:val="18"/>
        </w:rPr>
        <w:t xml:space="preserve">non partecipanti all’aggregazione, le quali possono presentare offerta, per la medesima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in forma singola o associata;</w:t>
      </w:r>
    </w:p>
    <w:p w14:paraId="0F70E802" w14:textId="393139C7" w:rsidR="00ED40D0" w:rsidRPr="00ED40D0" w:rsidRDefault="00ED40D0" w:rsidP="00F75651">
      <w:pPr>
        <w:pStyle w:val="Paragrafoelenco"/>
        <w:numPr>
          <w:ilvl w:val="0"/>
          <w:numId w:val="67"/>
        </w:numPr>
        <w:spacing w:before="60" w:after="60"/>
        <w:rPr>
          <w:rFonts w:ascii="Titillium" w:hAnsi="Titillium" w:cs="Calibri"/>
          <w:sz w:val="18"/>
          <w:szCs w:val="18"/>
        </w:rPr>
      </w:pPr>
      <w:r w:rsidRPr="00ED40D0">
        <w:rPr>
          <w:rFonts w:ascii="Titillium" w:hAnsi="Titillium" w:cs="Courier New"/>
          <w:sz w:val="18"/>
          <w:szCs w:val="18"/>
        </w:rPr>
        <w:t>partecipazione di un consorzio che ha designato un consorziato esecutore il quale, a sua volta, partecipa in una qualsiasi altra forma</w:t>
      </w:r>
      <w:r w:rsidR="00007C62">
        <w:rPr>
          <w:rFonts w:ascii="Titillium" w:hAnsi="Titillium" w:cs="Courier New"/>
          <w:sz w:val="18"/>
          <w:szCs w:val="18"/>
        </w:rPr>
        <w:t>.</w:t>
      </w:r>
    </w:p>
    <w:p w14:paraId="0F6AFC9A" w14:textId="4C26FD4F" w:rsidR="00F75651" w:rsidRDefault="00007C62" w:rsidP="00F75651">
      <w:pPr>
        <w:spacing w:before="60" w:after="60"/>
        <w:rPr>
          <w:rFonts w:ascii="Titillium" w:hAnsi="Titillium" w:cs="Calibri"/>
          <w:sz w:val="18"/>
          <w:szCs w:val="18"/>
        </w:rPr>
      </w:pPr>
      <w:r>
        <w:rPr>
          <w:rFonts w:ascii="Titillium" w:hAnsi="Titillium" w:cs="Calibri"/>
          <w:sz w:val="18"/>
          <w:szCs w:val="18"/>
        </w:rPr>
        <w:t xml:space="preserve">Nel caso venga accertato </w:t>
      </w:r>
      <w:r w:rsidR="00F75651">
        <w:rPr>
          <w:rFonts w:ascii="Titillium" w:hAnsi="Titillium" w:cs="Calibri"/>
          <w:sz w:val="18"/>
          <w:szCs w:val="18"/>
        </w:rPr>
        <w:t xml:space="preserve">quanto sopra, </w:t>
      </w:r>
      <w:r>
        <w:rPr>
          <w:rFonts w:ascii="Titillium" w:hAnsi="Titillium" w:cs="Calibri"/>
          <w:sz w:val="18"/>
          <w:szCs w:val="18"/>
        </w:rPr>
        <w:t xml:space="preserve">si </w:t>
      </w:r>
      <w:r w:rsidR="00F75651">
        <w:rPr>
          <w:rFonts w:ascii="Titillium" w:hAnsi="Titillium" w:cs="Calibri"/>
          <w:sz w:val="18"/>
          <w:szCs w:val="18"/>
        </w:rPr>
        <w:t>provvede ad informare gli operatori economici coi</w:t>
      </w:r>
      <w:r>
        <w:rPr>
          <w:rFonts w:ascii="Titillium" w:hAnsi="Titillium" w:cs="Calibri"/>
          <w:sz w:val="18"/>
          <w:szCs w:val="18"/>
        </w:rPr>
        <w:t xml:space="preserve">nvolti i quali possono, entro … </w:t>
      </w:r>
      <w:r w:rsidR="00F75651" w:rsidRPr="001F523C">
        <w:rPr>
          <w:rFonts w:ascii="Titillium" w:hAnsi="Titillium" w:cs="Calibri"/>
          <w:i/>
          <w:iCs/>
          <w:sz w:val="18"/>
          <w:szCs w:val="18"/>
        </w:rPr>
        <w:t>[indicare i giorni che verranno assegnati per la risp</w:t>
      </w:r>
      <w:r w:rsidR="00F75651">
        <w:rPr>
          <w:rFonts w:ascii="Titillium" w:hAnsi="Titillium" w:cs="Calibri"/>
          <w:i/>
          <w:iCs/>
          <w:sz w:val="18"/>
          <w:szCs w:val="18"/>
        </w:rPr>
        <w:t>o</w:t>
      </w:r>
      <w:r w:rsidR="00F75651" w:rsidRPr="001F523C">
        <w:rPr>
          <w:rFonts w:ascii="Titillium" w:hAnsi="Titillium" w:cs="Calibri"/>
          <w:i/>
          <w:iCs/>
          <w:sz w:val="18"/>
          <w:szCs w:val="18"/>
        </w:rPr>
        <w:t>sta]</w:t>
      </w:r>
      <w:r w:rsidR="004E7A85">
        <w:rPr>
          <w:rFonts w:ascii="Titillium" w:hAnsi="Titillium" w:cs="Calibri"/>
          <w:i/>
          <w:iCs/>
          <w:sz w:val="18"/>
          <w:szCs w:val="18"/>
        </w:rPr>
        <w:t xml:space="preserve"> </w:t>
      </w:r>
      <w:r w:rsidR="004E7A85" w:rsidRPr="00CF3E51">
        <w:rPr>
          <w:rFonts w:ascii="Titillium" w:hAnsi="Titillium" w:cs="Calibri"/>
          <w:sz w:val="18"/>
          <w:szCs w:val="18"/>
        </w:rPr>
        <w:t>giorni</w:t>
      </w:r>
      <w:r w:rsidR="00F75651" w:rsidRPr="00CF3E51">
        <w:rPr>
          <w:rFonts w:ascii="Titillium" w:hAnsi="Titillium" w:cs="Calibri"/>
          <w:sz w:val="18"/>
          <w:szCs w:val="18"/>
        </w:rPr>
        <w:t>,</w:t>
      </w:r>
      <w:r w:rsidR="00F75651">
        <w:rPr>
          <w:rFonts w:ascii="Titillium" w:hAnsi="Titillium" w:cs="Calibri"/>
          <w:sz w:val="18"/>
          <w:szCs w:val="18"/>
        </w:rPr>
        <w:t xml:space="preserve"> dimostrare </w:t>
      </w:r>
      <w:r w:rsidR="00F75651" w:rsidRPr="006F6FFB">
        <w:rPr>
          <w:rFonts w:ascii="Titillium" w:hAnsi="Titillium" w:cs="Courier New"/>
          <w:sz w:val="18"/>
          <w:szCs w:val="18"/>
        </w:rPr>
        <w:t>che la circostanza non ha influito sulla gara, né è idonea a incidere sulla capacità di rispettare gli obblighi contrattuali</w:t>
      </w:r>
      <w:r w:rsidR="00F75651" w:rsidRPr="00ED40D0">
        <w:rPr>
          <w:rFonts w:ascii="Titillium" w:hAnsi="Titillium" w:cs="Courier New"/>
          <w:sz w:val="18"/>
          <w:szCs w:val="18"/>
        </w:rPr>
        <w:t xml:space="preserve">. </w:t>
      </w:r>
    </w:p>
    <w:p w14:paraId="110170EA" w14:textId="77777777" w:rsidR="007E2445" w:rsidRDefault="007E2445" w:rsidP="007E2445">
      <w:pPr>
        <w:spacing w:before="120" w:after="60"/>
        <w:rPr>
          <w:rFonts w:ascii="Titillium" w:hAnsi="Titillium"/>
          <w:b/>
          <w:i/>
          <w:sz w:val="18"/>
          <w:szCs w:val="18"/>
        </w:rPr>
      </w:pPr>
    </w:p>
    <w:p w14:paraId="64C1D1CC" w14:textId="263DD1AE" w:rsidR="007E2445" w:rsidRPr="008A076D" w:rsidRDefault="007E2445" w:rsidP="007E2445">
      <w:pPr>
        <w:spacing w:before="120" w:after="60"/>
        <w:rPr>
          <w:rFonts w:ascii="Titillium" w:hAnsi="Titillium"/>
          <w:b/>
          <w:i/>
          <w:sz w:val="18"/>
          <w:szCs w:val="18"/>
        </w:rPr>
      </w:pPr>
      <w:r w:rsidRPr="008A076D">
        <w:rPr>
          <w:rFonts w:ascii="Titillium" w:hAnsi="Titillium"/>
          <w:b/>
          <w:i/>
          <w:sz w:val="18"/>
          <w:szCs w:val="18"/>
        </w:rPr>
        <w:t>[Facoltativo</w:t>
      </w:r>
      <w:r>
        <w:rPr>
          <w:rFonts w:ascii="Titillium" w:hAnsi="Titillium"/>
          <w:b/>
          <w:i/>
          <w:sz w:val="18"/>
          <w:szCs w:val="18"/>
        </w:rPr>
        <w:t>,</w:t>
      </w:r>
      <w:r w:rsidRPr="007E2445">
        <w:rPr>
          <w:rFonts w:ascii="Titillium" w:hAnsi="Titillium" w:cs="Courier New"/>
          <w:b/>
          <w:bCs/>
          <w:i/>
          <w:iCs/>
          <w:sz w:val="18"/>
          <w:szCs w:val="18"/>
        </w:rPr>
        <w:t xml:space="preserve"> </w:t>
      </w:r>
      <w:r>
        <w:rPr>
          <w:rFonts w:ascii="Titillium" w:hAnsi="Titillium" w:cs="Courier New"/>
          <w:b/>
          <w:bCs/>
          <w:i/>
          <w:iCs/>
          <w:sz w:val="18"/>
          <w:szCs w:val="18"/>
        </w:rPr>
        <w:t>i</w:t>
      </w:r>
      <w:r w:rsidRPr="009863BB">
        <w:rPr>
          <w:rFonts w:ascii="Titillium" w:hAnsi="Titillium" w:cs="Courier New"/>
          <w:b/>
          <w:bCs/>
          <w:i/>
          <w:iCs/>
          <w:sz w:val="18"/>
          <w:szCs w:val="18"/>
        </w:rPr>
        <w:t>n caso di suddivisione in lotti</w:t>
      </w:r>
      <w:r w:rsidRPr="008A076D">
        <w:rPr>
          <w:rFonts w:ascii="Titillium" w:hAnsi="Titillium"/>
          <w:b/>
          <w:i/>
          <w:sz w:val="18"/>
          <w:szCs w:val="18"/>
        </w:rPr>
        <w:t>] Limitazione dell’aggiudicazione ad un numero massimo di lotti</w:t>
      </w:r>
    </w:p>
    <w:p w14:paraId="7A9A5FD7" w14:textId="77777777" w:rsidR="007E2445" w:rsidRPr="008A076D" w:rsidRDefault="007E2445" w:rsidP="007E2445">
      <w:pPr>
        <w:spacing w:before="60" w:after="60"/>
        <w:rPr>
          <w:rFonts w:ascii="Titillium" w:hAnsi="Titillium"/>
          <w:i/>
          <w:sz w:val="18"/>
          <w:szCs w:val="18"/>
        </w:rPr>
      </w:pPr>
      <w:r w:rsidRPr="008A076D">
        <w:rPr>
          <w:rFonts w:ascii="Titillium" w:hAnsi="Titillium"/>
          <w:sz w:val="18"/>
          <w:szCs w:val="18"/>
        </w:rPr>
        <w:t xml:space="preserve">Nel caso in cui un concorrente risulti primo in graduatoria per più lotti, al medesimo potranno essere aggiudicati fino ad un massimo di n. ... </w:t>
      </w:r>
      <w:r w:rsidRPr="008A076D">
        <w:rPr>
          <w:rFonts w:ascii="Titillium" w:hAnsi="Titillium"/>
          <w:i/>
          <w:sz w:val="18"/>
          <w:szCs w:val="18"/>
        </w:rPr>
        <w:t>[inserire numero massimo di lotti aggiudicabili]</w:t>
      </w:r>
      <w:r w:rsidRPr="008A076D">
        <w:rPr>
          <w:rFonts w:ascii="Titillium" w:hAnsi="Titillium"/>
          <w:sz w:val="18"/>
          <w:szCs w:val="18"/>
        </w:rPr>
        <w:t xml:space="preserve">, lotti che saranno individuati sulla base del criterio … </w:t>
      </w:r>
      <w:r w:rsidRPr="008A076D">
        <w:rPr>
          <w:rFonts w:ascii="Titillium" w:hAnsi="Titillium"/>
          <w:i/>
          <w:sz w:val="18"/>
          <w:szCs w:val="18"/>
        </w:rPr>
        <w:t xml:space="preserve">[la stazione appaltante definisce il criterio, che deve essere oggettivo e non discriminatorio, per determinare quali lotti saranno aggiudicati]. </w:t>
      </w:r>
    </w:p>
    <w:p w14:paraId="0F5BA80E" w14:textId="56F0CD2D" w:rsidR="007E2445" w:rsidRDefault="00B71887" w:rsidP="007E2445">
      <w:pPr>
        <w:spacing w:before="60" w:after="60"/>
        <w:rPr>
          <w:rFonts w:ascii="Titillium" w:hAnsi="Titillium"/>
          <w:sz w:val="18"/>
          <w:szCs w:val="18"/>
        </w:rPr>
      </w:pPr>
      <w:r>
        <w:rPr>
          <w:rFonts w:ascii="Titillium" w:hAnsi="Titillium"/>
          <w:sz w:val="18"/>
          <w:szCs w:val="18"/>
        </w:rPr>
        <w:t>Tale limitazione è stata imposta</w:t>
      </w:r>
      <w:r w:rsidR="007E2445" w:rsidRPr="008A076D">
        <w:rPr>
          <w:rFonts w:ascii="Titillium" w:hAnsi="Titillium"/>
          <w:sz w:val="18"/>
          <w:szCs w:val="18"/>
        </w:rPr>
        <w:t xml:space="preserve"> perché …. </w:t>
      </w:r>
      <w:r w:rsidR="007E2445" w:rsidRPr="008A076D">
        <w:rPr>
          <w:rFonts w:ascii="Titillium" w:hAnsi="Titillium"/>
          <w:i/>
          <w:iCs/>
          <w:sz w:val="18"/>
          <w:szCs w:val="18"/>
        </w:rPr>
        <w:t>[Indicare le ragioni della scelta</w:t>
      </w:r>
      <w:r w:rsidR="007E57B8">
        <w:rPr>
          <w:rFonts w:ascii="Titillium" w:hAnsi="Titillium"/>
          <w:i/>
          <w:iCs/>
          <w:sz w:val="18"/>
          <w:szCs w:val="18"/>
        </w:rPr>
        <w:t xml:space="preserve"> ai </w:t>
      </w:r>
      <w:r w:rsidR="007E57B8" w:rsidRPr="003E70DE">
        <w:rPr>
          <w:rFonts w:ascii="Titillium" w:hAnsi="Titillium"/>
          <w:i/>
          <w:iCs/>
          <w:sz w:val="18"/>
          <w:szCs w:val="18"/>
        </w:rPr>
        <w:t>sensi dell’art</w:t>
      </w:r>
      <w:r w:rsidR="00C408B2">
        <w:rPr>
          <w:rFonts w:ascii="Titillium" w:hAnsi="Titillium"/>
          <w:i/>
          <w:iCs/>
          <w:sz w:val="18"/>
          <w:szCs w:val="18"/>
        </w:rPr>
        <w:t>icolo</w:t>
      </w:r>
      <w:r w:rsidR="007E57B8" w:rsidRPr="003E70DE">
        <w:rPr>
          <w:rFonts w:ascii="Titillium" w:hAnsi="Titillium"/>
          <w:i/>
          <w:iCs/>
          <w:sz w:val="18"/>
          <w:szCs w:val="18"/>
        </w:rPr>
        <w:t xml:space="preserve"> 58</w:t>
      </w:r>
      <w:r w:rsidR="004E7A85">
        <w:rPr>
          <w:rFonts w:ascii="Titillium" w:hAnsi="Titillium"/>
          <w:i/>
          <w:iCs/>
          <w:sz w:val="18"/>
          <w:szCs w:val="18"/>
        </w:rPr>
        <w:t xml:space="preserve"> del Codice</w:t>
      </w:r>
      <w:r w:rsidR="007E2445" w:rsidRPr="003E70DE">
        <w:rPr>
          <w:rFonts w:ascii="Titillium" w:hAnsi="Titillium"/>
          <w:i/>
          <w:iCs/>
          <w:sz w:val="18"/>
          <w:szCs w:val="18"/>
        </w:rPr>
        <w:t>]</w:t>
      </w:r>
    </w:p>
    <w:p w14:paraId="73292768" w14:textId="77777777" w:rsidR="00F44182" w:rsidRDefault="00F44182" w:rsidP="009863BB">
      <w:pPr>
        <w:spacing w:before="60" w:after="60"/>
        <w:rPr>
          <w:rFonts w:ascii="Titillium" w:hAnsi="Titillium" w:cs="Courier New"/>
          <w:b/>
          <w:bCs/>
          <w:i/>
          <w:iCs/>
          <w:sz w:val="18"/>
          <w:szCs w:val="18"/>
        </w:rPr>
      </w:pPr>
    </w:p>
    <w:p w14:paraId="6946C2C1" w14:textId="723C14BC" w:rsidR="009F4BC4" w:rsidRPr="008A076D" w:rsidRDefault="009863BB" w:rsidP="00F44182">
      <w:pPr>
        <w:spacing w:before="60" w:after="60"/>
      </w:pPr>
      <w:r w:rsidRPr="009863BB">
        <w:rPr>
          <w:rFonts w:ascii="Titillium" w:hAnsi="Titillium" w:cs="Courier New"/>
          <w:b/>
          <w:bCs/>
          <w:i/>
          <w:iCs/>
          <w:sz w:val="18"/>
          <w:szCs w:val="18"/>
        </w:rPr>
        <w:t>[</w:t>
      </w:r>
      <w:r w:rsidR="00F44182">
        <w:rPr>
          <w:rFonts w:ascii="Titillium" w:hAnsi="Titillium" w:cs="Courier New"/>
          <w:b/>
          <w:bCs/>
          <w:i/>
          <w:iCs/>
          <w:sz w:val="18"/>
          <w:szCs w:val="18"/>
        </w:rPr>
        <w:t>Facoltativo</w:t>
      </w:r>
      <w:r w:rsidRPr="009863BB">
        <w:rPr>
          <w:rFonts w:ascii="Titillium" w:hAnsi="Titillium" w:cs="Courier New"/>
          <w:b/>
          <w:bCs/>
          <w:i/>
          <w:iCs/>
          <w:sz w:val="18"/>
          <w:szCs w:val="18"/>
        </w:rPr>
        <w:t>]</w:t>
      </w:r>
      <w:r w:rsidR="009F4BC4" w:rsidRPr="008A076D">
        <w:rPr>
          <w:rFonts w:ascii="Titillium" w:hAnsi="Titillium"/>
          <w:b/>
          <w:i/>
          <w:sz w:val="18"/>
          <w:szCs w:val="18"/>
        </w:rPr>
        <w:t xml:space="preserve"> Limitazione della partecipazione ad un numero massimo di lotti</w:t>
      </w:r>
    </w:p>
    <w:p w14:paraId="5AAA609F" w14:textId="77777777" w:rsidR="009F4BC4" w:rsidRPr="008A076D" w:rsidRDefault="009F4BC4" w:rsidP="009F4BC4">
      <w:pPr>
        <w:spacing w:before="60" w:after="60"/>
        <w:rPr>
          <w:rFonts w:ascii="Titillium" w:hAnsi="Titillium"/>
          <w:i/>
          <w:sz w:val="18"/>
          <w:szCs w:val="18"/>
        </w:rPr>
      </w:pPr>
      <w:r w:rsidRPr="008A076D">
        <w:rPr>
          <w:rFonts w:ascii="Titillium" w:eastAsia="Calibri" w:hAnsi="Titillium"/>
          <w:sz w:val="18"/>
          <w:szCs w:val="18"/>
          <w:lang w:eastAsia="it-IT"/>
        </w:rPr>
        <w:t>Ciascun concorrente può presentare</w:t>
      </w:r>
      <w:r w:rsidRPr="008A076D">
        <w:rPr>
          <w:rFonts w:ascii="Titillium" w:hAnsi="Titillium"/>
          <w:sz w:val="18"/>
          <w:szCs w:val="18"/>
        </w:rPr>
        <w:t xml:space="preserve"> offerta per un numero massimo di … </w:t>
      </w:r>
      <w:r w:rsidRPr="008A076D">
        <w:rPr>
          <w:rFonts w:ascii="Titillium" w:hAnsi="Titillium"/>
          <w:i/>
          <w:sz w:val="18"/>
          <w:szCs w:val="18"/>
        </w:rPr>
        <w:t xml:space="preserve">[inserire il numero massimo di lotti a cui si può partecipare] </w:t>
      </w:r>
      <w:r w:rsidRPr="008A076D">
        <w:rPr>
          <w:rFonts w:ascii="Titillium" w:hAnsi="Titillium"/>
          <w:sz w:val="18"/>
          <w:szCs w:val="18"/>
        </w:rPr>
        <w:t xml:space="preserve">lotti. In caso di partecipazione ad un numero maggiore di lotti rispetto a quanto consentito, la domanda si considera presentata per </w:t>
      </w:r>
      <w:r w:rsidRPr="008A076D">
        <w:rPr>
          <w:rFonts w:ascii="Titillium" w:hAnsi="Titillium"/>
          <w:i/>
          <w:sz w:val="18"/>
          <w:szCs w:val="18"/>
        </w:rPr>
        <w:t>… [indicare il criterio per la individuazione dei lotti ai quali riferire la domanda di partecipazione, per esempio i lotti di maggiore valore economico].</w:t>
      </w:r>
    </w:p>
    <w:p w14:paraId="41DB2FCA" w14:textId="56C65A17" w:rsidR="0036460E" w:rsidRDefault="0036460E" w:rsidP="0036460E">
      <w:pPr>
        <w:spacing w:before="60" w:after="60"/>
        <w:rPr>
          <w:rFonts w:ascii="Titillium" w:hAnsi="Titillium"/>
          <w:sz w:val="18"/>
          <w:szCs w:val="18"/>
        </w:rPr>
      </w:pPr>
      <w:r>
        <w:rPr>
          <w:rFonts w:ascii="Titillium" w:hAnsi="Titillium"/>
          <w:sz w:val="18"/>
          <w:szCs w:val="18"/>
        </w:rPr>
        <w:t>Tale limitazione è stata imposta</w:t>
      </w:r>
      <w:r w:rsidRPr="008A076D">
        <w:rPr>
          <w:rFonts w:ascii="Titillium" w:hAnsi="Titillium"/>
          <w:sz w:val="18"/>
          <w:szCs w:val="18"/>
        </w:rPr>
        <w:t xml:space="preserve"> perché …. </w:t>
      </w:r>
      <w:r w:rsidRPr="008A076D">
        <w:rPr>
          <w:rFonts w:ascii="Titillium" w:hAnsi="Titillium"/>
          <w:i/>
          <w:iCs/>
          <w:sz w:val="18"/>
          <w:szCs w:val="18"/>
        </w:rPr>
        <w:t>[Indicare le ragioni della scelta</w:t>
      </w:r>
      <w:r>
        <w:rPr>
          <w:rFonts w:ascii="Titillium" w:hAnsi="Titillium"/>
          <w:i/>
          <w:iCs/>
          <w:sz w:val="18"/>
          <w:szCs w:val="18"/>
        </w:rPr>
        <w:t xml:space="preserve"> ai </w:t>
      </w:r>
      <w:r w:rsidRPr="003E70DE">
        <w:rPr>
          <w:rFonts w:ascii="Titillium" w:hAnsi="Titillium"/>
          <w:i/>
          <w:iCs/>
          <w:sz w:val="18"/>
          <w:szCs w:val="18"/>
        </w:rPr>
        <w:t>sensi dell’art</w:t>
      </w:r>
      <w:r>
        <w:rPr>
          <w:rFonts w:ascii="Titillium" w:hAnsi="Titillium"/>
          <w:i/>
          <w:iCs/>
          <w:sz w:val="18"/>
          <w:szCs w:val="18"/>
        </w:rPr>
        <w:t>icolo</w:t>
      </w:r>
      <w:r w:rsidRPr="003E70DE">
        <w:rPr>
          <w:rFonts w:ascii="Titillium" w:hAnsi="Titillium"/>
          <w:i/>
          <w:iCs/>
          <w:sz w:val="18"/>
          <w:szCs w:val="18"/>
        </w:rPr>
        <w:t xml:space="preserve"> 58</w:t>
      </w:r>
      <w:r w:rsidR="004E7A85">
        <w:rPr>
          <w:rFonts w:ascii="Titillium" w:hAnsi="Titillium"/>
          <w:i/>
          <w:iCs/>
          <w:sz w:val="18"/>
          <w:szCs w:val="18"/>
        </w:rPr>
        <w:t xml:space="preserve"> del Codice</w:t>
      </w:r>
      <w:r w:rsidRPr="003E70DE">
        <w:rPr>
          <w:rFonts w:ascii="Titillium" w:hAnsi="Titillium"/>
          <w:i/>
          <w:iCs/>
          <w:sz w:val="18"/>
          <w:szCs w:val="18"/>
        </w:rPr>
        <w:t>]</w:t>
      </w:r>
    </w:p>
    <w:p w14:paraId="2E934F75" w14:textId="77777777" w:rsidR="006266B8" w:rsidRDefault="006266B8" w:rsidP="009863BB">
      <w:pPr>
        <w:spacing w:before="60" w:after="60"/>
        <w:rPr>
          <w:rFonts w:ascii="Titillium" w:hAnsi="Titillium"/>
          <w:sz w:val="18"/>
          <w:szCs w:val="18"/>
          <w:highlight w:val="yellow"/>
        </w:rPr>
      </w:pPr>
    </w:p>
    <w:p w14:paraId="1C42051F" w14:textId="62F889AE" w:rsidR="006266B8" w:rsidRPr="00164600" w:rsidRDefault="006266B8" w:rsidP="006266B8">
      <w:pPr>
        <w:spacing w:before="60" w:after="60"/>
        <w:rPr>
          <w:rFonts w:ascii="Titillium" w:hAnsi="Titillium"/>
          <w:i/>
          <w:iCs/>
          <w:sz w:val="18"/>
          <w:szCs w:val="18"/>
        </w:rPr>
      </w:pPr>
      <w:r w:rsidRPr="007E57B8">
        <w:rPr>
          <w:rFonts w:ascii="Titillium" w:hAnsi="Titillium"/>
          <w:sz w:val="18"/>
          <w:szCs w:val="18"/>
        </w:rPr>
        <w:t>Ai fini del conteggio del numero massimo dei lotti che possono essere aggiudicati</w:t>
      </w:r>
      <w:r>
        <w:rPr>
          <w:rFonts w:ascii="Titillium" w:hAnsi="Titillium"/>
          <w:sz w:val="18"/>
          <w:szCs w:val="18"/>
        </w:rPr>
        <w:t>/a cui si può partecipare</w:t>
      </w:r>
      <w:r w:rsidRPr="007E57B8">
        <w:rPr>
          <w:rFonts w:ascii="Titillium" w:hAnsi="Titillium"/>
          <w:sz w:val="18"/>
          <w:szCs w:val="18"/>
        </w:rPr>
        <w:t xml:space="preserve">, si tiene conto …. </w:t>
      </w:r>
      <w:r w:rsidRPr="007E57B8">
        <w:rPr>
          <w:rFonts w:ascii="Titillium" w:hAnsi="Titillium"/>
          <w:i/>
          <w:iCs/>
          <w:sz w:val="18"/>
          <w:szCs w:val="18"/>
        </w:rPr>
        <w:t>[la stazione appaltante</w:t>
      </w:r>
      <w:r w:rsidRPr="00164600">
        <w:rPr>
          <w:rFonts w:ascii="Titillium" w:hAnsi="Titillium"/>
          <w:i/>
          <w:iCs/>
          <w:sz w:val="18"/>
          <w:szCs w:val="18"/>
        </w:rPr>
        <w:t xml:space="preserve"> </w:t>
      </w:r>
      <w:r>
        <w:rPr>
          <w:rFonts w:ascii="Titillium" w:hAnsi="Titillium"/>
          <w:i/>
          <w:iCs/>
          <w:sz w:val="18"/>
          <w:szCs w:val="18"/>
        </w:rPr>
        <w:t>individua</w:t>
      </w:r>
      <w:r w:rsidRPr="00164600">
        <w:rPr>
          <w:rFonts w:ascii="Titillium" w:hAnsi="Titillium"/>
          <w:i/>
          <w:iCs/>
          <w:sz w:val="18"/>
          <w:szCs w:val="18"/>
        </w:rPr>
        <w:t xml:space="preserve"> quan</w:t>
      </w:r>
      <w:r>
        <w:rPr>
          <w:rFonts w:ascii="Titillium" w:hAnsi="Titillium"/>
          <w:i/>
          <w:iCs/>
          <w:sz w:val="18"/>
          <w:szCs w:val="18"/>
        </w:rPr>
        <w:t>d</w:t>
      </w:r>
      <w:r w:rsidRPr="00164600">
        <w:rPr>
          <w:rFonts w:ascii="Titillium" w:hAnsi="Titillium"/>
          <w:i/>
          <w:iCs/>
          <w:sz w:val="18"/>
          <w:szCs w:val="18"/>
        </w:rPr>
        <w:t>o gli operatori economici che partecipano in diverse forme possano essere considerati “</w:t>
      </w:r>
      <w:r>
        <w:rPr>
          <w:rFonts w:ascii="Titillium" w:hAnsi="Titillium"/>
          <w:i/>
          <w:iCs/>
          <w:sz w:val="18"/>
          <w:szCs w:val="18"/>
        </w:rPr>
        <w:t xml:space="preserve">il medesimo </w:t>
      </w:r>
      <w:r w:rsidRPr="00164600">
        <w:rPr>
          <w:rFonts w:ascii="Titillium" w:hAnsi="Titillium"/>
          <w:i/>
          <w:iCs/>
          <w:sz w:val="18"/>
          <w:szCs w:val="18"/>
        </w:rPr>
        <w:t>concorrente”</w:t>
      </w:r>
      <w:r>
        <w:rPr>
          <w:rFonts w:ascii="Titillium" w:hAnsi="Titillium"/>
          <w:i/>
          <w:iCs/>
          <w:sz w:val="18"/>
          <w:szCs w:val="18"/>
        </w:rPr>
        <w:t xml:space="preserve"> (ad esempio con riferimento alle </w:t>
      </w:r>
      <w:r w:rsidR="00220A5E">
        <w:rPr>
          <w:rFonts w:ascii="Titillium" w:hAnsi="Titillium"/>
          <w:i/>
          <w:iCs/>
          <w:sz w:val="18"/>
          <w:szCs w:val="18"/>
        </w:rPr>
        <w:t xml:space="preserve">gare </w:t>
      </w:r>
      <w:r w:rsidRPr="006266B8">
        <w:rPr>
          <w:rFonts w:ascii="Titillium" w:hAnsi="Titillium"/>
          <w:i/>
          <w:iCs/>
          <w:sz w:val="18"/>
          <w:szCs w:val="18"/>
        </w:rPr>
        <w:t>ad oggetto plurimo o unitario</w:t>
      </w:r>
      <w:r>
        <w:rPr>
          <w:rFonts w:ascii="Titillium" w:hAnsi="Titillium"/>
          <w:i/>
          <w:iCs/>
          <w:sz w:val="18"/>
          <w:szCs w:val="18"/>
        </w:rPr>
        <w:t xml:space="preserve">) e specifica se ha deciso di limitare la partecipazione di più concorrenti </w:t>
      </w:r>
      <w:r w:rsidRPr="00482FC8">
        <w:rPr>
          <w:rFonts w:ascii="Titillium" w:hAnsi="Titillium"/>
          <w:i/>
          <w:iCs/>
          <w:sz w:val="18"/>
          <w:szCs w:val="18"/>
        </w:rPr>
        <w:t xml:space="preserve">che versino in situazioni di controllo o collegamento ai sensi dell’articolo 2359 del </w:t>
      </w:r>
      <w:r w:rsidR="00B9457F" w:rsidRPr="00482FC8">
        <w:rPr>
          <w:rFonts w:ascii="Titillium" w:hAnsi="Titillium"/>
          <w:i/>
          <w:iCs/>
          <w:sz w:val="18"/>
          <w:szCs w:val="18"/>
        </w:rPr>
        <w:t>Codice civile</w:t>
      </w:r>
      <w:r>
        <w:rPr>
          <w:rFonts w:ascii="Titillium" w:hAnsi="Titillium"/>
          <w:i/>
          <w:iCs/>
          <w:sz w:val="18"/>
          <w:szCs w:val="18"/>
        </w:rPr>
        <w:t xml:space="preserve">] </w:t>
      </w:r>
    </w:p>
    <w:p w14:paraId="77FEC211" w14:textId="4CB6AF4D" w:rsidR="005104B1" w:rsidRDefault="005104B1" w:rsidP="005104B1">
      <w:pPr>
        <w:spacing w:before="60" w:after="60"/>
        <w:rPr>
          <w:rFonts w:ascii="Titillium" w:hAnsi="Titillium" w:cs="Calibri"/>
          <w:b/>
          <w:i/>
          <w:sz w:val="18"/>
          <w:szCs w:val="18"/>
        </w:rPr>
      </w:pPr>
    </w:p>
    <w:p w14:paraId="6F21A91C" w14:textId="77777777" w:rsidR="0095177A" w:rsidRPr="008A076D" w:rsidRDefault="0095177A" w:rsidP="0095177A">
      <w:pPr>
        <w:spacing w:before="60" w:after="60"/>
        <w:rPr>
          <w:rFonts w:ascii="Titillium" w:hAnsi="Titillium"/>
          <w:b/>
          <w:i/>
          <w:sz w:val="18"/>
          <w:szCs w:val="18"/>
        </w:rPr>
      </w:pPr>
      <w:r w:rsidRPr="008A076D">
        <w:rPr>
          <w:rFonts w:ascii="Titillium" w:hAnsi="Titillium"/>
          <w:b/>
          <w:i/>
          <w:sz w:val="18"/>
          <w:szCs w:val="18"/>
        </w:rPr>
        <w:t>[Facoltativo] Associazione di lotti al medesimo offerente</w:t>
      </w:r>
    </w:p>
    <w:p w14:paraId="79617F05" w14:textId="77777777" w:rsidR="0095177A" w:rsidRDefault="0095177A" w:rsidP="0095177A">
      <w:pPr>
        <w:spacing w:before="60" w:after="60"/>
        <w:rPr>
          <w:rFonts w:ascii="Titillium" w:hAnsi="Titillium"/>
          <w:i/>
          <w:sz w:val="18"/>
          <w:szCs w:val="18"/>
        </w:rPr>
      </w:pPr>
      <w:r w:rsidRPr="008A076D">
        <w:rPr>
          <w:rFonts w:ascii="Titillium" w:hAnsi="Titillium"/>
          <w:sz w:val="18"/>
          <w:szCs w:val="18"/>
        </w:rPr>
        <w:lastRenderedPageBreak/>
        <w:t xml:space="preserve">La stazione appaltante si riserva la facoltà di aggiudicare in forma associata i lotti n. </w:t>
      </w:r>
      <w:r>
        <w:rPr>
          <w:rFonts w:ascii="Titillium" w:hAnsi="Titillium"/>
          <w:sz w:val="18"/>
          <w:szCs w:val="18"/>
        </w:rPr>
        <w:t>…</w:t>
      </w:r>
      <w:r w:rsidRPr="008A076D">
        <w:rPr>
          <w:rFonts w:ascii="Titillium" w:hAnsi="Titillium"/>
          <w:i/>
          <w:sz w:val="18"/>
          <w:szCs w:val="18"/>
        </w:rPr>
        <w:t xml:space="preserve"> [indicare i lotti specifici]</w:t>
      </w:r>
      <w:r w:rsidRPr="008A076D">
        <w:rPr>
          <w:rFonts w:ascii="Titillium" w:hAnsi="Titillium"/>
          <w:sz w:val="18"/>
          <w:szCs w:val="18"/>
        </w:rPr>
        <w:t xml:space="preserve"> al medesimo offerente. La modalità mediante cui effettuare la valutazione comparativa tra le offerte sui singoli lotti e le offerte sulle associazioni di lotti è la seguente: </w:t>
      </w:r>
      <w:r>
        <w:rPr>
          <w:rFonts w:ascii="Titillium" w:hAnsi="Titillium"/>
          <w:sz w:val="18"/>
          <w:szCs w:val="18"/>
        </w:rPr>
        <w:t>…</w:t>
      </w:r>
      <w:r w:rsidRPr="008A076D">
        <w:rPr>
          <w:rFonts w:ascii="Titillium" w:hAnsi="Titillium"/>
          <w:i/>
          <w:sz w:val="18"/>
          <w:szCs w:val="18"/>
        </w:rPr>
        <w:t xml:space="preserve"> [indicare il criterio mediante cui effettuare la valutazione comparativa].</w:t>
      </w:r>
    </w:p>
    <w:p w14:paraId="354E47DF" w14:textId="77777777" w:rsidR="0095177A" w:rsidRDefault="0095177A" w:rsidP="005104B1">
      <w:pPr>
        <w:spacing w:before="60" w:after="60"/>
        <w:rPr>
          <w:rFonts w:ascii="Titillium" w:hAnsi="Titillium" w:cs="Calibri"/>
          <w:b/>
          <w:i/>
          <w:sz w:val="18"/>
          <w:szCs w:val="18"/>
        </w:rPr>
      </w:pPr>
    </w:p>
    <w:p w14:paraId="163D8985" w14:textId="30C1293E" w:rsidR="004C53A8" w:rsidRDefault="00870286">
      <w:pPr>
        <w:spacing w:before="60" w:after="60"/>
        <w:rPr>
          <w:rFonts w:ascii="Titillium" w:hAnsi="Titillium" w:cs="Courier New"/>
          <w:sz w:val="18"/>
          <w:szCs w:val="18"/>
        </w:rPr>
      </w:pPr>
      <w:r>
        <w:rPr>
          <w:rFonts w:ascii="Titillium" w:hAnsi="Titillium" w:cs="Courier New"/>
          <w:sz w:val="18"/>
          <w:szCs w:val="18"/>
        </w:rPr>
        <w:t xml:space="preserve">Le aggregazioni di retisti di cui all’articolo </w:t>
      </w:r>
      <w:r w:rsidR="00AD6E88" w:rsidRPr="003E70DE">
        <w:rPr>
          <w:rFonts w:ascii="Titillium" w:hAnsi="Titillium" w:cs="Courier New"/>
          <w:sz w:val="18"/>
          <w:szCs w:val="18"/>
        </w:rPr>
        <w:t>65</w:t>
      </w:r>
      <w:r w:rsidRPr="003E70DE">
        <w:rPr>
          <w:rFonts w:ascii="Titillium" w:hAnsi="Titillium" w:cs="Courier New"/>
          <w:sz w:val="18"/>
          <w:szCs w:val="18"/>
        </w:rPr>
        <w:t>, comma 2</w:t>
      </w:r>
      <w:r w:rsidR="008A1ED8">
        <w:rPr>
          <w:rFonts w:ascii="Titillium" w:hAnsi="Titillium" w:cs="Courier New"/>
          <w:sz w:val="18"/>
          <w:szCs w:val="18"/>
        </w:rPr>
        <w:t>,</w:t>
      </w:r>
      <w:r w:rsidRPr="003E70DE">
        <w:rPr>
          <w:rFonts w:ascii="Titillium" w:hAnsi="Titillium" w:cs="Courier New"/>
          <w:sz w:val="18"/>
          <w:szCs w:val="18"/>
        </w:rPr>
        <w:t xml:space="preserve"> lettera </w:t>
      </w:r>
      <w:r w:rsidR="00AD6E88" w:rsidRPr="003E70DE">
        <w:rPr>
          <w:rFonts w:ascii="Titillium" w:hAnsi="Titillium" w:cs="Courier New"/>
          <w:sz w:val="18"/>
          <w:szCs w:val="18"/>
        </w:rPr>
        <w:t>g</w:t>
      </w:r>
      <w:r w:rsidRPr="003E70DE">
        <w:rPr>
          <w:rFonts w:ascii="Titillium" w:hAnsi="Titillium" w:cs="Courier New"/>
          <w:sz w:val="18"/>
          <w:szCs w:val="18"/>
        </w:rPr>
        <w:t>)</w:t>
      </w:r>
      <w:r>
        <w:rPr>
          <w:rFonts w:ascii="Titillium" w:hAnsi="Titillium" w:cs="Courier New"/>
          <w:sz w:val="18"/>
          <w:szCs w:val="18"/>
        </w:rPr>
        <w:t xml:space="preserve"> del Codice, rispettano la disciplina prevista per i raggruppamenti temporanei in quanto compatibile. In particolare:</w:t>
      </w:r>
    </w:p>
    <w:p w14:paraId="51D160DF" w14:textId="7BCA0BB1"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 xml:space="preserve">nel caso in cui la rete sia dotata di organo comune con potere di rappresentanza e soggettività giuridica (cd. </w:t>
      </w:r>
      <w:r w:rsidR="00DD4719">
        <w:rPr>
          <w:rFonts w:ascii="Titillium" w:hAnsi="Titillium" w:cs="Courier New"/>
          <w:sz w:val="18"/>
          <w:szCs w:val="18"/>
        </w:rPr>
        <w:t>R</w:t>
      </w:r>
      <w:r>
        <w:rPr>
          <w:rFonts w:ascii="Titillium" w:hAnsi="Titillium" w:cs="Courier New"/>
          <w:sz w:val="18"/>
          <w:szCs w:val="18"/>
        </w:rPr>
        <w:t xml:space="preserve">ete </w:t>
      </w:r>
      <w:r w:rsidR="00DD4719">
        <w:rPr>
          <w:rFonts w:ascii="Titillium" w:hAnsi="Titillium" w:cs="Courier New"/>
          <w:sz w:val="18"/>
          <w:szCs w:val="18"/>
        </w:rPr>
        <w:t>–</w:t>
      </w:r>
      <w:r>
        <w:rPr>
          <w:rFonts w:ascii="Titillium" w:hAnsi="Titillium" w:cs="Courier New"/>
          <w:sz w:val="18"/>
          <w:szCs w:val="18"/>
        </w:rPr>
        <w:t xml:space="preserve">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687E35A2" w14:textId="62B0677A"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 xml:space="preserve">nel caso in cui la rete sia dotata di organo comune con potere di rappresentanza ma priva di soggettività giuridica (cd. </w:t>
      </w:r>
      <w:r w:rsidR="00DD4719">
        <w:rPr>
          <w:rFonts w:ascii="Titillium" w:hAnsi="Titillium" w:cs="Courier New"/>
          <w:sz w:val="18"/>
          <w:szCs w:val="18"/>
        </w:rPr>
        <w:t>R</w:t>
      </w:r>
      <w:r>
        <w:rPr>
          <w:rFonts w:ascii="Titillium" w:hAnsi="Titillium" w:cs="Courier New"/>
          <w:sz w:val="18"/>
          <w:szCs w:val="18"/>
        </w:rPr>
        <w:t>ete</w:t>
      </w:r>
      <w:r w:rsidR="00A118E5">
        <w:rPr>
          <w:rFonts w:ascii="Titillium" w:hAnsi="Titillium" w:cs="Courier New"/>
          <w:sz w:val="18"/>
          <w:szCs w:val="18"/>
        </w:rPr>
        <w:t xml:space="preserve"> </w:t>
      </w:r>
      <w:r w:rsidR="00DD4719">
        <w:rPr>
          <w:rFonts w:ascii="Titillium" w:hAnsi="Titillium" w:cs="Courier New"/>
          <w:sz w:val="18"/>
          <w:szCs w:val="18"/>
        </w:rPr>
        <w:t>–</w:t>
      </w:r>
      <w:r w:rsidR="00A118E5">
        <w:rPr>
          <w:rFonts w:ascii="Titillium" w:hAnsi="Titillium" w:cs="Courier New"/>
          <w:sz w:val="18"/>
          <w:szCs w:val="18"/>
        </w:rPr>
        <w:t xml:space="preserve"> </w:t>
      </w:r>
      <w:r>
        <w:rPr>
          <w:rFonts w:ascii="Titillium" w:hAnsi="Titillium" w:cs="Courier New"/>
          <w:sz w:val="18"/>
          <w:szCs w:val="18"/>
        </w:rPr>
        <w:t xml:space="preserve">contratto), l’aggregazione di retisti partecipa a mezzo dell’organo comune, che assume il ruolo del 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 </w:t>
      </w:r>
    </w:p>
    <w:p w14:paraId="4CDC73E6" w14:textId="7738698A"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4057158C" w14:textId="08875279" w:rsidR="004C53A8" w:rsidRDefault="00870286">
      <w:pPr>
        <w:spacing w:before="60" w:after="60"/>
      </w:pPr>
      <w:r w:rsidRPr="00E7138C">
        <w:rPr>
          <w:rFonts w:ascii="Titillium" w:hAnsi="Titillium" w:cs="Courier New"/>
          <w:sz w:val="18"/>
          <w:szCs w:val="18"/>
        </w:rPr>
        <w:t>Per tutte le tipologie di rete,</w:t>
      </w:r>
      <w:r>
        <w:rPr>
          <w:rFonts w:ascii="Titillium" w:hAnsi="Titillium" w:cs="Courier New"/>
          <w:sz w:val="18"/>
          <w:szCs w:val="18"/>
        </w:rPr>
        <w:t xml:space="preserve"> la partecipazione congiunta alle gare deve risultare individuata nel contratto di rete come uno degli scopi strategici inclusi nel programma comune, mentre la durata dello stesso dovrà essere commisurata ai tempi</w:t>
      </w:r>
      <w:r w:rsidR="00A118E5">
        <w:rPr>
          <w:rFonts w:ascii="Titillium" w:hAnsi="Titillium" w:cs="Courier New"/>
          <w:sz w:val="18"/>
          <w:szCs w:val="18"/>
        </w:rPr>
        <w:t xml:space="preserve"> di realizzazione dell’appalto</w:t>
      </w:r>
      <w:r>
        <w:rPr>
          <w:rFonts w:ascii="Titillium" w:hAnsi="Titillium" w:cs="Courier New"/>
          <w:sz w:val="18"/>
          <w:szCs w:val="18"/>
        </w:rPr>
        <w:t>.</w:t>
      </w:r>
    </w:p>
    <w:p w14:paraId="67E27147" w14:textId="1C6AEA69" w:rsidR="004C53A8" w:rsidRDefault="006266B8">
      <w:pPr>
        <w:spacing w:before="60" w:after="60"/>
        <w:rPr>
          <w:rFonts w:ascii="Titillium" w:hAnsi="Titillium" w:cs="Courier New"/>
          <w:sz w:val="18"/>
          <w:szCs w:val="18"/>
        </w:rPr>
      </w:pPr>
      <w:r w:rsidRPr="00020DDD">
        <w:rPr>
          <w:rFonts w:ascii="Titillium" w:hAnsi="Titillium" w:cs="Courier New"/>
          <w:sz w:val="18"/>
          <w:szCs w:val="18"/>
        </w:rPr>
        <w:t>Ad</w:t>
      </w:r>
      <w:r w:rsidR="00870286" w:rsidRPr="00020DDD">
        <w:rPr>
          <w:rFonts w:ascii="Titillium" w:hAnsi="Titillium" w:cs="Courier New"/>
          <w:sz w:val="18"/>
          <w:szCs w:val="18"/>
        </w:rPr>
        <w:t xml:space="preserve"> un raggruppamento temporaneo può </w:t>
      </w:r>
      <w:r w:rsidRPr="00020DDD">
        <w:rPr>
          <w:rFonts w:ascii="Titillium" w:hAnsi="Titillium" w:cs="Courier New"/>
          <w:sz w:val="18"/>
          <w:szCs w:val="18"/>
        </w:rPr>
        <w:t xml:space="preserve">partecipare </w:t>
      </w:r>
      <w:r w:rsidR="00870286" w:rsidRPr="00020DDD">
        <w:rPr>
          <w:rFonts w:ascii="Titillium" w:hAnsi="Titillium" w:cs="Courier New"/>
          <w:sz w:val="18"/>
          <w:szCs w:val="18"/>
        </w:rPr>
        <w:t xml:space="preserve">anche un consorzio di cui all’articolo </w:t>
      </w:r>
      <w:r w:rsidR="003E70DE" w:rsidRPr="00020DDD">
        <w:rPr>
          <w:rFonts w:ascii="Titillium" w:hAnsi="Titillium" w:cs="Courier New"/>
          <w:sz w:val="18"/>
          <w:szCs w:val="18"/>
        </w:rPr>
        <w:t>65</w:t>
      </w:r>
      <w:r w:rsidR="00870286" w:rsidRPr="00020DDD">
        <w:rPr>
          <w:rFonts w:ascii="Titillium" w:hAnsi="Titillium" w:cs="Courier New"/>
          <w:sz w:val="18"/>
          <w:szCs w:val="18"/>
        </w:rPr>
        <w:t xml:space="preserve">, comma </w:t>
      </w:r>
      <w:r w:rsidR="00F40093">
        <w:rPr>
          <w:rFonts w:ascii="Titillium" w:hAnsi="Titillium" w:cs="Courier New"/>
          <w:sz w:val="18"/>
          <w:szCs w:val="18"/>
        </w:rPr>
        <w:t>2</w:t>
      </w:r>
      <w:r w:rsidR="00870286" w:rsidRPr="00020DDD">
        <w:rPr>
          <w:rFonts w:ascii="Titillium" w:hAnsi="Titillium" w:cs="Courier New"/>
          <w:sz w:val="18"/>
          <w:szCs w:val="18"/>
        </w:rPr>
        <w:t>, lettera b), c)</w:t>
      </w:r>
      <w:r w:rsidR="003E70DE" w:rsidRPr="00020DDD">
        <w:rPr>
          <w:rFonts w:ascii="Titillium" w:hAnsi="Titillium" w:cs="Courier New"/>
          <w:sz w:val="18"/>
          <w:szCs w:val="18"/>
        </w:rPr>
        <w:t>, d)</w:t>
      </w:r>
      <w:r w:rsidR="00870286" w:rsidRPr="00020DDD">
        <w:rPr>
          <w:rFonts w:ascii="Titillium" w:hAnsi="Titillium" w:cs="Courier New"/>
          <w:sz w:val="18"/>
          <w:szCs w:val="18"/>
        </w:rPr>
        <w:t>.</w:t>
      </w:r>
    </w:p>
    <w:p w14:paraId="75208D54" w14:textId="619D6C30" w:rsidR="004C53A8" w:rsidRDefault="00A118E5">
      <w:pPr>
        <w:spacing w:before="60" w:after="60"/>
      </w:pPr>
      <w:r w:rsidRPr="005905F3">
        <w:rPr>
          <w:rFonts w:ascii="Titillium" w:hAnsi="Titillium" w:cs="Courier New"/>
          <w:sz w:val="18"/>
          <w:szCs w:val="18"/>
        </w:rPr>
        <w:t>L</w:t>
      </w:r>
      <w:r w:rsidR="00870286" w:rsidRPr="005905F3">
        <w:rPr>
          <w:rFonts w:ascii="Titillium" w:hAnsi="Titillium" w:cs="Courier New"/>
          <w:sz w:val="18"/>
          <w:szCs w:val="18"/>
        </w:rPr>
        <w:t>’impresa in concordato preventivo può concorrere anche riunita in raggruppamento temporaneo di imprese e sempre che le altre imprese aderenti al raggruppamento temporaneo di imprese non siano assoggettate ad una procedura concorsuale</w:t>
      </w:r>
      <w:r w:rsidRPr="005905F3">
        <w:rPr>
          <w:rFonts w:ascii="Titillium" w:hAnsi="Titillium" w:cs="Courier New"/>
          <w:sz w:val="18"/>
          <w:szCs w:val="18"/>
        </w:rPr>
        <w:t>.</w:t>
      </w:r>
      <w:r w:rsidR="00870286">
        <w:rPr>
          <w:rFonts w:ascii="Titillium" w:hAnsi="Titillium" w:cs="Courier New"/>
          <w:sz w:val="18"/>
          <w:szCs w:val="18"/>
        </w:rPr>
        <w:t xml:space="preserve"> </w:t>
      </w:r>
      <w:r w:rsidR="00F775FE">
        <w:rPr>
          <w:rFonts w:ascii="Titillium" w:hAnsi="Titillium" w:cs="Courier New"/>
          <w:sz w:val="18"/>
          <w:szCs w:val="18"/>
        </w:rPr>
        <w:t xml:space="preserve"> </w:t>
      </w:r>
      <w:r w:rsidR="00606502">
        <w:rPr>
          <w:rFonts w:ascii="Titillium" w:hAnsi="Titillium" w:cs="Courier New"/>
          <w:sz w:val="18"/>
          <w:szCs w:val="18"/>
        </w:rPr>
        <w:t xml:space="preserve"> </w:t>
      </w:r>
    </w:p>
    <w:p w14:paraId="7CDAB5DD" w14:textId="2D829883" w:rsidR="004C53A8" w:rsidRDefault="00870286">
      <w:pPr>
        <w:spacing w:before="120" w:after="60"/>
      </w:pPr>
      <w:r w:rsidRPr="00D16350">
        <w:rPr>
          <w:rFonts w:ascii="Titillium" w:hAnsi="Titillium"/>
          <w:b/>
          <w:i/>
          <w:sz w:val="18"/>
          <w:szCs w:val="18"/>
        </w:rPr>
        <w:t>[</w:t>
      </w:r>
      <w:r>
        <w:rPr>
          <w:rFonts w:ascii="Titillium" w:hAnsi="Titillium"/>
          <w:b/>
          <w:i/>
          <w:sz w:val="18"/>
          <w:szCs w:val="18"/>
        </w:rPr>
        <w:t>Facoltativo</w:t>
      </w:r>
      <w:r w:rsidR="0071247E">
        <w:rPr>
          <w:rFonts w:ascii="Titillium" w:hAnsi="Titillium"/>
          <w:b/>
          <w:i/>
          <w:sz w:val="18"/>
          <w:szCs w:val="18"/>
        </w:rPr>
        <w:t>:</w:t>
      </w:r>
      <w:r>
        <w:rPr>
          <w:rFonts w:ascii="Titillium" w:hAnsi="Titillium"/>
          <w:b/>
          <w:i/>
          <w:sz w:val="18"/>
          <w:szCs w:val="18"/>
        </w:rPr>
        <w:t xml:space="preserve"> </w:t>
      </w:r>
      <w:r w:rsidR="001F5E45">
        <w:rPr>
          <w:rFonts w:ascii="Titillium" w:hAnsi="Titillium"/>
          <w:b/>
          <w:i/>
          <w:sz w:val="18"/>
          <w:szCs w:val="18"/>
        </w:rPr>
        <w:t>se</w:t>
      </w:r>
      <w:r>
        <w:rPr>
          <w:rFonts w:ascii="Titillium" w:hAnsi="Titillium"/>
          <w:b/>
          <w:i/>
          <w:sz w:val="18"/>
          <w:szCs w:val="18"/>
        </w:rPr>
        <w:t xml:space="preserve"> la stazione appaltante richied</w:t>
      </w:r>
      <w:r w:rsidR="001F5E45">
        <w:rPr>
          <w:rFonts w:ascii="Titillium" w:hAnsi="Titillium"/>
          <w:b/>
          <w:i/>
          <w:sz w:val="18"/>
          <w:szCs w:val="18"/>
        </w:rPr>
        <w:t>e</w:t>
      </w:r>
      <w:r>
        <w:rPr>
          <w:rFonts w:ascii="Titillium" w:hAnsi="Titillium"/>
          <w:b/>
          <w:i/>
          <w:sz w:val="18"/>
          <w:szCs w:val="18"/>
        </w:rPr>
        <w:t xml:space="preserve"> una forma giuridica specifica per i raggruppamenti]</w:t>
      </w:r>
      <w:r>
        <w:rPr>
          <w:rFonts w:ascii="Titillium" w:hAnsi="Titillium"/>
          <w:sz w:val="18"/>
          <w:szCs w:val="18"/>
        </w:rPr>
        <w:t xml:space="preserve"> </w:t>
      </w:r>
      <w:r>
        <w:rPr>
          <w:rFonts w:ascii="Titillium" w:hAnsi="Titillium" w:cs="Calibri"/>
          <w:sz w:val="18"/>
          <w:szCs w:val="18"/>
        </w:rPr>
        <w:t>I raggruppamenti di operatori economici, dopo l’aggiudicazione, devono assumere</w:t>
      </w:r>
      <w:r w:rsidR="00A118E5">
        <w:rPr>
          <w:rFonts w:ascii="Titillium" w:hAnsi="Titillium" w:cs="Calibri"/>
          <w:sz w:val="18"/>
          <w:szCs w:val="18"/>
        </w:rPr>
        <w:t xml:space="preserve"> </w:t>
      </w:r>
      <w:r>
        <w:rPr>
          <w:rFonts w:ascii="Titillium" w:hAnsi="Titillium" w:cs="Calibri"/>
          <w:sz w:val="18"/>
          <w:szCs w:val="18"/>
        </w:rPr>
        <w:t xml:space="preserve">la forma di </w:t>
      </w:r>
      <w:r w:rsidR="00DD4719">
        <w:rPr>
          <w:rFonts w:ascii="Titillium" w:hAnsi="Titillium" w:cs="Calibri"/>
          <w:sz w:val="18"/>
          <w:szCs w:val="18"/>
        </w:rPr>
        <w:t>…</w:t>
      </w:r>
      <w:r>
        <w:rPr>
          <w:rFonts w:ascii="Titillium" w:hAnsi="Titillium" w:cs="Calibri"/>
          <w:sz w:val="18"/>
          <w:szCs w:val="18"/>
        </w:rPr>
        <w:t xml:space="preserve"> </w:t>
      </w:r>
      <w:r w:rsidRPr="0071247E">
        <w:rPr>
          <w:rFonts w:ascii="Titillium" w:hAnsi="Titillium" w:cs="Calibri"/>
          <w:i/>
          <w:iCs/>
          <w:sz w:val="18"/>
          <w:szCs w:val="18"/>
        </w:rPr>
        <w:t xml:space="preserve">[inserire la forma giuridica specifica]. </w:t>
      </w:r>
    </w:p>
    <w:p w14:paraId="6D7FE448" w14:textId="53C56D76" w:rsidR="004C53A8" w:rsidRDefault="00870286">
      <w:pPr>
        <w:spacing w:before="120" w:after="60"/>
        <w:rPr>
          <w:rFonts w:ascii="Titillium" w:hAnsi="Titillium" w:cs="Calibri"/>
          <w:i/>
          <w:sz w:val="18"/>
          <w:szCs w:val="18"/>
        </w:rPr>
      </w:pPr>
      <w:r>
        <w:rPr>
          <w:rFonts w:ascii="Titillium" w:hAnsi="Titillium"/>
          <w:b/>
          <w:i/>
          <w:sz w:val="18"/>
          <w:szCs w:val="18"/>
        </w:rPr>
        <w:t>[Facoltativo</w:t>
      </w:r>
      <w:r w:rsidR="0071247E">
        <w:rPr>
          <w:rFonts w:ascii="Titillium" w:hAnsi="Titillium"/>
          <w:b/>
          <w:i/>
          <w:sz w:val="18"/>
          <w:szCs w:val="18"/>
        </w:rPr>
        <w:t>:</w:t>
      </w:r>
      <w:r>
        <w:rPr>
          <w:rFonts w:ascii="Titillium" w:hAnsi="Titillium"/>
          <w:b/>
          <w:i/>
          <w:sz w:val="18"/>
          <w:szCs w:val="18"/>
        </w:rPr>
        <w:t xml:space="preserve"> </w:t>
      </w:r>
      <w:r w:rsidR="001F5E45">
        <w:rPr>
          <w:rFonts w:ascii="Titillium" w:hAnsi="Titillium"/>
          <w:b/>
          <w:i/>
          <w:sz w:val="18"/>
          <w:szCs w:val="18"/>
        </w:rPr>
        <w:t xml:space="preserve">se la stazione appaltante richiede </w:t>
      </w:r>
      <w:r>
        <w:rPr>
          <w:rFonts w:ascii="Titillium" w:hAnsi="Titillium"/>
          <w:b/>
          <w:i/>
          <w:sz w:val="18"/>
          <w:szCs w:val="18"/>
        </w:rPr>
        <w:t>specifiche condizioni di esecuzione per i raggruppamenti]</w:t>
      </w:r>
      <w:r>
        <w:rPr>
          <w:rFonts w:ascii="Titillium" w:hAnsi="Titillium"/>
          <w:sz w:val="18"/>
          <w:szCs w:val="18"/>
        </w:rPr>
        <w:t xml:space="preserve"> </w:t>
      </w:r>
      <w:r>
        <w:rPr>
          <w:rFonts w:ascii="Titillium" w:hAnsi="Titillium" w:cs="Calibri"/>
          <w:sz w:val="18"/>
          <w:szCs w:val="18"/>
        </w:rPr>
        <w:t xml:space="preserve">I raggruppamenti di operatori economici, nell’esecuzione dell’appalto, devono rispettare le seguenti condizioni: …. </w:t>
      </w:r>
      <w:r>
        <w:rPr>
          <w:rFonts w:ascii="Titillium" w:hAnsi="Titillium" w:cs="Calibri"/>
          <w:i/>
          <w:sz w:val="18"/>
          <w:szCs w:val="18"/>
        </w:rPr>
        <w:t>[inserire le condizioni richieste che devono essere proporzionate e giustificate da ragioni oggettive].</w:t>
      </w:r>
    </w:p>
    <w:p w14:paraId="5E6587E1" w14:textId="6DCC4291" w:rsidR="004C53A8" w:rsidRDefault="00870286" w:rsidP="00084AD6">
      <w:pPr>
        <w:pStyle w:val="Titolo2"/>
        <w:numPr>
          <w:ilvl w:val="0"/>
          <w:numId w:val="4"/>
        </w:numPr>
        <w:ind w:left="357" w:hanging="357"/>
      </w:pPr>
      <w:bookmarkStart w:id="288" w:name="_Toc406058371"/>
      <w:bookmarkStart w:id="289" w:name="_Toc403471265"/>
      <w:bookmarkStart w:id="290" w:name="_Toc397422858"/>
      <w:bookmarkStart w:id="291" w:name="_Toc397346817"/>
      <w:bookmarkStart w:id="292" w:name="_Toc393706902"/>
      <w:bookmarkStart w:id="293" w:name="_Toc393700829"/>
      <w:bookmarkStart w:id="294" w:name="_Toc393283170"/>
      <w:bookmarkStart w:id="295" w:name="_Toc393272654"/>
      <w:bookmarkStart w:id="296" w:name="_Toc393272596"/>
      <w:bookmarkStart w:id="297" w:name="_Toc393187840"/>
      <w:bookmarkStart w:id="298" w:name="_Toc393112123"/>
      <w:bookmarkStart w:id="299" w:name="_Toc393110559"/>
      <w:bookmarkStart w:id="300" w:name="_Toc392577492"/>
      <w:bookmarkStart w:id="301" w:name="_Toc391036051"/>
      <w:bookmarkStart w:id="302" w:name="_Toc391035978"/>
      <w:bookmarkStart w:id="303" w:name="_Toc380501865"/>
      <w:bookmarkStart w:id="304" w:name="_Toc391036049"/>
      <w:bookmarkStart w:id="305" w:name="_Toc391035976"/>
      <w:bookmarkStart w:id="306" w:name="_Toc485218274"/>
      <w:bookmarkStart w:id="307" w:name="_Toc484688838"/>
      <w:bookmarkStart w:id="308" w:name="_Toc484688283"/>
      <w:bookmarkStart w:id="309" w:name="_Toc484605414"/>
      <w:bookmarkStart w:id="310" w:name="_Toc484605290"/>
      <w:bookmarkStart w:id="311" w:name="_Toc484526570"/>
      <w:bookmarkStart w:id="312" w:name="_Toc484449075"/>
      <w:bookmarkStart w:id="313" w:name="_Toc484448951"/>
      <w:bookmarkStart w:id="314" w:name="_Toc484448827"/>
      <w:bookmarkStart w:id="315" w:name="_Toc484448704"/>
      <w:bookmarkStart w:id="316" w:name="_Toc484448580"/>
      <w:bookmarkStart w:id="317" w:name="_Toc484448456"/>
      <w:bookmarkStart w:id="318" w:name="_Toc484448332"/>
      <w:bookmarkStart w:id="319" w:name="_Toc484448208"/>
      <w:bookmarkStart w:id="320" w:name="_Toc484448083"/>
      <w:bookmarkStart w:id="321" w:name="_Toc484440424"/>
      <w:bookmarkStart w:id="322" w:name="_Toc484440064"/>
      <w:bookmarkStart w:id="323" w:name="_Toc484439940"/>
      <w:bookmarkStart w:id="324" w:name="_Toc484439817"/>
      <w:bookmarkStart w:id="325" w:name="_Toc484438897"/>
      <w:bookmarkStart w:id="326" w:name="_Toc484438773"/>
      <w:bookmarkStart w:id="327" w:name="_Toc484438649"/>
      <w:bookmarkStart w:id="328" w:name="_Toc484429074"/>
      <w:bookmarkStart w:id="329" w:name="_Toc484428904"/>
      <w:bookmarkStart w:id="330" w:name="_Toc484097732"/>
      <w:bookmarkStart w:id="331" w:name="_Toc484011658"/>
      <w:bookmarkStart w:id="332" w:name="_Toc484011183"/>
      <w:bookmarkStart w:id="333" w:name="_Toc484011061"/>
      <w:bookmarkStart w:id="334" w:name="_Toc484010939"/>
      <w:bookmarkStart w:id="335" w:name="_Toc484010815"/>
      <w:bookmarkStart w:id="336" w:name="_Toc484010693"/>
      <w:bookmarkStart w:id="337" w:name="_Toc483906943"/>
      <w:bookmarkStart w:id="338" w:name="_Toc483571566"/>
      <w:bookmarkStart w:id="339" w:name="_Toc483571445"/>
      <w:bookmarkStart w:id="340" w:name="_Toc483474016"/>
      <w:bookmarkStart w:id="341" w:name="_Toc483401219"/>
      <w:bookmarkStart w:id="342" w:name="_Toc483325740"/>
      <w:bookmarkStart w:id="343" w:name="_Toc483316437"/>
      <w:bookmarkStart w:id="344" w:name="_Toc483316306"/>
      <w:bookmarkStart w:id="345" w:name="_Toc483316103"/>
      <w:bookmarkStart w:id="346" w:name="_Toc483315898"/>
      <w:bookmarkStart w:id="347" w:name="_Toc483302348"/>
      <w:bookmarkStart w:id="348" w:name="_Toc483233648"/>
      <w:bookmarkStart w:id="349" w:name="_Toc482979687"/>
      <w:bookmarkStart w:id="350" w:name="_Toc482979589"/>
      <w:bookmarkStart w:id="351" w:name="_Toc482979480"/>
      <w:bookmarkStart w:id="352" w:name="_Toc482979372"/>
      <w:bookmarkStart w:id="353" w:name="_Toc482979263"/>
      <w:bookmarkStart w:id="354" w:name="_Toc482979154"/>
      <w:bookmarkStart w:id="355" w:name="_Toc482979043"/>
      <w:bookmarkStart w:id="356" w:name="_Toc482978935"/>
      <w:bookmarkStart w:id="357" w:name="_Toc482978826"/>
      <w:bookmarkStart w:id="358" w:name="_Toc482959707"/>
      <w:bookmarkStart w:id="359" w:name="_Toc482959597"/>
      <w:bookmarkStart w:id="360" w:name="_Toc482959487"/>
      <w:bookmarkStart w:id="361" w:name="_Toc482712717"/>
      <w:bookmarkStart w:id="362" w:name="_Toc482641271"/>
      <w:bookmarkStart w:id="363" w:name="_Toc482633094"/>
      <w:bookmarkStart w:id="364" w:name="_Toc482352254"/>
      <w:bookmarkStart w:id="365" w:name="_Toc482352164"/>
      <w:bookmarkStart w:id="366" w:name="_Toc482352074"/>
      <w:bookmarkStart w:id="367" w:name="_Toc482351984"/>
      <w:bookmarkStart w:id="368" w:name="_Toc482102120"/>
      <w:bookmarkStart w:id="369" w:name="_Toc482102026"/>
      <w:bookmarkStart w:id="370" w:name="_Toc482101931"/>
      <w:bookmarkStart w:id="371" w:name="_Toc482101836"/>
      <w:bookmarkStart w:id="372" w:name="_Toc482101743"/>
      <w:bookmarkStart w:id="373" w:name="_Toc482101568"/>
      <w:bookmarkStart w:id="374" w:name="_Toc482101453"/>
      <w:bookmarkStart w:id="375" w:name="_Toc482101316"/>
      <w:bookmarkStart w:id="376" w:name="_Toc482100890"/>
      <w:bookmarkStart w:id="377" w:name="_Toc482100733"/>
      <w:bookmarkStart w:id="378" w:name="_Toc482099016"/>
      <w:bookmarkStart w:id="379" w:name="_Toc482097918"/>
      <w:bookmarkStart w:id="380" w:name="_Toc482097726"/>
      <w:bookmarkStart w:id="381" w:name="_Toc482097637"/>
      <w:bookmarkStart w:id="382" w:name="_Toc482097548"/>
      <w:bookmarkStart w:id="383" w:name="_Toc482025725"/>
      <w:bookmarkStart w:id="384" w:name="_Toc485218273"/>
      <w:bookmarkStart w:id="385" w:name="_Toc484688837"/>
      <w:bookmarkStart w:id="386" w:name="_Toc484688282"/>
      <w:bookmarkStart w:id="387" w:name="_Toc484605413"/>
      <w:bookmarkStart w:id="388" w:name="_Toc484605289"/>
      <w:bookmarkStart w:id="389" w:name="_Toc484526569"/>
      <w:bookmarkStart w:id="390" w:name="_Toc484449074"/>
      <w:bookmarkStart w:id="391" w:name="_Toc484448950"/>
      <w:bookmarkStart w:id="392" w:name="_Toc484448826"/>
      <w:bookmarkStart w:id="393" w:name="_Toc484448703"/>
      <w:bookmarkStart w:id="394" w:name="_Toc484448579"/>
      <w:bookmarkStart w:id="395" w:name="_Toc484448455"/>
      <w:bookmarkStart w:id="396" w:name="_Toc484448331"/>
      <w:bookmarkStart w:id="397" w:name="_Toc484448207"/>
      <w:bookmarkStart w:id="398" w:name="_Toc484448082"/>
      <w:bookmarkStart w:id="399" w:name="_Toc484440423"/>
      <w:bookmarkStart w:id="400" w:name="_Toc484440063"/>
      <w:bookmarkStart w:id="401" w:name="_Toc484439939"/>
      <w:bookmarkStart w:id="402" w:name="_Toc484439816"/>
      <w:bookmarkStart w:id="403" w:name="_Toc484438896"/>
      <w:bookmarkStart w:id="404" w:name="_Toc484438772"/>
      <w:bookmarkStart w:id="405" w:name="_Toc484438648"/>
      <w:bookmarkStart w:id="406" w:name="_Toc484429073"/>
      <w:bookmarkStart w:id="407" w:name="_Toc484428903"/>
      <w:bookmarkStart w:id="408" w:name="_Toc484097731"/>
      <w:bookmarkStart w:id="409" w:name="_Toc484011657"/>
      <w:bookmarkStart w:id="410" w:name="_Toc484011182"/>
      <w:bookmarkStart w:id="411" w:name="_Toc484011060"/>
      <w:bookmarkStart w:id="412" w:name="_Toc484010938"/>
      <w:bookmarkStart w:id="413" w:name="_Toc484010814"/>
      <w:bookmarkStart w:id="414" w:name="_Toc484010692"/>
      <w:bookmarkStart w:id="415" w:name="_Toc483906942"/>
      <w:bookmarkStart w:id="416" w:name="_Toc483571565"/>
      <w:bookmarkStart w:id="417" w:name="_Toc483571444"/>
      <w:bookmarkStart w:id="418" w:name="_Toc483474015"/>
      <w:bookmarkStart w:id="419" w:name="_Toc483401218"/>
      <w:bookmarkStart w:id="420" w:name="_Toc483325739"/>
      <w:bookmarkStart w:id="421" w:name="_Toc483316436"/>
      <w:bookmarkStart w:id="422" w:name="_Toc483316305"/>
      <w:bookmarkStart w:id="423" w:name="_Toc483316102"/>
      <w:bookmarkStart w:id="424" w:name="_Toc483315897"/>
      <w:bookmarkStart w:id="425" w:name="_Toc483302347"/>
      <w:bookmarkStart w:id="426" w:name="_Toc483233647"/>
      <w:bookmarkStart w:id="427" w:name="_Toc482979686"/>
      <w:bookmarkStart w:id="428" w:name="_Toc482979588"/>
      <w:bookmarkStart w:id="429" w:name="_Toc482979479"/>
      <w:bookmarkStart w:id="430" w:name="_Toc482979371"/>
      <w:bookmarkStart w:id="431" w:name="_Toc482979262"/>
      <w:bookmarkStart w:id="432" w:name="_Toc482979153"/>
      <w:bookmarkStart w:id="433" w:name="_Toc482979042"/>
      <w:bookmarkStart w:id="434" w:name="_Toc482978934"/>
      <w:bookmarkStart w:id="435" w:name="_Toc482978825"/>
      <w:bookmarkStart w:id="436" w:name="_Toc482959706"/>
      <w:bookmarkStart w:id="437" w:name="_Toc482959596"/>
      <w:bookmarkStart w:id="438" w:name="_Toc482959486"/>
      <w:bookmarkStart w:id="439" w:name="_Toc482712716"/>
      <w:bookmarkStart w:id="440" w:name="_Toc482641270"/>
      <w:bookmarkStart w:id="441" w:name="_Toc482633093"/>
      <w:bookmarkStart w:id="442" w:name="_Toc482352253"/>
      <w:bookmarkStart w:id="443" w:name="_Toc482352163"/>
      <w:bookmarkStart w:id="444" w:name="_Toc482352073"/>
      <w:bookmarkStart w:id="445" w:name="_Toc482351983"/>
      <w:bookmarkStart w:id="446" w:name="_Toc482102119"/>
      <w:bookmarkStart w:id="447" w:name="_Toc482102025"/>
      <w:bookmarkStart w:id="448" w:name="_Toc482101930"/>
      <w:bookmarkStart w:id="449" w:name="_Toc482101835"/>
      <w:bookmarkStart w:id="450" w:name="_Toc482101742"/>
      <w:bookmarkStart w:id="451" w:name="_Toc482101567"/>
      <w:bookmarkStart w:id="452" w:name="_Toc482101452"/>
      <w:bookmarkStart w:id="453" w:name="_Toc482101315"/>
      <w:bookmarkStart w:id="454" w:name="_Toc482100889"/>
      <w:bookmarkStart w:id="455" w:name="_Toc482100732"/>
      <w:bookmarkStart w:id="456" w:name="_Toc482099015"/>
      <w:bookmarkStart w:id="457" w:name="_Toc482097917"/>
      <w:bookmarkStart w:id="458" w:name="_Toc482097725"/>
      <w:bookmarkStart w:id="459" w:name="_Toc482097636"/>
      <w:bookmarkStart w:id="460" w:name="_Toc482097547"/>
      <w:bookmarkStart w:id="461" w:name="_Toc482025724"/>
      <w:bookmarkStart w:id="462" w:name="_Toc485218272"/>
      <w:bookmarkStart w:id="463" w:name="_Toc484688836"/>
      <w:bookmarkStart w:id="464" w:name="_Toc484688281"/>
      <w:bookmarkStart w:id="465" w:name="_Toc484605412"/>
      <w:bookmarkStart w:id="466" w:name="_Toc484605288"/>
      <w:bookmarkStart w:id="467" w:name="_Toc484526568"/>
      <w:bookmarkStart w:id="468" w:name="_Toc484449073"/>
      <w:bookmarkStart w:id="469" w:name="_Toc484448949"/>
      <w:bookmarkStart w:id="470" w:name="_Toc484448825"/>
      <w:bookmarkStart w:id="471" w:name="_Toc484448702"/>
      <w:bookmarkStart w:id="472" w:name="_Toc484448578"/>
      <w:bookmarkStart w:id="473" w:name="_Toc484448454"/>
      <w:bookmarkStart w:id="474" w:name="_Toc484448330"/>
      <w:bookmarkStart w:id="475" w:name="_Toc484448206"/>
      <w:bookmarkStart w:id="476" w:name="_Toc484448081"/>
      <w:bookmarkStart w:id="477" w:name="_Toc484440422"/>
      <w:bookmarkStart w:id="478" w:name="_Toc484440062"/>
      <w:bookmarkStart w:id="479" w:name="_Toc484439938"/>
      <w:bookmarkStart w:id="480" w:name="_Toc484439815"/>
      <w:bookmarkStart w:id="481" w:name="_Toc484438895"/>
      <w:bookmarkStart w:id="482" w:name="_Toc484438771"/>
      <w:bookmarkStart w:id="483" w:name="_Toc484438647"/>
      <w:bookmarkStart w:id="484" w:name="_Toc484429072"/>
      <w:bookmarkStart w:id="485" w:name="_Toc484428902"/>
      <w:bookmarkStart w:id="486" w:name="_Toc484097730"/>
      <w:bookmarkStart w:id="487" w:name="_Toc484011656"/>
      <w:bookmarkStart w:id="488" w:name="_Toc484011181"/>
      <w:bookmarkStart w:id="489" w:name="_Toc484011059"/>
      <w:bookmarkStart w:id="490" w:name="_Toc484010937"/>
      <w:bookmarkStart w:id="491" w:name="_Toc484010813"/>
      <w:bookmarkStart w:id="492" w:name="_Toc484010691"/>
      <w:bookmarkStart w:id="493" w:name="_Toc483906941"/>
      <w:bookmarkStart w:id="494" w:name="_Toc483571564"/>
      <w:bookmarkStart w:id="495" w:name="_Toc483571443"/>
      <w:bookmarkStart w:id="496" w:name="_Toc483474014"/>
      <w:bookmarkStart w:id="497" w:name="_Toc483401217"/>
      <w:bookmarkStart w:id="498" w:name="_Toc483325738"/>
      <w:bookmarkStart w:id="499" w:name="_Toc483316435"/>
      <w:bookmarkStart w:id="500" w:name="_Toc483316304"/>
      <w:bookmarkStart w:id="501" w:name="_Toc483316101"/>
      <w:bookmarkStart w:id="502" w:name="_Toc483315896"/>
      <w:bookmarkStart w:id="503" w:name="_Toc483302346"/>
      <w:bookmarkStart w:id="504" w:name="_Toc483233646"/>
      <w:bookmarkStart w:id="505" w:name="_Toc482979685"/>
      <w:bookmarkStart w:id="506" w:name="_Toc482979587"/>
      <w:bookmarkStart w:id="507" w:name="_Toc482979478"/>
      <w:bookmarkStart w:id="508" w:name="_Toc482979370"/>
      <w:bookmarkStart w:id="509" w:name="_Toc482979261"/>
      <w:bookmarkStart w:id="510" w:name="_Toc482979152"/>
      <w:bookmarkStart w:id="511" w:name="_Toc482979041"/>
      <w:bookmarkStart w:id="512" w:name="_Toc482978933"/>
      <w:bookmarkStart w:id="513" w:name="_Toc482978824"/>
      <w:bookmarkStart w:id="514" w:name="_Toc482959705"/>
      <w:bookmarkStart w:id="515" w:name="_Toc482959595"/>
      <w:bookmarkStart w:id="516" w:name="_Toc482959485"/>
      <w:bookmarkStart w:id="517" w:name="_Toc482712715"/>
      <w:bookmarkStart w:id="518" w:name="_Toc482641269"/>
      <w:bookmarkStart w:id="519" w:name="_Toc482633092"/>
      <w:bookmarkStart w:id="520" w:name="_Toc482352252"/>
      <w:bookmarkStart w:id="521" w:name="_Toc482352162"/>
      <w:bookmarkStart w:id="522" w:name="_Toc482352072"/>
      <w:bookmarkStart w:id="523" w:name="_Toc482351982"/>
      <w:bookmarkStart w:id="524" w:name="_Toc482102118"/>
      <w:bookmarkStart w:id="525" w:name="_Toc482102024"/>
      <w:bookmarkStart w:id="526" w:name="_Toc482101929"/>
      <w:bookmarkStart w:id="527" w:name="_Toc482101834"/>
      <w:bookmarkStart w:id="528" w:name="_Toc482101741"/>
      <w:bookmarkStart w:id="529" w:name="_Toc482101566"/>
      <w:bookmarkStart w:id="530" w:name="_Toc482101451"/>
      <w:bookmarkStart w:id="531" w:name="_Toc482101314"/>
      <w:bookmarkStart w:id="532" w:name="_Toc482100888"/>
      <w:bookmarkStart w:id="533" w:name="_Toc482100731"/>
      <w:bookmarkStart w:id="534" w:name="_Toc482099014"/>
      <w:bookmarkStart w:id="535" w:name="_Toc482097916"/>
      <w:bookmarkStart w:id="536" w:name="_Toc482097724"/>
      <w:bookmarkStart w:id="537" w:name="_Toc482097635"/>
      <w:bookmarkStart w:id="538" w:name="_Toc482097546"/>
      <w:bookmarkStart w:id="539" w:name="_Toc482025723"/>
      <w:bookmarkStart w:id="540" w:name="_Toc485218271"/>
      <w:bookmarkStart w:id="541" w:name="_Toc484688835"/>
      <w:bookmarkStart w:id="542" w:name="_Toc484688280"/>
      <w:bookmarkStart w:id="543" w:name="_Toc484605411"/>
      <w:bookmarkStart w:id="544" w:name="_Toc484605287"/>
      <w:bookmarkStart w:id="545" w:name="_Toc484526567"/>
      <w:bookmarkStart w:id="546" w:name="_Toc484449072"/>
      <w:bookmarkStart w:id="547" w:name="_Toc484448948"/>
      <w:bookmarkStart w:id="548" w:name="_Toc484448824"/>
      <w:bookmarkStart w:id="549" w:name="_Toc484448701"/>
      <w:bookmarkStart w:id="550" w:name="_Toc484448577"/>
      <w:bookmarkStart w:id="551" w:name="_Toc484448453"/>
      <w:bookmarkStart w:id="552" w:name="_Toc484448329"/>
      <w:bookmarkStart w:id="553" w:name="_Toc484448205"/>
      <w:bookmarkStart w:id="554" w:name="_Toc484448080"/>
      <w:bookmarkStart w:id="555" w:name="_Toc484440421"/>
      <w:bookmarkStart w:id="556" w:name="_Toc484440061"/>
      <w:bookmarkStart w:id="557" w:name="_Toc484439937"/>
      <w:bookmarkStart w:id="558" w:name="_Toc484439814"/>
      <w:bookmarkStart w:id="559" w:name="_Toc484438894"/>
      <w:bookmarkStart w:id="560" w:name="_Toc484438770"/>
      <w:bookmarkStart w:id="561" w:name="_Toc484438646"/>
      <w:bookmarkStart w:id="562" w:name="_Toc484429071"/>
      <w:bookmarkStart w:id="563" w:name="_Toc484428901"/>
      <w:bookmarkStart w:id="564" w:name="_Toc484097729"/>
      <w:bookmarkStart w:id="565" w:name="_Toc484011655"/>
      <w:bookmarkStart w:id="566" w:name="_Toc484011180"/>
      <w:bookmarkStart w:id="567" w:name="_Toc484011058"/>
      <w:bookmarkStart w:id="568" w:name="_Toc484010936"/>
      <w:bookmarkStart w:id="569" w:name="_Toc484010812"/>
      <w:bookmarkStart w:id="570" w:name="_Toc484010690"/>
      <w:bookmarkStart w:id="571" w:name="_Toc483906940"/>
      <w:bookmarkStart w:id="572" w:name="_Toc483571563"/>
      <w:bookmarkStart w:id="573" w:name="_Toc483571442"/>
      <w:bookmarkStart w:id="574" w:name="_Toc483474013"/>
      <w:bookmarkStart w:id="575" w:name="_Toc483401216"/>
      <w:bookmarkStart w:id="576" w:name="_Toc483325737"/>
      <w:bookmarkStart w:id="577" w:name="_Toc483316434"/>
      <w:bookmarkStart w:id="578" w:name="_Toc483316303"/>
      <w:bookmarkStart w:id="579" w:name="_Toc483316100"/>
      <w:bookmarkStart w:id="580" w:name="_Toc483315895"/>
      <w:bookmarkStart w:id="581" w:name="_Toc483302345"/>
      <w:bookmarkStart w:id="582" w:name="_Toc483233645"/>
      <w:bookmarkStart w:id="583" w:name="_Toc482979684"/>
      <w:bookmarkStart w:id="584" w:name="_Toc482979586"/>
      <w:bookmarkStart w:id="585" w:name="_Toc482979477"/>
      <w:bookmarkStart w:id="586" w:name="_Toc482979369"/>
      <w:bookmarkStart w:id="587" w:name="_Toc482979260"/>
      <w:bookmarkStart w:id="588" w:name="_Toc482979151"/>
      <w:bookmarkStart w:id="589" w:name="_Toc482979040"/>
      <w:bookmarkStart w:id="590" w:name="_Toc482978932"/>
      <w:bookmarkStart w:id="591" w:name="_Toc482978823"/>
      <w:bookmarkStart w:id="592" w:name="_Toc482959704"/>
      <w:bookmarkStart w:id="593" w:name="_Toc482959594"/>
      <w:bookmarkStart w:id="594" w:name="_Toc482959484"/>
      <w:bookmarkStart w:id="595" w:name="_Toc482712714"/>
      <w:bookmarkStart w:id="596" w:name="_Toc482641268"/>
      <w:bookmarkStart w:id="597" w:name="_Toc482633091"/>
      <w:bookmarkStart w:id="598" w:name="_Toc482352251"/>
      <w:bookmarkStart w:id="599" w:name="_Toc482352161"/>
      <w:bookmarkStart w:id="600" w:name="_Toc482352071"/>
      <w:bookmarkStart w:id="601" w:name="_Toc482351981"/>
      <w:bookmarkStart w:id="602" w:name="_Toc482102117"/>
      <w:bookmarkStart w:id="603" w:name="_Toc482102023"/>
      <w:bookmarkStart w:id="604" w:name="_Toc482101928"/>
      <w:bookmarkStart w:id="605" w:name="_Toc482101833"/>
      <w:bookmarkStart w:id="606" w:name="_Toc482101740"/>
      <w:bookmarkStart w:id="607" w:name="_Toc482101565"/>
      <w:bookmarkStart w:id="608" w:name="_Toc482101450"/>
      <w:bookmarkStart w:id="609" w:name="_Toc482101313"/>
      <w:bookmarkStart w:id="610" w:name="_Toc482100887"/>
      <w:bookmarkStart w:id="611" w:name="_Toc482100730"/>
      <w:bookmarkStart w:id="612" w:name="_Toc482099013"/>
      <w:bookmarkStart w:id="613" w:name="_Toc482097915"/>
      <w:bookmarkStart w:id="614" w:name="_Toc482097723"/>
      <w:bookmarkStart w:id="615" w:name="_Toc482097634"/>
      <w:bookmarkStart w:id="616" w:name="_Toc482097545"/>
      <w:bookmarkStart w:id="617" w:name="_Toc482025722"/>
      <w:bookmarkStart w:id="618" w:name="_Toc485218270"/>
      <w:bookmarkStart w:id="619" w:name="_Toc484688834"/>
      <w:bookmarkStart w:id="620" w:name="_Toc484688279"/>
      <w:bookmarkStart w:id="621" w:name="_Toc484605410"/>
      <w:bookmarkStart w:id="622" w:name="_Toc484605286"/>
      <w:bookmarkStart w:id="623" w:name="_Toc484526566"/>
      <w:bookmarkStart w:id="624" w:name="_Toc484449071"/>
      <w:bookmarkStart w:id="625" w:name="_Toc484448947"/>
      <w:bookmarkStart w:id="626" w:name="_Toc484448823"/>
      <w:bookmarkStart w:id="627" w:name="_Toc484448700"/>
      <w:bookmarkStart w:id="628" w:name="_Toc484448576"/>
      <w:bookmarkStart w:id="629" w:name="_Toc484448452"/>
      <w:bookmarkStart w:id="630" w:name="_Toc484448328"/>
      <w:bookmarkStart w:id="631" w:name="_Toc484448204"/>
      <w:bookmarkStart w:id="632" w:name="_Toc484448079"/>
      <w:bookmarkStart w:id="633" w:name="_Toc484440420"/>
      <w:bookmarkStart w:id="634" w:name="_Toc484440060"/>
      <w:bookmarkStart w:id="635" w:name="_Toc484439936"/>
      <w:bookmarkStart w:id="636" w:name="_Toc484439813"/>
      <w:bookmarkStart w:id="637" w:name="_Toc484438893"/>
      <w:bookmarkStart w:id="638" w:name="_Toc484438769"/>
      <w:bookmarkStart w:id="639" w:name="_Toc484438645"/>
      <w:bookmarkStart w:id="640" w:name="_Toc484429070"/>
      <w:bookmarkStart w:id="641" w:name="_Toc484428900"/>
      <w:bookmarkStart w:id="642" w:name="_Toc484097728"/>
      <w:bookmarkStart w:id="643" w:name="_Toc484011654"/>
      <w:bookmarkStart w:id="644" w:name="_Toc484011179"/>
      <w:bookmarkStart w:id="645" w:name="_Toc484011057"/>
      <w:bookmarkStart w:id="646" w:name="_Toc484010935"/>
      <w:bookmarkStart w:id="647" w:name="_Toc484010811"/>
      <w:bookmarkStart w:id="648" w:name="_Toc484010689"/>
      <w:bookmarkStart w:id="649" w:name="_Toc483906939"/>
      <w:bookmarkStart w:id="650" w:name="_Toc483571562"/>
      <w:bookmarkStart w:id="651" w:name="_Toc483571441"/>
      <w:bookmarkStart w:id="652" w:name="_Toc483474012"/>
      <w:bookmarkStart w:id="653" w:name="_Toc483401215"/>
      <w:bookmarkStart w:id="654" w:name="_Toc483325736"/>
      <w:bookmarkStart w:id="655" w:name="_Toc483316433"/>
      <w:bookmarkStart w:id="656" w:name="_Toc483316302"/>
      <w:bookmarkStart w:id="657" w:name="_Toc483316099"/>
      <w:bookmarkStart w:id="658" w:name="_Toc483315894"/>
      <w:bookmarkStart w:id="659" w:name="_Toc483302344"/>
      <w:bookmarkStart w:id="660" w:name="_Toc483233644"/>
      <w:bookmarkStart w:id="661" w:name="_Toc482979683"/>
      <w:bookmarkStart w:id="662" w:name="_Toc482979585"/>
      <w:bookmarkStart w:id="663" w:name="_Toc482979476"/>
      <w:bookmarkStart w:id="664" w:name="_Toc482979368"/>
      <w:bookmarkStart w:id="665" w:name="_Toc482979259"/>
      <w:bookmarkStart w:id="666" w:name="_Toc482979150"/>
      <w:bookmarkStart w:id="667" w:name="_Toc482979039"/>
      <w:bookmarkStart w:id="668" w:name="_Toc482978931"/>
      <w:bookmarkStart w:id="669" w:name="_Toc482978822"/>
      <w:bookmarkStart w:id="670" w:name="_Toc482959703"/>
      <w:bookmarkStart w:id="671" w:name="_Toc482959593"/>
      <w:bookmarkStart w:id="672" w:name="_Toc482959483"/>
      <w:bookmarkStart w:id="673" w:name="_Toc482712713"/>
      <w:bookmarkStart w:id="674" w:name="_Toc482641267"/>
      <w:bookmarkStart w:id="675" w:name="_Toc482633090"/>
      <w:bookmarkStart w:id="676" w:name="_Toc482352250"/>
      <w:bookmarkStart w:id="677" w:name="_Toc482352160"/>
      <w:bookmarkStart w:id="678" w:name="_Toc482352070"/>
      <w:bookmarkStart w:id="679" w:name="_Toc482351980"/>
      <w:bookmarkStart w:id="680" w:name="_Toc482102116"/>
      <w:bookmarkStart w:id="681" w:name="_Toc482102022"/>
      <w:bookmarkStart w:id="682" w:name="_Toc482101927"/>
      <w:bookmarkStart w:id="683" w:name="_Toc482101832"/>
      <w:bookmarkStart w:id="684" w:name="_Toc482101739"/>
      <w:bookmarkStart w:id="685" w:name="_Toc482101564"/>
      <w:bookmarkStart w:id="686" w:name="_Toc482101449"/>
      <w:bookmarkStart w:id="687" w:name="_Toc482101312"/>
      <w:bookmarkStart w:id="688" w:name="_Toc482100886"/>
      <w:bookmarkStart w:id="689" w:name="_Toc482100729"/>
      <w:bookmarkStart w:id="690" w:name="_Toc482099012"/>
      <w:bookmarkStart w:id="691" w:name="_Toc482097914"/>
      <w:bookmarkStart w:id="692" w:name="_Toc482097722"/>
      <w:bookmarkStart w:id="693" w:name="_Toc482097633"/>
      <w:bookmarkStart w:id="694" w:name="_Toc482097544"/>
      <w:bookmarkStart w:id="695" w:name="_Toc482025721"/>
      <w:bookmarkStart w:id="696" w:name="_Toc485218269"/>
      <w:bookmarkStart w:id="697" w:name="_Toc484688833"/>
      <w:bookmarkStart w:id="698" w:name="_Toc484688278"/>
      <w:bookmarkStart w:id="699" w:name="_Toc484605409"/>
      <w:bookmarkStart w:id="700" w:name="_Toc484605285"/>
      <w:bookmarkStart w:id="701" w:name="_Toc484526565"/>
      <w:bookmarkStart w:id="702" w:name="_Toc484449070"/>
      <w:bookmarkStart w:id="703" w:name="_Toc484448946"/>
      <w:bookmarkStart w:id="704" w:name="_Toc484448822"/>
      <w:bookmarkStart w:id="705" w:name="_Toc484448699"/>
      <w:bookmarkStart w:id="706" w:name="_Toc484448575"/>
      <w:bookmarkStart w:id="707" w:name="_Toc484448451"/>
      <w:bookmarkStart w:id="708" w:name="_Toc484448327"/>
      <w:bookmarkStart w:id="709" w:name="_Toc484448203"/>
      <w:bookmarkStart w:id="710" w:name="_Toc484448078"/>
      <w:bookmarkStart w:id="711" w:name="_Toc484440419"/>
      <w:bookmarkStart w:id="712" w:name="_Toc484440059"/>
      <w:bookmarkStart w:id="713" w:name="_Toc484439935"/>
      <w:bookmarkStart w:id="714" w:name="_Toc484439812"/>
      <w:bookmarkStart w:id="715" w:name="_Toc484438892"/>
      <w:bookmarkStart w:id="716" w:name="_Toc484438768"/>
      <w:bookmarkStart w:id="717" w:name="_Toc484438644"/>
      <w:bookmarkStart w:id="718" w:name="_Toc484429069"/>
      <w:bookmarkStart w:id="719" w:name="_Toc484428899"/>
      <w:bookmarkStart w:id="720" w:name="_Toc484097727"/>
      <w:bookmarkStart w:id="721" w:name="_Toc484011653"/>
      <w:bookmarkStart w:id="722" w:name="_Toc484011178"/>
      <w:bookmarkStart w:id="723" w:name="_Toc484011056"/>
      <w:bookmarkStart w:id="724" w:name="_Toc484010934"/>
      <w:bookmarkStart w:id="725" w:name="_Toc484010810"/>
      <w:bookmarkStart w:id="726" w:name="_Toc484010688"/>
      <w:bookmarkStart w:id="727" w:name="_Toc483906938"/>
      <w:bookmarkStart w:id="728" w:name="_Toc483571561"/>
      <w:bookmarkStart w:id="729" w:name="_Toc483571440"/>
      <w:bookmarkStart w:id="730" w:name="_Toc483474011"/>
      <w:bookmarkStart w:id="731" w:name="_Toc483401214"/>
      <w:bookmarkStart w:id="732" w:name="_Toc483325735"/>
      <w:bookmarkStart w:id="733" w:name="_Toc483316432"/>
      <w:bookmarkStart w:id="734" w:name="_Toc483316301"/>
      <w:bookmarkStart w:id="735" w:name="_Toc483316098"/>
      <w:bookmarkStart w:id="736" w:name="_Toc483315893"/>
      <w:bookmarkStart w:id="737" w:name="_Toc483302343"/>
      <w:bookmarkStart w:id="738" w:name="_Toc483233643"/>
      <w:bookmarkStart w:id="739" w:name="_Toc482979682"/>
      <w:bookmarkStart w:id="740" w:name="_Toc482979584"/>
      <w:bookmarkStart w:id="741" w:name="_Toc482979475"/>
      <w:bookmarkStart w:id="742" w:name="_Toc482979367"/>
      <w:bookmarkStart w:id="743" w:name="_Toc482979258"/>
      <w:bookmarkStart w:id="744" w:name="_Toc482979149"/>
      <w:bookmarkStart w:id="745" w:name="_Toc482979038"/>
      <w:bookmarkStart w:id="746" w:name="_Toc482978930"/>
      <w:bookmarkStart w:id="747" w:name="_Toc482978821"/>
      <w:bookmarkStart w:id="748" w:name="_Toc482959702"/>
      <w:bookmarkStart w:id="749" w:name="_Toc482959592"/>
      <w:bookmarkStart w:id="750" w:name="_Toc482959482"/>
      <w:bookmarkStart w:id="751" w:name="_Toc482712712"/>
      <w:bookmarkStart w:id="752" w:name="_Toc482641266"/>
      <w:bookmarkStart w:id="753" w:name="_Toc482633089"/>
      <w:bookmarkStart w:id="754" w:name="_Toc482352249"/>
      <w:bookmarkStart w:id="755" w:name="_Toc482352159"/>
      <w:bookmarkStart w:id="756" w:name="_Toc482352069"/>
      <w:bookmarkStart w:id="757" w:name="_Toc482351979"/>
      <w:bookmarkStart w:id="758" w:name="_Toc482102115"/>
      <w:bookmarkStart w:id="759" w:name="_Toc482102021"/>
      <w:bookmarkStart w:id="760" w:name="_Toc482101926"/>
      <w:bookmarkStart w:id="761" w:name="_Toc482101831"/>
      <w:bookmarkStart w:id="762" w:name="_Toc482101738"/>
      <w:bookmarkStart w:id="763" w:name="_Toc482101563"/>
      <w:bookmarkStart w:id="764" w:name="_Toc482101448"/>
      <w:bookmarkStart w:id="765" w:name="_Toc482101311"/>
      <w:bookmarkStart w:id="766" w:name="_Toc482100885"/>
      <w:bookmarkStart w:id="767" w:name="_Toc482100728"/>
      <w:bookmarkStart w:id="768" w:name="_Toc482099011"/>
      <w:bookmarkStart w:id="769" w:name="_Toc482097913"/>
      <w:bookmarkStart w:id="770" w:name="_Toc482097721"/>
      <w:bookmarkStart w:id="771" w:name="_Toc482097632"/>
      <w:bookmarkStart w:id="772" w:name="_Toc482097543"/>
      <w:bookmarkStart w:id="773" w:name="_Toc482025720"/>
      <w:bookmarkStart w:id="774" w:name="_Toc485218268"/>
      <w:bookmarkStart w:id="775" w:name="_Toc484688832"/>
      <w:bookmarkStart w:id="776" w:name="_Toc484688277"/>
      <w:bookmarkStart w:id="777" w:name="_Toc484605408"/>
      <w:bookmarkStart w:id="778" w:name="_Toc484605284"/>
      <w:bookmarkStart w:id="779" w:name="_Toc484526564"/>
      <w:bookmarkStart w:id="780" w:name="_Toc484449069"/>
      <w:bookmarkStart w:id="781" w:name="_Toc484448945"/>
      <w:bookmarkStart w:id="782" w:name="_Toc484448821"/>
      <w:bookmarkStart w:id="783" w:name="_Toc484448698"/>
      <w:bookmarkStart w:id="784" w:name="_Toc484448574"/>
      <w:bookmarkStart w:id="785" w:name="_Toc484448450"/>
      <w:bookmarkStart w:id="786" w:name="_Toc484448326"/>
      <w:bookmarkStart w:id="787" w:name="_Toc484448202"/>
      <w:bookmarkStart w:id="788" w:name="_Toc484448077"/>
      <w:bookmarkStart w:id="789" w:name="_Toc484440418"/>
      <w:bookmarkStart w:id="790" w:name="_Toc484440058"/>
      <w:bookmarkStart w:id="791" w:name="_Toc484439934"/>
      <w:bookmarkStart w:id="792" w:name="_Toc484439811"/>
      <w:bookmarkStart w:id="793" w:name="_Toc484438891"/>
      <w:bookmarkStart w:id="794" w:name="_Toc484438767"/>
      <w:bookmarkStart w:id="795" w:name="_Toc484438643"/>
      <w:bookmarkStart w:id="796" w:name="_Toc484429068"/>
      <w:bookmarkStart w:id="797" w:name="_Toc484428898"/>
      <w:bookmarkStart w:id="798" w:name="_Toc484097726"/>
      <w:bookmarkStart w:id="799" w:name="_Toc484011652"/>
      <w:bookmarkStart w:id="800" w:name="_Toc484011177"/>
      <w:bookmarkStart w:id="801" w:name="_Toc484011055"/>
      <w:bookmarkStart w:id="802" w:name="_Toc484010933"/>
      <w:bookmarkStart w:id="803" w:name="_Toc484010809"/>
      <w:bookmarkStart w:id="804" w:name="_Toc484010687"/>
      <w:bookmarkStart w:id="805" w:name="_Toc483906937"/>
      <w:bookmarkStart w:id="806" w:name="_Toc483571560"/>
      <w:bookmarkStart w:id="807" w:name="_Toc483571439"/>
      <w:bookmarkStart w:id="808" w:name="_Toc483474010"/>
      <w:bookmarkStart w:id="809" w:name="_Toc483401213"/>
      <w:bookmarkStart w:id="810" w:name="_Toc483325734"/>
      <w:bookmarkStart w:id="811" w:name="_Toc483316431"/>
      <w:bookmarkStart w:id="812" w:name="_Toc483316300"/>
      <w:bookmarkStart w:id="813" w:name="_Toc483316097"/>
      <w:bookmarkStart w:id="814" w:name="_Toc483315892"/>
      <w:bookmarkStart w:id="815" w:name="_Toc483302342"/>
      <w:bookmarkStart w:id="816" w:name="_Toc483233642"/>
      <w:bookmarkStart w:id="817" w:name="_Toc482979681"/>
      <w:bookmarkStart w:id="818" w:name="_Toc482979583"/>
      <w:bookmarkStart w:id="819" w:name="_Toc482979474"/>
      <w:bookmarkStart w:id="820" w:name="_Toc482979366"/>
      <w:bookmarkStart w:id="821" w:name="_Toc482979257"/>
      <w:bookmarkStart w:id="822" w:name="_Toc482979148"/>
      <w:bookmarkStart w:id="823" w:name="_Toc482979037"/>
      <w:bookmarkStart w:id="824" w:name="_Toc482978929"/>
      <w:bookmarkStart w:id="825" w:name="_Toc482978820"/>
      <w:bookmarkStart w:id="826" w:name="_Toc482959701"/>
      <w:bookmarkStart w:id="827" w:name="_Toc482959591"/>
      <w:bookmarkStart w:id="828" w:name="_Toc482959481"/>
      <w:bookmarkStart w:id="829" w:name="_Toc482712711"/>
      <w:bookmarkStart w:id="830" w:name="_Toc482641265"/>
      <w:bookmarkStart w:id="831" w:name="_Toc482633088"/>
      <w:bookmarkStart w:id="832" w:name="_Toc482352248"/>
      <w:bookmarkStart w:id="833" w:name="_Toc482352158"/>
      <w:bookmarkStart w:id="834" w:name="_Toc482352068"/>
      <w:bookmarkStart w:id="835" w:name="_Toc482351978"/>
      <w:bookmarkStart w:id="836" w:name="_Toc482102114"/>
      <w:bookmarkStart w:id="837" w:name="_Toc482102020"/>
      <w:bookmarkStart w:id="838" w:name="_Toc482101925"/>
      <w:bookmarkStart w:id="839" w:name="_Toc482101830"/>
      <w:bookmarkStart w:id="840" w:name="_Toc482101737"/>
      <w:bookmarkStart w:id="841" w:name="_Toc482101562"/>
      <w:bookmarkStart w:id="842" w:name="_Toc482101447"/>
      <w:bookmarkStart w:id="843" w:name="_Toc482101310"/>
      <w:bookmarkStart w:id="844" w:name="_Toc482100884"/>
      <w:bookmarkStart w:id="845" w:name="_Toc482100727"/>
      <w:bookmarkStart w:id="846" w:name="_Toc482099010"/>
      <w:bookmarkStart w:id="847" w:name="_Toc482097912"/>
      <w:bookmarkStart w:id="848" w:name="_Toc482097720"/>
      <w:bookmarkStart w:id="849" w:name="_Toc482097631"/>
      <w:bookmarkStart w:id="850" w:name="_Toc482097542"/>
      <w:bookmarkStart w:id="851" w:name="_Toc482025719"/>
      <w:bookmarkStart w:id="852" w:name="_Toc485218267"/>
      <w:bookmarkStart w:id="853" w:name="_Toc484688831"/>
      <w:bookmarkStart w:id="854" w:name="_Toc484688276"/>
      <w:bookmarkStart w:id="855" w:name="_Toc484605407"/>
      <w:bookmarkStart w:id="856" w:name="_Toc484605283"/>
      <w:bookmarkStart w:id="857" w:name="_Toc484526563"/>
      <w:bookmarkStart w:id="858" w:name="_Toc484449068"/>
      <w:bookmarkStart w:id="859" w:name="_Toc484448944"/>
      <w:bookmarkStart w:id="860" w:name="_Toc484448820"/>
      <w:bookmarkStart w:id="861" w:name="_Toc484448697"/>
      <w:bookmarkStart w:id="862" w:name="_Toc484448573"/>
      <w:bookmarkStart w:id="863" w:name="_Toc484448449"/>
      <w:bookmarkStart w:id="864" w:name="_Toc484448325"/>
      <w:bookmarkStart w:id="865" w:name="_Toc484448201"/>
      <w:bookmarkStart w:id="866" w:name="_Toc484448076"/>
      <w:bookmarkStart w:id="867" w:name="_Toc484440417"/>
      <w:bookmarkStart w:id="868" w:name="_Toc484440057"/>
      <w:bookmarkStart w:id="869" w:name="_Toc484439933"/>
      <w:bookmarkStart w:id="870" w:name="_Toc484439810"/>
      <w:bookmarkStart w:id="871" w:name="_Toc484438890"/>
      <w:bookmarkStart w:id="872" w:name="_Toc484438766"/>
      <w:bookmarkStart w:id="873" w:name="_Toc484438642"/>
      <w:bookmarkStart w:id="874" w:name="_Toc484429067"/>
      <w:bookmarkStart w:id="875" w:name="_Toc484428897"/>
      <w:bookmarkStart w:id="876" w:name="_Toc484097725"/>
      <w:bookmarkStart w:id="877" w:name="_Toc484011651"/>
      <w:bookmarkStart w:id="878" w:name="_Toc484011176"/>
      <w:bookmarkStart w:id="879" w:name="_Toc484011054"/>
      <w:bookmarkStart w:id="880" w:name="_Toc484010932"/>
      <w:bookmarkStart w:id="881" w:name="_Toc484010808"/>
      <w:bookmarkStart w:id="882" w:name="_Toc484010686"/>
      <w:bookmarkStart w:id="883" w:name="_Toc483906936"/>
      <w:bookmarkStart w:id="884" w:name="_Toc483571559"/>
      <w:bookmarkStart w:id="885" w:name="_Toc483571438"/>
      <w:bookmarkStart w:id="886" w:name="_Toc483474009"/>
      <w:bookmarkStart w:id="887" w:name="_Toc483401212"/>
      <w:bookmarkStart w:id="888" w:name="_Toc483325733"/>
      <w:bookmarkStart w:id="889" w:name="_Toc483316430"/>
      <w:bookmarkStart w:id="890" w:name="_Toc483316299"/>
      <w:bookmarkStart w:id="891" w:name="_Toc483316096"/>
      <w:bookmarkStart w:id="892" w:name="_Toc483315891"/>
      <w:bookmarkStart w:id="893" w:name="_Toc483302341"/>
      <w:bookmarkStart w:id="894" w:name="_Toc483233641"/>
      <w:bookmarkStart w:id="895" w:name="_Toc482979680"/>
      <w:bookmarkStart w:id="896" w:name="_Toc482979582"/>
      <w:bookmarkStart w:id="897" w:name="_Toc482979473"/>
      <w:bookmarkStart w:id="898" w:name="_Toc482979365"/>
      <w:bookmarkStart w:id="899" w:name="_Toc482979256"/>
      <w:bookmarkStart w:id="900" w:name="_Toc482979147"/>
      <w:bookmarkStart w:id="901" w:name="_Toc482979036"/>
      <w:bookmarkStart w:id="902" w:name="_Toc482978928"/>
      <w:bookmarkStart w:id="903" w:name="_Toc482978819"/>
      <w:bookmarkStart w:id="904" w:name="_Toc482959700"/>
      <w:bookmarkStart w:id="905" w:name="_Toc482959590"/>
      <w:bookmarkStart w:id="906" w:name="_Toc482959480"/>
      <w:bookmarkStart w:id="907" w:name="_Toc482712710"/>
      <w:bookmarkStart w:id="908" w:name="_Toc482641264"/>
      <w:bookmarkStart w:id="909" w:name="_Toc482633087"/>
      <w:bookmarkStart w:id="910" w:name="_Toc482352247"/>
      <w:bookmarkStart w:id="911" w:name="_Toc482352157"/>
      <w:bookmarkStart w:id="912" w:name="_Toc482352067"/>
      <w:bookmarkStart w:id="913" w:name="_Toc482351977"/>
      <w:bookmarkStart w:id="914" w:name="_Toc482102113"/>
      <w:bookmarkStart w:id="915" w:name="_Toc482102019"/>
      <w:bookmarkStart w:id="916" w:name="_Toc482101924"/>
      <w:bookmarkStart w:id="917" w:name="_Toc482101829"/>
      <w:bookmarkStart w:id="918" w:name="_Toc482101736"/>
      <w:bookmarkStart w:id="919" w:name="_Toc482101561"/>
      <w:bookmarkStart w:id="920" w:name="_Toc482101446"/>
      <w:bookmarkStart w:id="921" w:name="_Toc482101309"/>
      <w:bookmarkStart w:id="922" w:name="_Toc482100883"/>
      <w:bookmarkStart w:id="923" w:name="_Toc482100726"/>
      <w:bookmarkStart w:id="924" w:name="_Toc482099009"/>
      <w:bookmarkStart w:id="925" w:name="_Toc482097911"/>
      <w:bookmarkStart w:id="926" w:name="_Toc482097719"/>
      <w:bookmarkStart w:id="927" w:name="_Toc482097630"/>
      <w:bookmarkStart w:id="928" w:name="_Toc482097541"/>
      <w:bookmarkStart w:id="929" w:name="_Toc482025718"/>
      <w:bookmarkStart w:id="930" w:name="_Toc485218266"/>
      <w:bookmarkStart w:id="931" w:name="_Toc484688830"/>
      <w:bookmarkStart w:id="932" w:name="_Toc484688275"/>
      <w:bookmarkStart w:id="933" w:name="_Toc484605406"/>
      <w:bookmarkStart w:id="934" w:name="_Toc484605282"/>
      <w:bookmarkStart w:id="935" w:name="_Toc484526562"/>
      <w:bookmarkStart w:id="936" w:name="_Toc484449067"/>
      <w:bookmarkStart w:id="937" w:name="_Toc484448943"/>
      <w:bookmarkStart w:id="938" w:name="_Toc484448819"/>
      <w:bookmarkStart w:id="939" w:name="_Toc484448696"/>
      <w:bookmarkStart w:id="940" w:name="_Toc484448572"/>
      <w:bookmarkStart w:id="941" w:name="_Toc484448448"/>
      <w:bookmarkStart w:id="942" w:name="_Toc484448324"/>
      <w:bookmarkStart w:id="943" w:name="_Toc484448200"/>
      <w:bookmarkStart w:id="944" w:name="_Toc484448075"/>
      <w:bookmarkStart w:id="945" w:name="_Toc484440416"/>
      <w:bookmarkStart w:id="946" w:name="_Toc484440056"/>
      <w:bookmarkStart w:id="947" w:name="_Toc484439932"/>
      <w:bookmarkStart w:id="948" w:name="_Toc484439809"/>
      <w:bookmarkStart w:id="949" w:name="_Toc484438889"/>
      <w:bookmarkStart w:id="950" w:name="_Toc484438765"/>
      <w:bookmarkStart w:id="951" w:name="_Toc484438641"/>
      <w:bookmarkStart w:id="952" w:name="_Toc484429066"/>
      <w:bookmarkStart w:id="953" w:name="_Toc484428896"/>
      <w:bookmarkStart w:id="954" w:name="_Toc484097724"/>
      <w:bookmarkStart w:id="955" w:name="_Toc484011650"/>
      <w:bookmarkStart w:id="956" w:name="_Toc484011175"/>
      <w:bookmarkStart w:id="957" w:name="_Toc484011053"/>
      <w:bookmarkStart w:id="958" w:name="_Toc484010931"/>
      <w:bookmarkStart w:id="959" w:name="_Toc484010807"/>
      <w:bookmarkStart w:id="960" w:name="_Toc484010685"/>
      <w:bookmarkStart w:id="961" w:name="_Toc483906935"/>
      <w:bookmarkStart w:id="962" w:name="_Toc483571558"/>
      <w:bookmarkStart w:id="963" w:name="_Toc483571437"/>
      <w:bookmarkStart w:id="964" w:name="_Toc483474008"/>
      <w:bookmarkStart w:id="965" w:name="_Toc483401211"/>
      <w:bookmarkStart w:id="966" w:name="_Toc483325732"/>
      <w:bookmarkStart w:id="967" w:name="_Toc483316429"/>
      <w:bookmarkStart w:id="968" w:name="_Toc483316298"/>
      <w:bookmarkStart w:id="969" w:name="_Toc483316095"/>
      <w:bookmarkStart w:id="970" w:name="_Toc483315890"/>
      <w:bookmarkStart w:id="971" w:name="_Toc483302340"/>
      <w:bookmarkStart w:id="972" w:name="_Toc483233640"/>
      <w:bookmarkStart w:id="973" w:name="_Toc482979679"/>
      <w:bookmarkStart w:id="974" w:name="_Toc482979581"/>
      <w:bookmarkStart w:id="975" w:name="_Toc482979472"/>
      <w:bookmarkStart w:id="976" w:name="_Toc482979364"/>
      <w:bookmarkStart w:id="977" w:name="_Toc482979255"/>
      <w:bookmarkStart w:id="978" w:name="_Toc482979146"/>
      <w:bookmarkStart w:id="979" w:name="_Toc482979035"/>
      <w:bookmarkStart w:id="980" w:name="_Toc482978927"/>
      <w:bookmarkStart w:id="981" w:name="_Toc482978818"/>
      <w:bookmarkStart w:id="982" w:name="_Toc482959699"/>
      <w:bookmarkStart w:id="983" w:name="_Toc482959589"/>
      <w:bookmarkStart w:id="984" w:name="_Toc482959479"/>
      <w:bookmarkStart w:id="985" w:name="_Toc482712709"/>
      <w:bookmarkStart w:id="986" w:name="_Toc482641263"/>
      <w:bookmarkStart w:id="987" w:name="_Toc482633086"/>
      <w:bookmarkStart w:id="988" w:name="_Toc482352246"/>
      <w:bookmarkStart w:id="989" w:name="_Toc482352156"/>
      <w:bookmarkStart w:id="990" w:name="_Toc482352066"/>
      <w:bookmarkStart w:id="991" w:name="_Toc482351976"/>
      <w:bookmarkStart w:id="992" w:name="_Toc482102112"/>
      <w:bookmarkStart w:id="993" w:name="_Toc482102018"/>
      <w:bookmarkStart w:id="994" w:name="_Toc482101923"/>
      <w:bookmarkStart w:id="995" w:name="_Toc482101828"/>
      <w:bookmarkStart w:id="996" w:name="_Toc482101735"/>
      <w:bookmarkStart w:id="997" w:name="_Toc482101560"/>
      <w:bookmarkStart w:id="998" w:name="_Toc482101445"/>
      <w:bookmarkStart w:id="999" w:name="_Toc482101308"/>
      <w:bookmarkStart w:id="1000" w:name="_Toc482100882"/>
      <w:bookmarkStart w:id="1001" w:name="_Toc482100725"/>
      <w:bookmarkStart w:id="1002" w:name="_Toc482099008"/>
      <w:bookmarkStart w:id="1003" w:name="_Toc482097910"/>
      <w:bookmarkStart w:id="1004" w:name="_Toc482097718"/>
      <w:bookmarkStart w:id="1005" w:name="_Toc482097629"/>
      <w:bookmarkStart w:id="1006" w:name="_Toc482097540"/>
      <w:bookmarkStart w:id="1007" w:name="_Toc482025717"/>
      <w:bookmarkStart w:id="1008" w:name="_Toc485218265"/>
      <w:bookmarkStart w:id="1009" w:name="_Toc484688829"/>
      <w:bookmarkStart w:id="1010" w:name="_Toc484688274"/>
      <w:bookmarkStart w:id="1011" w:name="_Toc484605405"/>
      <w:bookmarkStart w:id="1012" w:name="_Toc484605281"/>
      <w:bookmarkStart w:id="1013" w:name="_Toc484526561"/>
      <w:bookmarkStart w:id="1014" w:name="_Toc484449066"/>
      <w:bookmarkStart w:id="1015" w:name="_Toc484448942"/>
      <w:bookmarkStart w:id="1016" w:name="_Toc484448818"/>
      <w:bookmarkStart w:id="1017" w:name="_Toc484448695"/>
      <w:bookmarkStart w:id="1018" w:name="_Toc484448571"/>
      <w:bookmarkStart w:id="1019" w:name="_Toc484448447"/>
      <w:bookmarkStart w:id="1020" w:name="_Toc484448323"/>
      <w:bookmarkStart w:id="1021" w:name="_Toc484448199"/>
      <w:bookmarkStart w:id="1022" w:name="_Toc484448074"/>
      <w:bookmarkStart w:id="1023" w:name="_Toc484440415"/>
      <w:bookmarkStart w:id="1024" w:name="_Toc484440055"/>
      <w:bookmarkStart w:id="1025" w:name="_Toc484439931"/>
      <w:bookmarkStart w:id="1026" w:name="_Toc484439808"/>
      <w:bookmarkStart w:id="1027" w:name="_Toc484438888"/>
      <w:bookmarkStart w:id="1028" w:name="_Toc484438764"/>
      <w:bookmarkStart w:id="1029" w:name="_Toc484438640"/>
      <w:bookmarkStart w:id="1030" w:name="_Toc484429065"/>
      <w:bookmarkStart w:id="1031" w:name="_Toc484428895"/>
      <w:bookmarkStart w:id="1032" w:name="_Toc484097723"/>
      <w:bookmarkStart w:id="1033" w:name="_Toc484011649"/>
      <w:bookmarkStart w:id="1034" w:name="_Toc484011174"/>
      <w:bookmarkStart w:id="1035" w:name="_Toc484011052"/>
      <w:bookmarkStart w:id="1036" w:name="_Toc484010930"/>
      <w:bookmarkStart w:id="1037" w:name="_Toc484010806"/>
      <w:bookmarkStart w:id="1038" w:name="_Toc484010684"/>
      <w:bookmarkStart w:id="1039" w:name="_Toc483906934"/>
      <w:bookmarkStart w:id="1040" w:name="_Toc483571557"/>
      <w:bookmarkStart w:id="1041" w:name="_Toc483571436"/>
      <w:bookmarkStart w:id="1042" w:name="_Toc483474007"/>
      <w:bookmarkStart w:id="1043" w:name="_Toc483401210"/>
      <w:bookmarkStart w:id="1044" w:name="_Toc483325731"/>
      <w:bookmarkStart w:id="1045" w:name="_Toc483316428"/>
      <w:bookmarkStart w:id="1046" w:name="_Toc483316297"/>
      <w:bookmarkStart w:id="1047" w:name="_Toc483316094"/>
      <w:bookmarkStart w:id="1048" w:name="_Toc483315889"/>
      <w:bookmarkStart w:id="1049" w:name="_Toc483302339"/>
      <w:bookmarkStart w:id="1050" w:name="_Toc483233639"/>
      <w:bookmarkStart w:id="1051" w:name="_Toc482979678"/>
      <w:bookmarkStart w:id="1052" w:name="_Toc482979580"/>
      <w:bookmarkStart w:id="1053" w:name="_Toc482979471"/>
      <w:bookmarkStart w:id="1054" w:name="_Toc482979363"/>
      <w:bookmarkStart w:id="1055" w:name="_Toc482979254"/>
      <w:bookmarkStart w:id="1056" w:name="_Toc482979145"/>
      <w:bookmarkStart w:id="1057" w:name="_Toc482979034"/>
      <w:bookmarkStart w:id="1058" w:name="_Toc482978926"/>
      <w:bookmarkStart w:id="1059" w:name="_Toc482978817"/>
      <w:bookmarkStart w:id="1060" w:name="_Toc482959698"/>
      <w:bookmarkStart w:id="1061" w:name="_Toc482959588"/>
      <w:bookmarkStart w:id="1062" w:name="_Toc482959478"/>
      <w:bookmarkStart w:id="1063" w:name="_Toc482712708"/>
      <w:bookmarkStart w:id="1064" w:name="_Toc482641262"/>
      <w:bookmarkStart w:id="1065" w:name="_Toc482633085"/>
      <w:bookmarkStart w:id="1066" w:name="_Toc482352245"/>
      <w:bookmarkStart w:id="1067" w:name="_Toc482352155"/>
      <w:bookmarkStart w:id="1068" w:name="_Toc482352065"/>
      <w:bookmarkStart w:id="1069" w:name="_Toc482351975"/>
      <w:bookmarkStart w:id="1070" w:name="_Toc482102111"/>
      <w:bookmarkStart w:id="1071" w:name="_Toc482102017"/>
      <w:bookmarkStart w:id="1072" w:name="_Toc482101922"/>
      <w:bookmarkStart w:id="1073" w:name="_Toc482101827"/>
      <w:bookmarkStart w:id="1074" w:name="_Toc482101734"/>
      <w:bookmarkStart w:id="1075" w:name="_Toc482101559"/>
      <w:bookmarkStart w:id="1076" w:name="_Toc482101444"/>
      <w:bookmarkStart w:id="1077" w:name="_Toc482101307"/>
      <w:bookmarkStart w:id="1078" w:name="_Toc482100881"/>
      <w:bookmarkStart w:id="1079" w:name="_Toc482100724"/>
      <w:bookmarkStart w:id="1080" w:name="_Toc482099007"/>
      <w:bookmarkStart w:id="1081" w:name="_Toc482097909"/>
      <w:bookmarkStart w:id="1082" w:name="_Toc482097717"/>
      <w:bookmarkStart w:id="1083" w:name="_Toc482097628"/>
      <w:bookmarkStart w:id="1084" w:name="_Toc482097539"/>
      <w:bookmarkStart w:id="1085" w:name="_Toc482025716"/>
      <w:bookmarkStart w:id="1086" w:name="_Toc485218264"/>
      <w:bookmarkStart w:id="1087" w:name="_Toc484688828"/>
      <w:bookmarkStart w:id="1088" w:name="_Toc484688273"/>
      <w:bookmarkStart w:id="1089" w:name="_Toc484605404"/>
      <w:bookmarkStart w:id="1090" w:name="_Toc484605280"/>
      <w:bookmarkStart w:id="1091" w:name="_Toc484526560"/>
      <w:bookmarkStart w:id="1092" w:name="_Toc484449065"/>
      <w:bookmarkStart w:id="1093" w:name="_Toc484448941"/>
      <w:bookmarkStart w:id="1094" w:name="_Toc484448817"/>
      <w:bookmarkStart w:id="1095" w:name="_Toc484448694"/>
      <w:bookmarkStart w:id="1096" w:name="_Toc484448570"/>
      <w:bookmarkStart w:id="1097" w:name="_Toc484448446"/>
      <w:bookmarkStart w:id="1098" w:name="_Toc484448322"/>
      <w:bookmarkStart w:id="1099" w:name="_Toc484448198"/>
      <w:bookmarkStart w:id="1100" w:name="_Toc484448073"/>
      <w:bookmarkStart w:id="1101" w:name="_Toc484440414"/>
      <w:bookmarkStart w:id="1102" w:name="_Toc484440054"/>
      <w:bookmarkStart w:id="1103" w:name="_Toc484439930"/>
      <w:bookmarkStart w:id="1104" w:name="_Toc484439807"/>
      <w:bookmarkStart w:id="1105" w:name="_Toc484438887"/>
      <w:bookmarkStart w:id="1106" w:name="_Toc484438763"/>
      <w:bookmarkStart w:id="1107" w:name="_Toc484438639"/>
      <w:bookmarkStart w:id="1108" w:name="_Toc484429064"/>
      <w:bookmarkStart w:id="1109" w:name="_Toc484428894"/>
      <w:bookmarkStart w:id="1110" w:name="_Toc484097722"/>
      <w:bookmarkStart w:id="1111" w:name="_Toc484011648"/>
      <w:bookmarkStart w:id="1112" w:name="_Toc484011173"/>
      <w:bookmarkStart w:id="1113" w:name="_Toc484011051"/>
      <w:bookmarkStart w:id="1114" w:name="_Toc484010929"/>
      <w:bookmarkStart w:id="1115" w:name="_Toc484010805"/>
      <w:bookmarkStart w:id="1116" w:name="_Toc484010683"/>
      <w:bookmarkStart w:id="1117" w:name="_Toc483906933"/>
      <w:bookmarkStart w:id="1118" w:name="_Toc483571556"/>
      <w:bookmarkStart w:id="1119" w:name="_Toc483571435"/>
      <w:bookmarkStart w:id="1120" w:name="_Toc483474006"/>
      <w:bookmarkStart w:id="1121" w:name="_Toc483401209"/>
      <w:bookmarkStart w:id="1122" w:name="_Toc483325730"/>
      <w:bookmarkStart w:id="1123" w:name="_Toc483316427"/>
      <w:bookmarkStart w:id="1124" w:name="_Toc483316296"/>
      <w:bookmarkStart w:id="1125" w:name="_Toc483316093"/>
      <w:bookmarkStart w:id="1126" w:name="_Toc483315888"/>
      <w:bookmarkStart w:id="1127" w:name="_Toc483302338"/>
      <w:bookmarkStart w:id="1128" w:name="_Toc483233638"/>
      <w:bookmarkStart w:id="1129" w:name="_Toc482979677"/>
      <w:bookmarkStart w:id="1130" w:name="_Toc482979579"/>
      <w:bookmarkStart w:id="1131" w:name="_Toc482979470"/>
      <w:bookmarkStart w:id="1132" w:name="_Toc482979362"/>
      <w:bookmarkStart w:id="1133" w:name="_Toc482979253"/>
      <w:bookmarkStart w:id="1134" w:name="_Toc482979144"/>
      <w:bookmarkStart w:id="1135" w:name="_Toc482979033"/>
      <w:bookmarkStart w:id="1136" w:name="_Toc482978925"/>
      <w:bookmarkStart w:id="1137" w:name="_Toc482978816"/>
      <w:bookmarkStart w:id="1138" w:name="_Toc482959697"/>
      <w:bookmarkStart w:id="1139" w:name="_Toc482959587"/>
      <w:bookmarkStart w:id="1140" w:name="_Toc482959477"/>
      <w:bookmarkStart w:id="1141" w:name="_Toc482712707"/>
      <w:bookmarkStart w:id="1142" w:name="_Toc482641261"/>
      <w:bookmarkStart w:id="1143" w:name="_Toc482633084"/>
      <w:bookmarkStart w:id="1144" w:name="_Toc482352244"/>
      <w:bookmarkStart w:id="1145" w:name="_Toc482352154"/>
      <w:bookmarkStart w:id="1146" w:name="_Toc482352064"/>
      <w:bookmarkStart w:id="1147" w:name="_Toc482351974"/>
      <w:bookmarkStart w:id="1148" w:name="_Toc482102110"/>
      <w:bookmarkStart w:id="1149" w:name="_Toc482102016"/>
      <w:bookmarkStart w:id="1150" w:name="_Toc482101921"/>
      <w:bookmarkStart w:id="1151" w:name="_Toc482101826"/>
      <w:bookmarkStart w:id="1152" w:name="_Toc482101733"/>
      <w:bookmarkStart w:id="1153" w:name="_Toc482101558"/>
      <w:bookmarkStart w:id="1154" w:name="_Toc482101443"/>
      <w:bookmarkStart w:id="1155" w:name="_Toc482101306"/>
      <w:bookmarkStart w:id="1156" w:name="_Toc482100880"/>
      <w:bookmarkStart w:id="1157" w:name="_Toc482100723"/>
      <w:bookmarkStart w:id="1158" w:name="_Toc482099006"/>
      <w:bookmarkStart w:id="1159" w:name="_Toc482097908"/>
      <w:bookmarkStart w:id="1160" w:name="_Toc482097716"/>
      <w:bookmarkStart w:id="1161" w:name="_Toc482097627"/>
      <w:bookmarkStart w:id="1162" w:name="_Toc482097538"/>
      <w:bookmarkStart w:id="1163" w:name="_Toc482025715"/>
      <w:bookmarkStart w:id="1164" w:name="_Toc485218263"/>
      <w:bookmarkStart w:id="1165" w:name="_Toc484688827"/>
      <w:bookmarkStart w:id="1166" w:name="_Toc484688272"/>
      <w:bookmarkStart w:id="1167" w:name="_Toc484605403"/>
      <w:bookmarkStart w:id="1168" w:name="_Toc484605279"/>
      <w:bookmarkStart w:id="1169" w:name="_Toc484526559"/>
      <w:bookmarkStart w:id="1170" w:name="_Toc484449064"/>
      <w:bookmarkStart w:id="1171" w:name="_Toc484448940"/>
      <w:bookmarkStart w:id="1172" w:name="_Toc484448816"/>
      <w:bookmarkStart w:id="1173" w:name="_Toc484448693"/>
      <w:bookmarkStart w:id="1174" w:name="_Toc484448569"/>
      <w:bookmarkStart w:id="1175" w:name="_Toc484448445"/>
      <w:bookmarkStart w:id="1176" w:name="_Toc484448321"/>
      <w:bookmarkStart w:id="1177" w:name="_Toc484448197"/>
      <w:bookmarkStart w:id="1178" w:name="_Toc484448072"/>
      <w:bookmarkStart w:id="1179" w:name="_Toc484440413"/>
      <w:bookmarkStart w:id="1180" w:name="_Toc484440053"/>
      <w:bookmarkStart w:id="1181" w:name="_Toc484439929"/>
      <w:bookmarkStart w:id="1182" w:name="_Toc484439806"/>
      <w:bookmarkStart w:id="1183" w:name="_Toc484438886"/>
      <w:bookmarkStart w:id="1184" w:name="_Toc484438762"/>
      <w:bookmarkStart w:id="1185" w:name="_Toc484438638"/>
      <w:bookmarkStart w:id="1186" w:name="_Toc484429063"/>
      <w:bookmarkStart w:id="1187" w:name="_Toc484428893"/>
      <w:bookmarkStart w:id="1188" w:name="_Toc484097721"/>
      <w:bookmarkStart w:id="1189" w:name="_Toc484011647"/>
      <w:bookmarkStart w:id="1190" w:name="_Toc484011172"/>
      <w:bookmarkStart w:id="1191" w:name="_Toc484011050"/>
      <w:bookmarkStart w:id="1192" w:name="_Toc484010928"/>
      <w:bookmarkStart w:id="1193" w:name="_Toc484010804"/>
      <w:bookmarkStart w:id="1194" w:name="_Toc484010682"/>
      <w:bookmarkStart w:id="1195" w:name="_Toc483906932"/>
      <w:bookmarkStart w:id="1196" w:name="_Toc483571555"/>
      <w:bookmarkStart w:id="1197" w:name="_Toc483571434"/>
      <w:bookmarkStart w:id="1198" w:name="_Toc483474005"/>
      <w:bookmarkStart w:id="1199" w:name="_Toc483401208"/>
      <w:bookmarkStart w:id="1200" w:name="_Toc483325729"/>
      <w:bookmarkStart w:id="1201" w:name="_Toc483316426"/>
      <w:bookmarkStart w:id="1202" w:name="_Toc483316295"/>
      <w:bookmarkStart w:id="1203" w:name="_Toc483316092"/>
      <w:bookmarkStart w:id="1204" w:name="_Toc483315887"/>
      <w:bookmarkStart w:id="1205" w:name="_Toc483302337"/>
      <w:bookmarkStart w:id="1206" w:name="_Toc483233637"/>
      <w:bookmarkStart w:id="1207" w:name="_Toc482979676"/>
      <w:bookmarkStart w:id="1208" w:name="_Toc482979578"/>
      <w:bookmarkStart w:id="1209" w:name="_Toc482979469"/>
      <w:bookmarkStart w:id="1210" w:name="_Toc482979361"/>
      <w:bookmarkStart w:id="1211" w:name="_Toc482979252"/>
      <w:bookmarkStart w:id="1212" w:name="_Toc482979143"/>
      <w:bookmarkStart w:id="1213" w:name="_Toc482979032"/>
      <w:bookmarkStart w:id="1214" w:name="_Toc482978924"/>
      <w:bookmarkStart w:id="1215" w:name="_Toc482978815"/>
      <w:bookmarkStart w:id="1216" w:name="_Toc482959696"/>
      <w:bookmarkStart w:id="1217" w:name="_Toc482959586"/>
      <w:bookmarkStart w:id="1218" w:name="_Toc482959476"/>
      <w:bookmarkStart w:id="1219" w:name="_Toc482712706"/>
      <w:bookmarkStart w:id="1220" w:name="_Toc482641260"/>
      <w:bookmarkStart w:id="1221" w:name="_Toc482633083"/>
      <w:bookmarkStart w:id="1222" w:name="_Toc482352243"/>
      <w:bookmarkStart w:id="1223" w:name="_Toc482352153"/>
      <w:bookmarkStart w:id="1224" w:name="_Toc482352063"/>
      <w:bookmarkStart w:id="1225" w:name="_Toc482351973"/>
      <w:bookmarkStart w:id="1226" w:name="_Toc482102109"/>
      <w:bookmarkStart w:id="1227" w:name="_Toc482102015"/>
      <w:bookmarkStart w:id="1228" w:name="_Toc482101920"/>
      <w:bookmarkStart w:id="1229" w:name="_Toc482101825"/>
      <w:bookmarkStart w:id="1230" w:name="_Toc482101732"/>
      <w:bookmarkStart w:id="1231" w:name="_Toc482101557"/>
      <w:bookmarkStart w:id="1232" w:name="_Toc482101442"/>
      <w:bookmarkStart w:id="1233" w:name="_Toc482101305"/>
      <w:bookmarkStart w:id="1234" w:name="_Toc482100879"/>
      <w:bookmarkStart w:id="1235" w:name="_Toc482100722"/>
      <w:bookmarkStart w:id="1236" w:name="_Toc482099005"/>
      <w:bookmarkStart w:id="1237" w:name="_Toc482097907"/>
      <w:bookmarkStart w:id="1238" w:name="_Toc482097715"/>
      <w:bookmarkStart w:id="1239" w:name="_Toc482097626"/>
      <w:bookmarkStart w:id="1240" w:name="_Toc482097537"/>
      <w:bookmarkStart w:id="1241" w:name="_Toc482025714"/>
      <w:bookmarkStart w:id="1242" w:name="_Toc485218262"/>
      <w:bookmarkStart w:id="1243" w:name="_Toc484688826"/>
      <w:bookmarkStart w:id="1244" w:name="_Toc484688271"/>
      <w:bookmarkStart w:id="1245" w:name="_Toc484605402"/>
      <w:bookmarkStart w:id="1246" w:name="_Toc484605278"/>
      <w:bookmarkStart w:id="1247" w:name="_Toc484526558"/>
      <w:bookmarkStart w:id="1248" w:name="_Toc484449063"/>
      <w:bookmarkStart w:id="1249" w:name="_Toc484448939"/>
      <w:bookmarkStart w:id="1250" w:name="_Toc484448815"/>
      <w:bookmarkStart w:id="1251" w:name="_Toc484448692"/>
      <w:bookmarkStart w:id="1252" w:name="_Toc484448568"/>
      <w:bookmarkStart w:id="1253" w:name="_Toc484448444"/>
      <w:bookmarkStart w:id="1254" w:name="_Toc484448320"/>
      <w:bookmarkStart w:id="1255" w:name="_Toc484448196"/>
      <w:bookmarkStart w:id="1256" w:name="_Toc484448071"/>
      <w:bookmarkStart w:id="1257" w:name="_Toc484440412"/>
      <w:bookmarkStart w:id="1258" w:name="_Toc484440052"/>
      <w:bookmarkStart w:id="1259" w:name="_Toc484439928"/>
      <w:bookmarkStart w:id="1260" w:name="_Toc484439805"/>
      <w:bookmarkStart w:id="1261" w:name="_Toc484438885"/>
      <w:bookmarkStart w:id="1262" w:name="_Toc484438761"/>
      <w:bookmarkStart w:id="1263" w:name="_Toc484438637"/>
      <w:bookmarkStart w:id="1264" w:name="_Toc484429062"/>
      <w:bookmarkStart w:id="1265" w:name="_Toc484428892"/>
      <w:bookmarkStart w:id="1266" w:name="_Toc484097720"/>
      <w:bookmarkStart w:id="1267" w:name="_Toc484011646"/>
      <w:bookmarkStart w:id="1268" w:name="_Toc484011171"/>
      <w:bookmarkStart w:id="1269" w:name="_Toc484011049"/>
      <w:bookmarkStart w:id="1270" w:name="_Toc484010927"/>
      <w:bookmarkStart w:id="1271" w:name="_Toc484010803"/>
      <w:bookmarkStart w:id="1272" w:name="_Toc484010681"/>
      <w:bookmarkStart w:id="1273" w:name="_Toc483906931"/>
      <w:bookmarkStart w:id="1274" w:name="_Toc483571554"/>
      <w:bookmarkStart w:id="1275" w:name="_Toc483571433"/>
      <w:bookmarkStart w:id="1276" w:name="_Toc483474004"/>
      <w:bookmarkStart w:id="1277" w:name="_Toc483401207"/>
      <w:bookmarkStart w:id="1278" w:name="_Toc483325728"/>
      <w:bookmarkStart w:id="1279" w:name="_Toc483316425"/>
      <w:bookmarkStart w:id="1280" w:name="_Toc483316294"/>
      <w:bookmarkStart w:id="1281" w:name="_Toc483316091"/>
      <w:bookmarkStart w:id="1282" w:name="_Toc483315886"/>
      <w:bookmarkStart w:id="1283" w:name="_Toc483302336"/>
      <w:bookmarkStart w:id="1284" w:name="_Toc483233636"/>
      <w:bookmarkStart w:id="1285" w:name="_Toc482979675"/>
      <w:bookmarkStart w:id="1286" w:name="_Toc482979577"/>
      <w:bookmarkStart w:id="1287" w:name="_Toc482979468"/>
      <w:bookmarkStart w:id="1288" w:name="_Toc482979360"/>
      <w:bookmarkStart w:id="1289" w:name="_Toc482979251"/>
      <w:bookmarkStart w:id="1290" w:name="_Toc482979142"/>
      <w:bookmarkStart w:id="1291" w:name="_Toc482979031"/>
      <w:bookmarkStart w:id="1292" w:name="_Toc482978923"/>
      <w:bookmarkStart w:id="1293" w:name="_Toc482978814"/>
      <w:bookmarkStart w:id="1294" w:name="_Toc482959695"/>
      <w:bookmarkStart w:id="1295" w:name="_Toc482959585"/>
      <w:bookmarkStart w:id="1296" w:name="_Toc482959475"/>
      <w:bookmarkStart w:id="1297" w:name="_Toc482712705"/>
      <w:bookmarkStart w:id="1298" w:name="_Toc482641259"/>
      <w:bookmarkStart w:id="1299" w:name="_Toc482633082"/>
      <w:bookmarkStart w:id="1300" w:name="_Toc482352242"/>
      <w:bookmarkStart w:id="1301" w:name="_Toc482352152"/>
      <w:bookmarkStart w:id="1302" w:name="_Toc482352062"/>
      <w:bookmarkStart w:id="1303" w:name="_Toc482351972"/>
      <w:bookmarkStart w:id="1304" w:name="_Toc482102108"/>
      <w:bookmarkStart w:id="1305" w:name="_Toc482102014"/>
      <w:bookmarkStart w:id="1306" w:name="_Toc482101919"/>
      <w:bookmarkStart w:id="1307" w:name="_Toc482101824"/>
      <w:bookmarkStart w:id="1308" w:name="_Toc482101731"/>
      <w:bookmarkStart w:id="1309" w:name="_Toc482101556"/>
      <w:bookmarkStart w:id="1310" w:name="_Toc482101441"/>
      <w:bookmarkStart w:id="1311" w:name="_Toc482101304"/>
      <w:bookmarkStart w:id="1312" w:name="_Toc482100878"/>
      <w:bookmarkStart w:id="1313" w:name="_Toc482100721"/>
      <w:bookmarkStart w:id="1314" w:name="_Toc482099004"/>
      <w:bookmarkStart w:id="1315" w:name="_Toc482097906"/>
      <w:bookmarkStart w:id="1316" w:name="_Toc482097714"/>
      <w:bookmarkStart w:id="1317" w:name="_Toc482097625"/>
      <w:bookmarkStart w:id="1318" w:name="_Toc482097536"/>
      <w:bookmarkStart w:id="1319" w:name="_Toc482025713"/>
      <w:bookmarkStart w:id="1320" w:name="_Toc485218261"/>
      <w:bookmarkStart w:id="1321" w:name="_Toc484688825"/>
      <w:bookmarkStart w:id="1322" w:name="_Toc484688270"/>
      <w:bookmarkStart w:id="1323" w:name="_Toc484605401"/>
      <w:bookmarkStart w:id="1324" w:name="_Toc484605277"/>
      <w:bookmarkStart w:id="1325" w:name="_Toc484526557"/>
      <w:bookmarkStart w:id="1326" w:name="_Toc484449062"/>
      <w:bookmarkStart w:id="1327" w:name="_Toc484448938"/>
      <w:bookmarkStart w:id="1328" w:name="_Toc484448814"/>
      <w:bookmarkStart w:id="1329" w:name="_Toc484448691"/>
      <w:bookmarkStart w:id="1330" w:name="_Toc484448567"/>
      <w:bookmarkStart w:id="1331" w:name="_Toc484448443"/>
      <w:bookmarkStart w:id="1332" w:name="_Toc484448319"/>
      <w:bookmarkStart w:id="1333" w:name="_Toc484448195"/>
      <w:bookmarkStart w:id="1334" w:name="_Toc484448070"/>
      <w:bookmarkStart w:id="1335" w:name="_Toc484440411"/>
      <w:bookmarkStart w:id="1336" w:name="_Toc484440051"/>
      <w:bookmarkStart w:id="1337" w:name="_Toc484439927"/>
      <w:bookmarkStart w:id="1338" w:name="_Toc484439804"/>
      <w:bookmarkStart w:id="1339" w:name="_Toc484438884"/>
      <w:bookmarkStart w:id="1340" w:name="_Toc484438760"/>
      <w:bookmarkStart w:id="1341" w:name="_Toc484438636"/>
      <w:bookmarkStart w:id="1342" w:name="_Toc484429061"/>
      <w:bookmarkStart w:id="1343" w:name="_Toc484428891"/>
      <w:bookmarkStart w:id="1344" w:name="_Toc484097719"/>
      <w:bookmarkStart w:id="1345" w:name="_Toc484011645"/>
      <w:bookmarkStart w:id="1346" w:name="_Toc484011170"/>
      <w:bookmarkStart w:id="1347" w:name="_Toc484011048"/>
      <w:bookmarkStart w:id="1348" w:name="_Toc484010926"/>
      <w:bookmarkStart w:id="1349" w:name="_Toc484010802"/>
      <w:bookmarkStart w:id="1350" w:name="_Toc484010680"/>
      <w:bookmarkStart w:id="1351" w:name="_Toc483906930"/>
      <w:bookmarkStart w:id="1352" w:name="_Toc483571553"/>
      <w:bookmarkStart w:id="1353" w:name="_Toc483571432"/>
      <w:bookmarkStart w:id="1354" w:name="_Toc483474003"/>
      <w:bookmarkStart w:id="1355" w:name="_Toc483401206"/>
      <w:bookmarkStart w:id="1356" w:name="_Toc483325727"/>
      <w:bookmarkStart w:id="1357" w:name="_Toc483316424"/>
      <w:bookmarkStart w:id="1358" w:name="_Toc483316293"/>
      <w:bookmarkStart w:id="1359" w:name="_Toc483316090"/>
      <w:bookmarkStart w:id="1360" w:name="_Toc483315885"/>
      <w:bookmarkStart w:id="1361" w:name="_Toc483302335"/>
      <w:bookmarkStart w:id="1362" w:name="_Toc483233635"/>
      <w:bookmarkStart w:id="1363" w:name="_Toc482979674"/>
      <w:bookmarkStart w:id="1364" w:name="_Toc482979576"/>
      <w:bookmarkStart w:id="1365" w:name="_Toc482979467"/>
      <w:bookmarkStart w:id="1366" w:name="_Toc482979359"/>
      <w:bookmarkStart w:id="1367" w:name="_Toc482979250"/>
      <w:bookmarkStart w:id="1368" w:name="_Toc482979141"/>
      <w:bookmarkStart w:id="1369" w:name="_Toc482979030"/>
      <w:bookmarkStart w:id="1370" w:name="_Toc482978922"/>
      <w:bookmarkStart w:id="1371" w:name="_Toc482978813"/>
      <w:bookmarkStart w:id="1372" w:name="_Toc482959694"/>
      <w:bookmarkStart w:id="1373" w:name="_Toc482959584"/>
      <w:bookmarkStart w:id="1374" w:name="_Toc482959474"/>
      <w:bookmarkStart w:id="1375" w:name="_Toc482712704"/>
      <w:bookmarkStart w:id="1376" w:name="_Toc482641258"/>
      <w:bookmarkStart w:id="1377" w:name="_Toc482633081"/>
      <w:bookmarkStart w:id="1378" w:name="_Toc482352241"/>
      <w:bookmarkStart w:id="1379" w:name="_Toc482352151"/>
      <w:bookmarkStart w:id="1380" w:name="_Toc482352061"/>
      <w:bookmarkStart w:id="1381" w:name="_Toc482351971"/>
      <w:bookmarkStart w:id="1382" w:name="_Toc482102107"/>
      <w:bookmarkStart w:id="1383" w:name="_Toc482102013"/>
      <w:bookmarkStart w:id="1384" w:name="_Toc482101918"/>
      <w:bookmarkStart w:id="1385" w:name="_Toc482101823"/>
      <w:bookmarkStart w:id="1386" w:name="_Toc482101730"/>
      <w:bookmarkStart w:id="1387" w:name="_Toc482101555"/>
      <w:bookmarkStart w:id="1388" w:name="_Toc482101440"/>
      <w:bookmarkStart w:id="1389" w:name="_Toc482101303"/>
      <w:bookmarkStart w:id="1390" w:name="_Toc482100877"/>
      <w:bookmarkStart w:id="1391" w:name="_Toc482100720"/>
      <w:bookmarkStart w:id="1392" w:name="_Toc482099003"/>
      <w:bookmarkStart w:id="1393" w:name="_Toc482097905"/>
      <w:bookmarkStart w:id="1394" w:name="_Toc482097713"/>
      <w:bookmarkStart w:id="1395" w:name="_Toc482097624"/>
      <w:bookmarkStart w:id="1396" w:name="_Toc482097535"/>
      <w:bookmarkStart w:id="1397" w:name="_Toc482025712"/>
      <w:bookmarkStart w:id="1398" w:name="_Toc416423357"/>
      <w:bookmarkStart w:id="1399" w:name="_Toc406754172"/>
      <w:bookmarkStart w:id="1400" w:name="_Ref531184613"/>
      <w:bookmarkStart w:id="1401" w:name="_Ref128477566"/>
      <w:bookmarkStart w:id="1402" w:name="_Toc139549422"/>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r>
        <w:rPr>
          <w:rFonts w:ascii="Titillium" w:hAnsi="Titillium"/>
          <w:sz w:val="18"/>
          <w:szCs w:val="18"/>
        </w:rPr>
        <w:t>REQUISITI</w:t>
      </w:r>
      <w:r w:rsidR="00375678">
        <w:rPr>
          <w:rFonts w:ascii="Titillium" w:hAnsi="Titillium"/>
          <w:sz w:val="18"/>
          <w:szCs w:val="18"/>
          <w:lang w:val="it-IT"/>
        </w:rPr>
        <w:t xml:space="preserve"> DI ORDINE GENERALE</w:t>
      </w:r>
      <w:bookmarkEnd w:id="1400"/>
      <w:bookmarkEnd w:id="1401"/>
      <w:r w:rsidR="00BC51C4">
        <w:rPr>
          <w:rFonts w:ascii="Titillium" w:hAnsi="Titillium"/>
          <w:sz w:val="18"/>
          <w:szCs w:val="18"/>
          <w:lang w:val="it-IT"/>
        </w:rPr>
        <w:t xml:space="preserve"> E ALTRE CAUSE DI ESCLUSIONE</w:t>
      </w:r>
      <w:bookmarkEnd w:id="1402"/>
    </w:p>
    <w:p w14:paraId="4C1779DC" w14:textId="62F4A51E" w:rsidR="008D614D" w:rsidRDefault="008D614D" w:rsidP="006266B8">
      <w:pPr>
        <w:spacing w:before="60"/>
        <w:rPr>
          <w:rFonts w:ascii="Titillium" w:hAnsi="Titillium" w:cs="Arial"/>
          <w:sz w:val="18"/>
          <w:szCs w:val="18"/>
        </w:rPr>
      </w:pPr>
      <w:r w:rsidRPr="006266B8">
        <w:rPr>
          <w:rFonts w:ascii="Titillium" w:hAnsi="Titillium" w:cs="Arial"/>
          <w:sz w:val="18"/>
          <w:szCs w:val="18"/>
        </w:rPr>
        <w:t>I concorrenti devono essere in possesso, a pena di esclusione, dei requisiti di ordine generale previsti dal Codice nonché degli ulteriori requisiti indicati nel presente articolo.</w:t>
      </w:r>
    </w:p>
    <w:p w14:paraId="5E6F5B32" w14:textId="0C146E2A" w:rsidR="00871272" w:rsidRPr="00D95E6D" w:rsidRDefault="00871272" w:rsidP="006266B8">
      <w:pPr>
        <w:spacing w:before="60"/>
        <w:rPr>
          <w:rFonts w:ascii="Titillium" w:hAnsi="Titillium" w:cs="Arial"/>
          <w:sz w:val="18"/>
          <w:szCs w:val="18"/>
        </w:rPr>
      </w:pPr>
      <w:r w:rsidRPr="00D95E6D">
        <w:rPr>
          <w:rFonts w:ascii="Titillium" w:hAnsi="Titillium" w:cs="Arial"/>
          <w:sz w:val="18"/>
          <w:szCs w:val="18"/>
        </w:rPr>
        <w:t xml:space="preserve">La stazione appaltante verifica il possesso dei requisiti di ordine </w:t>
      </w:r>
      <w:r w:rsidR="00D95E6D" w:rsidRPr="00D95E6D">
        <w:rPr>
          <w:rFonts w:ascii="Titillium" w:hAnsi="Titillium" w:cs="Arial"/>
          <w:sz w:val="18"/>
          <w:szCs w:val="18"/>
        </w:rPr>
        <w:t>generale</w:t>
      </w:r>
      <w:r w:rsidRPr="00D95E6D">
        <w:rPr>
          <w:rFonts w:ascii="Titillium" w:hAnsi="Titillium" w:cs="Arial"/>
          <w:sz w:val="18"/>
          <w:szCs w:val="18"/>
        </w:rPr>
        <w:t xml:space="preserve"> accedendo al fascicolo virtuale dell’operatore economico (di seguito: FVOE).</w:t>
      </w:r>
    </w:p>
    <w:p w14:paraId="1E19B391" w14:textId="17FD1E0F" w:rsidR="006266B8" w:rsidRDefault="006266B8" w:rsidP="006266B8">
      <w:pPr>
        <w:spacing w:before="60"/>
        <w:rPr>
          <w:rFonts w:ascii="Titillium" w:hAnsi="Titillium" w:cs="Arial"/>
          <w:sz w:val="18"/>
          <w:szCs w:val="18"/>
        </w:rPr>
      </w:pPr>
      <w:r w:rsidRPr="00D95E6D">
        <w:rPr>
          <w:rFonts w:ascii="Titillium" w:hAnsi="Titillium" w:cs="Arial"/>
          <w:sz w:val="18"/>
          <w:szCs w:val="18"/>
        </w:rPr>
        <w:t>L</w:t>
      </w:r>
      <w:r w:rsidR="00607E91" w:rsidRPr="00D95E6D">
        <w:rPr>
          <w:rFonts w:ascii="Titillium" w:hAnsi="Titillium" w:cs="Arial"/>
          <w:sz w:val="18"/>
          <w:szCs w:val="18"/>
        </w:rPr>
        <w:t xml:space="preserve">e circostanze </w:t>
      </w:r>
      <w:r w:rsidRPr="00D95E6D">
        <w:rPr>
          <w:rFonts w:ascii="Titillium" w:hAnsi="Titillium" w:cs="Arial"/>
          <w:sz w:val="18"/>
          <w:szCs w:val="18"/>
        </w:rPr>
        <w:t xml:space="preserve">di cui all’articolo 94 </w:t>
      </w:r>
      <w:r w:rsidR="008A1ED8" w:rsidRPr="00D95E6D">
        <w:rPr>
          <w:rFonts w:ascii="Titillium" w:hAnsi="Titillium" w:cs="Arial"/>
          <w:sz w:val="18"/>
          <w:szCs w:val="18"/>
        </w:rPr>
        <w:t xml:space="preserve">del Codice </w:t>
      </w:r>
      <w:r w:rsidR="00607E91" w:rsidRPr="00D95E6D">
        <w:rPr>
          <w:rFonts w:ascii="Titillium" w:hAnsi="Titillium" w:cs="Arial"/>
          <w:sz w:val="18"/>
          <w:szCs w:val="18"/>
        </w:rPr>
        <w:t>sono cause di esclusione automatica.</w:t>
      </w:r>
      <w:r w:rsidR="00856DEF" w:rsidRPr="00D95E6D">
        <w:rPr>
          <w:rFonts w:ascii="Titillium" w:hAnsi="Titillium" w:cs="Arial"/>
          <w:sz w:val="18"/>
          <w:szCs w:val="18"/>
        </w:rPr>
        <w:t xml:space="preserve"> </w:t>
      </w:r>
      <w:r w:rsidR="00607E91" w:rsidRPr="00D95E6D">
        <w:rPr>
          <w:rFonts w:ascii="Titillium" w:hAnsi="Titillium" w:cs="Arial"/>
          <w:sz w:val="18"/>
          <w:szCs w:val="18"/>
        </w:rPr>
        <w:t xml:space="preserve">La </w:t>
      </w:r>
      <w:r w:rsidRPr="00D95E6D">
        <w:rPr>
          <w:rFonts w:ascii="Titillium" w:hAnsi="Titillium" w:cs="Arial"/>
          <w:sz w:val="18"/>
          <w:szCs w:val="18"/>
        </w:rPr>
        <w:t>sussistenza</w:t>
      </w:r>
      <w:r w:rsidR="00856DEF" w:rsidRPr="00D95E6D">
        <w:rPr>
          <w:rFonts w:ascii="Titillium" w:hAnsi="Titillium" w:cs="Arial"/>
          <w:sz w:val="18"/>
          <w:szCs w:val="18"/>
        </w:rPr>
        <w:t xml:space="preserve"> </w:t>
      </w:r>
      <w:r w:rsidRPr="00D95E6D">
        <w:rPr>
          <w:rFonts w:ascii="Titillium" w:hAnsi="Titillium" w:cs="Arial"/>
          <w:sz w:val="18"/>
          <w:szCs w:val="18"/>
        </w:rPr>
        <w:t>delle</w:t>
      </w:r>
      <w:r w:rsidR="00607E91" w:rsidRPr="00D95E6D">
        <w:rPr>
          <w:rFonts w:ascii="Titillium" w:hAnsi="Titillium" w:cs="Arial"/>
          <w:sz w:val="18"/>
          <w:szCs w:val="18"/>
        </w:rPr>
        <w:t xml:space="preserve"> circostanze</w:t>
      </w:r>
      <w:r w:rsidRPr="00D95E6D">
        <w:rPr>
          <w:rFonts w:ascii="Titillium" w:hAnsi="Titillium" w:cs="Arial"/>
          <w:sz w:val="18"/>
          <w:szCs w:val="18"/>
        </w:rPr>
        <w:t xml:space="preserve"> di cui all’articolo 95</w:t>
      </w:r>
      <w:r w:rsidR="008A1ED8" w:rsidRPr="00D95E6D">
        <w:rPr>
          <w:rFonts w:ascii="Titillium" w:hAnsi="Titillium" w:cs="Arial"/>
          <w:sz w:val="18"/>
          <w:szCs w:val="18"/>
        </w:rPr>
        <w:t xml:space="preserve"> del Codice</w:t>
      </w:r>
      <w:r w:rsidRPr="00D95E6D">
        <w:rPr>
          <w:rFonts w:ascii="Titillium" w:hAnsi="Titillium" w:cs="Arial"/>
          <w:sz w:val="18"/>
          <w:szCs w:val="18"/>
        </w:rPr>
        <w:t xml:space="preserve"> </w:t>
      </w:r>
      <w:r w:rsidR="00607E91" w:rsidRPr="00D95E6D">
        <w:rPr>
          <w:rFonts w:ascii="Titillium" w:hAnsi="Titillium" w:cs="Arial"/>
          <w:sz w:val="18"/>
          <w:szCs w:val="18"/>
        </w:rPr>
        <w:t>è</w:t>
      </w:r>
      <w:r w:rsidRPr="00D95E6D">
        <w:rPr>
          <w:rFonts w:ascii="Titillium" w:hAnsi="Titillium" w:cs="Arial"/>
          <w:sz w:val="18"/>
          <w:szCs w:val="18"/>
        </w:rPr>
        <w:t xml:space="preserve"> accertata previo contraddittorio con l’operatore economico.</w:t>
      </w:r>
    </w:p>
    <w:p w14:paraId="7D0A30D1" w14:textId="5D0D8358" w:rsidR="0062004E" w:rsidRPr="0062004E" w:rsidRDefault="0062004E" w:rsidP="0062004E">
      <w:pPr>
        <w:spacing w:before="60"/>
        <w:rPr>
          <w:rFonts w:ascii="Titillium" w:hAnsi="Titillium" w:cs="Arial"/>
          <w:sz w:val="18"/>
          <w:szCs w:val="18"/>
        </w:rPr>
      </w:pPr>
      <w:r w:rsidRPr="0062004E">
        <w:rPr>
          <w:rFonts w:ascii="Titillium" w:hAnsi="Titillium" w:cs="Arial"/>
          <w:sz w:val="18"/>
          <w:szCs w:val="18"/>
        </w:rPr>
        <w:t>In caso di partecipazione di consorzi di cui all’articolo 65, comma 2, lettere b) e c) del Codice</w:t>
      </w:r>
      <w:r w:rsidR="008A1ED8">
        <w:rPr>
          <w:rFonts w:ascii="Titillium" w:hAnsi="Titillium" w:cs="Arial"/>
          <w:sz w:val="18"/>
          <w:szCs w:val="18"/>
        </w:rPr>
        <w:t>,</w:t>
      </w:r>
      <w:r w:rsidRPr="0062004E">
        <w:rPr>
          <w:rFonts w:ascii="Titillium" w:hAnsi="Titillium" w:cs="Arial"/>
          <w:sz w:val="18"/>
          <w:szCs w:val="18"/>
        </w:rPr>
        <w:t xml:space="preserve"> i requisiti di cui al punto 5 </w:t>
      </w:r>
      <w:r w:rsidR="00607E91">
        <w:rPr>
          <w:rFonts w:ascii="Titillium" w:hAnsi="Titillium" w:cs="Arial"/>
          <w:sz w:val="18"/>
          <w:szCs w:val="18"/>
        </w:rPr>
        <w:t>sono</w:t>
      </w:r>
      <w:r w:rsidRPr="0062004E">
        <w:rPr>
          <w:rFonts w:ascii="Titillium" w:hAnsi="Titillium" w:cs="Arial"/>
          <w:sz w:val="18"/>
          <w:szCs w:val="18"/>
        </w:rPr>
        <w:t xml:space="preserve"> posseduti dal consorzio e dalle consor</w:t>
      </w:r>
      <w:r>
        <w:rPr>
          <w:rFonts w:ascii="Titillium" w:hAnsi="Titillium" w:cs="Arial"/>
          <w:sz w:val="18"/>
          <w:szCs w:val="18"/>
        </w:rPr>
        <w:t>ziate indicate quali esecutrici</w:t>
      </w:r>
      <w:r w:rsidRPr="0062004E">
        <w:rPr>
          <w:rFonts w:ascii="Titillium" w:hAnsi="Titillium" w:cs="Arial"/>
          <w:sz w:val="18"/>
          <w:szCs w:val="18"/>
        </w:rPr>
        <w:t>.</w:t>
      </w:r>
    </w:p>
    <w:p w14:paraId="622A9298" w14:textId="602EDC73" w:rsidR="0062004E" w:rsidRPr="008D614D" w:rsidRDefault="0062004E" w:rsidP="0062004E">
      <w:pPr>
        <w:spacing w:before="60"/>
        <w:rPr>
          <w:rFonts w:ascii="Titillium" w:hAnsi="Titillium" w:cs="Arial"/>
          <w:sz w:val="18"/>
          <w:szCs w:val="18"/>
        </w:rPr>
      </w:pPr>
      <w:r w:rsidRPr="0062004E">
        <w:rPr>
          <w:rFonts w:ascii="Titillium" w:hAnsi="Titillium" w:cs="Arial"/>
          <w:sz w:val="18"/>
          <w:szCs w:val="18"/>
        </w:rPr>
        <w:t xml:space="preserve">In caso di partecipazione di consorzi stabili di cui all’articolo 65, comma 2, </w:t>
      </w:r>
      <w:proofErr w:type="spellStart"/>
      <w:r w:rsidRPr="0062004E">
        <w:rPr>
          <w:rFonts w:ascii="Titillium" w:hAnsi="Titillium" w:cs="Arial"/>
          <w:sz w:val="18"/>
          <w:szCs w:val="18"/>
        </w:rPr>
        <w:t>lett</w:t>
      </w:r>
      <w:proofErr w:type="spellEnd"/>
      <w:r w:rsidRPr="0062004E">
        <w:rPr>
          <w:rFonts w:ascii="Titillium" w:hAnsi="Titillium" w:cs="Arial"/>
          <w:sz w:val="18"/>
          <w:szCs w:val="18"/>
        </w:rPr>
        <w:t>. d) del Codice</w:t>
      </w:r>
      <w:r w:rsidR="008A1ED8">
        <w:rPr>
          <w:rFonts w:ascii="Titillium" w:hAnsi="Titillium" w:cs="Arial"/>
          <w:sz w:val="18"/>
          <w:szCs w:val="18"/>
        </w:rPr>
        <w:t>,</w:t>
      </w:r>
      <w:r w:rsidRPr="0062004E">
        <w:rPr>
          <w:rFonts w:ascii="Titillium" w:hAnsi="Titillium" w:cs="Arial"/>
          <w:sz w:val="18"/>
          <w:szCs w:val="18"/>
        </w:rPr>
        <w:t xml:space="preserve"> i requisiti di cui al punto 5 </w:t>
      </w:r>
      <w:r w:rsidR="00607E91">
        <w:rPr>
          <w:rFonts w:ascii="Titillium" w:hAnsi="Titillium" w:cs="Arial"/>
          <w:sz w:val="18"/>
          <w:szCs w:val="18"/>
        </w:rPr>
        <w:t>sono</w:t>
      </w:r>
      <w:r w:rsidRPr="0062004E">
        <w:rPr>
          <w:rFonts w:ascii="Titillium" w:hAnsi="Titillium" w:cs="Arial"/>
          <w:sz w:val="18"/>
          <w:szCs w:val="18"/>
        </w:rPr>
        <w:t xml:space="preserve"> posseduti dal consorzio, dalle consorziate indicate quali esecutrici e dalle consorziate che prestano i requisiti.</w:t>
      </w:r>
    </w:p>
    <w:p w14:paraId="161EFD66" w14:textId="108D7109" w:rsidR="004176CD" w:rsidRDefault="004176CD" w:rsidP="00052FD6">
      <w:pPr>
        <w:spacing w:before="60"/>
        <w:rPr>
          <w:rFonts w:ascii="Titillium" w:hAnsi="Titillium" w:cs="Arial"/>
          <w:b/>
          <w:bCs/>
          <w:sz w:val="18"/>
          <w:szCs w:val="18"/>
        </w:rPr>
      </w:pPr>
    </w:p>
    <w:p w14:paraId="4595A915" w14:textId="77777777" w:rsidR="00503001" w:rsidRPr="004176CD" w:rsidRDefault="00503001" w:rsidP="00503001">
      <w:pPr>
        <w:spacing w:before="60"/>
        <w:rPr>
          <w:rFonts w:ascii="Titillium" w:hAnsi="Titillium" w:cs="Arial"/>
          <w:b/>
          <w:bCs/>
          <w:sz w:val="18"/>
          <w:szCs w:val="18"/>
        </w:rPr>
      </w:pPr>
      <w:r w:rsidRPr="004176CD">
        <w:rPr>
          <w:rFonts w:ascii="Titillium" w:hAnsi="Titillium" w:cs="Arial"/>
          <w:b/>
          <w:bCs/>
          <w:sz w:val="18"/>
          <w:szCs w:val="18"/>
        </w:rPr>
        <w:t xml:space="preserve">Self </w:t>
      </w:r>
      <w:proofErr w:type="spellStart"/>
      <w:r>
        <w:rPr>
          <w:rFonts w:ascii="Titillium" w:hAnsi="Titillium" w:cs="Arial"/>
          <w:b/>
          <w:bCs/>
          <w:sz w:val="18"/>
          <w:szCs w:val="18"/>
        </w:rPr>
        <w:t>cleaning</w:t>
      </w:r>
      <w:proofErr w:type="spellEnd"/>
    </w:p>
    <w:p w14:paraId="17D71505" w14:textId="3B540A19" w:rsidR="001A23C2" w:rsidRDefault="00503001" w:rsidP="00503001">
      <w:pPr>
        <w:spacing w:before="60"/>
        <w:rPr>
          <w:rFonts w:ascii="Titillium" w:hAnsi="Titillium" w:cs="Arial"/>
          <w:sz w:val="18"/>
          <w:szCs w:val="18"/>
        </w:rPr>
      </w:pPr>
      <w:r>
        <w:rPr>
          <w:rFonts w:ascii="Titillium" w:hAnsi="Titillium" w:cs="Arial"/>
          <w:sz w:val="18"/>
          <w:szCs w:val="18"/>
        </w:rPr>
        <w:lastRenderedPageBreak/>
        <w:t xml:space="preserve">Un operatore economico che si trovi in </w:t>
      </w:r>
      <w:r w:rsidRPr="00052FD6">
        <w:rPr>
          <w:rFonts w:ascii="Titillium" w:hAnsi="Titillium" w:cs="Arial"/>
          <w:sz w:val="18"/>
          <w:szCs w:val="18"/>
        </w:rPr>
        <w:t>una delle situazioni di cui agli articoli 94 e 95</w:t>
      </w:r>
      <w:r w:rsidR="008A1ED8">
        <w:rPr>
          <w:rFonts w:ascii="Titillium" w:hAnsi="Titillium" w:cs="Arial"/>
          <w:sz w:val="18"/>
          <w:szCs w:val="18"/>
        </w:rPr>
        <w:t xml:space="preserve"> del Codice</w:t>
      </w:r>
      <w:r w:rsidRPr="00052FD6">
        <w:rPr>
          <w:rFonts w:ascii="Titillium" w:hAnsi="Titillium" w:cs="Arial"/>
          <w:sz w:val="18"/>
          <w:szCs w:val="18"/>
        </w:rPr>
        <w:t xml:space="preserve">, ad eccezione delle irregolarità contributive e fiscali definitivamente e non definitivamente accertate, può fornire prova di aver adottato misure </w:t>
      </w:r>
      <w:r>
        <w:rPr>
          <w:rFonts w:ascii="Titillium" w:hAnsi="Titillium" w:cs="Arial"/>
          <w:sz w:val="18"/>
          <w:szCs w:val="18"/>
        </w:rPr>
        <w:t xml:space="preserve">(c.d. self </w:t>
      </w:r>
      <w:proofErr w:type="spellStart"/>
      <w:r>
        <w:rPr>
          <w:rFonts w:ascii="Titillium" w:hAnsi="Titillium" w:cs="Arial"/>
          <w:sz w:val="18"/>
          <w:szCs w:val="18"/>
        </w:rPr>
        <w:t>cleaning</w:t>
      </w:r>
      <w:proofErr w:type="spellEnd"/>
      <w:r>
        <w:rPr>
          <w:rFonts w:ascii="Titillium" w:hAnsi="Titillium" w:cs="Arial"/>
          <w:sz w:val="18"/>
          <w:szCs w:val="18"/>
        </w:rPr>
        <w:t xml:space="preserve">) </w:t>
      </w:r>
      <w:r w:rsidRPr="00052FD6">
        <w:rPr>
          <w:rFonts w:ascii="Titillium" w:hAnsi="Titillium" w:cs="Arial"/>
          <w:sz w:val="18"/>
          <w:szCs w:val="18"/>
        </w:rPr>
        <w:t xml:space="preserve">sufficienti a dimostrare la sua affidabilità. </w:t>
      </w:r>
    </w:p>
    <w:p w14:paraId="1426DA9B" w14:textId="77777777" w:rsidR="003A4D3D" w:rsidRDefault="00434E4B" w:rsidP="00503001">
      <w:pPr>
        <w:spacing w:before="60"/>
        <w:rPr>
          <w:rFonts w:ascii="Titillium" w:hAnsi="Titillium" w:cs="Arial"/>
          <w:sz w:val="18"/>
          <w:szCs w:val="18"/>
        </w:rPr>
      </w:pPr>
      <w:r>
        <w:rPr>
          <w:rFonts w:ascii="Titillium" w:hAnsi="Titillium" w:cs="Arial"/>
          <w:sz w:val="18"/>
          <w:szCs w:val="18"/>
        </w:rPr>
        <w:t>Se la causa di esclusione si è verificata prima della presentazione dell</w:t>
      </w:r>
      <w:r w:rsidR="00E03124">
        <w:rPr>
          <w:rFonts w:ascii="Titillium" w:hAnsi="Titillium" w:cs="Arial"/>
          <w:sz w:val="18"/>
          <w:szCs w:val="18"/>
        </w:rPr>
        <w:t>’offerta, l’operatore economico indica nel DGUE la causa ostativa e</w:t>
      </w:r>
      <w:r w:rsidR="003A4D3D">
        <w:rPr>
          <w:rFonts w:ascii="Titillium" w:hAnsi="Titillium" w:cs="Arial"/>
          <w:sz w:val="18"/>
          <w:szCs w:val="18"/>
        </w:rPr>
        <w:t>, alternativamente:</w:t>
      </w:r>
    </w:p>
    <w:p w14:paraId="42BFD19E" w14:textId="762434D8" w:rsidR="003A4D3D" w:rsidRDefault="003A4D3D" w:rsidP="00503001">
      <w:pPr>
        <w:spacing w:before="60"/>
        <w:rPr>
          <w:rFonts w:ascii="Titillium" w:hAnsi="Titillium" w:cs="Arial"/>
          <w:sz w:val="18"/>
          <w:szCs w:val="18"/>
        </w:rPr>
      </w:pPr>
      <w:r>
        <w:rPr>
          <w:rFonts w:ascii="Titillium" w:hAnsi="Titillium" w:cs="Arial"/>
          <w:sz w:val="18"/>
          <w:szCs w:val="18"/>
        </w:rPr>
        <w:t>- descrive le misure</w:t>
      </w:r>
      <w:r w:rsidR="00E03124">
        <w:rPr>
          <w:rFonts w:ascii="Titillium" w:hAnsi="Titillium" w:cs="Arial"/>
          <w:sz w:val="18"/>
          <w:szCs w:val="18"/>
        </w:rPr>
        <w:t xml:space="preserve"> adottate</w:t>
      </w:r>
      <w:r>
        <w:rPr>
          <w:rFonts w:ascii="Titillium" w:hAnsi="Titillium" w:cs="Arial"/>
          <w:sz w:val="18"/>
          <w:szCs w:val="18"/>
        </w:rPr>
        <w:t xml:space="preserve"> ai sensi dell’articolo 96, comma 6</w:t>
      </w:r>
      <w:r w:rsidR="008A1ED8">
        <w:rPr>
          <w:rFonts w:ascii="Titillium" w:hAnsi="Titillium" w:cs="Arial"/>
          <w:sz w:val="18"/>
          <w:szCs w:val="18"/>
        </w:rPr>
        <w:t xml:space="preserve"> del Codice</w:t>
      </w:r>
      <w:r>
        <w:rPr>
          <w:rFonts w:ascii="Titillium" w:hAnsi="Titillium" w:cs="Arial"/>
          <w:sz w:val="18"/>
          <w:szCs w:val="18"/>
        </w:rPr>
        <w:t>;</w:t>
      </w:r>
    </w:p>
    <w:p w14:paraId="6846961C" w14:textId="1AAFB782" w:rsidR="00FC4EFD" w:rsidRDefault="003A4D3D" w:rsidP="00503001">
      <w:pPr>
        <w:spacing w:before="60"/>
        <w:rPr>
          <w:rFonts w:ascii="Titillium" w:hAnsi="Titillium" w:cs="Arial"/>
          <w:sz w:val="18"/>
          <w:szCs w:val="18"/>
        </w:rPr>
      </w:pPr>
      <w:r>
        <w:rPr>
          <w:rFonts w:ascii="Titillium" w:hAnsi="Titillium" w:cs="Arial"/>
          <w:sz w:val="18"/>
          <w:szCs w:val="18"/>
        </w:rPr>
        <w:t>- motiva l’</w:t>
      </w:r>
      <w:r w:rsidR="00E03124">
        <w:rPr>
          <w:rFonts w:ascii="Titillium" w:hAnsi="Titillium" w:cs="Arial"/>
          <w:sz w:val="18"/>
          <w:szCs w:val="18"/>
        </w:rPr>
        <w:t xml:space="preserve">impossibilità ad adottare </w:t>
      </w:r>
      <w:r>
        <w:rPr>
          <w:rFonts w:ascii="Titillium" w:hAnsi="Titillium" w:cs="Arial"/>
          <w:sz w:val="18"/>
          <w:szCs w:val="18"/>
        </w:rPr>
        <w:t xml:space="preserve">dette misure e si impegna a </w:t>
      </w:r>
      <w:r w:rsidR="00E03124">
        <w:rPr>
          <w:rFonts w:ascii="Titillium" w:hAnsi="Titillium" w:cs="Arial"/>
          <w:sz w:val="18"/>
          <w:szCs w:val="18"/>
        </w:rPr>
        <w:t>provvede</w:t>
      </w:r>
      <w:r>
        <w:rPr>
          <w:rFonts w:ascii="Titillium" w:hAnsi="Titillium" w:cs="Arial"/>
          <w:sz w:val="18"/>
          <w:szCs w:val="18"/>
        </w:rPr>
        <w:t>re</w:t>
      </w:r>
      <w:r w:rsidR="00E03124">
        <w:rPr>
          <w:rFonts w:ascii="Titillium" w:hAnsi="Titillium" w:cs="Arial"/>
          <w:sz w:val="18"/>
          <w:szCs w:val="18"/>
        </w:rPr>
        <w:t xml:space="preserve"> successivamente</w:t>
      </w:r>
      <w:r>
        <w:rPr>
          <w:rFonts w:ascii="Titillium" w:hAnsi="Titillium" w:cs="Arial"/>
          <w:sz w:val="18"/>
          <w:szCs w:val="18"/>
        </w:rPr>
        <w:t xml:space="preserve">. L’adozione delle misure è comunicata </w:t>
      </w:r>
      <w:r w:rsidR="00E03124">
        <w:rPr>
          <w:rFonts w:ascii="Titillium" w:hAnsi="Titillium" w:cs="Arial"/>
          <w:sz w:val="18"/>
          <w:szCs w:val="18"/>
        </w:rPr>
        <w:t>alla stazione appaltante.</w:t>
      </w:r>
      <w:r w:rsidR="00FC4EFD">
        <w:rPr>
          <w:rFonts w:ascii="Titillium" w:hAnsi="Titillium" w:cs="Arial"/>
          <w:sz w:val="18"/>
          <w:szCs w:val="18"/>
        </w:rPr>
        <w:t xml:space="preserve"> </w:t>
      </w:r>
    </w:p>
    <w:p w14:paraId="13D238C1" w14:textId="5E7C8D09" w:rsidR="00E03124" w:rsidRDefault="00E03124" w:rsidP="00503001">
      <w:pPr>
        <w:spacing w:before="60"/>
        <w:rPr>
          <w:rFonts w:ascii="Titillium" w:hAnsi="Titillium" w:cs="Arial"/>
          <w:sz w:val="18"/>
          <w:szCs w:val="18"/>
        </w:rPr>
      </w:pPr>
      <w:r>
        <w:rPr>
          <w:rFonts w:ascii="Titillium" w:hAnsi="Titillium" w:cs="Arial"/>
          <w:sz w:val="18"/>
          <w:szCs w:val="18"/>
        </w:rPr>
        <w:t>Se la causa di esclusione si è verificata successivamente alla presentazione dell’offerta, l’operatore economico adotta le misure di cui al comma 6 dell’articolo 96</w:t>
      </w:r>
      <w:r w:rsidR="008A1ED8">
        <w:rPr>
          <w:rFonts w:ascii="Titillium" w:hAnsi="Titillium" w:cs="Arial"/>
          <w:sz w:val="18"/>
          <w:szCs w:val="18"/>
        </w:rPr>
        <w:t xml:space="preserve"> del Codice</w:t>
      </w:r>
      <w:r>
        <w:rPr>
          <w:rFonts w:ascii="Titillium" w:hAnsi="Titillium" w:cs="Arial"/>
          <w:sz w:val="18"/>
          <w:szCs w:val="18"/>
        </w:rPr>
        <w:t xml:space="preserve"> dandone comunicazione alla stazione appaltante.</w:t>
      </w:r>
    </w:p>
    <w:p w14:paraId="0460202E" w14:textId="77777777" w:rsidR="00503001" w:rsidRPr="00052FD6" w:rsidRDefault="00503001" w:rsidP="00503001">
      <w:pPr>
        <w:spacing w:before="60"/>
        <w:rPr>
          <w:rFonts w:ascii="Titillium" w:hAnsi="Titillium" w:cs="Arial"/>
          <w:sz w:val="18"/>
          <w:szCs w:val="18"/>
        </w:rPr>
      </w:pPr>
      <w:r w:rsidRPr="00052FD6">
        <w:rPr>
          <w:rFonts w:ascii="Titillium" w:hAnsi="Titillium" w:cs="Arial"/>
          <w:sz w:val="18"/>
          <w:szCs w:val="18"/>
        </w:rPr>
        <w:t>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14:paraId="76BF2B39" w14:textId="6D91A726" w:rsidR="00503001" w:rsidRPr="00052FD6" w:rsidRDefault="00503001" w:rsidP="00503001">
      <w:pPr>
        <w:spacing w:before="60"/>
        <w:rPr>
          <w:rFonts w:ascii="Titillium" w:hAnsi="Titillium" w:cs="Arial"/>
          <w:sz w:val="18"/>
          <w:szCs w:val="18"/>
        </w:rPr>
      </w:pPr>
      <w:r w:rsidRPr="00052FD6">
        <w:rPr>
          <w:rFonts w:ascii="Titillium" w:hAnsi="Titillium" w:cs="Arial"/>
          <w:sz w:val="18"/>
          <w:szCs w:val="18"/>
        </w:rPr>
        <w:t>Se le misure adottate sono ritenute sufficienti e tempestive, l’operatore economico non è escluso.</w:t>
      </w:r>
      <w:r w:rsidR="00527049">
        <w:rPr>
          <w:rFonts w:ascii="Titillium" w:hAnsi="Titillium" w:cs="Arial"/>
          <w:sz w:val="18"/>
          <w:szCs w:val="18"/>
        </w:rPr>
        <w:t xml:space="preserve"> </w:t>
      </w:r>
      <w:r w:rsidRPr="00052FD6">
        <w:rPr>
          <w:rFonts w:ascii="Titillium" w:hAnsi="Titillium" w:cs="Arial"/>
          <w:sz w:val="18"/>
          <w:szCs w:val="18"/>
        </w:rPr>
        <w:t xml:space="preserve">Se dette misure sono ritenute insufficienti e intempestive, la stazione appaltante ne comunica le ragioni all’operatore economico. </w:t>
      </w:r>
    </w:p>
    <w:p w14:paraId="1EEA117C" w14:textId="25A8BE3C" w:rsidR="00503001" w:rsidRDefault="00503001" w:rsidP="00503001">
      <w:pPr>
        <w:spacing w:before="60"/>
        <w:rPr>
          <w:rFonts w:ascii="Titillium" w:hAnsi="Titillium" w:cs="Arial"/>
          <w:sz w:val="18"/>
          <w:szCs w:val="18"/>
        </w:rPr>
      </w:pPr>
      <w:r w:rsidRPr="00052FD6">
        <w:rPr>
          <w:rFonts w:ascii="Titillium" w:hAnsi="Titillium" w:cs="Arial"/>
          <w:sz w:val="18"/>
          <w:szCs w:val="18"/>
        </w:rPr>
        <w:t>Non può avvalersi del self-</w:t>
      </w:r>
      <w:proofErr w:type="spellStart"/>
      <w:r w:rsidRPr="00052FD6">
        <w:rPr>
          <w:rFonts w:ascii="Titillium" w:hAnsi="Titillium" w:cs="Arial"/>
          <w:sz w:val="18"/>
          <w:szCs w:val="18"/>
        </w:rPr>
        <w:t>cleaning</w:t>
      </w:r>
      <w:proofErr w:type="spellEnd"/>
      <w:r w:rsidRPr="00052FD6">
        <w:rPr>
          <w:rFonts w:ascii="Titillium" w:hAnsi="Titillium" w:cs="Arial"/>
          <w:sz w:val="18"/>
          <w:szCs w:val="18"/>
        </w:rPr>
        <w:t xml:space="preserve"> l’operatore economico escluso con sentenza definitiva dalla partecipazione alle procedure di affidamento o di concessione, nel corso del periodo di esclusione derivante da tale sentenza.</w:t>
      </w:r>
    </w:p>
    <w:p w14:paraId="5E3C3F98" w14:textId="5CC22566" w:rsidR="0009290B" w:rsidRDefault="0009290B" w:rsidP="0009290B">
      <w:pPr>
        <w:spacing w:before="60" w:after="60"/>
        <w:rPr>
          <w:rFonts w:ascii="Titillium" w:hAnsi="Titillium"/>
          <w:sz w:val="18"/>
          <w:szCs w:val="24"/>
        </w:rPr>
      </w:pPr>
      <w:r>
        <w:rPr>
          <w:rFonts w:ascii="Titillium" w:hAnsi="Titillium"/>
          <w:sz w:val="18"/>
          <w:szCs w:val="24"/>
        </w:rPr>
        <w:t>Nel caso in cui</w:t>
      </w:r>
      <w:r w:rsidRPr="00FA010F">
        <w:rPr>
          <w:rFonts w:ascii="Titillium" w:hAnsi="Titillium"/>
          <w:sz w:val="18"/>
          <w:szCs w:val="24"/>
        </w:rPr>
        <w:t xml:space="preserve"> un </w:t>
      </w:r>
      <w:r>
        <w:rPr>
          <w:rFonts w:ascii="Titillium" w:hAnsi="Titillium"/>
          <w:sz w:val="18"/>
          <w:szCs w:val="24"/>
        </w:rPr>
        <w:t>raggruppamento</w:t>
      </w:r>
      <w:r w:rsidR="00B600D2">
        <w:rPr>
          <w:rFonts w:ascii="Titillium" w:hAnsi="Titillium"/>
          <w:sz w:val="18"/>
          <w:szCs w:val="24"/>
        </w:rPr>
        <w:t xml:space="preserve">/consorzio </w:t>
      </w:r>
      <w:r w:rsidR="001051E3">
        <w:rPr>
          <w:rFonts w:ascii="Titillium" w:hAnsi="Titillium"/>
          <w:sz w:val="18"/>
          <w:szCs w:val="24"/>
        </w:rPr>
        <w:t>abbia estromesso o sostituito un partecipante</w:t>
      </w:r>
      <w:r w:rsidR="00B600D2">
        <w:rPr>
          <w:rFonts w:ascii="Titillium" w:hAnsi="Titillium"/>
          <w:sz w:val="18"/>
          <w:szCs w:val="24"/>
        </w:rPr>
        <w:t>/esecutore</w:t>
      </w:r>
      <w:r w:rsidRPr="00FA010F">
        <w:rPr>
          <w:rFonts w:ascii="Titillium" w:hAnsi="Titillium"/>
          <w:sz w:val="18"/>
          <w:szCs w:val="24"/>
        </w:rPr>
        <w:t xml:space="preserve"> interessato da una clausola di esclusione di cui agli articoli 94 e 95 del </w:t>
      </w:r>
      <w:r w:rsidR="00B9457F">
        <w:rPr>
          <w:rFonts w:ascii="Titillium" w:hAnsi="Titillium"/>
          <w:sz w:val="18"/>
          <w:szCs w:val="24"/>
        </w:rPr>
        <w:t>C</w:t>
      </w:r>
      <w:r w:rsidRPr="00FA010F">
        <w:rPr>
          <w:rFonts w:ascii="Titillium" w:hAnsi="Titillium"/>
          <w:sz w:val="18"/>
          <w:szCs w:val="24"/>
        </w:rPr>
        <w:t>odice</w:t>
      </w:r>
      <w:r>
        <w:rPr>
          <w:rFonts w:ascii="Titillium" w:hAnsi="Titillium"/>
          <w:sz w:val="18"/>
          <w:szCs w:val="24"/>
        </w:rPr>
        <w:t xml:space="preserve">, </w:t>
      </w:r>
      <w:r w:rsidR="001051E3">
        <w:rPr>
          <w:rFonts w:ascii="Titillium" w:hAnsi="Titillium"/>
          <w:sz w:val="18"/>
          <w:szCs w:val="24"/>
        </w:rPr>
        <w:t>si</w:t>
      </w:r>
      <w:r>
        <w:rPr>
          <w:rFonts w:ascii="Titillium" w:hAnsi="Titillium"/>
          <w:sz w:val="18"/>
          <w:szCs w:val="24"/>
        </w:rPr>
        <w:t xml:space="preserve"> valuta</w:t>
      </w:r>
      <w:r w:rsidR="001051E3">
        <w:rPr>
          <w:rFonts w:ascii="Titillium" w:hAnsi="Titillium"/>
          <w:sz w:val="18"/>
          <w:szCs w:val="24"/>
        </w:rPr>
        <w:t>no</w:t>
      </w:r>
      <w:r>
        <w:rPr>
          <w:rFonts w:ascii="Titillium" w:hAnsi="Titillium"/>
          <w:sz w:val="18"/>
          <w:szCs w:val="24"/>
        </w:rPr>
        <w:t xml:space="preserve"> le misure adottate ai sensi dell’art</w:t>
      </w:r>
      <w:r w:rsidR="001051E3">
        <w:rPr>
          <w:rFonts w:ascii="Titillium" w:hAnsi="Titillium"/>
          <w:sz w:val="18"/>
          <w:szCs w:val="24"/>
        </w:rPr>
        <w:t>icolo</w:t>
      </w:r>
      <w:r>
        <w:rPr>
          <w:rFonts w:ascii="Titillium" w:hAnsi="Titillium"/>
          <w:sz w:val="18"/>
          <w:szCs w:val="24"/>
        </w:rPr>
        <w:t xml:space="preserve"> 97 del Codice al fine di decidere sull’esclusione.</w:t>
      </w:r>
      <w:r w:rsidRPr="00FA010F">
        <w:rPr>
          <w:rFonts w:ascii="Titillium" w:hAnsi="Titillium"/>
          <w:sz w:val="18"/>
          <w:szCs w:val="24"/>
        </w:rPr>
        <w:t xml:space="preserve"> </w:t>
      </w:r>
    </w:p>
    <w:p w14:paraId="5596BD7E" w14:textId="77777777" w:rsidR="0009290B" w:rsidRDefault="0009290B" w:rsidP="00503001">
      <w:pPr>
        <w:spacing w:before="60"/>
        <w:rPr>
          <w:rFonts w:ascii="Titillium" w:hAnsi="Titillium" w:cs="Arial"/>
          <w:sz w:val="18"/>
          <w:szCs w:val="18"/>
        </w:rPr>
      </w:pPr>
    </w:p>
    <w:p w14:paraId="1D781298" w14:textId="3F2127B2" w:rsidR="00503001" w:rsidRDefault="00503001" w:rsidP="00052FD6">
      <w:pPr>
        <w:spacing w:before="60"/>
        <w:rPr>
          <w:rFonts w:ascii="Titillium" w:hAnsi="Titillium" w:cs="Arial"/>
          <w:b/>
          <w:bCs/>
          <w:sz w:val="18"/>
          <w:szCs w:val="18"/>
        </w:rPr>
      </w:pPr>
      <w:r>
        <w:rPr>
          <w:rFonts w:ascii="Titillium" w:hAnsi="Titillium" w:cs="Arial"/>
          <w:b/>
          <w:bCs/>
          <w:sz w:val="18"/>
          <w:szCs w:val="18"/>
        </w:rPr>
        <w:t>Altre cause di esclusione</w:t>
      </w:r>
    </w:p>
    <w:p w14:paraId="22CA4BC5" w14:textId="5933D131" w:rsidR="00CA40EB" w:rsidRDefault="00CA40EB" w:rsidP="00E64307">
      <w:pPr>
        <w:spacing w:before="120" w:after="60"/>
      </w:pPr>
      <w:r w:rsidRPr="00E64307">
        <w:rPr>
          <w:rFonts w:ascii="Titillium" w:hAnsi="Titillium" w:cs="Arial"/>
          <w:sz w:val="18"/>
          <w:szCs w:val="18"/>
        </w:rPr>
        <w:t xml:space="preserve">Sono </w:t>
      </w:r>
      <w:r w:rsidRPr="005C15ED">
        <w:rPr>
          <w:rFonts w:ascii="Titillium" w:hAnsi="Titillium" w:cs="Arial"/>
          <w:sz w:val="18"/>
          <w:szCs w:val="18"/>
        </w:rPr>
        <w:t>esclusi</w:t>
      </w:r>
      <w:r w:rsidRPr="00E64307">
        <w:rPr>
          <w:rFonts w:ascii="Titillium" w:hAnsi="Titillium" w:cs="Arial"/>
          <w:sz w:val="18"/>
          <w:szCs w:val="18"/>
        </w:rPr>
        <w:t xml:space="preserve"> gli</w:t>
      </w:r>
      <w:r w:rsidRPr="00E64307">
        <w:rPr>
          <w:rFonts w:ascii="Titillium" w:hAnsi="Titillium" w:cs="Arial"/>
          <w:b/>
          <w:sz w:val="18"/>
          <w:szCs w:val="18"/>
        </w:rPr>
        <w:t xml:space="preserve"> </w:t>
      </w:r>
      <w:r w:rsidRPr="00E64307">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45C99437" w14:textId="1CBB9B67" w:rsidR="00CA40EB" w:rsidRDefault="00CA40EB" w:rsidP="00E64307">
      <w:pPr>
        <w:spacing w:before="120" w:after="60"/>
      </w:pPr>
      <w:r w:rsidRPr="00E64307">
        <w:rPr>
          <w:rFonts w:ascii="Titillium" w:hAnsi="Titillium" w:cs="Calibri"/>
          <w:b/>
          <w:i/>
          <w:sz w:val="18"/>
          <w:szCs w:val="18"/>
        </w:rPr>
        <w:t>[</w:t>
      </w:r>
      <w:r w:rsidR="007C5D7D">
        <w:rPr>
          <w:rFonts w:ascii="Titillium" w:hAnsi="Titillium" w:cs="Calibri"/>
          <w:b/>
          <w:i/>
          <w:sz w:val="18"/>
          <w:szCs w:val="18"/>
        </w:rPr>
        <w:t>I</w:t>
      </w:r>
      <w:r w:rsidRPr="00E64307">
        <w:rPr>
          <w:rFonts w:ascii="Titillium" w:hAnsi="Titillium" w:cs="Calibri"/>
          <w:b/>
          <w:i/>
          <w:sz w:val="18"/>
          <w:szCs w:val="18"/>
        </w:rPr>
        <w:t>n caso di</w:t>
      </w:r>
      <w:r w:rsidRPr="00E64307">
        <w:rPr>
          <w:rFonts w:ascii="Titillium" w:hAnsi="Titillium" w:cs="Calibri"/>
          <w:sz w:val="18"/>
          <w:szCs w:val="18"/>
        </w:rPr>
        <w:t xml:space="preserve"> </w:t>
      </w:r>
      <w:r w:rsidRPr="00E64307">
        <w:rPr>
          <w:rFonts w:ascii="Titillium" w:hAnsi="Titillium" w:cs="Calibri"/>
          <w:b/>
          <w:i/>
          <w:sz w:val="18"/>
          <w:szCs w:val="18"/>
        </w:rPr>
        <w:t xml:space="preserve">servizi o forniture rientranti in una delle attività a maggior rischio di infiltrazione mafiosa di cui al comma 53, dell’articolo 1, della legge 6 novembre 2012, n. 190, inserire la seguente prescrizione] </w:t>
      </w:r>
      <w:r w:rsidRPr="00E64307">
        <w:rPr>
          <w:rFonts w:ascii="Titillium" w:hAnsi="Titillium" w:cs="Arial"/>
          <w:sz w:val="18"/>
          <w:szCs w:val="18"/>
        </w:rPr>
        <w:t xml:space="preserve">Gli </w:t>
      </w:r>
      <w:r w:rsidRPr="00E64307">
        <w:rPr>
          <w:rFonts w:ascii="Titillium" w:hAnsi="Titillium" w:cs="Calibri"/>
          <w:sz w:val="18"/>
          <w:szCs w:val="18"/>
        </w:rPr>
        <w:t xml:space="preserve">operatori economici </w:t>
      </w:r>
      <w:r w:rsidRPr="00E64307">
        <w:rPr>
          <w:rFonts w:ascii="Titillium" w:hAnsi="Titillium" w:cs="Arial"/>
          <w:sz w:val="18"/>
          <w:szCs w:val="18"/>
        </w:rPr>
        <w:t>devono possedere,</w:t>
      </w:r>
      <w:r w:rsidRPr="00E64307">
        <w:rPr>
          <w:rFonts w:ascii="Titillium" w:hAnsi="Titillium" w:cs="Calibri"/>
          <w:b/>
          <w:sz w:val="18"/>
          <w:szCs w:val="18"/>
        </w:rPr>
        <w:t xml:space="preserve"> </w:t>
      </w:r>
      <w:r w:rsidRPr="00E64307">
        <w:rPr>
          <w:rFonts w:ascii="Titillium" w:hAnsi="Titillium" w:cs="Calibri"/>
          <w:sz w:val="18"/>
          <w:szCs w:val="18"/>
        </w:rPr>
        <w:t>pena l’esclusione dalla gara,</w:t>
      </w:r>
      <w:r w:rsidRPr="00E64307">
        <w:rPr>
          <w:rFonts w:ascii="Titillium" w:hAnsi="Titillium" w:cs="Arial"/>
          <w:sz w:val="18"/>
          <w:szCs w:val="18"/>
        </w:rPr>
        <w:t xml:space="preserve"> l’iscrizione nell’elenco dei fornitori, prestatori di servizi ed esecutori di lavori non soggetti a tentativo di infiltrazione mafiosa (cosiddetta </w:t>
      </w:r>
      <w:proofErr w:type="spellStart"/>
      <w:r w:rsidRPr="00E64307">
        <w:rPr>
          <w:rFonts w:ascii="Titillium" w:hAnsi="Titillium" w:cs="Arial"/>
          <w:i/>
          <w:sz w:val="18"/>
          <w:szCs w:val="18"/>
        </w:rPr>
        <w:t>white</w:t>
      </w:r>
      <w:proofErr w:type="spellEnd"/>
      <w:r w:rsidRPr="00E64307">
        <w:rPr>
          <w:rFonts w:ascii="Titillium" w:hAnsi="Titillium" w:cs="Arial"/>
          <w:i/>
          <w:sz w:val="18"/>
          <w:szCs w:val="18"/>
        </w:rPr>
        <w:t xml:space="preserve"> list</w:t>
      </w:r>
      <w:r w:rsidRPr="00E64307">
        <w:rPr>
          <w:rFonts w:ascii="Titillium" w:hAnsi="Titillium" w:cs="Arial"/>
          <w:sz w:val="18"/>
          <w:szCs w:val="18"/>
        </w:rPr>
        <w:t>) istituito presso la Prefettura della provincia in cui l’operatore economico ha la propria sede oppure devono aver presentato domanda di iscrizione al predetto elenco.</w:t>
      </w:r>
    </w:p>
    <w:p w14:paraId="6147DF0A" w14:textId="79CF54A0" w:rsidR="00CA40EB" w:rsidRPr="00E64307" w:rsidRDefault="00CA40EB" w:rsidP="00E64307">
      <w:pPr>
        <w:spacing w:before="120" w:after="60"/>
        <w:rPr>
          <w:rFonts w:ascii="Titillium" w:hAnsi="Titillium" w:cs="Calibri"/>
          <w:sz w:val="18"/>
          <w:szCs w:val="18"/>
        </w:rPr>
      </w:pPr>
      <w:r w:rsidRPr="00E64307">
        <w:rPr>
          <w:rFonts w:ascii="Titillium" w:hAnsi="Titillium" w:cs="Arial"/>
          <w:b/>
          <w:i/>
          <w:sz w:val="18"/>
          <w:szCs w:val="18"/>
        </w:rPr>
        <w:t>[</w:t>
      </w:r>
      <w:r w:rsidR="007C5D7D">
        <w:rPr>
          <w:rFonts w:ascii="Titillium" w:hAnsi="Titillium" w:cs="Arial"/>
          <w:b/>
          <w:bCs/>
          <w:i/>
          <w:sz w:val="18"/>
          <w:szCs w:val="18"/>
        </w:rPr>
        <w:t>In caso di</w:t>
      </w:r>
      <w:r w:rsidRPr="00E64307">
        <w:rPr>
          <w:rFonts w:ascii="Titillium" w:hAnsi="Titillium" w:cs="Arial"/>
          <w:b/>
          <w:bCs/>
          <w:i/>
          <w:sz w:val="18"/>
          <w:szCs w:val="18"/>
        </w:rPr>
        <w:t xml:space="preserve"> protocollo di legalità/patto di integrità</w:t>
      </w:r>
      <w:r w:rsidRPr="00E64307">
        <w:rPr>
          <w:rFonts w:ascii="Titillium" w:hAnsi="Titillium" w:cs="Arial"/>
          <w:b/>
          <w:i/>
          <w:sz w:val="18"/>
          <w:szCs w:val="18"/>
        </w:rPr>
        <w:t>]</w:t>
      </w:r>
      <w:r w:rsidRPr="00E64307">
        <w:rPr>
          <w:rFonts w:ascii="Titillium" w:hAnsi="Titillium" w:cs="Arial"/>
          <w:sz w:val="18"/>
          <w:szCs w:val="18"/>
        </w:rPr>
        <w:t xml:space="preserve"> La mancata accettazione delle clausole contenute nel protocollo di legalità/patto di integrità e il mancato rispetto dello stesso costituiscono causa di </w:t>
      </w:r>
      <w:r w:rsidRPr="00E64307">
        <w:rPr>
          <w:rFonts w:ascii="Titillium" w:hAnsi="Titillium" w:cs="Arial"/>
          <w:bCs/>
          <w:sz w:val="18"/>
          <w:szCs w:val="18"/>
        </w:rPr>
        <w:t xml:space="preserve">esclusione </w:t>
      </w:r>
      <w:r w:rsidRPr="00E64307">
        <w:rPr>
          <w:rFonts w:ascii="Titillium" w:hAnsi="Titillium" w:cs="Arial"/>
          <w:sz w:val="18"/>
          <w:szCs w:val="18"/>
        </w:rPr>
        <w:t>dalla gara, ai sensi dell’articolo 83</w:t>
      </w:r>
      <w:r w:rsidR="008A1ED8">
        <w:rPr>
          <w:rFonts w:ascii="Titillium" w:hAnsi="Titillium" w:cs="Arial"/>
          <w:sz w:val="18"/>
          <w:szCs w:val="18"/>
        </w:rPr>
        <w:t>-</w:t>
      </w:r>
      <w:r w:rsidRPr="00E64307">
        <w:rPr>
          <w:rFonts w:ascii="Titillium" w:hAnsi="Titillium" w:cs="Arial"/>
          <w:sz w:val="18"/>
          <w:szCs w:val="18"/>
        </w:rPr>
        <w:t>bis del decreto legislativo n. 159/2011.</w:t>
      </w:r>
      <w:r w:rsidRPr="00E64307">
        <w:rPr>
          <w:rFonts w:ascii="Titillium" w:hAnsi="Titillium" w:cs="Calibri"/>
          <w:sz w:val="18"/>
          <w:szCs w:val="18"/>
        </w:rPr>
        <w:t xml:space="preserve"> </w:t>
      </w:r>
    </w:p>
    <w:p w14:paraId="66201855" w14:textId="0334D3AF" w:rsidR="00780D72" w:rsidRDefault="00CA40EB" w:rsidP="002B16FD">
      <w:pPr>
        <w:spacing w:after="120"/>
        <w:rPr>
          <w:rFonts w:ascii="Titillium" w:hAnsi="Titillium" w:cs="Arial"/>
          <w:b/>
          <w:bCs/>
          <w:i/>
          <w:sz w:val="18"/>
          <w:szCs w:val="18"/>
        </w:rPr>
      </w:pPr>
      <w:r w:rsidRPr="00243A6C">
        <w:rPr>
          <w:rFonts w:ascii="Titillium" w:hAnsi="Titillium" w:cs="Arial"/>
          <w:b/>
          <w:i/>
          <w:sz w:val="18"/>
          <w:szCs w:val="18"/>
        </w:rPr>
        <w:t>[</w:t>
      </w:r>
      <w:r w:rsidR="007C5D7D">
        <w:rPr>
          <w:rFonts w:ascii="Titillium" w:hAnsi="Titillium" w:cs="Arial"/>
          <w:b/>
          <w:bCs/>
          <w:i/>
          <w:sz w:val="18"/>
          <w:szCs w:val="18"/>
        </w:rPr>
        <w:t>I</w:t>
      </w:r>
      <w:r w:rsidRPr="00243A6C">
        <w:rPr>
          <w:rFonts w:ascii="Titillium" w:hAnsi="Titillium" w:cs="Arial"/>
          <w:b/>
          <w:bCs/>
          <w:i/>
          <w:sz w:val="18"/>
          <w:szCs w:val="18"/>
        </w:rPr>
        <w:t xml:space="preserve">n caso di procedure </w:t>
      </w:r>
      <w:r w:rsidR="00AC56CE">
        <w:rPr>
          <w:rFonts w:ascii="Titillium" w:hAnsi="Titillium" w:cs="Arial"/>
          <w:b/>
          <w:bCs/>
          <w:i/>
          <w:sz w:val="18"/>
          <w:szCs w:val="18"/>
        </w:rPr>
        <w:t>riservate ai sensi dell’articolo 61 del codice e</w:t>
      </w:r>
      <w:r w:rsidR="00F40093">
        <w:rPr>
          <w:rFonts w:ascii="Titillium" w:hAnsi="Titillium" w:cs="Arial"/>
          <w:b/>
          <w:bCs/>
          <w:i/>
          <w:sz w:val="18"/>
          <w:szCs w:val="18"/>
        </w:rPr>
        <w:t>/o</w:t>
      </w:r>
      <w:r w:rsidR="00AC56CE">
        <w:rPr>
          <w:rFonts w:ascii="Titillium" w:hAnsi="Titillium" w:cs="Arial"/>
          <w:b/>
          <w:bCs/>
          <w:i/>
          <w:sz w:val="18"/>
          <w:szCs w:val="18"/>
        </w:rPr>
        <w:t xml:space="preserve"> di procedure </w:t>
      </w:r>
      <w:r w:rsidRPr="00243A6C">
        <w:rPr>
          <w:rFonts w:ascii="Titillium" w:hAnsi="Titillium" w:cs="Arial"/>
          <w:b/>
          <w:bCs/>
          <w:i/>
          <w:sz w:val="18"/>
          <w:szCs w:val="18"/>
        </w:rPr>
        <w:t xml:space="preserve">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 xml:space="preserve">] </w:t>
      </w:r>
      <w:r w:rsidR="002B16FD" w:rsidRPr="00243A6C">
        <w:rPr>
          <w:rFonts w:ascii="Titillium" w:hAnsi="Titillium" w:cs="Arial"/>
          <w:b/>
          <w:bCs/>
          <w:i/>
          <w:sz w:val="18"/>
          <w:szCs w:val="18"/>
        </w:rPr>
        <w:t xml:space="preserve"> </w:t>
      </w:r>
    </w:p>
    <w:p w14:paraId="611BF461" w14:textId="75E1E29A" w:rsidR="002B16FD" w:rsidRDefault="00CA40EB" w:rsidP="002B16FD">
      <w:pPr>
        <w:spacing w:after="120"/>
        <w:rPr>
          <w:rFonts w:ascii="Titillium" w:hAnsi="Titillium" w:cs="Arial"/>
          <w:b/>
          <w:bCs/>
          <w:i/>
          <w:sz w:val="18"/>
          <w:szCs w:val="18"/>
        </w:rPr>
      </w:pPr>
      <w:r w:rsidRPr="00243A6C">
        <w:rPr>
          <w:rFonts w:ascii="Titillium" w:hAnsi="Titillium" w:cs="Arial"/>
          <w:sz w:val="18"/>
          <w:szCs w:val="18"/>
        </w:rPr>
        <w:t>Sono esclusi dalla</w:t>
      </w:r>
      <w:r w:rsidR="009A683A" w:rsidRPr="00243A6C">
        <w:rPr>
          <w:rFonts w:ascii="Titillium" w:hAnsi="Titillium" w:cs="Arial"/>
          <w:sz w:val="18"/>
          <w:szCs w:val="18"/>
        </w:rPr>
        <w:t xml:space="preserve"> procedura di</w:t>
      </w:r>
      <w:r w:rsidRPr="00243A6C">
        <w:rPr>
          <w:rFonts w:ascii="Titillium" w:hAnsi="Titillium" w:cs="Arial"/>
          <w:sz w:val="18"/>
          <w:szCs w:val="18"/>
        </w:rPr>
        <w:t xml:space="preserve"> gara </w:t>
      </w:r>
      <w:r w:rsidR="002275B9" w:rsidRPr="00243A6C">
        <w:rPr>
          <w:rFonts w:ascii="Titillium" w:hAnsi="Titillium" w:cs="Arial"/>
          <w:sz w:val="18"/>
          <w:szCs w:val="18"/>
        </w:rPr>
        <w:t xml:space="preserve"> </w:t>
      </w:r>
      <w:r w:rsidRPr="00243A6C">
        <w:rPr>
          <w:rFonts w:ascii="Titillium" w:hAnsi="Titillium" w:cs="Arial"/>
          <w:sz w:val="18"/>
          <w:szCs w:val="18"/>
        </w:rPr>
        <w:t>gli operatori economici</w:t>
      </w:r>
      <w:r w:rsidRPr="00243A6C">
        <w:rPr>
          <w:rFonts w:ascii="Titillium" w:hAnsi="Titillium" w:cs="Calibri"/>
          <w:sz w:val="18"/>
          <w:szCs w:val="18"/>
        </w:rPr>
        <w:t xml:space="preserve"> che occupano oltre cinquanta dipendenti, </w:t>
      </w:r>
      <w:r w:rsidR="00F86361">
        <w:rPr>
          <w:rFonts w:ascii="Titillium" w:hAnsi="Titillium" w:cs="Calibri"/>
          <w:sz w:val="18"/>
          <w:szCs w:val="18"/>
        </w:rPr>
        <w:t xml:space="preserve">che non consegnano, </w:t>
      </w:r>
      <w:r w:rsidRPr="00243A6C">
        <w:rPr>
          <w:rFonts w:ascii="Titillium" w:hAnsi="Titillium" w:cs="Calibri"/>
          <w:sz w:val="18"/>
          <w:szCs w:val="18"/>
        </w:rPr>
        <w:t>al momento della presentazione dell'offerta</w:t>
      </w:r>
      <w:r w:rsidR="006801AA" w:rsidRPr="00243A6C">
        <w:rPr>
          <w:rFonts w:ascii="Titillium" w:hAnsi="Titillium" w:cs="Calibri"/>
          <w:sz w:val="18"/>
          <w:szCs w:val="18"/>
        </w:rPr>
        <w:t>,</w:t>
      </w:r>
      <w:r w:rsidRPr="00243A6C">
        <w:rPr>
          <w:rFonts w:ascii="Titillium" w:hAnsi="Titillium" w:cs="Calibri"/>
          <w:sz w:val="18"/>
          <w:szCs w:val="18"/>
        </w:rPr>
        <w:t xml:space="preserve"> copia dell'ultimo rapporto periodico sulla situazione del personale </w:t>
      </w:r>
      <w:r w:rsidR="002275B9" w:rsidRPr="00243A6C">
        <w:rPr>
          <w:rFonts w:ascii="Titillium" w:hAnsi="Titillium" w:cs="Courier New"/>
          <w:sz w:val="18"/>
          <w:szCs w:val="18"/>
        </w:rPr>
        <w:t xml:space="preserve">maschile e femminile </w:t>
      </w:r>
      <w:r w:rsidR="009A683A" w:rsidRPr="00243A6C">
        <w:rPr>
          <w:rFonts w:ascii="Titillium" w:hAnsi="Titillium" w:cs="Courier New"/>
          <w:sz w:val="18"/>
          <w:szCs w:val="18"/>
        </w:rPr>
        <w:t xml:space="preserve">redatto </w:t>
      </w:r>
      <w:r w:rsidR="002275B9" w:rsidRPr="00243A6C">
        <w:rPr>
          <w:rFonts w:ascii="Titillium" w:hAnsi="Titillium" w:cs="Courier New"/>
          <w:sz w:val="18"/>
          <w:szCs w:val="18"/>
        </w:rPr>
        <w:t xml:space="preserve">ai sensi dell’articolo </w:t>
      </w:r>
      <w:r w:rsidRPr="00243A6C">
        <w:rPr>
          <w:rFonts w:ascii="Titillium" w:hAnsi="Titillium" w:cs="Courier New"/>
          <w:sz w:val="18"/>
          <w:szCs w:val="18"/>
        </w:rPr>
        <w:t>46</w:t>
      </w:r>
      <w:r w:rsidR="002275B9" w:rsidRPr="00243A6C">
        <w:rPr>
          <w:rFonts w:ascii="Titillium" w:hAnsi="Titillium" w:cs="Courier New"/>
          <w:sz w:val="18"/>
          <w:szCs w:val="18"/>
        </w:rPr>
        <w:t>,</w:t>
      </w:r>
      <w:r w:rsidRPr="00243A6C">
        <w:rPr>
          <w:rFonts w:ascii="Titillium" w:hAnsi="Titillium" w:cs="Courier New"/>
          <w:sz w:val="18"/>
          <w:szCs w:val="18"/>
        </w:rPr>
        <w:t xml:space="preserve"> d</w:t>
      </w:r>
      <w:r w:rsidR="002275B9" w:rsidRPr="00243A6C">
        <w:rPr>
          <w:rFonts w:ascii="Titillium" w:hAnsi="Titillium" w:cs="Courier New"/>
          <w:sz w:val="18"/>
          <w:szCs w:val="18"/>
        </w:rPr>
        <w:t xml:space="preserve">ecreto </w:t>
      </w:r>
      <w:r w:rsidRPr="00243A6C">
        <w:rPr>
          <w:rFonts w:ascii="Titillium" w:hAnsi="Titillium" w:cs="Courier New"/>
          <w:sz w:val="18"/>
          <w:szCs w:val="18"/>
        </w:rPr>
        <w:t>l</w:t>
      </w:r>
      <w:r w:rsidR="002275B9" w:rsidRPr="00243A6C">
        <w:rPr>
          <w:rFonts w:ascii="Titillium" w:hAnsi="Titillium" w:cs="Courier New"/>
          <w:sz w:val="18"/>
          <w:szCs w:val="18"/>
        </w:rPr>
        <w:t>e</w:t>
      </w:r>
      <w:r w:rsidRPr="00243A6C">
        <w:rPr>
          <w:rFonts w:ascii="Titillium" w:hAnsi="Titillium" w:cs="Courier New"/>
          <w:sz w:val="18"/>
          <w:szCs w:val="18"/>
        </w:rPr>
        <w:t>g</w:t>
      </w:r>
      <w:r w:rsidR="002275B9" w:rsidRPr="00243A6C">
        <w:rPr>
          <w:rFonts w:ascii="Titillium" w:hAnsi="Titillium" w:cs="Courier New"/>
          <w:sz w:val="18"/>
          <w:szCs w:val="18"/>
        </w:rPr>
        <w:t>i</w:t>
      </w:r>
      <w:r w:rsidRPr="00243A6C">
        <w:rPr>
          <w:rFonts w:ascii="Titillium" w:hAnsi="Titillium" w:cs="Courier New"/>
          <w:sz w:val="18"/>
          <w:szCs w:val="18"/>
        </w:rPr>
        <w:t>s</w:t>
      </w:r>
      <w:r w:rsidR="002275B9" w:rsidRPr="00243A6C">
        <w:rPr>
          <w:rFonts w:ascii="Titillium" w:hAnsi="Titillium" w:cs="Courier New"/>
          <w:sz w:val="18"/>
          <w:szCs w:val="18"/>
        </w:rPr>
        <w:t xml:space="preserve">lativo n. </w:t>
      </w:r>
      <w:r w:rsidRPr="00243A6C">
        <w:rPr>
          <w:rFonts w:ascii="Titillium" w:hAnsi="Titillium" w:cs="Courier New"/>
          <w:sz w:val="18"/>
          <w:szCs w:val="18"/>
        </w:rPr>
        <w:t>198</w:t>
      </w:r>
      <w:r w:rsidR="002275B9" w:rsidRPr="00243A6C">
        <w:rPr>
          <w:rFonts w:ascii="Titillium" w:hAnsi="Titillium" w:cs="Courier New"/>
          <w:sz w:val="18"/>
          <w:szCs w:val="18"/>
        </w:rPr>
        <w:t xml:space="preserve"> del 2</w:t>
      </w:r>
      <w:r w:rsidRPr="00243A6C">
        <w:rPr>
          <w:rFonts w:ascii="Titillium" w:hAnsi="Titillium" w:cs="Courier New"/>
          <w:sz w:val="18"/>
          <w:szCs w:val="18"/>
        </w:rPr>
        <w:t>006</w:t>
      </w:r>
      <w:r w:rsidR="00A91827" w:rsidRPr="00243A6C">
        <w:rPr>
          <w:rFonts w:ascii="Titillium" w:hAnsi="Titillium" w:cs="Courier New"/>
          <w:sz w:val="18"/>
          <w:szCs w:val="18"/>
        </w:rPr>
        <w:t>,</w:t>
      </w:r>
      <w:r w:rsidRPr="00243A6C">
        <w:rPr>
          <w:rFonts w:ascii="Titillium" w:hAnsi="Titillium" w:cs="Calibri"/>
          <w:sz w:val="18"/>
          <w:szCs w:val="18"/>
        </w:rPr>
        <w:t xml:space="preserve"> </w:t>
      </w:r>
      <w:r w:rsidR="00F86361">
        <w:rPr>
          <w:rFonts w:ascii="Titillium" w:hAnsi="Titillium" w:cs="Calibri"/>
          <w:sz w:val="18"/>
          <w:szCs w:val="18"/>
        </w:rPr>
        <w:t>unitamente all’</w:t>
      </w:r>
      <w:r w:rsidRPr="00243A6C">
        <w:rPr>
          <w:rFonts w:ascii="Titillium" w:hAnsi="Titillium" w:cs="Calibri"/>
          <w:sz w:val="18"/>
          <w:szCs w:val="18"/>
        </w:rPr>
        <w:t xml:space="preserve">attestazione </w:t>
      </w:r>
      <w:r w:rsidR="00F86361">
        <w:rPr>
          <w:rFonts w:ascii="Titillium" w:hAnsi="Titillium" w:cs="Calibri"/>
          <w:sz w:val="18"/>
          <w:szCs w:val="18"/>
        </w:rPr>
        <w:t>di</w:t>
      </w:r>
      <w:r w:rsidRPr="00243A6C">
        <w:rPr>
          <w:rFonts w:ascii="Titillium" w:hAnsi="Titillium" w:cs="Calibri"/>
          <w:sz w:val="18"/>
          <w:szCs w:val="18"/>
        </w:rPr>
        <w:t xml:space="preserve"> conformità a quello già trasmesso alle rappresentanze sindacali aziendali e ai consiglieri regionali di parità ovvero, in mancanza</w:t>
      </w:r>
      <w:r w:rsidR="00F86361">
        <w:rPr>
          <w:rFonts w:ascii="Titillium" w:hAnsi="Titillium" w:cs="Calibri"/>
          <w:sz w:val="18"/>
          <w:szCs w:val="18"/>
        </w:rPr>
        <w:t xml:space="preserve"> di tale precedente trasmissione</w:t>
      </w:r>
      <w:r w:rsidRPr="00243A6C">
        <w:rPr>
          <w:rFonts w:ascii="Titillium" w:hAnsi="Titillium" w:cs="Calibri"/>
          <w:sz w:val="18"/>
          <w:szCs w:val="18"/>
        </w:rPr>
        <w:t xml:space="preserve">, </w:t>
      </w:r>
      <w:r w:rsidR="00F86361">
        <w:rPr>
          <w:rFonts w:ascii="Titillium" w:hAnsi="Titillium" w:cs="Calibri"/>
          <w:sz w:val="18"/>
          <w:szCs w:val="18"/>
        </w:rPr>
        <w:t>unitamente</w:t>
      </w:r>
      <w:r w:rsidR="00FE1DD4">
        <w:rPr>
          <w:rFonts w:ascii="Titillium" w:hAnsi="Titillium" w:cs="Calibri"/>
          <w:sz w:val="18"/>
          <w:szCs w:val="18"/>
        </w:rPr>
        <w:t xml:space="preserve"> all’</w:t>
      </w:r>
      <w:r w:rsidRPr="00243A6C">
        <w:rPr>
          <w:rFonts w:ascii="Titillium" w:hAnsi="Titillium" w:cs="Calibri"/>
          <w:sz w:val="18"/>
          <w:szCs w:val="18"/>
        </w:rPr>
        <w:t xml:space="preserve">attestazione della sua contestuale trasmissione alle rappresentanze sindacali aziendali e alla consigliera e al consigliere </w:t>
      </w:r>
      <w:r w:rsidR="002275B9" w:rsidRPr="00243A6C">
        <w:rPr>
          <w:rFonts w:ascii="Titillium" w:hAnsi="Titillium" w:cs="Calibri"/>
          <w:sz w:val="18"/>
          <w:szCs w:val="18"/>
        </w:rPr>
        <w:t>regionale di parità</w:t>
      </w:r>
      <w:r w:rsidRPr="00243A6C">
        <w:rPr>
          <w:rFonts w:ascii="Titillium" w:hAnsi="Titillium" w:cs="Calibri"/>
          <w:sz w:val="18"/>
          <w:szCs w:val="18"/>
        </w:rPr>
        <w:t>.</w:t>
      </w:r>
      <w:r w:rsidR="002B16FD" w:rsidRPr="00243A6C">
        <w:rPr>
          <w:rFonts w:ascii="Titillium" w:hAnsi="Titillium" w:cs="Arial"/>
          <w:b/>
          <w:bCs/>
          <w:i/>
          <w:sz w:val="18"/>
          <w:szCs w:val="18"/>
        </w:rPr>
        <w:t xml:space="preserve"> </w:t>
      </w:r>
    </w:p>
    <w:p w14:paraId="5DB69B69" w14:textId="21EE659A" w:rsidR="0009290B" w:rsidRDefault="0009290B" w:rsidP="0009290B">
      <w:pPr>
        <w:spacing w:before="60"/>
        <w:rPr>
          <w:rFonts w:ascii="Titillium" w:hAnsi="Titillium" w:cs="Arial"/>
          <w:sz w:val="18"/>
          <w:szCs w:val="18"/>
        </w:rPr>
      </w:pPr>
      <w:r w:rsidRPr="009F414F">
        <w:rPr>
          <w:rFonts w:ascii="Titillium" w:hAnsi="Titillium" w:cs="Arial"/>
          <w:sz w:val="18"/>
          <w:szCs w:val="18"/>
        </w:rPr>
        <w:lastRenderedPageBreak/>
        <w:t xml:space="preserve">Sono esclusi dalla procedura di gara gli operatori economici </w:t>
      </w:r>
      <w:r w:rsidRPr="009F414F">
        <w:rPr>
          <w:rFonts w:ascii="Titillium" w:hAnsi="Titillium" w:cs="Courier New"/>
          <w:sz w:val="18"/>
          <w:szCs w:val="18"/>
        </w:rPr>
        <w:t>che occupano un numero di dipendenti pari o superiore a quindici e non superiore a cinquanta,</w:t>
      </w:r>
      <w:r w:rsidRPr="009F414F">
        <w:rPr>
          <w:rFonts w:ascii="Titillium" w:hAnsi="Titillium" w:cs="Arial"/>
          <w:sz w:val="18"/>
          <w:szCs w:val="18"/>
        </w:rPr>
        <w:t xml:space="preserve"> che nei dodici mesi precedenti al termine di presentazione dell’offerta hanno omesso di produrre alla stazione appaltante </w:t>
      </w:r>
      <w:r w:rsidRPr="009F414F">
        <w:rPr>
          <w:rFonts w:ascii="Titillium" w:hAnsi="Titillium" w:cs="Courier New"/>
          <w:sz w:val="18"/>
          <w:szCs w:val="18"/>
        </w:rPr>
        <w:t>di un precedente contratto d’appalto finanziato in tutto o in parte con i fondi del PNRR o del PNC</w:t>
      </w:r>
      <w:r w:rsidR="00FA2BF1">
        <w:rPr>
          <w:rFonts w:ascii="Titillium" w:hAnsi="Titillium" w:cs="Courier New"/>
          <w:sz w:val="18"/>
          <w:szCs w:val="18"/>
        </w:rPr>
        <w:t xml:space="preserve"> o di un precedente contratto riservato ai sensi dell’articolo 61 del codice</w:t>
      </w:r>
      <w:r w:rsidRPr="009F414F">
        <w:rPr>
          <w:rFonts w:ascii="Titillium" w:hAnsi="Titillium" w:cs="Courier New"/>
          <w:sz w:val="18"/>
          <w:szCs w:val="18"/>
        </w:rPr>
        <w:t>,</w:t>
      </w:r>
      <w:r w:rsidRPr="009F414F">
        <w:rPr>
          <w:rFonts w:ascii="Titillium" w:hAnsi="Titillium" w:cs="Arial"/>
          <w:sz w:val="18"/>
          <w:szCs w:val="18"/>
        </w:rPr>
        <w:t xml:space="preserve"> la relazione di cui all’articolo 47, comma 3 del decreto legge n. 77 del 2021.</w:t>
      </w:r>
    </w:p>
    <w:p w14:paraId="7F6DCDD6" w14:textId="61B55DBC" w:rsidR="004C53A8" w:rsidRDefault="00870286" w:rsidP="00084AD6">
      <w:pPr>
        <w:pStyle w:val="Titolo2"/>
        <w:numPr>
          <w:ilvl w:val="0"/>
          <w:numId w:val="4"/>
        </w:numPr>
        <w:ind w:left="357" w:hanging="357"/>
      </w:pPr>
      <w:bookmarkStart w:id="1403" w:name="_Toc86769502"/>
      <w:bookmarkStart w:id="1404" w:name="_Toc87253509"/>
      <w:bookmarkStart w:id="1405" w:name="_Toc87253568"/>
      <w:bookmarkStart w:id="1406" w:name="_Toc86769503"/>
      <w:bookmarkStart w:id="1407" w:name="_Toc87253510"/>
      <w:bookmarkStart w:id="1408" w:name="_Toc87253569"/>
      <w:bookmarkStart w:id="1409" w:name="_Toc86769504"/>
      <w:bookmarkStart w:id="1410" w:name="_Toc87253511"/>
      <w:bookmarkStart w:id="1411" w:name="_Toc87253570"/>
      <w:bookmarkStart w:id="1412" w:name="_Ref497211510"/>
      <w:bookmarkStart w:id="1413" w:name="_Toc139549423"/>
      <w:bookmarkEnd w:id="1403"/>
      <w:bookmarkEnd w:id="1404"/>
      <w:bookmarkEnd w:id="1405"/>
      <w:bookmarkEnd w:id="1406"/>
      <w:bookmarkEnd w:id="1407"/>
      <w:bookmarkEnd w:id="1408"/>
      <w:bookmarkEnd w:id="1409"/>
      <w:bookmarkEnd w:id="1410"/>
      <w:bookmarkEnd w:id="1411"/>
      <w:r>
        <w:rPr>
          <w:rFonts w:ascii="Titillium" w:hAnsi="Titillium"/>
          <w:sz w:val="18"/>
          <w:szCs w:val="18"/>
        </w:rPr>
        <w:t xml:space="preserve">REQUISITI </w:t>
      </w:r>
      <w:r w:rsidR="00375678">
        <w:rPr>
          <w:rFonts w:ascii="Titillium" w:hAnsi="Titillium"/>
          <w:sz w:val="18"/>
          <w:szCs w:val="18"/>
          <w:lang w:val="it-IT"/>
        </w:rPr>
        <w:t>DI ORDINE SPECIALE</w:t>
      </w:r>
      <w:r>
        <w:rPr>
          <w:rFonts w:ascii="Titillium" w:hAnsi="Titillium"/>
          <w:sz w:val="18"/>
          <w:szCs w:val="18"/>
          <w:lang w:val="it-IT"/>
        </w:rPr>
        <w:t xml:space="preserve"> E </w:t>
      </w:r>
      <w:r>
        <w:rPr>
          <w:rFonts w:ascii="Titillium" w:hAnsi="Titillium"/>
          <w:caps w:val="0"/>
          <w:sz w:val="18"/>
          <w:szCs w:val="18"/>
          <w:lang w:val="it-IT"/>
        </w:rPr>
        <w:t>MEZZI DI PROVA</w:t>
      </w:r>
      <w:bookmarkEnd w:id="1412"/>
      <w:bookmarkEnd w:id="1413"/>
    </w:p>
    <w:p w14:paraId="4CF6AC93" w14:textId="4A75F004" w:rsidR="0071201D" w:rsidRDefault="00870286">
      <w:pPr>
        <w:spacing w:before="60" w:after="60"/>
        <w:rPr>
          <w:rFonts w:ascii="Titillium" w:hAnsi="Titillium" w:cs="Calibri"/>
          <w:sz w:val="18"/>
          <w:szCs w:val="18"/>
        </w:rPr>
      </w:pPr>
      <w:r>
        <w:rPr>
          <w:rFonts w:ascii="Titillium" w:hAnsi="Titillium" w:cs="Calibri"/>
          <w:sz w:val="18"/>
          <w:szCs w:val="18"/>
        </w:rPr>
        <w:t xml:space="preserve">I concorrenti devono </w:t>
      </w:r>
      <w:r w:rsidR="0034138C">
        <w:rPr>
          <w:rFonts w:ascii="Titillium" w:hAnsi="Titillium" w:cs="Calibri"/>
          <w:sz w:val="18"/>
          <w:szCs w:val="18"/>
        </w:rPr>
        <w:t>possedere</w:t>
      </w:r>
      <w:r w:rsidRPr="00D71C8F">
        <w:rPr>
          <w:rFonts w:ascii="Titillium" w:hAnsi="Titillium" w:cs="Calibri"/>
          <w:sz w:val="18"/>
          <w:szCs w:val="18"/>
        </w:rPr>
        <w:t xml:space="preserve">, </w:t>
      </w:r>
      <w:r w:rsidRPr="00D71C8F">
        <w:rPr>
          <w:rFonts w:ascii="Titillium" w:hAnsi="Titillium" w:cs="Calibri"/>
          <w:bCs/>
          <w:sz w:val="18"/>
          <w:szCs w:val="18"/>
        </w:rPr>
        <w:t>a pena di esclusione</w:t>
      </w:r>
      <w:r w:rsidRPr="00D71C8F">
        <w:rPr>
          <w:rFonts w:ascii="Titillium" w:hAnsi="Titillium" w:cs="Calibri"/>
          <w:sz w:val="18"/>
          <w:szCs w:val="18"/>
        </w:rPr>
        <w:t xml:space="preserve">, </w:t>
      </w:r>
      <w:r w:rsidR="0034138C">
        <w:rPr>
          <w:rFonts w:ascii="Titillium" w:hAnsi="Titillium" w:cs="Calibri"/>
          <w:sz w:val="18"/>
          <w:szCs w:val="18"/>
        </w:rPr>
        <w:t>i</w:t>
      </w:r>
      <w:r>
        <w:rPr>
          <w:rFonts w:ascii="Titillium" w:hAnsi="Titillium" w:cs="Calibri"/>
          <w:sz w:val="18"/>
          <w:szCs w:val="18"/>
        </w:rPr>
        <w:t xml:space="preserve"> requisiti previsti nei commi seguenti.</w:t>
      </w:r>
      <w:r w:rsidR="00375678">
        <w:rPr>
          <w:rFonts w:ascii="Titillium" w:hAnsi="Titillium" w:cs="Calibri"/>
          <w:sz w:val="18"/>
          <w:szCs w:val="18"/>
        </w:rPr>
        <w:t xml:space="preserve"> </w:t>
      </w:r>
    </w:p>
    <w:p w14:paraId="5C88E1C2" w14:textId="565620E2" w:rsidR="004F42BB" w:rsidRDefault="004F42BB" w:rsidP="0071201D">
      <w:pPr>
        <w:spacing w:before="60" w:after="60"/>
        <w:rPr>
          <w:rFonts w:ascii="Titillium" w:hAnsi="Titillium" w:cs="Calibri"/>
          <w:sz w:val="18"/>
          <w:szCs w:val="18"/>
        </w:rPr>
      </w:pPr>
      <w:r>
        <w:rPr>
          <w:rFonts w:ascii="Titillium" w:hAnsi="Titillium" w:cs="Calibri"/>
          <w:sz w:val="18"/>
          <w:szCs w:val="18"/>
        </w:rPr>
        <w:t xml:space="preserve">La stazione appaltante </w:t>
      </w:r>
      <w:r w:rsidR="004552C9">
        <w:rPr>
          <w:rFonts w:ascii="Titillium" w:hAnsi="Titillium" w:cs="Calibri"/>
          <w:sz w:val="18"/>
          <w:szCs w:val="18"/>
        </w:rPr>
        <w:t>verifica</w:t>
      </w:r>
      <w:r>
        <w:rPr>
          <w:rFonts w:ascii="Titillium" w:hAnsi="Titillium" w:cs="Calibri"/>
          <w:sz w:val="18"/>
          <w:szCs w:val="18"/>
        </w:rPr>
        <w:t xml:space="preserve"> </w:t>
      </w:r>
      <w:r w:rsidR="004552C9">
        <w:rPr>
          <w:rFonts w:ascii="Titillium" w:hAnsi="Titillium" w:cs="Calibri"/>
          <w:sz w:val="18"/>
          <w:szCs w:val="18"/>
        </w:rPr>
        <w:t xml:space="preserve">il </w:t>
      </w:r>
      <w:r w:rsidR="004552C9" w:rsidRPr="00597765">
        <w:rPr>
          <w:rFonts w:ascii="Titillium" w:hAnsi="Titillium" w:cs="Calibri"/>
          <w:sz w:val="18"/>
          <w:szCs w:val="18"/>
        </w:rPr>
        <w:t>possesso dei requisiti di ordine speciale</w:t>
      </w:r>
      <w:r w:rsidR="004552C9">
        <w:rPr>
          <w:rFonts w:ascii="Titillium" w:hAnsi="Titillium" w:cs="Calibri"/>
          <w:sz w:val="18"/>
          <w:szCs w:val="18"/>
        </w:rPr>
        <w:t xml:space="preserve"> accedendo </w:t>
      </w:r>
      <w:r>
        <w:rPr>
          <w:rFonts w:ascii="Titillium" w:hAnsi="Titillium" w:cs="Calibri"/>
          <w:sz w:val="18"/>
          <w:szCs w:val="18"/>
        </w:rPr>
        <w:t xml:space="preserve">al </w:t>
      </w:r>
      <w:r w:rsidRPr="00597765">
        <w:rPr>
          <w:rFonts w:ascii="Titillium" w:hAnsi="Titillium" w:cs="Calibri"/>
          <w:sz w:val="18"/>
          <w:szCs w:val="18"/>
        </w:rPr>
        <w:t>fascicolo virtuale dell’operatore economico</w:t>
      </w:r>
      <w:r>
        <w:rPr>
          <w:rFonts w:ascii="Titillium" w:hAnsi="Titillium" w:cs="Calibri"/>
          <w:sz w:val="18"/>
          <w:szCs w:val="18"/>
        </w:rPr>
        <w:t xml:space="preserve"> (FVOE)</w:t>
      </w:r>
      <w:r w:rsidR="00AF2D58" w:rsidRPr="00597765">
        <w:rPr>
          <w:rFonts w:ascii="Titillium" w:hAnsi="Titillium" w:cs="Calibri"/>
          <w:sz w:val="18"/>
          <w:szCs w:val="18"/>
        </w:rPr>
        <w:t xml:space="preserve">. </w:t>
      </w:r>
    </w:p>
    <w:p w14:paraId="38CB1883" w14:textId="42E09FD1" w:rsidR="004C53A8" w:rsidRDefault="00AF2D58">
      <w:pPr>
        <w:spacing w:before="60" w:after="60"/>
        <w:rPr>
          <w:rFonts w:ascii="Titillium" w:hAnsi="Titillium" w:cs="Calibri"/>
          <w:sz w:val="18"/>
          <w:szCs w:val="18"/>
        </w:rPr>
      </w:pPr>
      <w:r w:rsidRPr="00597765">
        <w:rPr>
          <w:rFonts w:ascii="Titillium" w:hAnsi="Titillium" w:cs="Calibri"/>
          <w:sz w:val="18"/>
          <w:szCs w:val="18"/>
        </w:rPr>
        <w:t xml:space="preserve">L’operatore economico </w:t>
      </w:r>
      <w:r w:rsidR="004F42BB">
        <w:rPr>
          <w:rFonts w:ascii="Titillium" w:hAnsi="Titillium" w:cs="Calibri"/>
          <w:sz w:val="18"/>
          <w:szCs w:val="18"/>
        </w:rPr>
        <w:t>è tenuto ad inserire</w:t>
      </w:r>
      <w:r w:rsidRPr="00597765">
        <w:rPr>
          <w:rFonts w:ascii="Titillium" w:hAnsi="Titillium" w:cs="Calibri"/>
          <w:sz w:val="18"/>
          <w:szCs w:val="18"/>
        </w:rPr>
        <w:t xml:space="preserve"> </w:t>
      </w:r>
      <w:r w:rsidR="004F42BB">
        <w:rPr>
          <w:rFonts w:ascii="Titillium" w:hAnsi="Titillium" w:cs="Calibri"/>
          <w:sz w:val="18"/>
          <w:szCs w:val="18"/>
        </w:rPr>
        <w:t>nel FVOE</w:t>
      </w:r>
      <w:r w:rsidR="0071201D" w:rsidRPr="00597765">
        <w:rPr>
          <w:rFonts w:ascii="Titillium" w:hAnsi="Titillium" w:cs="Calibri"/>
          <w:sz w:val="18"/>
          <w:szCs w:val="18"/>
        </w:rPr>
        <w:t xml:space="preserve"> i </w:t>
      </w:r>
      <w:r w:rsidRPr="00597765">
        <w:rPr>
          <w:rFonts w:ascii="Titillium" w:hAnsi="Titillium" w:cs="Calibri"/>
          <w:sz w:val="18"/>
          <w:szCs w:val="18"/>
        </w:rPr>
        <w:t xml:space="preserve">dati e le informazioni </w:t>
      </w:r>
      <w:r w:rsidR="00C26966">
        <w:rPr>
          <w:rFonts w:ascii="Titillium" w:hAnsi="Titillium" w:cs="Calibri"/>
          <w:sz w:val="18"/>
          <w:szCs w:val="18"/>
        </w:rPr>
        <w:t xml:space="preserve">richiesti per la comprova del requisito, qualora questi </w:t>
      </w:r>
      <w:r w:rsidR="006361A2">
        <w:rPr>
          <w:rFonts w:ascii="Titillium" w:hAnsi="Titillium" w:cs="Calibri"/>
          <w:sz w:val="18"/>
          <w:szCs w:val="18"/>
        </w:rPr>
        <w:t xml:space="preserve">non siano </w:t>
      </w:r>
      <w:r w:rsidR="004F42BB">
        <w:rPr>
          <w:rFonts w:ascii="Titillium" w:hAnsi="Titillium" w:cs="Calibri"/>
          <w:sz w:val="18"/>
          <w:szCs w:val="18"/>
        </w:rPr>
        <w:t xml:space="preserve">già </w:t>
      </w:r>
      <w:r w:rsidRPr="00597765">
        <w:rPr>
          <w:rFonts w:ascii="Titillium" w:hAnsi="Titillium" w:cs="Calibri"/>
          <w:sz w:val="18"/>
          <w:szCs w:val="18"/>
        </w:rPr>
        <w:t xml:space="preserve">presenti </w:t>
      </w:r>
      <w:r w:rsidR="004F42BB">
        <w:rPr>
          <w:rFonts w:ascii="Titillium" w:hAnsi="Titillium" w:cs="Calibri"/>
          <w:sz w:val="18"/>
          <w:szCs w:val="18"/>
        </w:rPr>
        <w:t xml:space="preserve">nel fascicolo o </w:t>
      </w:r>
      <w:r w:rsidR="004552C9">
        <w:rPr>
          <w:rFonts w:ascii="Titillium" w:hAnsi="Titillium" w:cs="Calibri"/>
          <w:sz w:val="18"/>
          <w:szCs w:val="18"/>
        </w:rPr>
        <w:t xml:space="preserve">non siano </w:t>
      </w:r>
      <w:r w:rsidRPr="00597765">
        <w:rPr>
          <w:rFonts w:ascii="Titillium" w:hAnsi="Titillium" w:cs="Calibri"/>
          <w:sz w:val="18"/>
          <w:szCs w:val="18"/>
        </w:rPr>
        <w:t xml:space="preserve">già in possesso della stazione appaltante e non possano essere </w:t>
      </w:r>
      <w:r w:rsidR="00E73246" w:rsidRPr="00597765">
        <w:rPr>
          <w:rFonts w:ascii="Titillium" w:hAnsi="Titillium" w:cs="Calibri"/>
          <w:sz w:val="18"/>
          <w:szCs w:val="18"/>
        </w:rPr>
        <w:t>acquisiti d’ufficio da quest’ultima.</w:t>
      </w:r>
    </w:p>
    <w:p w14:paraId="5A90927B" w14:textId="77777777" w:rsidR="00125E94" w:rsidRPr="00D95F9F" w:rsidRDefault="00125E94" w:rsidP="00125E94">
      <w:pPr>
        <w:pBdr>
          <w:top w:val="single" w:sz="4" w:space="1" w:color="auto"/>
          <w:left w:val="single" w:sz="4" w:space="4" w:color="auto"/>
          <w:bottom w:val="single" w:sz="4" w:space="1" w:color="auto"/>
          <w:right w:val="single" w:sz="4" w:space="4" w:color="auto"/>
        </w:pBdr>
        <w:spacing w:before="60" w:after="60"/>
        <w:rPr>
          <w:rFonts w:ascii="Titillium" w:hAnsi="Titillium" w:cs="Arial"/>
          <w:i/>
          <w:iCs/>
          <w:sz w:val="18"/>
          <w:szCs w:val="18"/>
        </w:rPr>
      </w:pPr>
      <w:r w:rsidRPr="00D95F9F">
        <w:rPr>
          <w:rFonts w:ascii="Titillium" w:hAnsi="Titillium" w:cs="Calibri"/>
          <w:i/>
          <w:iCs/>
          <w:sz w:val="18"/>
          <w:szCs w:val="18"/>
        </w:rPr>
        <w:t xml:space="preserve">N.B.: </w:t>
      </w:r>
      <w:r w:rsidRPr="00D95F9F">
        <w:rPr>
          <w:rFonts w:ascii="Titillium" w:hAnsi="Titillium" w:cs="Arial"/>
          <w:i/>
          <w:iCs/>
          <w:sz w:val="18"/>
          <w:szCs w:val="18"/>
        </w:rPr>
        <w:t>I requisiti speciali per partecipare alla gara devono essere elencati esclusivamente nel disciplinare e non contenuti in altri documenti di gara.</w:t>
      </w:r>
    </w:p>
    <w:p w14:paraId="3E5FFB81" w14:textId="7750604E" w:rsidR="00125E94" w:rsidRPr="00D95F9F" w:rsidRDefault="00125E94" w:rsidP="00125E94">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D95F9F">
        <w:rPr>
          <w:rFonts w:ascii="Titillium" w:hAnsi="Titillium" w:cs="Arial"/>
          <w:i/>
          <w:iCs/>
          <w:sz w:val="18"/>
          <w:szCs w:val="18"/>
        </w:rPr>
        <w:t>In caso di suddivisione della gara in lotti, le stazioni appaltanti specificano per ciascun requisito speciale per quale lotto è richiesto.</w:t>
      </w:r>
    </w:p>
    <w:p w14:paraId="6D077B02" w14:textId="025891B7" w:rsidR="004C53A8" w:rsidRDefault="004C667D" w:rsidP="00084AD6">
      <w:pPr>
        <w:pStyle w:val="Titolo3"/>
        <w:numPr>
          <w:ilvl w:val="1"/>
          <w:numId w:val="4"/>
        </w:numPr>
        <w:ind w:left="426" w:hanging="426"/>
      </w:pPr>
      <w:bookmarkStart w:id="1414" w:name="_Toc497728144"/>
      <w:bookmarkStart w:id="1415" w:name="_Toc497484946"/>
      <w:bookmarkStart w:id="1416" w:name="_Toc498419731"/>
      <w:bookmarkStart w:id="1417" w:name="_Toc497831539"/>
      <w:bookmarkStart w:id="1418" w:name="_Ref128476563"/>
      <w:bookmarkStart w:id="1419" w:name="_Ref128681470"/>
      <w:bookmarkStart w:id="1420" w:name="_Toc139549424"/>
      <w:bookmarkEnd w:id="1414"/>
      <w:bookmarkEnd w:id="1415"/>
      <w:bookmarkEnd w:id="1416"/>
      <w:bookmarkEnd w:id="1417"/>
      <w:r>
        <w:rPr>
          <w:rFonts w:ascii="Titillium" w:hAnsi="Titillium"/>
          <w:caps w:val="0"/>
          <w:sz w:val="18"/>
          <w:szCs w:val="18"/>
          <w:lang w:val="it-IT"/>
        </w:rPr>
        <w:t>R</w:t>
      </w:r>
      <w:r>
        <w:rPr>
          <w:rFonts w:ascii="Titillium" w:hAnsi="Titillium"/>
          <w:caps w:val="0"/>
          <w:sz w:val="18"/>
          <w:szCs w:val="18"/>
        </w:rPr>
        <w:t>EQUISITI DI IDONEITÀ</w:t>
      </w:r>
      <w:bookmarkEnd w:id="1418"/>
      <w:r w:rsidR="00CC7383">
        <w:rPr>
          <w:rFonts w:ascii="Titillium" w:hAnsi="Titillium"/>
          <w:caps w:val="0"/>
          <w:sz w:val="18"/>
          <w:szCs w:val="18"/>
          <w:lang w:val="it-IT"/>
        </w:rPr>
        <w:t xml:space="preserve"> PROFESSIONALE</w:t>
      </w:r>
      <w:bookmarkEnd w:id="1419"/>
      <w:bookmarkEnd w:id="1420"/>
    </w:p>
    <w:p w14:paraId="4B1BCC51" w14:textId="677D8E21" w:rsidR="004C53A8" w:rsidRDefault="00AC2A43">
      <w:pPr>
        <w:pStyle w:val="Paragrafoelenco"/>
        <w:numPr>
          <w:ilvl w:val="0"/>
          <w:numId w:val="5"/>
        </w:numPr>
        <w:spacing w:before="60" w:after="60"/>
        <w:ind w:left="284" w:hanging="284"/>
      </w:pPr>
      <w:bookmarkStart w:id="1421" w:name="_Ref128681493"/>
      <w:r>
        <w:rPr>
          <w:rFonts w:ascii="Titillium" w:hAnsi="Titillium" w:cs="Arial"/>
          <w:b/>
          <w:sz w:val="18"/>
          <w:szCs w:val="18"/>
        </w:rPr>
        <w:t>I</w:t>
      </w:r>
      <w:r w:rsidR="00870286">
        <w:rPr>
          <w:rFonts w:ascii="Titillium" w:hAnsi="Titillium" w:cs="Arial"/>
          <w:b/>
          <w:sz w:val="18"/>
          <w:szCs w:val="18"/>
        </w:rPr>
        <w:t>scrizione</w:t>
      </w:r>
      <w:r w:rsidR="00870286">
        <w:rPr>
          <w:rFonts w:ascii="Titillium" w:hAnsi="Titillium" w:cs="Arial"/>
          <w:sz w:val="18"/>
          <w:szCs w:val="18"/>
        </w:rPr>
        <w:t xml:space="preserve"> nel R</w:t>
      </w:r>
      <w:r w:rsidR="00870286">
        <w:rPr>
          <w:rFonts w:ascii="Titillium" w:hAnsi="Titillium" w:cs="Calibri"/>
          <w:sz w:val="18"/>
          <w:szCs w:val="18"/>
        </w:rPr>
        <w:t>egistro delle Imprese oppure nell’Albo delle Imprese artigiane</w:t>
      </w:r>
      <w:r w:rsidR="00A55F58">
        <w:rPr>
          <w:rFonts w:ascii="Titillium" w:hAnsi="Titillium" w:cs="Calibri"/>
          <w:sz w:val="18"/>
          <w:szCs w:val="18"/>
        </w:rPr>
        <w:t xml:space="preserve"> </w:t>
      </w:r>
      <w:r w:rsidR="00870286">
        <w:rPr>
          <w:rFonts w:ascii="Titillium" w:hAnsi="Titillium" w:cs="Calibri"/>
          <w:sz w:val="18"/>
          <w:szCs w:val="18"/>
        </w:rPr>
        <w:t xml:space="preserve">per attività </w:t>
      </w:r>
      <w:r w:rsidR="0057633D">
        <w:rPr>
          <w:rFonts w:ascii="Titillium" w:hAnsi="Titillium" w:cs="Calibri"/>
          <w:sz w:val="18"/>
          <w:szCs w:val="18"/>
        </w:rPr>
        <w:t xml:space="preserve">pertinenti </w:t>
      </w:r>
      <w:r w:rsidR="00870286">
        <w:rPr>
          <w:rFonts w:ascii="Titillium" w:hAnsi="Titillium" w:cs="Calibri"/>
          <w:sz w:val="18"/>
          <w:szCs w:val="18"/>
        </w:rPr>
        <w:t>con quelle oggetto della prese</w:t>
      </w:r>
      <w:bookmarkStart w:id="1422" w:name="_Ref495411492"/>
      <w:bookmarkEnd w:id="1422"/>
      <w:r w:rsidR="00870286">
        <w:rPr>
          <w:rFonts w:ascii="Titillium" w:hAnsi="Titillium" w:cs="Calibri"/>
          <w:sz w:val="18"/>
          <w:szCs w:val="18"/>
        </w:rPr>
        <w:t>nte procedura di gara.</w:t>
      </w:r>
      <w:bookmarkEnd w:id="1421"/>
    </w:p>
    <w:p w14:paraId="047A0C9B" w14:textId="3C74C914" w:rsidR="004C53A8" w:rsidRDefault="007A77B0">
      <w:pPr>
        <w:spacing w:before="60" w:after="60"/>
        <w:ind w:left="284"/>
        <w:rPr>
          <w:rFonts w:ascii="Titillium" w:hAnsi="Titillium" w:cs="Calibri"/>
          <w:sz w:val="18"/>
          <w:szCs w:val="18"/>
        </w:rPr>
      </w:pPr>
      <w:r>
        <w:rPr>
          <w:rFonts w:ascii="Titillium" w:hAnsi="Titillium" w:cs="Calibri"/>
          <w:sz w:val="18"/>
          <w:szCs w:val="18"/>
        </w:rPr>
        <w:t xml:space="preserve">Per l’operatore economico di altro Stato membro, non residente in Italia: iscrizione </w:t>
      </w:r>
      <w:r w:rsidRPr="007A77B0">
        <w:rPr>
          <w:rFonts w:ascii="Titillium" w:hAnsi="Titillium" w:cs="Calibri"/>
          <w:sz w:val="18"/>
          <w:szCs w:val="18"/>
        </w:rPr>
        <w:t>in uno dei registri professionali o commerciali</w:t>
      </w:r>
      <w:r>
        <w:rPr>
          <w:rFonts w:ascii="Titillium" w:hAnsi="Titillium" w:cs="Calibri"/>
          <w:sz w:val="18"/>
          <w:szCs w:val="18"/>
        </w:rPr>
        <w:t xml:space="preserve"> degli altri Stati membri di cui all’allegato II.11</w:t>
      </w:r>
      <w:r w:rsidR="00527049">
        <w:rPr>
          <w:rFonts w:ascii="Titillium" w:hAnsi="Titillium" w:cs="Calibri"/>
          <w:sz w:val="18"/>
          <w:szCs w:val="18"/>
        </w:rPr>
        <w:t xml:space="preserve"> del Codice</w:t>
      </w:r>
      <w:r w:rsidR="00870286">
        <w:rPr>
          <w:rFonts w:ascii="Titillium" w:hAnsi="Titillium" w:cs="Calibri"/>
          <w:sz w:val="18"/>
          <w:szCs w:val="18"/>
        </w:rPr>
        <w:t>;</w:t>
      </w:r>
    </w:p>
    <w:p w14:paraId="75C585D9" w14:textId="047BFAE6" w:rsidR="00387BEA" w:rsidRPr="00387BEA" w:rsidRDefault="00387BEA" w:rsidP="00387BEA">
      <w:pPr>
        <w:spacing w:before="60" w:after="60"/>
        <w:rPr>
          <w:rFonts w:ascii="Titillium" w:hAnsi="Titillium"/>
          <w:sz w:val="18"/>
          <w:szCs w:val="18"/>
        </w:rPr>
      </w:pPr>
      <w:r>
        <w:rPr>
          <w:rFonts w:ascii="Titillium" w:hAnsi="Titillium" w:cs="Calibri"/>
          <w:sz w:val="18"/>
          <w:szCs w:val="18"/>
        </w:rPr>
        <w:t>Ai fini della comprova, l</w:t>
      </w:r>
      <w:r w:rsidRPr="00387BEA">
        <w:rPr>
          <w:rFonts w:ascii="Titillium" w:hAnsi="Titillium" w:cs="Calibri"/>
          <w:sz w:val="18"/>
          <w:szCs w:val="18"/>
        </w:rPr>
        <w:t xml:space="preserve">’iscrizione nel Registro è acquisita d’ufficio dalla stazione appaltante tramite il FVOE. Gli operatori stabiliti in altri </w:t>
      </w:r>
      <w:r>
        <w:rPr>
          <w:rFonts w:ascii="Titillium" w:hAnsi="Titillium" w:cs="Calibri"/>
          <w:sz w:val="18"/>
          <w:szCs w:val="18"/>
        </w:rPr>
        <w:t>S</w:t>
      </w:r>
      <w:r w:rsidRPr="00387BEA">
        <w:rPr>
          <w:rFonts w:ascii="Titillium" w:hAnsi="Titillium" w:cs="Calibri"/>
          <w:sz w:val="18"/>
          <w:szCs w:val="18"/>
        </w:rPr>
        <w:t xml:space="preserve">tati </w:t>
      </w:r>
      <w:r w:rsidRPr="004176CD">
        <w:rPr>
          <w:rFonts w:ascii="Titillium" w:hAnsi="Titillium" w:cs="Calibri"/>
          <w:sz w:val="18"/>
          <w:szCs w:val="18"/>
        </w:rPr>
        <w:t>membri caricano nel fascicolo virtuale i dati e le informazioni utili alla comprova del requisito, se disponibili</w:t>
      </w:r>
      <w:r w:rsidRPr="004176CD">
        <w:rPr>
          <w:rFonts w:ascii="Titillium" w:hAnsi="Titillium"/>
          <w:sz w:val="18"/>
          <w:szCs w:val="18"/>
        </w:rPr>
        <w:t>.</w:t>
      </w:r>
    </w:p>
    <w:p w14:paraId="70B72B78" w14:textId="77777777" w:rsidR="00425F22" w:rsidRPr="00387BEA" w:rsidRDefault="00425F22" w:rsidP="00425F22">
      <w:pPr>
        <w:pBdr>
          <w:top w:val="single" w:sz="4" w:space="1" w:color="auto"/>
          <w:left w:val="single" w:sz="4" w:space="4" w:color="auto"/>
          <w:bottom w:val="single" w:sz="4" w:space="1" w:color="auto"/>
          <w:right w:val="single" w:sz="4" w:space="4" w:color="auto"/>
        </w:pBdr>
        <w:spacing w:before="60" w:after="60"/>
        <w:rPr>
          <w:i/>
          <w:iCs/>
        </w:rPr>
      </w:pPr>
      <w:r w:rsidRPr="00387BEA">
        <w:rPr>
          <w:rFonts w:ascii="Titillium" w:hAnsi="Titillium"/>
          <w:i/>
          <w:iCs/>
          <w:sz w:val="18"/>
          <w:szCs w:val="18"/>
        </w:rPr>
        <w:t>NB L’iscrizione nel Registro delle imprese non è richiesta quando non è dovuta per l’esercizio dell’attività oggetto dell’affidamento</w:t>
      </w:r>
    </w:p>
    <w:p w14:paraId="1FCDEFA9" w14:textId="77777777" w:rsidR="00387BEA" w:rsidRDefault="00387BEA">
      <w:pPr>
        <w:spacing w:before="60" w:after="60"/>
        <w:ind w:left="284"/>
        <w:rPr>
          <w:rFonts w:ascii="Titillium" w:hAnsi="Titillium" w:cs="Calibri"/>
          <w:sz w:val="18"/>
          <w:szCs w:val="18"/>
        </w:rPr>
      </w:pPr>
    </w:p>
    <w:p w14:paraId="59424D3B" w14:textId="6BF46935" w:rsidR="004C53A8" w:rsidRDefault="00387BEA">
      <w:pPr>
        <w:pStyle w:val="Paragrafoelenco"/>
        <w:numPr>
          <w:ilvl w:val="0"/>
          <w:numId w:val="5"/>
        </w:numPr>
        <w:spacing w:before="60" w:after="60"/>
        <w:ind w:left="284" w:hanging="284"/>
      </w:pPr>
      <w:bookmarkStart w:id="1423" w:name="_Ref495411511"/>
      <w:r w:rsidRPr="00387BEA">
        <w:rPr>
          <w:rFonts w:ascii="Titillium" w:hAnsi="Titillium" w:cs="Arial"/>
          <w:b/>
          <w:i/>
          <w:sz w:val="18"/>
          <w:szCs w:val="18"/>
        </w:rPr>
        <w:t xml:space="preserve">[In caso di ulteriori requisiti </w:t>
      </w:r>
      <w:r>
        <w:rPr>
          <w:rFonts w:ascii="Titillium" w:hAnsi="Titillium" w:cs="Arial"/>
          <w:b/>
          <w:i/>
          <w:sz w:val="18"/>
          <w:szCs w:val="18"/>
        </w:rPr>
        <w:t xml:space="preserve">di idoneità professionale </w:t>
      </w:r>
      <w:r w:rsidRPr="00387BEA">
        <w:rPr>
          <w:rFonts w:ascii="Titillium" w:hAnsi="Titillium" w:cs="Arial"/>
          <w:b/>
          <w:i/>
          <w:sz w:val="18"/>
          <w:szCs w:val="18"/>
        </w:rPr>
        <w:t>previsti dalla normativa vigente</w:t>
      </w:r>
      <w:r w:rsidR="00870286" w:rsidRPr="00387BEA">
        <w:rPr>
          <w:rFonts w:ascii="Titillium" w:hAnsi="Titillium" w:cs="Arial"/>
          <w:b/>
          <w:i/>
          <w:sz w:val="18"/>
          <w:szCs w:val="18"/>
        </w:rPr>
        <w:t>]</w:t>
      </w:r>
      <w:r w:rsidR="00870286" w:rsidRPr="00387BEA">
        <w:rPr>
          <w:rFonts w:ascii="Titillium" w:hAnsi="Titillium" w:cs="Arial"/>
          <w:i/>
          <w:sz w:val="18"/>
          <w:szCs w:val="18"/>
        </w:rPr>
        <w:t xml:space="preserve"> </w:t>
      </w:r>
      <w:r w:rsidR="006B77B9">
        <w:rPr>
          <w:rFonts w:ascii="Titillium" w:hAnsi="Titillium" w:cs="Arial"/>
          <w:sz w:val="18"/>
          <w:szCs w:val="18"/>
        </w:rPr>
        <w:t>I</w:t>
      </w:r>
      <w:r w:rsidR="00870286" w:rsidRPr="00387BEA">
        <w:rPr>
          <w:rFonts w:ascii="Titillium" w:hAnsi="Titillium" w:cs="Arial"/>
          <w:sz w:val="18"/>
          <w:szCs w:val="18"/>
        </w:rPr>
        <w:t>scrizione</w:t>
      </w:r>
      <w:r w:rsidR="00870286">
        <w:rPr>
          <w:rFonts w:ascii="Titillium" w:hAnsi="Titillium" w:cs="Arial"/>
          <w:sz w:val="18"/>
          <w:szCs w:val="18"/>
        </w:rPr>
        <w:t xml:space="preserve"> a </w:t>
      </w:r>
      <w:r w:rsidR="00870286">
        <w:rPr>
          <w:rFonts w:ascii="Titillium" w:hAnsi="Titillium" w:cs="Calibri"/>
          <w:i/>
          <w:sz w:val="18"/>
          <w:szCs w:val="18"/>
        </w:rPr>
        <w:t>… [inserire iscrizioni richieste per provare l’idoneità tecnica dell’impresa es: registri o albi se prescritta dalla legislazione vigente per l’esercizio, da parte del concorrente, dell’attività oggetto di appalto]</w:t>
      </w:r>
      <w:bookmarkEnd w:id="1423"/>
    </w:p>
    <w:p w14:paraId="5F99AFBE" w14:textId="3E3D26D4" w:rsidR="004C53A8" w:rsidRDefault="007A77B0">
      <w:pPr>
        <w:spacing w:before="60" w:after="60"/>
        <w:ind w:left="284"/>
        <w:rPr>
          <w:rFonts w:ascii="Titillium" w:hAnsi="Titillium" w:cs="Calibri"/>
          <w:sz w:val="18"/>
          <w:szCs w:val="18"/>
        </w:rPr>
      </w:pPr>
      <w:r>
        <w:rPr>
          <w:rFonts w:ascii="Titillium" w:hAnsi="Titillium" w:cs="Calibri"/>
          <w:sz w:val="18"/>
          <w:szCs w:val="18"/>
        </w:rPr>
        <w:t>Per l’operatore economico di altro Stato membro, non residente in Italia</w:t>
      </w:r>
      <w:r w:rsidR="00AF455B">
        <w:rPr>
          <w:rFonts w:ascii="Titillium" w:hAnsi="Titillium" w:cs="Calibri"/>
          <w:sz w:val="18"/>
          <w:szCs w:val="18"/>
        </w:rPr>
        <w:t>:</w:t>
      </w:r>
      <w:r>
        <w:rPr>
          <w:rFonts w:ascii="Titillium" w:hAnsi="Titillium" w:cs="Calibri"/>
          <w:sz w:val="18"/>
          <w:szCs w:val="18"/>
        </w:rPr>
        <w:t xml:space="preserve"> </w:t>
      </w:r>
      <w:r w:rsidR="00870286">
        <w:rPr>
          <w:rFonts w:ascii="Titillium" w:hAnsi="Titillium" w:cs="Calibri"/>
          <w:sz w:val="18"/>
          <w:szCs w:val="18"/>
        </w:rPr>
        <w:t>secondo le modalità vigenti nello Stato nel quale è stabilito.</w:t>
      </w:r>
    </w:p>
    <w:p w14:paraId="7F287501" w14:textId="615EACE6" w:rsidR="00387BEA" w:rsidRPr="00425F22" w:rsidRDefault="00387BEA" w:rsidP="00387BEA">
      <w:pPr>
        <w:pStyle w:val="Paragrafoelenco"/>
        <w:spacing w:before="60" w:after="60"/>
        <w:ind w:left="0"/>
        <w:rPr>
          <w:rFonts w:ascii="Titillium" w:hAnsi="Titillium" w:cs="Arial"/>
          <w:i/>
          <w:iCs/>
          <w:sz w:val="18"/>
          <w:szCs w:val="18"/>
        </w:rPr>
      </w:pPr>
      <w:r w:rsidRPr="00387BEA">
        <w:rPr>
          <w:rFonts w:ascii="Titillium" w:hAnsi="Titillium" w:cs="Arial"/>
          <w:sz w:val="18"/>
          <w:szCs w:val="18"/>
        </w:rPr>
        <w:t xml:space="preserve">La comprova di tale requisito è fornita </w:t>
      </w:r>
      <w:r>
        <w:rPr>
          <w:rFonts w:ascii="Titillium" w:hAnsi="Titillium" w:cs="Arial"/>
          <w:sz w:val="18"/>
          <w:szCs w:val="18"/>
        </w:rPr>
        <w:t xml:space="preserve">mediante </w:t>
      </w:r>
      <w:r w:rsidRPr="00387BEA">
        <w:rPr>
          <w:rFonts w:ascii="Titillium" w:hAnsi="Titillium" w:cs="Arial"/>
          <w:sz w:val="18"/>
          <w:szCs w:val="18"/>
        </w:rPr>
        <w:t xml:space="preserve">…… </w:t>
      </w:r>
      <w:r w:rsidRPr="00387BEA">
        <w:rPr>
          <w:rFonts w:ascii="Titillium" w:hAnsi="Titillium" w:cs="Arial"/>
          <w:i/>
          <w:sz w:val="18"/>
          <w:szCs w:val="18"/>
        </w:rPr>
        <w:t xml:space="preserve">[indicare </w:t>
      </w:r>
      <w:r w:rsidR="00425F22">
        <w:rPr>
          <w:rFonts w:ascii="Titillium" w:hAnsi="Titillium" w:cs="Arial"/>
          <w:i/>
          <w:sz w:val="18"/>
          <w:szCs w:val="18"/>
        </w:rPr>
        <w:t>i</w:t>
      </w:r>
      <w:r>
        <w:rPr>
          <w:rFonts w:ascii="Titillium" w:hAnsi="Titillium" w:cs="Arial"/>
          <w:i/>
          <w:sz w:val="18"/>
          <w:szCs w:val="18"/>
        </w:rPr>
        <w:t xml:space="preserve"> documenti a comprova</w:t>
      </w:r>
      <w:r w:rsidR="00425F22" w:rsidRPr="00425F22">
        <w:rPr>
          <w:rFonts w:ascii="Titillium" w:hAnsi="Titillium" w:cs="Arial"/>
          <w:i/>
          <w:iCs/>
          <w:sz w:val="18"/>
          <w:szCs w:val="18"/>
        </w:rPr>
        <w:t>]</w:t>
      </w:r>
      <w:r w:rsidRPr="00425F22">
        <w:rPr>
          <w:rFonts w:ascii="Titillium" w:hAnsi="Titillium" w:cs="Arial"/>
          <w:i/>
          <w:iCs/>
          <w:sz w:val="18"/>
          <w:szCs w:val="18"/>
        </w:rPr>
        <w:t>.</w:t>
      </w:r>
    </w:p>
    <w:p w14:paraId="327F1DDB" w14:textId="13C726AF" w:rsidR="004C53A8" w:rsidRDefault="004C667D" w:rsidP="00084AD6">
      <w:pPr>
        <w:pStyle w:val="Titolo3"/>
        <w:numPr>
          <w:ilvl w:val="1"/>
          <w:numId w:val="4"/>
        </w:numPr>
        <w:ind w:left="426" w:hanging="426"/>
      </w:pPr>
      <w:bookmarkStart w:id="1424" w:name="_Toc484688287"/>
      <w:bookmarkStart w:id="1425" w:name="_Toc484605418"/>
      <w:bookmarkStart w:id="1426" w:name="_Toc484605294"/>
      <w:bookmarkStart w:id="1427" w:name="_Toc484526574"/>
      <w:bookmarkStart w:id="1428" w:name="_Toc484449079"/>
      <w:bookmarkStart w:id="1429" w:name="_Toc484448955"/>
      <w:bookmarkStart w:id="1430" w:name="_Toc484448831"/>
      <w:bookmarkStart w:id="1431" w:name="_Toc484448708"/>
      <w:bookmarkStart w:id="1432" w:name="_Toc484448584"/>
      <w:bookmarkStart w:id="1433" w:name="_Toc484448460"/>
      <w:bookmarkStart w:id="1434" w:name="_Toc484448336"/>
      <w:bookmarkStart w:id="1435" w:name="_Toc484448212"/>
      <w:bookmarkStart w:id="1436" w:name="_Toc484448087"/>
      <w:bookmarkStart w:id="1437" w:name="_Toc484440428"/>
      <w:bookmarkStart w:id="1438" w:name="_Toc484440068"/>
      <w:bookmarkStart w:id="1439" w:name="_Toc484439944"/>
      <w:bookmarkStart w:id="1440" w:name="_Toc484439821"/>
      <w:bookmarkStart w:id="1441" w:name="_Toc484438901"/>
      <w:bookmarkStart w:id="1442" w:name="_Toc484438777"/>
      <w:bookmarkStart w:id="1443" w:name="_Toc484438653"/>
      <w:bookmarkStart w:id="1444" w:name="_Toc484429078"/>
      <w:bookmarkStart w:id="1445" w:name="_Toc484428908"/>
      <w:bookmarkStart w:id="1446" w:name="_Toc484097736"/>
      <w:bookmarkStart w:id="1447" w:name="_Toc484011662"/>
      <w:bookmarkStart w:id="1448" w:name="_Toc484011187"/>
      <w:bookmarkStart w:id="1449" w:name="_Toc484011065"/>
      <w:bookmarkStart w:id="1450" w:name="_Toc484010943"/>
      <w:bookmarkStart w:id="1451" w:name="_Toc484010819"/>
      <w:bookmarkStart w:id="1452" w:name="_Toc484010697"/>
      <w:bookmarkStart w:id="1453" w:name="_Toc483906947"/>
      <w:bookmarkStart w:id="1454" w:name="_Toc483571570"/>
      <w:bookmarkStart w:id="1455" w:name="_Toc483571449"/>
      <w:bookmarkStart w:id="1456" w:name="_Toc483474020"/>
      <w:bookmarkStart w:id="1457" w:name="_Toc483401223"/>
      <w:bookmarkStart w:id="1458" w:name="_Toc483325744"/>
      <w:bookmarkStart w:id="1459" w:name="_Toc483316441"/>
      <w:bookmarkStart w:id="1460" w:name="_Toc483316310"/>
      <w:bookmarkStart w:id="1461" w:name="_Toc483316107"/>
      <w:bookmarkStart w:id="1462" w:name="_Toc483315902"/>
      <w:bookmarkStart w:id="1463" w:name="_Toc483302352"/>
      <w:bookmarkStart w:id="1464" w:name="_Toc485218278"/>
      <w:bookmarkStart w:id="1465" w:name="_Toc484688842"/>
      <w:bookmarkStart w:id="1466" w:name="_Ref495411575"/>
      <w:bookmarkStart w:id="1467" w:name="_Toc139549425"/>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r>
        <w:rPr>
          <w:rFonts w:ascii="Titillium" w:hAnsi="Titillium"/>
          <w:caps w:val="0"/>
          <w:sz w:val="18"/>
          <w:szCs w:val="18"/>
          <w:lang w:val="it-IT"/>
        </w:rPr>
        <w:t>R</w:t>
      </w:r>
      <w:r>
        <w:rPr>
          <w:rFonts w:ascii="Titillium" w:hAnsi="Titillium"/>
          <w:caps w:val="0"/>
          <w:sz w:val="18"/>
          <w:szCs w:val="18"/>
        </w:rPr>
        <w:t>EQUISITI DI CAPACITÀ ECONOMICA E FINANZIARIA</w:t>
      </w:r>
      <w:bookmarkEnd w:id="1466"/>
      <w:bookmarkEnd w:id="1467"/>
      <w:r>
        <w:rPr>
          <w:rFonts w:ascii="Titillium" w:hAnsi="Titillium"/>
          <w:caps w:val="0"/>
          <w:sz w:val="18"/>
          <w:szCs w:val="18"/>
          <w:lang w:val="it-IT"/>
        </w:rPr>
        <w:t xml:space="preserve"> </w:t>
      </w:r>
    </w:p>
    <w:p w14:paraId="5FE7E5C8" w14:textId="06755306" w:rsidR="004C53A8" w:rsidRPr="00884F7A" w:rsidRDefault="00870286" w:rsidP="00AC2A43">
      <w:pPr>
        <w:pStyle w:val="Paragrafoelenco"/>
        <w:numPr>
          <w:ilvl w:val="0"/>
          <w:numId w:val="69"/>
        </w:numPr>
        <w:spacing w:before="60" w:after="60"/>
        <w:ind w:left="284" w:hanging="284"/>
        <w:rPr>
          <w:rFonts w:ascii="Titillium" w:hAnsi="Titillium" w:cs="Arial"/>
          <w:b/>
          <w:iCs/>
          <w:sz w:val="18"/>
          <w:szCs w:val="18"/>
        </w:rPr>
      </w:pPr>
      <w:r w:rsidRPr="00884F7A">
        <w:rPr>
          <w:rFonts w:ascii="Titillium" w:hAnsi="Titillium" w:cs="Arial"/>
          <w:b/>
          <w:i/>
          <w:sz w:val="18"/>
          <w:szCs w:val="18"/>
        </w:rPr>
        <w:t xml:space="preserve">[Facoltativo] </w:t>
      </w:r>
      <w:r w:rsidRPr="00884F7A">
        <w:rPr>
          <w:rFonts w:ascii="Titillium" w:hAnsi="Titillium" w:cs="Arial"/>
          <w:b/>
          <w:iCs/>
          <w:sz w:val="18"/>
          <w:szCs w:val="18"/>
        </w:rPr>
        <w:t>Fatturato</w:t>
      </w:r>
      <w:r w:rsidR="00A55F58" w:rsidRPr="00884F7A">
        <w:rPr>
          <w:rFonts w:ascii="Titillium" w:hAnsi="Titillium" w:cs="Arial"/>
          <w:b/>
          <w:iCs/>
          <w:sz w:val="18"/>
          <w:szCs w:val="18"/>
        </w:rPr>
        <w:t xml:space="preserve"> globale</w:t>
      </w:r>
      <w:r w:rsidR="007E5181" w:rsidRPr="00884F7A">
        <w:rPr>
          <w:rFonts w:ascii="Titillium" w:hAnsi="Titillium" w:cs="Arial"/>
          <w:b/>
          <w:iCs/>
          <w:sz w:val="18"/>
          <w:szCs w:val="18"/>
        </w:rPr>
        <w:t xml:space="preserve"> maturato </w:t>
      </w:r>
      <w:r w:rsidR="00EA70B5" w:rsidRPr="00884F7A">
        <w:rPr>
          <w:rFonts w:ascii="Titillium" w:hAnsi="Titillium" w:cs="Arial"/>
          <w:b/>
          <w:iCs/>
          <w:sz w:val="18"/>
          <w:szCs w:val="18"/>
        </w:rPr>
        <w:t xml:space="preserve">nel triennio </w:t>
      </w:r>
      <w:r w:rsidR="007E5181" w:rsidRPr="00884F7A">
        <w:rPr>
          <w:rFonts w:ascii="Titillium" w:hAnsi="Titillium" w:cs="Arial"/>
          <w:b/>
          <w:iCs/>
          <w:sz w:val="18"/>
          <w:szCs w:val="18"/>
        </w:rPr>
        <w:t>precedente almeno pari € … IVA esclusa</w:t>
      </w:r>
      <w:r w:rsidRPr="00884F7A">
        <w:rPr>
          <w:rFonts w:ascii="Titillium" w:hAnsi="Titillium" w:cs="Arial"/>
          <w:b/>
          <w:iCs/>
          <w:sz w:val="18"/>
          <w:szCs w:val="18"/>
        </w:rPr>
        <w:t xml:space="preserve"> </w:t>
      </w:r>
    </w:p>
    <w:p w14:paraId="3376545C" w14:textId="60B191F8" w:rsidR="004C53A8" w:rsidRPr="003E4EEF" w:rsidRDefault="00870286">
      <w:pPr>
        <w:rPr>
          <w:rFonts w:ascii="Titillium" w:hAnsi="Titillium" w:cs="Arial"/>
          <w:i/>
          <w:sz w:val="18"/>
          <w:szCs w:val="24"/>
        </w:rPr>
      </w:pPr>
      <w:r w:rsidRPr="003E4EEF">
        <w:rPr>
          <w:rFonts w:ascii="Titillium" w:hAnsi="Titillium" w:cs="Arial"/>
          <w:i/>
          <w:sz w:val="18"/>
          <w:szCs w:val="24"/>
        </w:rPr>
        <w:t>[Nel caso di suddivisione in lotti indicare il requisito richiesto per ciascun lotto o gruppi di lotti aggiudicabili contemporaneamente</w:t>
      </w:r>
      <w:r w:rsidR="00C11A69" w:rsidRPr="003E4EEF">
        <w:rPr>
          <w:rFonts w:ascii="Titillium" w:hAnsi="Titillium" w:cs="Arial"/>
          <w:i/>
          <w:sz w:val="18"/>
          <w:szCs w:val="24"/>
        </w:rPr>
        <w:t>. Nel caso in cui sia previsto un numero massimo di lotti aggiudicabili al medesimo operatore economico, il requisito richiesto deve essere commisurato al numero massimo di lotti aggiudicabili</w:t>
      </w:r>
      <w:r w:rsidR="0009290B" w:rsidRPr="003E4EEF">
        <w:rPr>
          <w:rFonts w:ascii="Titillium" w:hAnsi="Titillium" w:cs="Arial"/>
          <w:i/>
          <w:sz w:val="18"/>
          <w:szCs w:val="24"/>
        </w:rPr>
        <w:t xml:space="preserve"> di maggior valore</w:t>
      </w:r>
      <w:r w:rsidRPr="003E4EEF">
        <w:rPr>
          <w:rFonts w:ascii="Titillium" w:hAnsi="Titillium" w:cs="Arial"/>
          <w:i/>
          <w:sz w:val="18"/>
          <w:szCs w:val="24"/>
        </w:rPr>
        <w:t>]</w:t>
      </w:r>
      <w:r w:rsidR="00C11A69" w:rsidRPr="003E4EEF">
        <w:rPr>
          <w:rFonts w:ascii="Titillium" w:hAnsi="Titillium" w:cs="Arial"/>
          <w:i/>
          <w:sz w:val="18"/>
          <w:szCs w:val="24"/>
        </w:rPr>
        <w:t>.</w:t>
      </w:r>
    </w:p>
    <w:p w14:paraId="5D8F0E88" w14:textId="7FDA6F23" w:rsidR="004C53A8" w:rsidRDefault="00870286">
      <w:r w:rsidRPr="003E4EEF">
        <w:rPr>
          <w:rFonts w:ascii="Titillium" w:hAnsi="Titillium" w:cs="Arial"/>
          <w:sz w:val="18"/>
          <w:szCs w:val="18"/>
          <w:u w:val="single"/>
        </w:rPr>
        <w:t>La comprova del requisito</w:t>
      </w:r>
      <w:r w:rsidRPr="003E4EEF">
        <w:rPr>
          <w:rFonts w:ascii="Titillium" w:hAnsi="Titillium" w:cs="Arial"/>
          <w:sz w:val="18"/>
          <w:szCs w:val="18"/>
        </w:rPr>
        <w:t xml:space="preserve"> è fornita mediante uno dei seguenti documenti:</w:t>
      </w:r>
    </w:p>
    <w:p w14:paraId="542D71B0" w14:textId="77777777" w:rsidR="004C53A8" w:rsidRDefault="00870286" w:rsidP="0022153A">
      <w:pPr>
        <w:pStyle w:val="Paragrafoelenco"/>
        <w:numPr>
          <w:ilvl w:val="0"/>
          <w:numId w:val="10"/>
        </w:numPr>
      </w:pPr>
      <w:r>
        <w:rPr>
          <w:rFonts w:ascii="Titillium" w:hAnsi="Titillium" w:cs="Arial"/>
          <w:sz w:val="18"/>
          <w:szCs w:val="18"/>
        </w:rPr>
        <w:t xml:space="preserve">per le </w:t>
      </w:r>
      <w:r>
        <w:rPr>
          <w:rFonts w:ascii="Titillium" w:hAnsi="Titillium" w:cs="Calibri"/>
          <w:sz w:val="18"/>
          <w:szCs w:val="18"/>
        </w:rPr>
        <w:t xml:space="preserve">società di capitali mediante bilanci, o estratti di essi, approvati alla data di scadenza del termine per la presentazione delle offerte corredati della nota integrativa; </w:t>
      </w:r>
    </w:p>
    <w:p w14:paraId="6E6F578F" w14:textId="77777777" w:rsidR="004C53A8" w:rsidRDefault="00870286" w:rsidP="0022153A">
      <w:pPr>
        <w:pStyle w:val="Paragrafoelenco"/>
        <w:numPr>
          <w:ilvl w:val="0"/>
          <w:numId w:val="10"/>
        </w:numPr>
        <w:rPr>
          <w:rFonts w:ascii="Titillium" w:hAnsi="Titillium" w:cs="Calibri"/>
          <w:sz w:val="18"/>
          <w:szCs w:val="18"/>
        </w:rPr>
      </w:pPr>
      <w:r>
        <w:rPr>
          <w:rFonts w:ascii="Titillium" w:hAnsi="Titillium" w:cs="Calibri"/>
          <w:sz w:val="18"/>
          <w:szCs w:val="18"/>
        </w:rPr>
        <w:t>per gli operatori economici costituiti in forma d’impresa individuale ovvero di società di persone mediante copia del Modello Unico o la Dichiarazione IVA;</w:t>
      </w:r>
    </w:p>
    <w:p w14:paraId="407EF4FF" w14:textId="51BC98F0" w:rsidR="004C53A8" w:rsidRPr="00AC6A6E" w:rsidRDefault="00870286" w:rsidP="0022153A">
      <w:pPr>
        <w:pStyle w:val="Paragrafoelenco"/>
        <w:numPr>
          <w:ilvl w:val="0"/>
          <w:numId w:val="10"/>
        </w:numPr>
        <w:spacing w:after="60"/>
        <w:ind w:left="419" w:hanging="357"/>
      </w:pPr>
      <w:r>
        <w:rPr>
          <w:rFonts w:ascii="Titillium" w:hAnsi="Titillium" w:cs="Calibri"/>
          <w:sz w:val="18"/>
          <w:szCs w:val="18"/>
        </w:rPr>
        <w:lastRenderedPageBreak/>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r w:rsidR="00AC6A6E">
        <w:rPr>
          <w:rFonts w:ascii="Titillium" w:hAnsi="Titillium" w:cs="Calibri"/>
          <w:sz w:val="18"/>
          <w:szCs w:val="18"/>
        </w:rPr>
        <w:t>.</w:t>
      </w:r>
    </w:p>
    <w:p w14:paraId="264CDE78" w14:textId="77777777" w:rsidR="006A2EDB" w:rsidRPr="006A2EDB" w:rsidRDefault="005A1DDE" w:rsidP="006A2EDB">
      <w:pPr>
        <w:pStyle w:val="Paragrafoelenco"/>
        <w:spacing w:before="60" w:after="60"/>
        <w:ind w:left="284"/>
        <w:rPr>
          <w:rFonts w:ascii="Titillium" w:hAnsi="Titillium" w:cs="Arial"/>
          <w:b/>
          <w:i/>
          <w:sz w:val="18"/>
          <w:szCs w:val="18"/>
        </w:rPr>
      </w:pPr>
      <w:r w:rsidRPr="00607E91">
        <w:rPr>
          <w:rFonts w:ascii="Titillium" w:hAnsi="Titillium" w:cs="Arial"/>
          <w:sz w:val="18"/>
          <w:szCs w:val="18"/>
        </w:rPr>
        <w:t>P</w:t>
      </w:r>
      <w:r w:rsidR="007E5181" w:rsidRPr="00607E91">
        <w:rPr>
          <w:rFonts w:ascii="Titillium" w:hAnsi="Titillium" w:cs="Arial"/>
          <w:sz w:val="18"/>
          <w:szCs w:val="18"/>
        </w:rPr>
        <w:t xml:space="preserve">er le imprese che abbiano iniziato l’attività da meno di </w:t>
      </w:r>
      <w:r w:rsidRPr="00607E91">
        <w:rPr>
          <w:rFonts w:ascii="Titillium" w:hAnsi="Titillium" w:cs="Arial"/>
          <w:sz w:val="18"/>
          <w:szCs w:val="18"/>
        </w:rPr>
        <w:t>tre anni</w:t>
      </w:r>
      <w:r w:rsidR="007E5181" w:rsidRPr="00607E91">
        <w:rPr>
          <w:rFonts w:ascii="Titillium" w:hAnsi="Titillium" w:cs="Arial"/>
          <w:sz w:val="18"/>
          <w:szCs w:val="18"/>
        </w:rPr>
        <w:t xml:space="preserve">, il requisito di fatturato </w:t>
      </w:r>
      <w:r w:rsidR="00607E91" w:rsidRPr="00607E91">
        <w:rPr>
          <w:rFonts w:ascii="Titillium" w:hAnsi="Titillium" w:cs="Arial"/>
          <w:sz w:val="18"/>
          <w:szCs w:val="18"/>
        </w:rPr>
        <w:t>è</w:t>
      </w:r>
      <w:r w:rsidR="007E5181" w:rsidRPr="00607E91">
        <w:rPr>
          <w:rFonts w:ascii="Titillium" w:hAnsi="Titillium" w:cs="Arial"/>
          <w:sz w:val="18"/>
          <w:szCs w:val="18"/>
        </w:rPr>
        <w:t xml:space="preserve"> rapportat</w:t>
      </w:r>
      <w:r w:rsidRPr="00607E91">
        <w:rPr>
          <w:rFonts w:ascii="Titillium" w:hAnsi="Titillium" w:cs="Arial"/>
          <w:sz w:val="18"/>
          <w:szCs w:val="18"/>
        </w:rPr>
        <w:t>o</w:t>
      </w:r>
      <w:r w:rsidR="007E5181" w:rsidRPr="00607E91">
        <w:rPr>
          <w:rFonts w:ascii="Titillium" w:hAnsi="Titillium" w:cs="Arial"/>
          <w:sz w:val="18"/>
          <w:szCs w:val="18"/>
        </w:rPr>
        <w:t xml:space="preserve"> al periodo di attività</w:t>
      </w:r>
      <w:r w:rsidRPr="00607E91">
        <w:rPr>
          <w:rFonts w:ascii="Titillium" w:hAnsi="Titillium" w:cs="Arial"/>
          <w:sz w:val="18"/>
          <w:szCs w:val="18"/>
        </w:rPr>
        <w:t xml:space="preserve"> effettivamente svolto</w:t>
      </w:r>
      <w:r w:rsidR="007E5181" w:rsidRPr="00607E91">
        <w:rPr>
          <w:rFonts w:ascii="Titillium" w:hAnsi="Titillium" w:cs="Arial"/>
          <w:sz w:val="18"/>
          <w:szCs w:val="18"/>
        </w:rPr>
        <w:t>.</w:t>
      </w:r>
      <w:r w:rsidRPr="00607E91">
        <w:rPr>
          <w:rFonts w:ascii="Titillium" w:hAnsi="Titillium" w:cs="Arial"/>
          <w:sz w:val="18"/>
          <w:szCs w:val="18"/>
        </w:rPr>
        <w:t xml:space="preserve"> </w:t>
      </w:r>
      <w:bookmarkStart w:id="1468" w:name="_Ref494466919"/>
      <w:bookmarkStart w:id="1469" w:name="_Ref497922592"/>
      <w:bookmarkEnd w:id="1468"/>
      <w:bookmarkEnd w:id="1469"/>
    </w:p>
    <w:p w14:paraId="754A27B9" w14:textId="4729B68B" w:rsidR="004C53A8" w:rsidRPr="00387BEA" w:rsidRDefault="00870286" w:rsidP="00AC2A43">
      <w:pPr>
        <w:pStyle w:val="Paragrafoelenco"/>
        <w:numPr>
          <w:ilvl w:val="0"/>
          <w:numId w:val="69"/>
        </w:numPr>
        <w:spacing w:before="60" w:after="60"/>
        <w:ind w:left="284" w:hanging="284"/>
        <w:rPr>
          <w:rFonts w:ascii="Titillium" w:hAnsi="Titillium" w:cs="Arial"/>
          <w:b/>
          <w:i/>
          <w:sz w:val="18"/>
          <w:szCs w:val="18"/>
        </w:rPr>
      </w:pPr>
      <w:r w:rsidRPr="00607E91">
        <w:rPr>
          <w:rFonts w:ascii="Titillium" w:hAnsi="Titillium" w:cs="Arial"/>
          <w:b/>
          <w:i/>
          <w:sz w:val="18"/>
          <w:szCs w:val="18"/>
        </w:rPr>
        <w:t>[</w:t>
      </w:r>
      <w:r w:rsidR="00387BEA" w:rsidRPr="00607E91">
        <w:rPr>
          <w:rFonts w:ascii="Titillium" w:hAnsi="Titillium" w:cs="Arial"/>
          <w:b/>
          <w:i/>
          <w:sz w:val="18"/>
          <w:szCs w:val="18"/>
        </w:rPr>
        <w:t>In caso di ulteriori requisiti economico finanziari previsti dalla normativa vigente</w:t>
      </w:r>
      <w:r w:rsidR="00976D4B" w:rsidRPr="00607E91">
        <w:rPr>
          <w:rFonts w:ascii="Titillium" w:hAnsi="Titillium" w:cs="Arial"/>
          <w:b/>
          <w:i/>
          <w:sz w:val="18"/>
          <w:szCs w:val="18"/>
        </w:rPr>
        <w:t>]</w:t>
      </w:r>
      <w:r w:rsidR="001458F9" w:rsidRPr="00607E91">
        <w:rPr>
          <w:rFonts w:ascii="Titillium" w:hAnsi="Titillium" w:cs="Arial"/>
          <w:b/>
          <w:i/>
          <w:sz w:val="18"/>
          <w:szCs w:val="18"/>
        </w:rPr>
        <w:t xml:space="preserve"> </w:t>
      </w:r>
      <w:r w:rsidR="001458F9" w:rsidRPr="00607E91">
        <w:rPr>
          <w:rFonts w:ascii="Titillium" w:hAnsi="Titillium" w:cs="Arial"/>
          <w:b/>
          <w:iCs/>
          <w:sz w:val="18"/>
          <w:szCs w:val="18"/>
        </w:rPr>
        <w:t>………</w:t>
      </w:r>
      <w:r w:rsidR="001458F9" w:rsidRPr="00607E91">
        <w:rPr>
          <w:rFonts w:ascii="Titillium" w:hAnsi="Titillium" w:cs="Arial"/>
          <w:bCs/>
          <w:i/>
          <w:sz w:val="18"/>
          <w:szCs w:val="18"/>
        </w:rPr>
        <w:t xml:space="preserve"> [</w:t>
      </w:r>
      <w:r w:rsidR="00B63B53" w:rsidRPr="00607E91">
        <w:rPr>
          <w:rFonts w:ascii="Titillium" w:hAnsi="Titillium" w:cs="Arial"/>
          <w:bCs/>
          <w:i/>
          <w:sz w:val="18"/>
          <w:szCs w:val="18"/>
        </w:rPr>
        <w:t xml:space="preserve">indicare </w:t>
      </w:r>
      <w:r w:rsidR="00387BEA" w:rsidRPr="00607E91">
        <w:rPr>
          <w:rFonts w:ascii="Titillium" w:hAnsi="Titillium" w:cs="Arial"/>
          <w:bCs/>
          <w:i/>
          <w:sz w:val="18"/>
          <w:szCs w:val="18"/>
        </w:rPr>
        <w:t>i</w:t>
      </w:r>
      <w:r w:rsidR="00B63B53" w:rsidRPr="00607E91">
        <w:rPr>
          <w:rFonts w:ascii="Titillium" w:hAnsi="Titillium" w:cs="Arial"/>
          <w:bCs/>
          <w:i/>
          <w:sz w:val="18"/>
          <w:szCs w:val="18"/>
        </w:rPr>
        <w:t xml:space="preserve"> requisiti previsti da leggi speciali</w:t>
      </w:r>
      <w:r w:rsidR="00B63B53" w:rsidRPr="00387BEA">
        <w:rPr>
          <w:rFonts w:ascii="Titillium" w:hAnsi="Titillium" w:cs="Arial"/>
          <w:bCs/>
          <w:i/>
          <w:sz w:val="18"/>
          <w:szCs w:val="18"/>
        </w:rPr>
        <w:t>]</w:t>
      </w:r>
      <w:bookmarkStart w:id="1470" w:name="_Ref497922607"/>
      <w:bookmarkEnd w:id="1470"/>
    </w:p>
    <w:p w14:paraId="38E2E7A2" w14:textId="4C7FB046" w:rsidR="004C53A8" w:rsidRPr="00E4634E" w:rsidRDefault="00870286">
      <w:pPr>
        <w:pStyle w:val="Paragrafoelenco"/>
        <w:spacing w:before="60" w:after="60"/>
        <w:ind w:left="0"/>
        <w:rPr>
          <w:rFonts w:ascii="Titillium" w:hAnsi="Titillium" w:cs="Arial"/>
          <w:sz w:val="18"/>
          <w:szCs w:val="18"/>
        </w:rPr>
      </w:pPr>
      <w:r w:rsidRPr="00387BEA">
        <w:rPr>
          <w:rFonts w:ascii="Titillium" w:hAnsi="Titillium" w:cs="Arial"/>
          <w:sz w:val="18"/>
          <w:szCs w:val="18"/>
        </w:rPr>
        <w:t xml:space="preserve">La comprova di tale requisito è fornita </w:t>
      </w:r>
      <w:r w:rsidR="00387BEA">
        <w:rPr>
          <w:rFonts w:ascii="Titillium" w:hAnsi="Titillium" w:cs="Arial"/>
          <w:sz w:val="18"/>
          <w:szCs w:val="18"/>
        </w:rPr>
        <w:t xml:space="preserve">mediante </w:t>
      </w:r>
      <w:r w:rsidR="00B63B53" w:rsidRPr="00387BEA">
        <w:rPr>
          <w:rFonts w:ascii="Titillium" w:hAnsi="Titillium" w:cs="Arial"/>
          <w:sz w:val="18"/>
          <w:szCs w:val="18"/>
        </w:rPr>
        <w:t>……</w:t>
      </w:r>
      <w:r w:rsidR="001458F9" w:rsidRPr="00387BEA">
        <w:rPr>
          <w:rFonts w:ascii="Titillium" w:hAnsi="Titillium" w:cs="Arial"/>
          <w:sz w:val="18"/>
          <w:szCs w:val="18"/>
        </w:rPr>
        <w:t xml:space="preserve"> </w:t>
      </w:r>
      <w:r w:rsidR="001458F9" w:rsidRPr="00387BEA">
        <w:rPr>
          <w:rFonts w:ascii="Titillium" w:hAnsi="Titillium" w:cs="Arial"/>
          <w:i/>
          <w:sz w:val="18"/>
          <w:szCs w:val="18"/>
        </w:rPr>
        <w:t>[i</w:t>
      </w:r>
      <w:r w:rsidR="00B63B53" w:rsidRPr="00387BEA">
        <w:rPr>
          <w:rFonts w:ascii="Titillium" w:hAnsi="Titillium" w:cs="Arial"/>
          <w:i/>
          <w:sz w:val="18"/>
          <w:szCs w:val="18"/>
        </w:rPr>
        <w:t xml:space="preserve">ndicare </w:t>
      </w:r>
      <w:r w:rsidR="00387BEA">
        <w:rPr>
          <w:rFonts w:ascii="Titillium" w:hAnsi="Titillium" w:cs="Arial"/>
          <w:i/>
          <w:sz w:val="18"/>
          <w:szCs w:val="18"/>
        </w:rPr>
        <w:t>i documenti a comprova</w:t>
      </w:r>
      <w:r w:rsidR="00B63B53" w:rsidRPr="00387BEA">
        <w:rPr>
          <w:rFonts w:ascii="Titillium" w:hAnsi="Titillium" w:cs="Arial"/>
          <w:sz w:val="18"/>
          <w:szCs w:val="18"/>
        </w:rPr>
        <w:t>]</w:t>
      </w:r>
      <w:r w:rsidR="002A5EF6" w:rsidRPr="00387BEA">
        <w:rPr>
          <w:rFonts w:ascii="Titillium" w:hAnsi="Titillium" w:cs="Arial"/>
          <w:sz w:val="18"/>
          <w:szCs w:val="18"/>
        </w:rPr>
        <w:t>.</w:t>
      </w:r>
    </w:p>
    <w:p w14:paraId="7FCBF15A" w14:textId="4EF1D350" w:rsidR="004C53A8" w:rsidRDefault="004C667D" w:rsidP="00084AD6">
      <w:pPr>
        <w:pStyle w:val="Titolo3"/>
        <w:numPr>
          <w:ilvl w:val="1"/>
          <w:numId w:val="4"/>
        </w:numPr>
        <w:ind w:left="426" w:hanging="426"/>
        <w:rPr>
          <w:rFonts w:ascii="Titillium" w:hAnsi="Titillium"/>
          <w:sz w:val="18"/>
          <w:szCs w:val="18"/>
          <w:lang w:val="it-IT"/>
        </w:rPr>
      </w:pPr>
      <w:bookmarkStart w:id="1471" w:name="_Ref495506173"/>
      <w:bookmarkStart w:id="1472" w:name="_Ref495482790"/>
      <w:bookmarkStart w:id="1473" w:name="_Ref495482769"/>
      <w:bookmarkStart w:id="1474" w:name="_Ref495411584"/>
      <w:bookmarkStart w:id="1475" w:name="_Ref496707577"/>
      <w:bookmarkStart w:id="1476" w:name="_Ref495920623"/>
      <w:bookmarkStart w:id="1477" w:name="_Toc139549426"/>
      <w:r>
        <w:rPr>
          <w:rFonts w:ascii="Titillium" w:hAnsi="Titillium"/>
          <w:caps w:val="0"/>
          <w:sz w:val="18"/>
          <w:szCs w:val="18"/>
          <w:lang w:val="it-IT"/>
        </w:rPr>
        <w:t>REQUISITI DI CAPACITÀ TECNICA E PROFESSIONALE</w:t>
      </w:r>
      <w:bookmarkEnd w:id="1471"/>
      <w:bookmarkEnd w:id="1472"/>
      <w:bookmarkEnd w:id="1473"/>
      <w:bookmarkEnd w:id="1474"/>
      <w:bookmarkEnd w:id="1475"/>
      <w:bookmarkEnd w:id="1476"/>
      <w:bookmarkEnd w:id="1477"/>
    </w:p>
    <w:p w14:paraId="2268B28A" w14:textId="1224F5AA" w:rsidR="006B77B9" w:rsidRPr="006B77B9" w:rsidRDefault="006B77B9" w:rsidP="006B77B9">
      <w:pPr>
        <w:pStyle w:val="Paragrafoelenco"/>
        <w:numPr>
          <w:ilvl w:val="0"/>
          <w:numId w:val="70"/>
        </w:numPr>
        <w:spacing w:before="60" w:after="60"/>
        <w:ind w:left="284" w:hanging="284"/>
      </w:pPr>
      <w:bookmarkStart w:id="1478" w:name="_Ref497922628"/>
      <w:r w:rsidRPr="001B44C8">
        <w:rPr>
          <w:rFonts w:ascii="Titillium" w:hAnsi="Titillium" w:cs="Arial"/>
          <w:b/>
          <w:i/>
          <w:sz w:val="18"/>
          <w:szCs w:val="18"/>
        </w:rPr>
        <w:t>[Facoltativo]</w:t>
      </w:r>
      <w:r w:rsidRPr="001B44C8">
        <w:rPr>
          <w:rFonts w:ascii="Titillium" w:hAnsi="Titillium" w:cs="Calibri"/>
          <w:b/>
          <w:i/>
          <w:sz w:val="18"/>
          <w:szCs w:val="18"/>
        </w:rPr>
        <w:t xml:space="preserve"> </w:t>
      </w:r>
      <w:r w:rsidRPr="001B44C8">
        <w:rPr>
          <w:rFonts w:ascii="Titillium" w:hAnsi="Titillium" w:cs="Arial"/>
          <w:b/>
          <w:iCs/>
          <w:sz w:val="18"/>
          <w:szCs w:val="18"/>
        </w:rPr>
        <w:t xml:space="preserve">Esecuzione negli ultimi tre anni di </w:t>
      </w:r>
      <w:r w:rsidR="00D95E6D" w:rsidRPr="001B44C8">
        <w:rPr>
          <w:rFonts w:ascii="Titillium" w:hAnsi="Titillium" w:cs="Arial"/>
          <w:b/>
          <w:iCs/>
          <w:sz w:val="18"/>
          <w:szCs w:val="18"/>
        </w:rPr>
        <w:t xml:space="preserve">almeno n. …. </w:t>
      </w:r>
      <w:r w:rsidR="001B44C8" w:rsidRPr="001B44C8">
        <w:rPr>
          <w:rFonts w:ascii="Titillium" w:hAnsi="Titillium" w:cs="Calibri"/>
          <w:b/>
          <w:sz w:val="18"/>
          <w:szCs w:val="18"/>
        </w:rPr>
        <w:t>s</w:t>
      </w:r>
      <w:r w:rsidRPr="001B44C8">
        <w:rPr>
          <w:rFonts w:ascii="Titillium" w:hAnsi="Titillium" w:cs="Calibri"/>
          <w:b/>
          <w:sz w:val="18"/>
          <w:szCs w:val="18"/>
        </w:rPr>
        <w:t>ervizi</w:t>
      </w:r>
      <w:r w:rsidR="001B44C8" w:rsidRPr="001B44C8">
        <w:rPr>
          <w:rFonts w:ascii="Titillium" w:hAnsi="Titillium" w:cs="Calibri"/>
          <w:b/>
          <w:sz w:val="18"/>
          <w:szCs w:val="18"/>
        </w:rPr>
        <w:t xml:space="preserve"> analoghi</w:t>
      </w:r>
      <w:r w:rsidR="001B44C8" w:rsidRPr="001B44C8">
        <w:rPr>
          <w:rFonts w:ascii="Titillium" w:hAnsi="Titillium" w:cs="Calibri"/>
          <w:b/>
          <w:i/>
          <w:iCs/>
          <w:sz w:val="18"/>
          <w:szCs w:val="18"/>
        </w:rPr>
        <w:t xml:space="preserve"> [o </w:t>
      </w:r>
      <w:r w:rsidRPr="001B44C8">
        <w:rPr>
          <w:rFonts w:ascii="Titillium" w:hAnsi="Titillium" w:cs="Calibri"/>
          <w:b/>
          <w:i/>
          <w:iCs/>
          <w:sz w:val="18"/>
          <w:szCs w:val="18"/>
        </w:rPr>
        <w:t>forniture</w:t>
      </w:r>
      <w:r w:rsidR="001B44C8" w:rsidRPr="001B44C8">
        <w:rPr>
          <w:rFonts w:ascii="Titillium" w:hAnsi="Titillium" w:cs="Calibri"/>
          <w:b/>
          <w:i/>
          <w:iCs/>
          <w:sz w:val="18"/>
          <w:szCs w:val="18"/>
        </w:rPr>
        <w:t xml:space="preserve"> analoghe]</w:t>
      </w:r>
      <w:r w:rsidRPr="001B44C8">
        <w:rPr>
          <w:rFonts w:ascii="Titillium" w:hAnsi="Titillium" w:cs="Calibri"/>
          <w:sz w:val="18"/>
          <w:szCs w:val="18"/>
        </w:rPr>
        <w:t xml:space="preserve"> a … </w:t>
      </w:r>
      <w:r w:rsidRPr="001B44C8">
        <w:rPr>
          <w:rFonts w:ascii="Titillium" w:hAnsi="Titillium" w:cs="Calibri"/>
          <w:i/>
          <w:sz w:val="18"/>
          <w:szCs w:val="18"/>
        </w:rPr>
        <w:t>[indicare il tipo di</w:t>
      </w:r>
      <w:r>
        <w:rPr>
          <w:rFonts w:ascii="Titillium" w:hAnsi="Titillium" w:cs="Calibri"/>
          <w:i/>
          <w:sz w:val="18"/>
          <w:szCs w:val="18"/>
        </w:rPr>
        <w:t xml:space="preserve"> servizio/fornitura analogo che si richiede]</w:t>
      </w:r>
      <w:r>
        <w:rPr>
          <w:rFonts w:ascii="Titillium" w:hAnsi="Titillium" w:cs="Calibri"/>
          <w:sz w:val="18"/>
          <w:szCs w:val="18"/>
        </w:rPr>
        <w:t xml:space="preserve"> di importo minimo pari a € …</w:t>
      </w:r>
      <w:r w:rsidRPr="009166D1">
        <w:rPr>
          <w:rFonts w:ascii="Titillium" w:hAnsi="Titillium" w:cs="Calibri"/>
          <w:sz w:val="18"/>
          <w:szCs w:val="18"/>
        </w:rPr>
        <w:t>:</w:t>
      </w:r>
      <w:r>
        <w:rPr>
          <w:rFonts w:ascii="Titillium" w:hAnsi="Titillium" w:cs="Calibri"/>
          <w:sz w:val="18"/>
          <w:szCs w:val="18"/>
        </w:rPr>
        <w:t xml:space="preserve"> </w:t>
      </w:r>
      <w:r>
        <w:rPr>
          <w:rFonts w:ascii="Titillium" w:hAnsi="Titillium" w:cs="Calibri"/>
          <w:i/>
          <w:sz w:val="18"/>
          <w:szCs w:val="18"/>
        </w:rPr>
        <w:t>[se richiest</w:t>
      </w:r>
      <w:r w:rsidR="006A3B79">
        <w:rPr>
          <w:rFonts w:ascii="Titillium" w:hAnsi="Titillium" w:cs="Calibri"/>
          <w:i/>
          <w:sz w:val="18"/>
          <w:szCs w:val="18"/>
        </w:rPr>
        <w:t xml:space="preserve">o un elenco di </w:t>
      </w:r>
      <w:r>
        <w:rPr>
          <w:rFonts w:ascii="Titillium" w:hAnsi="Titillium" w:cs="Calibri"/>
          <w:i/>
          <w:sz w:val="18"/>
          <w:szCs w:val="18"/>
        </w:rPr>
        <w:t xml:space="preserve">servizi/forniture in prestazioni </w:t>
      </w:r>
      <w:r w:rsidR="006A3B79">
        <w:rPr>
          <w:rFonts w:ascii="Titillium" w:hAnsi="Titillium" w:cs="Calibri"/>
          <w:i/>
          <w:sz w:val="18"/>
          <w:szCs w:val="18"/>
        </w:rPr>
        <w:t xml:space="preserve">diverse </w:t>
      </w:r>
      <w:r>
        <w:rPr>
          <w:rFonts w:ascii="Titillium" w:hAnsi="Titillium" w:cs="Calibri"/>
          <w:i/>
          <w:sz w:val="18"/>
          <w:szCs w:val="18"/>
        </w:rPr>
        <w:t>ripetere la dicitura per ogni prestazione].</w:t>
      </w:r>
    </w:p>
    <w:bookmarkEnd w:id="1478"/>
    <w:p w14:paraId="30E2DBF7" w14:textId="501DA16A" w:rsidR="004C53A8" w:rsidRDefault="00870286">
      <w:pPr>
        <w:spacing w:before="60" w:after="60"/>
      </w:pPr>
      <w:r w:rsidRPr="008F7418">
        <w:rPr>
          <w:rFonts w:ascii="Titillium" w:hAnsi="Titillium" w:cs="Arial"/>
          <w:sz w:val="18"/>
          <w:szCs w:val="18"/>
        </w:rPr>
        <w:t>La comprova del requisito è</w:t>
      </w:r>
      <w:r>
        <w:rPr>
          <w:rFonts w:ascii="Titillium" w:hAnsi="Titillium" w:cs="Arial"/>
          <w:sz w:val="18"/>
          <w:szCs w:val="18"/>
        </w:rPr>
        <w:t xml:space="preserve"> fornita mediante</w:t>
      </w:r>
      <w:r w:rsidR="000E63DD">
        <w:rPr>
          <w:rFonts w:ascii="Titillium" w:hAnsi="Titillium" w:cs="Arial"/>
          <w:sz w:val="18"/>
          <w:szCs w:val="18"/>
        </w:rPr>
        <w:t xml:space="preserve"> uno o più dei seguenti documenti</w:t>
      </w:r>
      <w:r>
        <w:rPr>
          <w:rFonts w:ascii="Titillium" w:hAnsi="Titillium" w:cs="Arial"/>
          <w:sz w:val="18"/>
          <w:szCs w:val="18"/>
        </w:rPr>
        <w:t>:</w:t>
      </w:r>
    </w:p>
    <w:p w14:paraId="0A1D52CC" w14:textId="63590D72" w:rsidR="004C53A8" w:rsidRPr="005D7A3A" w:rsidRDefault="00870286" w:rsidP="005D7A3A">
      <w:pPr>
        <w:pStyle w:val="Paragrafoelenco"/>
        <w:numPr>
          <w:ilvl w:val="0"/>
          <w:numId w:val="64"/>
        </w:numPr>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certificati rilasciati dall’amministrazione/ente contraente, con l’indicazione dell’oggetto, dell’importo e del periodo di esecuzione;</w:t>
      </w:r>
    </w:p>
    <w:p w14:paraId="21FE1B33" w14:textId="14C414F6" w:rsidR="004C53A8" w:rsidRPr="005D7A3A" w:rsidRDefault="00870286" w:rsidP="005D7A3A">
      <w:pPr>
        <w:pStyle w:val="Paragrafoelenco"/>
        <w:numPr>
          <w:ilvl w:val="0"/>
          <w:numId w:val="64"/>
        </w:numPr>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contratti stipulati con le amministrazioni pubbliche, completi di copia delle fatture quietanzate ovvero dei documenti bancari attestanti il pagamento delle stesse;</w:t>
      </w:r>
    </w:p>
    <w:p w14:paraId="73D017BA" w14:textId="751EDF3D" w:rsidR="00C365A8" w:rsidRPr="005D7A3A" w:rsidRDefault="008F7418" w:rsidP="005D7A3A">
      <w:pPr>
        <w:pStyle w:val="Paragrafoelenco"/>
        <w:numPr>
          <w:ilvl w:val="0"/>
          <w:numId w:val="64"/>
        </w:numPr>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attestazioni</w:t>
      </w:r>
      <w:r w:rsidR="00870286" w:rsidRPr="005D7A3A">
        <w:rPr>
          <w:rFonts w:ascii="Titillium" w:hAnsi="Titillium" w:cs="Arial"/>
          <w:sz w:val="18"/>
          <w:szCs w:val="18"/>
        </w:rPr>
        <w:t xml:space="preserve"> r</w:t>
      </w:r>
      <w:r w:rsidRPr="005D7A3A">
        <w:rPr>
          <w:rFonts w:ascii="Titillium" w:hAnsi="Titillium" w:cs="Arial"/>
          <w:sz w:val="18"/>
          <w:szCs w:val="18"/>
        </w:rPr>
        <w:t>ilasciate</w:t>
      </w:r>
      <w:r w:rsidR="00870286" w:rsidRPr="005D7A3A">
        <w:rPr>
          <w:rFonts w:ascii="Titillium" w:hAnsi="Titillium" w:cs="Arial"/>
          <w:sz w:val="18"/>
          <w:szCs w:val="18"/>
        </w:rPr>
        <w:t xml:space="preserve"> dal committente privato, con l’indicazione dell’oggetto, dell’impo</w:t>
      </w:r>
      <w:r w:rsidR="00C365A8" w:rsidRPr="005D7A3A">
        <w:rPr>
          <w:rFonts w:ascii="Titillium" w:hAnsi="Titillium" w:cs="Arial"/>
          <w:sz w:val="18"/>
          <w:szCs w:val="18"/>
        </w:rPr>
        <w:t>rto e del periodo di esecuzione;</w:t>
      </w:r>
    </w:p>
    <w:p w14:paraId="0801FBBE" w14:textId="7386F2CD" w:rsidR="004C53A8" w:rsidRPr="005D7A3A" w:rsidRDefault="00870286" w:rsidP="005D7A3A">
      <w:pPr>
        <w:pStyle w:val="Paragrafoelenco"/>
        <w:numPr>
          <w:ilvl w:val="0"/>
          <w:numId w:val="64"/>
        </w:numPr>
        <w:tabs>
          <w:tab w:val="left" w:pos="426"/>
        </w:tabs>
        <w:suppressAutoHyphens/>
        <w:spacing w:before="60" w:after="60"/>
        <w:ind w:left="426"/>
        <w:textAlignment w:val="baseline"/>
        <w:rPr>
          <w:rFonts w:ascii="Titillium" w:hAnsi="Titillium" w:cs="Arial"/>
          <w:sz w:val="18"/>
          <w:szCs w:val="18"/>
        </w:rPr>
      </w:pPr>
      <w:r w:rsidRPr="005D7A3A">
        <w:rPr>
          <w:rFonts w:ascii="Titillium" w:hAnsi="Titillium" w:cs="Arial"/>
          <w:sz w:val="18"/>
          <w:szCs w:val="18"/>
        </w:rPr>
        <w:t>contratti stipulati con privati, completi di copia delle fatture quietanzate ovvero dei documenti bancari attestanti il pagamento delle stesse</w:t>
      </w:r>
      <w:r w:rsidR="00C365A8" w:rsidRPr="005D7A3A">
        <w:rPr>
          <w:rFonts w:ascii="Titillium" w:hAnsi="Titillium" w:cs="Arial"/>
          <w:sz w:val="18"/>
          <w:szCs w:val="18"/>
        </w:rPr>
        <w:t>.</w:t>
      </w:r>
    </w:p>
    <w:p w14:paraId="7644960F" w14:textId="3E58270D" w:rsidR="004C53A8" w:rsidRDefault="004C53A8">
      <w:pPr>
        <w:pStyle w:val="Paragrafoelenco"/>
        <w:spacing w:before="60" w:after="60"/>
        <w:ind w:left="284"/>
        <w:rPr>
          <w:rFonts w:ascii="Titillium" w:hAnsi="Titillium" w:cs="Arial"/>
          <w:b/>
          <w:sz w:val="18"/>
          <w:szCs w:val="18"/>
        </w:rPr>
      </w:pPr>
    </w:p>
    <w:p w14:paraId="4EFEF498" w14:textId="52B3DD0D" w:rsidR="00AC2A43" w:rsidRPr="00387BEA" w:rsidRDefault="00AC2A43" w:rsidP="009166D1">
      <w:pPr>
        <w:pStyle w:val="Paragrafoelenco"/>
        <w:numPr>
          <w:ilvl w:val="0"/>
          <w:numId w:val="70"/>
        </w:numPr>
        <w:spacing w:before="60" w:after="60"/>
        <w:ind w:left="284" w:hanging="284"/>
        <w:rPr>
          <w:rFonts w:ascii="Titillium" w:hAnsi="Titillium" w:cs="Arial"/>
          <w:b/>
          <w:i/>
          <w:sz w:val="18"/>
          <w:szCs w:val="18"/>
        </w:rPr>
      </w:pPr>
      <w:r w:rsidRPr="00387BEA">
        <w:rPr>
          <w:rFonts w:ascii="Titillium" w:hAnsi="Titillium" w:cs="Arial"/>
          <w:b/>
          <w:i/>
          <w:sz w:val="18"/>
          <w:szCs w:val="18"/>
        </w:rPr>
        <w:t>[</w:t>
      </w:r>
      <w:r w:rsidR="00387BEA" w:rsidRPr="00387BEA">
        <w:rPr>
          <w:rFonts w:ascii="Titillium" w:hAnsi="Titillium" w:cs="Arial"/>
          <w:b/>
          <w:i/>
          <w:sz w:val="18"/>
          <w:szCs w:val="18"/>
        </w:rPr>
        <w:t xml:space="preserve">In caso di ulteriori requisiti </w:t>
      </w:r>
      <w:r w:rsidR="00387BEA">
        <w:rPr>
          <w:rFonts w:ascii="Titillium" w:hAnsi="Titillium" w:cs="Arial"/>
          <w:b/>
          <w:i/>
          <w:sz w:val="18"/>
          <w:szCs w:val="18"/>
        </w:rPr>
        <w:t xml:space="preserve">tecnico-professionali </w:t>
      </w:r>
      <w:r w:rsidRPr="00387BEA">
        <w:rPr>
          <w:rFonts w:ascii="Titillium" w:hAnsi="Titillium" w:cs="Arial"/>
          <w:b/>
          <w:i/>
          <w:sz w:val="18"/>
          <w:szCs w:val="18"/>
        </w:rPr>
        <w:t>previst</w:t>
      </w:r>
      <w:r w:rsidR="00387BEA" w:rsidRPr="00387BEA">
        <w:rPr>
          <w:rFonts w:ascii="Titillium" w:hAnsi="Titillium" w:cs="Arial"/>
          <w:b/>
          <w:i/>
          <w:sz w:val="18"/>
          <w:szCs w:val="18"/>
        </w:rPr>
        <w:t>i</w:t>
      </w:r>
      <w:r w:rsidRPr="00387BEA">
        <w:rPr>
          <w:rFonts w:ascii="Titillium" w:hAnsi="Titillium" w:cs="Arial"/>
          <w:b/>
          <w:i/>
          <w:sz w:val="18"/>
          <w:szCs w:val="18"/>
        </w:rPr>
        <w:t xml:space="preserve"> dalla normativa vigente] </w:t>
      </w:r>
      <w:r w:rsidRPr="00387BEA">
        <w:rPr>
          <w:rFonts w:ascii="Titillium" w:hAnsi="Titillium" w:cs="Arial"/>
          <w:bCs/>
          <w:iCs/>
          <w:sz w:val="18"/>
          <w:szCs w:val="18"/>
        </w:rPr>
        <w:t>………</w:t>
      </w:r>
      <w:r w:rsidRPr="00387BEA">
        <w:rPr>
          <w:rFonts w:ascii="Titillium" w:hAnsi="Titillium" w:cs="Arial"/>
          <w:bCs/>
          <w:i/>
          <w:sz w:val="18"/>
          <w:szCs w:val="18"/>
        </w:rPr>
        <w:t xml:space="preserve"> [indicare eventuali requisiti previsti da leggi speciali]</w:t>
      </w:r>
    </w:p>
    <w:p w14:paraId="25FA570B" w14:textId="068C0A0E" w:rsidR="00AC2A43" w:rsidRPr="00E4634E" w:rsidRDefault="00AC2A43" w:rsidP="00AC2A43">
      <w:pPr>
        <w:pStyle w:val="Paragrafoelenco"/>
        <w:spacing w:before="60" w:after="60"/>
        <w:ind w:left="0"/>
        <w:rPr>
          <w:rFonts w:ascii="Titillium" w:hAnsi="Titillium" w:cs="Arial"/>
          <w:sz w:val="18"/>
          <w:szCs w:val="18"/>
        </w:rPr>
      </w:pPr>
      <w:r w:rsidRPr="00387BEA">
        <w:rPr>
          <w:rFonts w:ascii="Titillium" w:hAnsi="Titillium" w:cs="Arial"/>
          <w:sz w:val="18"/>
          <w:szCs w:val="18"/>
        </w:rPr>
        <w:t xml:space="preserve">La comprova di tale requisito è fornita </w:t>
      </w:r>
      <w:r w:rsidR="00387BEA">
        <w:rPr>
          <w:rFonts w:ascii="Titillium" w:hAnsi="Titillium" w:cs="Arial"/>
          <w:sz w:val="18"/>
          <w:szCs w:val="18"/>
        </w:rPr>
        <w:t xml:space="preserve">mediante </w:t>
      </w:r>
      <w:r w:rsidRPr="00387BEA">
        <w:rPr>
          <w:rFonts w:ascii="Titillium" w:hAnsi="Titillium" w:cs="Arial"/>
          <w:sz w:val="18"/>
          <w:szCs w:val="18"/>
        </w:rPr>
        <w:t xml:space="preserve">…… </w:t>
      </w:r>
      <w:r w:rsidRPr="00387BEA">
        <w:rPr>
          <w:rFonts w:ascii="Titillium" w:hAnsi="Titillium" w:cs="Arial"/>
          <w:i/>
          <w:sz w:val="18"/>
          <w:szCs w:val="18"/>
        </w:rPr>
        <w:t>[indicare l</w:t>
      </w:r>
      <w:r w:rsidR="00387BEA">
        <w:rPr>
          <w:rFonts w:ascii="Titillium" w:hAnsi="Titillium" w:cs="Arial"/>
          <w:i/>
          <w:sz w:val="18"/>
          <w:szCs w:val="18"/>
        </w:rPr>
        <w:t>i documenti a comprova</w:t>
      </w:r>
      <w:r w:rsidRPr="00387BEA">
        <w:rPr>
          <w:rFonts w:ascii="Titillium" w:hAnsi="Titillium" w:cs="Arial"/>
          <w:sz w:val="18"/>
          <w:szCs w:val="18"/>
        </w:rPr>
        <w:t>].</w:t>
      </w:r>
    </w:p>
    <w:p w14:paraId="5170B310" w14:textId="55ABFA8B" w:rsidR="004C53A8" w:rsidRPr="001051E3" w:rsidRDefault="004C667D" w:rsidP="001051E3">
      <w:pPr>
        <w:pStyle w:val="Titolo3"/>
        <w:numPr>
          <w:ilvl w:val="1"/>
          <w:numId w:val="4"/>
        </w:numPr>
        <w:ind w:left="426" w:hanging="426"/>
        <w:rPr>
          <w:rFonts w:ascii="Titillium" w:hAnsi="Titillium"/>
          <w:caps w:val="0"/>
          <w:sz w:val="18"/>
          <w:szCs w:val="18"/>
          <w:lang w:val="it-IT"/>
        </w:rPr>
      </w:pPr>
      <w:bookmarkStart w:id="1479" w:name="_Toc497728149"/>
      <w:bookmarkStart w:id="1480" w:name="_Toc497484951"/>
      <w:bookmarkStart w:id="1481" w:name="_Toc485218285"/>
      <w:bookmarkStart w:id="1482" w:name="_Toc484688849"/>
      <w:bookmarkStart w:id="1483" w:name="_Toc484688294"/>
      <w:bookmarkStart w:id="1484" w:name="_Toc484605425"/>
      <w:bookmarkStart w:id="1485" w:name="_Toc484605301"/>
      <w:bookmarkStart w:id="1486" w:name="_Toc484526581"/>
      <w:bookmarkStart w:id="1487" w:name="_Toc484449086"/>
      <w:bookmarkStart w:id="1488" w:name="_Toc484448962"/>
      <w:bookmarkStart w:id="1489" w:name="_Toc484448838"/>
      <w:bookmarkStart w:id="1490" w:name="_Toc484448715"/>
      <w:bookmarkStart w:id="1491" w:name="_Toc484448591"/>
      <w:bookmarkStart w:id="1492" w:name="_Toc484448467"/>
      <w:bookmarkStart w:id="1493" w:name="_Toc484448343"/>
      <w:bookmarkStart w:id="1494" w:name="_Toc484448219"/>
      <w:bookmarkStart w:id="1495" w:name="_Toc484448094"/>
      <w:bookmarkStart w:id="1496" w:name="_Toc484440435"/>
      <w:bookmarkStart w:id="1497" w:name="_Toc484440075"/>
      <w:bookmarkStart w:id="1498" w:name="_Toc484439951"/>
      <w:bookmarkStart w:id="1499" w:name="_Toc484439828"/>
      <w:bookmarkStart w:id="1500" w:name="_Toc484438908"/>
      <w:bookmarkStart w:id="1501" w:name="_Toc484438784"/>
      <w:bookmarkStart w:id="1502" w:name="_Toc484438660"/>
      <w:bookmarkStart w:id="1503" w:name="_Toc484429085"/>
      <w:bookmarkStart w:id="1504" w:name="_Toc484428915"/>
      <w:bookmarkStart w:id="1505" w:name="_Toc484097743"/>
      <w:bookmarkStart w:id="1506" w:name="_Toc484011669"/>
      <w:bookmarkStart w:id="1507" w:name="_Toc484011194"/>
      <w:bookmarkStart w:id="1508" w:name="_Toc484011072"/>
      <w:bookmarkStart w:id="1509" w:name="_Toc484010950"/>
      <w:bookmarkStart w:id="1510" w:name="_Toc484010826"/>
      <w:bookmarkStart w:id="1511" w:name="_Toc484010704"/>
      <w:bookmarkStart w:id="1512" w:name="_Toc483906954"/>
      <w:bookmarkStart w:id="1513" w:name="_Toc483571577"/>
      <w:bookmarkStart w:id="1514" w:name="_Toc483571456"/>
      <w:bookmarkStart w:id="1515" w:name="_Toc483474027"/>
      <w:bookmarkStart w:id="1516" w:name="_Toc483401230"/>
      <w:bookmarkStart w:id="1517" w:name="_Toc483325751"/>
      <w:bookmarkStart w:id="1518" w:name="_Toc483316448"/>
      <w:bookmarkStart w:id="1519" w:name="_Toc483316317"/>
      <w:bookmarkStart w:id="1520" w:name="_Toc483316114"/>
      <w:bookmarkStart w:id="1521" w:name="_Toc483315909"/>
      <w:bookmarkStart w:id="1522" w:name="_Toc483302359"/>
      <w:bookmarkStart w:id="1523" w:name="_Toc485218284"/>
      <w:bookmarkStart w:id="1524" w:name="_Toc484688848"/>
      <w:bookmarkStart w:id="1525" w:name="_Toc484688293"/>
      <w:bookmarkStart w:id="1526" w:name="_Toc484605424"/>
      <w:bookmarkStart w:id="1527" w:name="_Toc484605300"/>
      <w:bookmarkStart w:id="1528" w:name="_Toc484526580"/>
      <w:bookmarkStart w:id="1529" w:name="_Toc484449085"/>
      <w:bookmarkStart w:id="1530" w:name="_Toc484448961"/>
      <w:bookmarkStart w:id="1531" w:name="_Toc484448837"/>
      <w:bookmarkStart w:id="1532" w:name="_Toc484448714"/>
      <w:bookmarkStart w:id="1533" w:name="_Toc484448590"/>
      <w:bookmarkStart w:id="1534" w:name="_Toc484448466"/>
      <w:bookmarkStart w:id="1535" w:name="_Toc484448342"/>
      <w:bookmarkStart w:id="1536" w:name="_Toc484448218"/>
      <w:bookmarkStart w:id="1537" w:name="_Toc484448093"/>
      <w:bookmarkStart w:id="1538" w:name="_Toc484440434"/>
      <w:bookmarkStart w:id="1539" w:name="_Toc484440074"/>
      <w:bookmarkStart w:id="1540" w:name="_Toc484439950"/>
      <w:bookmarkStart w:id="1541" w:name="_Toc484439827"/>
      <w:bookmarkStart w:id="1542" w:name="_Toc484438907"/>
      <w:bookmarkStart w:id="1543" w:name="_Toc484438783"/>
      <w:bookmarkStart w:id="1544" w:name="_Toc484438659"/>
      <w:bookmarkStart w:id="1545" w:name="_Toc484429084"/>
      <w:bookmarkStart w:id="1546" w:name="_Toc484428914"/>
      <w:bookmarkStart w:id="1547" w:name="_Toc484097742"/>
      <w:bookmarkStart w:id="1548" w:name="_Toc484011668"/>
      <w:bookmarkStart w:id="1549" w:name="_Toc484011193"/>
      <w:bookmarkStart w:id="1550" w:name="_Toc484011071"/>
      <w:bookmarkStart w:id="1551" w:name="_Toc484010949"/>
      <w:bookmarkStart w:id="1552" w:name="_Toc484010825"/>
      <w:bookmarkStart w:id="1553" w:name="_Toc484010703"/>
      <w:bookmarkStart w:id="1554" w:name="_Toc483906953"/>
      <w:bookmarkStart w:id="1555" w:name="_Toc483571576"/>
      <w:bookmarkStart w:id="1556" w:name="_Toc483571455"/>
      <w:bookmarkStart w:id="1557" w:name="_Toc483474026"/>
      <w:bookmarkStart w:id="1558" w:name="_Toc483401229"/>
      <w:bookmarkStart w:id="1559" w:name="_Toc483325750"/>
      <w:bookmarkStart w:id="1560" w:name="_Toc483316447"/>
      <w:bookmarkStart w:id="1561" w:name="_Toc483316316"/>
      <w:bookmarkStart w:id="1562" w:name="_Toc483316113"/>
      <w:bookmarkStart w:id="1563" w:name="_Toc483315908"/>
      <w:bookmarkStart w:id="1564" w:name="_Toc483302358"/>
      <w:bookmarkStart w:id="1565" w:name="_Toc485218283"/>
      <w:bookmarkStart w:id="1566" w:name="_Toc484688847"/>
      <w:bookmarkStart w:id="1567" w:name="_Toc484688292"/>
      <w:bookmarkStart w:id="1568" w:name="_Toc484605423"/>
      <w:bookmarkStart w:id="1569" w:name="_Toc484605299"/>
      <w:bookmarkStart w:id="1570" w:name="_Toc484526579"/>
      <w:bookmarkStart w:id="1571" w:name="_Toc484449084"/>
      <w:bookmarkStart w:id="1572" w:name="_Toc484448960"/>
      <w:bookmarkStart w:id="1573" w:name="_Toc484448836"/>
      <w:bookmarkStart w:id="1574" w:name="_Toc484448713"/>
      <w:bookmarkStart w:id="1575" w:name="_Toc484448589"/>
      <w:bookmarkStart w:id="1576" w:name="_Toc484448465"/>
      <w:bookmarkStart w:id="1577" w:name="_Toc484448341"/>
      <w:bookmarkStart w:id="1578" w:name="_Toc484448217"/>
      <w:bookmarkStart w:id="1579" w:name="_Toc484448092"/>
      <w:bookmarkStart w:id="1580" w:name="_Toc484440433"/>
      <w:bookmarkStart w:id="1581" w:name="_Toc484440073"/>
      <w:bookmarkStart w:id="1582" w:name="_Toc484439949"/>
      <w:bookmarkStart w:id="1583" w:name="_Toc484439826"/>
      <w:bookmarkStart w:id="1584" w:name="_Toc484438906"/>
      <w:bookmarkStart w:id="1585" w:name="_Toc484438782"/>
      <w:bookmarkStart w:id="1586" w:name="_Toc484438658"/>
      <w:bookmarkStart w:id="1587" w:name="_Toc484429083"/>
      <w:bookmarkStart w:id="1588" w:name="_Toc484428913"/>
      <w:bookmarkStart w:id="1589" w:name="_Toc484097741"/>
      <w:bookmarkStart w:id="1590" w:name="_Toc484011667"/>
      <w:bookmarkStart w:id="1591" w:name="_Toc484011192"/>
      <w:bookmarkStart w:id="1592" w:name="_Toc484011070"/>
      <w:bookmarkStart w:id="1593" w:name="_Toc484010948"/>
      <w:bookmarkStart w:id="1594" w:name="_Toc484010824"/>
      <w:bookmarkStart w:id="1595" w:name="_Toc484010702"/>
      <w:bookmarkStart w:id="1596" w:name="_Toc483906952"/>
      <w:bookmarkStart w:id="1597" w:name="_Toc483571575"/>
      <w:bookmarkStart w:id="1598" w:name="_Toc483571454"/>
      <w:bookmarkStart w:id="1599" w:name="_Toc483474025"/>
      <w:bookmarkStart w:id="1600" w:name="_Toc483401228"/>
      <w:bookmarkStart w:id="1601" w:name="_Toc483325749"/>
      <w:bookmarkStart w:id="1602" w:name="_Toc483316446"/>
      <w:bookmarkStart w:id="1603" w:name="_Toc483316315"/>
      <w:bookmarkStart w:id="1604" w:name="_Toc483316112"/>
      <w:bookmarkStart w:id="1605" w:name="_Toc483315907"/>
      <w:bookmarkStart w:id="1606" w:name="_Toc483302357"/>
      <w:bookmarkStart w:id="1607" w:name="_Toc485218282"/>
      <w:bookmarkStart w:id="1608" w:name="_Toc484688846"/>
      <w:bookmarkStart w:id="1609" w:name="_Toc484688291"/>
      <w:bookmarkStart w:id="1610" w:name="_Toc484605422"/>
      <w:bookmarkStart w:id="1611" w:name="_Toc484605298"/>
      <w:bookmarkStart w:id="1612" w:name="_Toc484526578"/>
      <w:bookmarkStart w:id="1613" w:name="_Toc484449083"/>
      <w:bookmarkStart w:id="1614" w:name="_Toc484448959"/>
      <w:bookmarkStart w:id="1615" w:name="_Toc484448835"/>
      <w:bookmarkStart w:id="1616" w:name="_Toc484448712"/>
      <w:bookmarkStart w:id="1617" w:name="_Toc484448588"/>
      <w:bookmarkStart w:id="1618" w:name="_Toc484448464"/>
      <w:bookmarkStart w:id="1619" w:name="_Toc484448340"/>
      <w:bookmarkStart w:id="1620" w:name="_Toc484448216"/>
      <w:bookmarkStart w:id="1621" w:name="_Toc484448091"/>
      <w:bookmarkStart w:id="1622" w:name="_Toc484440432"/>
      <w:bookmarkStart w:id="1623" w:name="_Toc484440072"/>
      <w:bookmarkStart w:id="1624" w:name="_Toc484439948"/>
      <w:bookmarkStart w:id="1625" w:name="_Toc484439825"/>
      <w:bookmarkStart w:id="1626" w:name="_Toc484438905"/>
      <w:bookmarkStart w:id="1627" w:name="_Toc484438781"/>
      <w:bookmarkStart w:id="1628" w:name="_Toc484438657"/>
      <w:bookmarkStart w:id="1629" w:name="_Toc484429082"/>
      <w:bookmarkStart w:id="1630" w:name="_Toc484428912"/>
      <w:bookmarkStart w:id="1631" w:name="_Toc484097740"/>
      <w:bookmarkStart w:id="1632" w:name="_Toc484011666"/>
      <w:bookmarkStart w:id="1633" w:name="_Toc484011191"/>
      <w:bookmarkStart w:id="1634" w:name="_Toc484011069"/>
      <w:bookmarkStart w:id="1635" w:name="_Toc484010947"/>
      <w:bookmarkStart w:id="1636" w:name="_Toc484010823"/>
      <w:bookmarkStart w:id="1637" w:name="_Toc484010701"/>
      <w:bookmarkStart w:id="1638" w:name="_Toc483906951"/>
      <w:bookmarkStart w:id="1639" w:name="_Toc483571574"/>
      <w:bookmarkStart w:id="1640" w:name="_Toc483571453"/>
      <w:bookmarkStart w:id="1641" w:name="_Toc483474024"/>
      <w:bookmarkStart w:id="1642" w:name="_Toc483401227"/>
      <w:bookmarkStart w:id="1643" w:name="_Toc483325748"/>
      <w:bookmarkStart w:id="1644" w:name="_Toc483316445"/>
      <w:bookmarkStart w:id="1645" w:name="_Toc483316314"/>
      <w:bookmarkStart w:id="1646" w:name="_Toc483316111"/>
      <w:bookmarkStart w:id="1647" w:name="_Toc483315906"/>
      <w:bookmarkStart w:id="1648" w:name="_Toc483302356"/>
      <w:bookmarkStart w:id="1649" w:name="_Toc485218281"/>
      <w:bookmarkStart w:id="1650" w:name="_Toc484688845"/>
      <w:bookmarkStart w:id="1651" w:name="_Toc484688290"/>
      <w:bookmarkStart w:id="1652" w:name="_Toc484605421"/>
      <w:bookmarkStart w:id="1653" w:name="_Toc484605297"/>
      <w:bookmarkStart w:id="1654" w:name="_Toc484526577"/>
      <w:bookmarkStart w:id="1655" w:name="_Toc484449082"/>
      <w:bookmarkStart w:id="1656" w:name="_Toc484448958"/>
      <w:bookmarkStart w:id="1657" w:name="_Toc484448834"/>
      <w:bookmarkStart w:id="1658" w:name="_Toc484448711"/>
      <w:bookmarkStart w:id="1659" w:name="_Toc484448587"/>
      <w:bookmarkStart w:id="1660" w:name="_Toc484448463"/>
      <w:bookmarkStart w:id="1661" w:name="_Toc484448339"/>
      <w:bookmarkStart w:id="1662" w:name="_Toc484448215"/>
      <w:bookmarkStart w:id="1663" w:name="_Toc484448090"/>
      <w:bookmarkStart w:id="1664" w:name="_Toc484440431"/>
      <w:bookmarkStart w:id="1665" w:name="_Toc484440071"/>
      <w:bookmarkStart w:id="1666" w:name="_Toc484439947"/>
      <w:bookmarkStart w:id="1667" w:name="_Toc484439824"/>
      <w:bookmarkStart w:id="1668" w:name="_Toc484438904"/>
      <w:bookmarkStart w:id="1669" w:name="_Toc484438780"/>
      <w:bookmarkStart w:id="1670" w:name="_Toc484438656"/>
      <w:bookmarkStart w:id="1671" w:name="_Toc484429081"/>
      <w:bookmarkStart w:id="1672" w:name="_Toc484428911"/>
      <w:bookmarkStart w:id="1673" w:name="_Toc484097739"/>
      <w:bookmarkStart w:id="1674" w:name="_Toc484011665"/>
      <w:bookmarkStart w:id="1675" w:name="_Toc484011190"/>
      <w:bookmarkStart w:id="1676" w:name="_Toc484011068"/>
      <w:bookmarkStart w:id="1677" w:name="_Toc484010946"/>
      <w:bookmarkStart w:id="1678" w:name="_Toc484010822"/>
      <w:bookmarkStart w:id="1679" w:name="_Toc484010700"/>
      <w:bookmarkStart w:id="1680" w:name="_Toc483906950"/>
      <w:bookmarkStart w:id="1681" w:name="_Toc483571573"/>
      <w:bookmarkStart w:id="1682" w:name="_Toc483571452"/>
      <w:bookmarkStart w:id="1683" w:name="_Toc483474023"/>
      <w:bookmarkStart w:id="1684" w:name="_Toc483401226"/>
      <w:bookmarkStart w:id="1685" w:name="_Toc483325747"/>
      <w:bookmarkStart w:id="1686" w:name="_Toc483316444"/>
      <w:bookmarkStart w:id="1687" w:name="_Toc483316313"/>
      <w:bookmarkStart w:id="1688" w:name="_Toc483316110"/>
      <w:bookmarkStart w:id="1689" w:name="_Toc483315905"/>
      <w:bookmarkStart w:id="1690" w:name="_Toc483302355"/>
      <w:bookmarkStart w:id="1691" w:name="_Toc498419741"/>
      <w:bookmarkStart w:id="1692" w:name="_Toc497831543"/>
      <w:bookmarkStart w:id="1693" w:name="_Toc497728148"/>
      <w:bookmarkStart w:id="1694" w:name="_Toc497484950"/>
      <w:bookmarkStart w:id="1695" w:name="_Toc498419740"/>
      <w:bookmarkStart w:id="1696" w:name="_Toc498419739"/>
      <w:bookmarkStart w:id="1697" w:name="_Toc498419738"/>
      <w:bookmarkStart w:id="1698" w:name="_Toc498419737"/>
      <w:bookmarkStart w:id="1699" w:name="_Toc498419736"/>
      <w:bookmarkStart w:id="1700" w:name="_Toc498419735"/>
      <w:bookmarkStart w:id="1701" w:name="_Toc498419742"/>
      <w:bookmarkStart w:id="1702" w:name="_Toc497831544"/>
      <w:bookmarkStart w:id="1703" w:name="_Toc139549427"/>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Pr="001051E3">
        <w:rPr>
          <w:rFonts w:ascii="Titillium" w:hAnsi="Titillium"/>
          <w:caps w:val="0"/>
          <w:sz w:val="18"/>
          <w:szCs w:val="18"/>
          <w:lang w:val="it-IT"/>
        </w:rPr>
        <w:t xml:space="preserve">INDICAZIONI </w:t>
      </w:r>
      <w:r w:rsidR="000A5602" w:rsidRPr="001051E3">
        <w:rPr>
          <w:rFonts w:ascii="Titillium" w:hAnsi="Titillium"/>
          <w:caps w:val="0"/>
          <w:sz w:val="18"/>
          <w:szCs w:val="18"/>
          <w:lang w:val="it-IT"/>
        </w:rPr>
        <w:t>SUI REQUISITI</w:t>
      </w:r>
      <w:r w:rsidR="001051E3" w:rsidRPr="001051E3">
        <w:rPr>
          <w:rFonts w:ascii="Titillium" w:hAnsi="Titillium"/>
          <w:caps w:val="0"/>
          <w:sz w:val="18"/>
          <w:szCs w:val="18"/>
          <w:lang w:val="it-IT"/>
        </w:rPr>
        <w:t xml:space="preserve"> SPECIALI</w:t>
      </w:r>
      <w:r w:rsidR="00872FA1" w:rsidRPr="001051E3">
        <w:rPr>
          <w:rFonts w:ascii="Titillium" w:hAnsi="Titillium"/>
          <w:caps w:val="0"/>
          <w:sz w:val="18"/>
          <w:szCs w:val="18"/>
          <w:lang w:val="it-IT"/>
        </w:rPr>
        <w:t xml:space="preserve"> NEI</w:t>
      </w:r>
      <w:r w:rsidR="000A5602" w:rsidRPr="001051E3">
        <w:rPr>
          <w:rFonts w:ascii="Titillium" w:hAnsi="Titillium"/>
          <w:caps w:val="0"/>
          <w:sz w:val="18"/>
          <w:szCs w:val="18"/>
          <w:lang w:val="it-IT"/>
        </w:rPr>
        <w:t xml:space="preserve"> </w:t>
      </w:r>
      <w:r w:rsidRPr="001051E3">
        <w:rPr>
          <w:rFonts w:ascii="Titillium" w:hAnsi="Titillium"/>
          <w:caps w:val="0"/>
          <w:sz w:val="18"/>
          <w:szCs w:val="18"/>
          <w:lang w:val="it-IT"/>
        </w:rPr>
        <w:t>RAGGRUPPAMENTI TEMPORANEI, CONSORZI ORDINARI, AGGREGAZIONI DI IMPRESE DI RETE, GEIE</w:t>
      </w:r>
      <w:bookmarkEnd w:id="1703"/>
    </w:p>
    <w:p w14:paraId="1A208961" w14:textId="08423668" w:rsidR="00F35D82" w:rsidRDefault="00870286">
      <w:pPr>
        <w:spacing w:before="60" w:after="60"/>
        <w:rPr>
          <w:rFonts w:ascii="Titillium" w:hAnsi="Titillium" w:cs="Calibri"/>
          <w:sz w:val="18"/>
          <w:szCs w:val="18"/>
        </w:rPr>
      </w:pPr>
      <w:r>
        <w:rPr>
          <w:rFonts w:ascii="Titillium" w:hAnsi="Titillium" w:cs="Calibri"/>
          <w:sz w:val="18"/>
          <w:szCs w:val="18"/>
        </w:rPr>
        <w:t xml:space="preserve">I soggetti di </w:t>
      </w:r>
      <w:r w:rsidRPr="003E70DE">
        <w:rPr>
          <w:rFonts w:ascii="Titillium" w:hAnsi="Titillium" w:cs="Calibri"/>
          <w:sz w:val="18"/>
          <w:szCs w:val="18"/>
        </w:rPr>
        <w:t xml:space="preserve">cui all’articolo </w:t>
      </w:r>
      <w:r w:rsidR="00B9186C" w:rsidRPr="003E70DE">
        <w:rPr>
          <w:rFonts w:ascii="Titillium" w:hAnsi="Titillium" w:cs="Calibri"/>
          <w:sz w:val="18"/>
          <w:szCs w:val="18"/>
        </w:rPr>
        <w:t>65</w:t>
      </w:r>
      <w:r w:rsidR="001051E3">
        <w:rPr>
          <w:rFonts w:ascii="Titillium" w:hAnsi="Titillium" w:cs="Calibri"/>
          <w:sz w:val="18"/>
          <w:szCs w:val="18"/>
        </w:rPr>
        <w:t xml:space="preserve">, </w:t>
      </w:r>
      <w:r w:rsidRPr="003E70DE">
        <w:rPr>
          <w:rFonts w:ascii="Titillium" w:hAnsi="Titillium" w:cs="Calibri"/>
          <w:sz w:val="18"/>
          <w:szCs w:val="18"/>
        </w:rPr>
        <w:t xml:space="preserve">comma 2, lettera e), f) g) </w:t>
      </w:r>
      <w:r w:rsidR="00B9186C" w:rsidRPr="003E70DE">
        <w:rPr>
          <w:rFonts w:ascii="Titillium" w:hAnsi="Titillium" w:cs="Calibri"/>
          <w:sz w:val="18"/>
          <w:szCs w:val="18"/>
        </w:rPr>
        <w:t xml:space="preserve">e h) </w:t>
      </w:r>
      <w:r w:rsidRPr="003E70DE">
        <w:rPr>
          <w:rFonts w:ascii="Titillium" w:hAnsi="Titillium" w:cs="Calibri"/>
          <w:sz w:val="18"/>
          <w:szCs w:val="18"/>
        </w:rPr>
        <w:t>del Codice d</w:t>
      </w:r>
      <w:r>
        <w:rPr>
          <w:rFonts w:ascii="Titillium" w:hAnsi="Titillium" w:cs="Calibri"/>
          <w:sz w:val="18"/>
          <w:szCs w:val="18"/>
        </w:rPr>
        <w:t xml:space="preserve">evono possedere i requisiti di </w:t>
      </w:r>
      <w:r w:rsidR="0034138C">
        <w:rPr>
          <w:rFonts w:ascii="Titillium" w:hAnsi="Titillium" w:cs="Calibri"/>
          <w:sz w:val="18"/>
          <w:szCs w:val="18"/>
        </w:rPr>
        <w:t xml:space="preserve">ordine speciale </w:t>
      </w:r>
      <w:r>
        <w:rPr>
          <w:rFonts w:ascii="Titillium" w:hAnsi="Titillium" w:cs="Calibri"/>
          <w:sz w:val="18"/>
          <w:szCs w:val="18"/>
        </w:rPr>
        <w:t xml:space="preserve">nei termini di seguito indicati. </w:t>
      </w:r>
    </w:p>
    <w:p w14:paraId="175AEC24" w14:textId="1660C98B" w:rsidR="004C53A8" w:rsidRDefault="00870286">
      <w:pPr>
        <w:spacing w:before="60" w:after="60"/>
        <w:rPr>
          <w:rFonts w:ascii="Titillium" w:hAnsi="Titillium" w:cs="Calibri"/>
          <w:sz w:val="18"/>
          <w:szCs w:val="18"/>
        </w:rPr>
      </w:pPr>
      <w:r>
        <w:rPr>
          <w:rFonts w:ascii="Titillium" w:hAnsi="Titillium" w:cs="Calibri"/>
          <w:sz w:val="18"/>
          <w:szCs w:val="18"/>
        </w:rPr>
        <w:t xml:space="preserve">Alle aggregazioni di retisti, ai consorzi ordinari ed ai GEIE si applica la disciplina prevista per i raggruppamenti temporanei. </w:t>
      </w:r>
    </w:p>
    <w:p w14:paraId="6FB4AB8B" w14:textId="77777777" w:rsidR="00D36EAF" w:rsidRDefault="00D36EAF" w:rsidP="0099471A">
      <w:pPr>
        <w:spacing w:before="60" w:after="60"/>
        <w:rPr>
          <w:rFonts w:ascii="Titillium" w:hAnsi="Titillium"/>
          <w:b/>
          <w:iCs/>
          <w:sz w:val="18"/>
          <w:szCs w:val="18"/>
        </w:rPr>
      </w:pPr>
    </w:p>
    <w:p w14:paraId="59A3D7CE" w14:textId="4515C85F" w:rsidR="0099471A" w:rsidRPr="0099471A" w:rsidRDefault="0099471A" w:rsidP="0099471A">
      <w:pPr>
        <w:spacing w:before="60" w:after="60"/>
        <w:rPr>
          <w:rFonts w:ascii="Titillium" w:hAnsi="Titillium"/>
          <w:b/>
          <w:iCs/>
          <w:sz w:val="18"/>
          <w:szCs w:val="18"/>
        </w:rPr>
      </w:pPr>
      <w:r w:rsidRPr="0099471A">
        <w:rPr>
          <w:rFonts w:ascii="Titillium" w:hAnsi="Titillium"/>
          <w:b/>
          <w:iCs/>
          <w:sz w:val="18"/>
          <w:szCs w:val="18"/>
        </w:rPr>
        <w:t>Requisiti di idoneità professionale</w:t>
      </w:r>
    </w:p>
    <w:p w14:paraId="28B908C7" w14:textId="00E1EAD0" w:rsidR="0099471A" w:rsidRPr="00CC5F1E" w:rsidRDefault="00870286" w:rsidP="00681C4C">
      <w:pPr>
        <w:pStyle w:val="Paragrafoelenco"/>
        <w:numPr>
          <w:ilvl w:val="2"/>
          <w:numId w:val="71"/>
        </w:numPr>
        <w:spacing w:before="60" w:after="60"/>
      </w:pPr>
      <w:r w:rsidRPr="0099471A">
        <w:rPr>
          <w:rFonts w:ascii="Titillium" w:eastAsia="Times New Roman" w:hAnsi="Titillium" w:cs="Calibri"/>
          <w:sz w:val="18"/>
          <w:szCs w:val="18"/>
          <w:lang w:eastAsia="en-US"/>
        </w:rPr>
        <w:t xml:space="preserve">Il requisito relativo all’iscrizione nel Registro delle Imprese oppure nell’Albo delle Imprese artigiane di cui </w:t>
      </w:r>
      <w:r w:rsidR="001E2327" w:rsidRPr="0099471A">
        <w:rPr>
          <w:rFonts w:ascii="Titillium" w:eastAsia="Times New Roman" w:hAnsi="Titillium" w:cs="Calibri"/>
          <w:sz w:val="18"/>
          <w:szCs w:val="18"/>
          <w:lang w:eastAsia="en-US"/>
        </w:rPr>
        <w:t xml:space="preserve">di cui al punto </w:t>
      </w:r>
      <w:r w:rsidR="001E2327" w:rsidRPr="0099471A">
        <w:rPr>
          <w:rFonts w:ascii="Titillium" w:eastAsia="Times New Roman" w:hAnsi="Titillium" w:cs="Calibri"/>
          <w:sz w:val="18"/>
          <w:szCs w:val="18"/>
          <w:lang w:eastAsia="en-US"/>
        </w:rPr>
        <w:fldChar w:fldCharType="begin"/>
      </w:r>
      <w:r w:rsidR="001E2327" w:rsidRPr="0099471A">
        <w:rPr>
          <w:rFonts w:ascii="Titillium" w:eastAsia="Times New Roman" w:hAnsi="Titillium" w:cs="Calibri"/>
          <w:sz w:val="18"/>
          <w:szCs w:val="18"/>
          <w:lang w:eastAsia="en-US"/>
        </w:rPr>
        <w:instrText xml:space="preserve"> REF _Ref128681470 \r \h </w:instrText>
      </w:r>
      <w:r w:rsidR="0099471A" w:rsidRPr="0099471A">
        <w:rPr>
          <w:rFonts w:ascii="Titillium" w:eastAsia="Times New Roman" w:hAnsi="Titillium" w:cs="Calibri"/>
          <w:sz w:val="18"/>
          <w:szCs w:val="18"/>
          <w:lang w:eastAsia="en-US"/>
        </w:rPr>
        <w:instrText xml:space="preserve"> \* MERGEFORMAT </w:instrText>
      </w:r>
      <w:r w:rsidR="001E2327" w:rsidRPr="0099471A">
        <w:rPr>
          <w:rFonts w:ascii="Titillium" w:eastAsia="Times New Roman" w:hAnsi="Titillium" w:cs="Calibri"/>
          <w:sz w:val="18"/>
          <w:szCs w:val="18"/>
          <w:lang w:eastAsia="en-US"/>
        </w:rPr>
      </w:r>
      <w:r w:rsidR="001E2327" w:rsidRPr="0099471A">
        <w:rPr>
          <w:rFonts w:ascii="Titillium" w:eastAsia="Times New Roman" w:hAnsi="Titillium" w:cs="Calibri"/>
          <w:sz w:val="18"/>
          <w:szCs w:val="18"/>
          <w:lang w:eastAsia="en-US"/>
        </w:rPr>
        <w:fldChar w:fldCharType="separate"/>
      </w:r>
      <w:r w:rsidR="00527049">
        <w:rPr>
          <w:rFonts w:ascii="Titillium" w:eastAsia="Times New Roman" w:hAnsi="Titillium" w:cs="Calibri"/>
          <w:sz w:val="18"/>
          <w:szCs w:val="18"/>
          <w:lang w:eastAsia="en-US"/>
        </w:rPr>
        <w:t>6.1</w:t>
      </w:r>
      <w:r w:rsidR="001E2327" w:rsidRPr="0099471A">
        <w:rPr>
          <w:rFonts w:ascii="Titillium" w:eastAsia="Times New Roman" w:hAnsi="Titillium" w:cs="Calibri"/>
          <w:sz w:val="18"/>
          <w:szCs w:val="18"/>
          <w:lang w:eastAsia="en-US"/>
        </w:rPr>
        <w:fldChar w:fldCharType="end"/>
      </w:r>
      <w:r w:rsidR="001E2327" w:rsidRPr="0099471A">
        <w:rPr>
          <w:rFonts w:ascii="Titillium" w:eastAsia="Times New Roman" w:hAnsi="Titillium" w:cs="Calibri"/>
          <w:sz w:val="18"/>
          <w:szCs w:val="18"/>
          <w:lang w:eastAsia="en-US"/>
        </w:rPr>
        <w:t xml:space="preserve"> </w:t>
      </w:r>
      <w:r w:rsidRPr="0099471A">
        <w:rPr>
          <w:rFonts w:ascii="Titillium" w:eastAsia="Times New Roman" w:hAnsi="Titillium" w:cs="Calibri"/>
          <w:sz w:val="18"/>
          <w:szCs w:val="18"/>
          <w:lang w:eastAsia="en-US"/>
        </w:rPr>
        <w:t>deve essere posseduto</w:t>
      </w:r>
      <w:r w:rsidRPr="0099471A">
        <w:rPr>
          <w:rFonts w:ascii="Titillium" w:hAnsi="Titillium" w:cs="Calibri"/>
          <w:sz w:val="18"/>
          <w:szCs w:val="18"/>
        </w:rPr>
        <w:t>:</w:t>
      </w:r>
    </w:p>
    <w:p w14:paraId="7EBD3806" w14:textId="77777777" w:rsidR="004C53A8" w:rsidRDefault="00870286" w:rsidP="0099471A">
      <w:pPr>
        <w:pStyle w:val="Paragrafoelenco"/>
        <w:numPr>
          <w:ilvl w:val="0"/>
          <w:numId w:val="65"/>
        </w:numPr>
        <w:spacing w:before="60" w:after="60"/>
        <w:ind w:left="709"/>
      </w:pPr>
      <w:r>
        <w:rPr>
          <w:rFonts w:ascii="Titillium" w:hAnsi="Titillium" w:cs="Calibri"/>
          <w:sz w:val="18"/>
          <w:szCs w:val="18"/>
        </w:rPr>
        <w:t>da ciascun componente del raggruppamento/consorzio/GEIE anche da costituire, nonché dal GEIE medesimo;</w:t>
      </w:r>
    </w:p>
    <w:p w14:paraId="3C1B3910" w14:textId="77777777" w:rsidR="004C53A8" w:rsidRDefault="00870286" w:rsidP="0099471A">
      <w:pPr>
        <w:pStyle w:val="Paragrafoelenco"/>
        <w:numPr>
          <w:ilvl w:val="0"/>
          <w:numId w:val="65"/>
        </w:numPr>
        <w:spacing w:before="60" w:after="60"/>
        <w:ind w:left="709"/>
        <w:rPr>
          <w:rFonts w:ascii="Titillium" w:hAnsi="Titillium" w:cs="Calibri"/>
          <w:sz w:val="18"/>
          <w:szCs w:val="18"/>
        </w:rPr>
      </w:pPr>
      <w:r>
        <w:rPr>
          <w:rFonts w:ascii="Titillium" w:hAnsi="Titillium" w:cs="Calibri"/>
          <w:sz w:val="18"/>
          <w:szCs w:val="18"/>
        </w:rPr>
        <w:t>da ciascun componente dell’aggregazione di rete nonché dall’organo comune nel caso in cui questi abbia soggettività giuridica.</w:t>
      </w:r>
    </w:p>
    <w:p w14:paraId="57882828" w14:textId="2BA885BD" w:rsidR="0099471A" w:rsidRDefault="00BE6C5B" w:rsidP="00BE6C5B">
      <w:pPr>
        <w:spacing w:before="60" w:after="60"/>
        <w:rPr>
          <w:rFonts w:ascii="Titillium" w:hAnsi="Titillium"/>
          <w:i/>
          <w:iCs/>
          <w:sz w:val="18"/>
          <w:szCs w:val="18"/>
        </w:rPr>
      </w:pPr>
      <w:r>
        <w:rPr>
          <w:rFonts w:ascii="Titillium" w:hAnsi="Titillium"/>
          <w:i/>
          <w:iCs/>
          <w:sz w:val="18"/>
          <w:szCs w:val="18"/>
        </w:rPr>
        <w:t xml:space="preserve">[Se l’iscrizione non è </w:t>
      </w:r>
      <w:r w:rsidR="0099471A" w:rsidRPr="0099471A">
        <w:rPr>
          <w:rFonts w:ascii="Titillium" w:hAnsi="Titillium"/>
          <w:i/>
          <w:iCs/>
          <w:sz w:val="18"/>
          <w:szCs w:val="18"/>
        </w:rPr>
        <w:t>dovuta per l’esercizio dell’attività oggetto dell’affidamento</w:t>
      </w:r>
      <w:r>
        <w:rPr>
          <w:rFonts w:ascii="Titillium" w:hAnsi="Titillium"/>
          <w:i/>
          <w:iCs/>
          <w:sz w:val="18"/>
          <w:szCs w:val="18"/>
        </w:rPr>
        <w:t>, eliminare la clausola]</w:t>
      </w:r>
    </w:p>
    <w:p w14:paraId="7B68F074" w14:textId="0DBF73DF" w:rsidR="004C53A8" w:rsidRPr="0000590E" w:rsidRDefault="0099471A" w:rsidP="00681C4C">
      <w:pPr>
        <w:pStyle w:val="Paragrafoelenco"/>
        <w:numPr>
          <w:ilvl w:val="2"/>
          <w:numId w:val="71"/>
        </w:numPr>
        <w:spacing w:before="60" w:after="60"/>
        <w:ind w:left="284"/>
        <w:rPr>
          <w:bCs/>
        </w:rPr>
      </w:pPr>
      <w:r w:rsidRPr="0000590E">
        <w:rPr>
          <w:rFonts w:ascii="Titillium" w:hAnsi="Titillium"/>
          <w:b/>
          <w:i/>
          <w:sz w:val="18"/>
          <w:szCs w:val="18"/>
        </w:rPr>
        <w:t>[Se richiesti altri requisiti di idoneità professionale]</w:t>
      </w:r>
      <w:r w:rsidR="006F4A77" w:rsidRPr="0000590E">
        <w:rPr>
          <w:rFonts w:ascii="Titillium" w:hAnsi="Titillium" w:cs="Calibri"/>
          <w:b/>
          <w:i/>
          <w:sz w:val="18"/>
          <w:szCs w:val="18"/>
        </w:rPr>
        <w:t xml:space="preserve"> </w:t>
      </w:r>
      <w:r w:rsidR="006F4A77" w:rsidRPr="0000590E">
        <w:rPr>
          <w:rFonts w:ascii="Titillium" w:hAnsi="Titillium" w:cs="Calibri"/>
          <w:bCs/>
          <w:sz w:val="18"/>
          <w:szCs w:val="18"/>
        </w:rPr>
        <w:t>Il requisito relativo all’iscrizione …</w:t>
      </w:r>
      <w:r w:rsidR="006F4A77" w:rsidRPr="0000590E">
        <w:rPr>
          <w:rFonts w:ascii="Titillium" w:hAnsi="Titillium" w:cs="Calibri"/>
          <w:b/>
          <w:sz w:val="18"/>
          <w:szCs w:val="18"/>
        </w:rPr>
        <w:t xml:space="preserve"> </w:t>
      </w:r>
      <w:r w:rsidR="006F4A77" w:rsidRPr="0000590E">
        <w:rPr>
          <w:rFonts w:ascii="Titillium" w:hAnsi="Titillium" w:cs="Calibri"/>
          <w:bCs/>
          <w:i/>
          <w:iCs/>
          <w:sz w:val="18"/>
          <w:szCs w:val="18"/>
        </w:rPr>
        <w:t>[indicare tipologia di iscrizione richiesta]</w:t>
      </w:r>
      <w:r w:rsidR="006F4A77" w:rsidRPr="0000590E">
        <w:rPr>
          <w:rFonts w:ascii="Titillium" w:hAnsi="Titillium" w:cs="Calibri"/>
          <w:bCs/>
          <w:sz w:val="18"/>
          <w:szCs w:val="18"/>
        </w:rPr>
        <w:t xml:space="preserve"> di cui al punto </w:t>
      </w:r>
      <w:r w:rsidR="00D10F14" w:rsidRPr="0000590E">
        <w:rPr>
          <w:rFonts w:ascii="Titillium" w:hAnsi="Titillium" w:cs="Calibri"/>
          <w:sz w:val="18"/>
          <w:szCs w:val="18"/>
        </w:rPr>
        <w:fldChar w:fldCharType="begin"/>
      </w:r>
      <w:r w:rsidR="00D10F14" w:rsidRPr="0000590E">
        <w:rPr>
          <w:rFonts w:ascii="Titillium" w:hAnsi="Titillium" w:cs="Calibri"/>
          <w:sz w:val="18"/>
          <w:szCs w:val="18"/>
        </w:rPr>
        <w:instrText xml:space="preserve"> REF _Ref128681470 \r \h </w:instrText>
      </w:r>
      <w:r w:rsidR="0098725B" w:rsidRPr="0000590E">
        <w:rPr>
          <w:rFonts w:ascii="Titillium" w:hAnsi="Titillium" w:cs="Calibri"/>
          <w:sz w:val="18"/>
          <w:szCs w:val="18"/>
        </w:rPr>
        <w:instrText xml:space="preserve"> \* MERGEFORMAT </w:instrText>
      </w:r>
      <w:r w:rsidR="00D10F14" w:rsidRPr="0000590E">
        <w:rPr>
          <w:rFonts w:ascii="Titillium" w:hAnsi="Titillium" w:cs="Calibri"/>
          <w:sz w:val="18"/>
          <w:szCs w:val="18"/>
        </w:rPr>
      </w:r>
      <w:r w:rsidR="00D10F14" w:rsidRPr="0000590E">
        <w:rPr>
          <w:rFonts w:ascii="Titillium" w:hAnsi="Titillium" w:cs="Calibri"/>
          <w:sz w:val="18"/>
          <w:szCs w:val="18"/>
        </w:rPr>
        <w:fldChar w:fldCharType="separate"/>
      </w:r>
      <w:r w:rsidR="00527049">
        <w:rPr>
          <w:rFonts w:ascii="Titillium" w:hAnsi="Titillium" w:cs="Calibri"/>
          <w:sz w:val="18"/>
          <w:szCs w:val="18"/>
        </w:rPr>
        <w:t>6.1</w:t>
      </w:r>
      <w:r w:rsidR="00D10F14" w:rsidRPr="0000590E">
        <w:rPr>
          <w:rFonts w:ascii="Titillium" w:hAnsi="Titillium" w:cs="Calibri"/>
          <w:sz w:val="18"/>
          <w:szCs w:val="18"/>
        </w:rPr>
        <w:fldChar w:fldCharType="end"/>
      </w:r>
      <w:r w:rsidR="00D10F14" w:rsidRPr="0000590E">
        <w:rPr>
          <w:rFonts w:ascii="Titillium" w:hAnsi="Titillium" w:cs="Calibri"/>
          <w:sz w:val="18"/>
          <w:szCs w:val="18"/>
        </w:rPr>
        <w:t xml:space="preserve"> </w:t>
      </w:r>
      <w:r w:rsidR="006F4A77" w:rsidRPr="0000590E">
        <w:rPr>
          <w:rFonts w:ascii="Titillium" w:hAnsi="Titillium" w:cs="Calibri"/>
          <w:bCs/>
          <w:sz w:val="18"/>
          <w:szCs w:val="18"/>
        </w:rPr>
        <w:t>deve essere posseduto da</w:t>
      </w:r>
      <w:r w:rsidR="00C12981" w:rsidRPr="0000590E">
        <w:rPr>
          <w:rFonts w:ascii="Titillium" w:hAnsi="Titillium" w:cs="Calibri"/>
          <w:bCs/>
          <w:sz w:val="18"/>
          <w:szCs w:val="18"/>
        </w:rPr>
        <w:t>ll’esecutore</w:t>
      </w:r>
      <w:r w:rsidR="0000590E">
        <w:rPr>
          <w:rFonts w:ascii="Titillium" w:hAnsi="Titillium" w:cs="Calibri"/>
          <w:bCs/>
          <w:i/>
          <w:sz w:val="18"/>
          <w:szCs w:val="18"/>
        </w:rPr>
        <w:t>.</w:t>
      </w:r>
    </w:p>
    <w:p w14:paraId="596D71C3" w14:textId="77777777" w:rsidR="0099471A" w:rsidRDefault="0099471A">
      <w:pPr>
        <w:spacing w:before="60" w:after="60"/>
        <w:rPr>
          <w:rFonts w:ascii="Titillium" w:hAnsi="Titillium"/>
          <w:b/>
          <w:i/>
          <w:sz w:val="18"/>
          <w:szCs w:val="18"/>
        </w:rPr>
      </w:pPr>
    </w:p>
    <w:p w14:paraId="3E7F2690" w14:textId="1D44A5CC" w:rsidR="0098725B" w:rsidRDefault="0099471A">
      <w:pPr>
        <w:spacing w:before="60" w:after="60"/>
        <w:rPr>
          <w:rFonts w:ascii="Titillium" w:hAnsi="Titillium"/>
          <w:b/>
          <w:iCs/>
          <w:sz w:val="18"/>
          <w:szCs w:val="18"/>
        </w:rPr>
      </w:pPr>
      <w:r w:rsidRPr="0099471A">
        <w:rPr>
          <w:rFonts w:ascii="Titillium" w:hAnsi="Titillium"/>
          <w:b/>
          <w:iCs/>
          <w:sz w:val="18"/>
          <w:szCs w:val="18"/>
        </w:rPr>
        <w:t>Requisiti di capacità economico finanziaria</w:t>
      </w:r>
    </w:p>
    <w:p w14:paraId="4FD6555B" w14:textId="43088408" w:rsidR="0099471A" w:rsidRPr="0099471A" w:rsidRDefault="0099471A" w:rsidP="0099471A">
      <w:pPr>
        <w:pStyle w:val="Paragrafoelenco"/>
        <w:numPr>
          <w:ilvl w:val="2"/>
          <w:numId w:val="72"/>
        </w:numPr>
        <w:spacing w:before="60" w:after="60"/>
      </w:pPr>
      <w:r w:rsidRPr="0099471A">
        <w:rPr>
          <w:rFonts w:ascii="Titillium" w:hAnsi="Titillium"/>
          <w:b/>
          <w:i/>
          <w:sz w:val="18"/>
          <w:szCs w:val="18"/>
        </w:rPr>
        <w:t xml:space="preserve">[Se richiesto] </w:t>
      </w:r>
      <w:r w:rsidRPr="0099471A">
        <w:rPr>
          <w:rFonts w:ascii="Titillium" w:hAnsi="Titillium" w:cs="Calibri"/>
          <w:sz w:val="18"/>
          <w:szCs w:val="18"/>
        </w:rPr>
        <w:t>Il requisito relativo al fatturato globale</w:t>
      </w:r>
      <w:r w:rsidRPr="0099471A">
        <w:rPr>
          <w:rFonts w:ascii="Titillium" w:hAnsi="Titillium" w:cs="Calibri"/>
          <w:i/>
          <w:sz w:val="18"/>
          <w:szCs w:val="18"/>
        </w:rPr>
        <w:t xml:space="preserve"> </w:t>
      </w:r>
      <w:r w:rsidRPr="0099471A">
        <w:rPr>
          <w:rFonts w:ascii="Titillium" w:hAnsi="Titillium" w:cs="Calibri"/>
          <w:sz w:val="18"/>
          <w:szCs w:val="18"/>
        </w:rPr>
        <w:t xml:space="preserve">di cui al punto </w:t>
      </w:r>
      <w:r w:rsidRPr="0099471A">
        <w:rPr>
          <w:rFonts w:ascii="Titillium" w:hAnsi="Titillium" w:cs="Calibri"/>
          <w:sz w:val="18"/>
          <w:szCs w:val="18"/>
        </w:rPr>
        <w:fldChar w:fldCharType="begin"/>
      </w:r>
      <w:r w:rsidRPr="0099471A">
        <w:rPr>
          <w:rFonts w:ascii="Titillium" w:hAnsi="Titillium" w:cs="Calibri"/>
          <w:sz w:val="18"/>
          <w:szCs w:val="18"/>
        </w:rPr>
        <w:instrText xml:space="preserve"> REF _Ref495411575 \r \h </w:instrText>
      </w:r>
      <w:r w:rsidRPr="0099471A">
        <w:rPr>
          <w:rFonts w:ascii="Titillium" w:hAnsi="Titillium" w:cs="Calibri"/>
          <w:sz w:val="18"/>
          <w:szCs w:val="18"/>
        </w:rPr>
      </w:r>
      <w:r w:rsidRPr="0099471A">
        <w:rPr>
          <w:rFonts w:ascii="Titillium" w:hAnsi="Titillium" w:cs="Calibri"/>
          <w:sz w:val="18"/>
          <w:szCs w:val="18"/>
        </w:rPr>
        <w:fldChar w:fldCharType="separate"/>
      </w:r>
      <w:r w:rsidR="00527049">
        <w:rPr>
          <w:rFonts w:ascii="Titillium" w:hAnsi="Titillium" w:cs="Calibri"/>
          <w:sz w:val="18"/>
          <w:szCs w:val="18"/>
        </w:rPr>
        <w:t>6.2</w:t>
      </w:r>
      <w:r w:rsidRPr="0099471A">
        <w:rPr>
          <w:rFonts w:ascii="Titillium" w:hAnsi="Titillium" w:cs="Calibri"/>
          <w:sz w:val="18"/>
          <w:szCs w:val="18"/>
        </w:rPr>
        <w:fldChar w:fldCharType="end"/>
      </w:r>
      <w:r w:rsidRPr="0099471A">
        <w:rPr>
          <w:rFonts w:ascii="Titillium" w:hAnsi="Titillium" w:cs="Calibri"/>
          <w:sz w:val="18"/>
          <w:szCs w:val="18"/>
        </w:rPr>
        <w:t xml:space="preserve"> deve essere soddisfatto dal raggruppamento temporaneo nel complesso</w:t>
      </w:r>
      <w:r w:rsidR="00B71887">
        <w:rPr>
          <w:rFonts w:ascii="Titillium" w:hAnsi="Titillium" w:cs="Calibri"/>
          <w:sz w:val="18"/>
          <w:szCs w:val="18"/>
        </w:rPr>
        <w:t>.</w:t>
      </w:r>
    </w:p>
    <w:p w14:paraId="4F582283" w14:textId="5017489B" w:rsidR="004C53A8" w:rsidRPr="00F82DCF" w:rsidRDefault="00870286" w:rsidP="0099471A">
      <w:pPr>
        <w:spacing w:before="60" w:after="60"/>
        <w:ind w:left="284"/>
        <w:rPr>
          <w:rFonts w:ascii="Titillium" w:hAnsi="Titillium"/>
          <w:b/>
          <w:i/>
          <w:sz w:val="18"/>
          <w:szCs w:val="18"/>
        </w:rPr>
      </w:pPr>
      <w:r w:rsidRPr="00F82DCF">
        <w:rPr>
          <w:rFonts w:ascii="Titillium" w:hAnsi="Titillium"/>
          <w:b/>
          <w:i/>
          <w:sz w:val="18"/>
          <w:szCs w:val="18"/>
        </w:rPr>
        <w:lastRenderedPageBreak/>
        <w:t>[o in alternativa]</w:t>
      </w:r>
    </w:p>
    <w:p w14:paraId="0330E41E" w14:textId="7F1F511E" w:rsidR="004C53A8" w:rsidRDefault="00870286" w:rsidP="00B71887">
      <w:pPr>
        <w:spacing w:before="60" w:after="60"/>
        <w:ind w:left="284"/>
        <w:rPr>
          <w:rFonts w:ascii="Titillium" w:hAnsi="Titillium" w:cs="Calibri"/>
          <w:i/>
          <w:sz w:val="18"/>
          <w:szCs w:val="18"/>
          <w:lang w:eastAsia="it-IT"/>
        </w:rPr>
      </w:pPr>
      <w:r w:rsidRPr="00F82DCF">
        <w:rPr>
          <w:rFonts w:ascii="Titillium" w:hAnsi="Titillium" w:cs="Calibri"/>
          <w:b/>
          <w:i/>
          <w:sz w:val="18"/>
          <w:szCs w:val="18"/>
          <w:lang w:eastAsia="it-IT"/>
        </w:rPr>
        <w:t>[Se richiesto]</w:t>
      </w:r>
      <w:r w:rsidR="00B71887">
        <w:rPr>
          <w:rFonts w:ascii="Titillium" w:hAnsi="Titillium" w:cs="Calibri"/>
          <w:b/>
          <w:i/>
          <w:sz w:val="18"/>
          <w:szCs w:val="18"/>
          <w:lang w:eastAsia="it-IT"/>
        </w:rPr>
        <w:t xml:space="preserve"> </w:t>
      </w:r>
      <w:r w:rsidRPr="00F82DCF">
        <w:rPr>
          <w:rFonts w:ascii="Titillium" w:hAnsi="Titillium" w:cs="Calibri"/>
          <w:sz w:val="18"/>
          <w:szCs w:val="18"/>
          <w:lang w:eastAsia="it-IT"/>
        </w:rPr>
        <w:t>Il requisito relativo al fatturato globale</w:t>
      </w:r>
      <w:r w:rsidRPr="00F82DCF">
        <w:rPr>
          <w:rFonts w:ascii="Titillium" w:hAnsi="Titillium" w:cs="Calibri"/>
          <w:i/>
          <w:sz w:val="18"/>
          <w:szCs w:val="18"/>
          <w:lang w:eastAsia="it-IT"/>
        </w:rPr>
        <w:t xml:space="preserve"> </w:t>
      </w:r>
      <w:r w:rsidRPr="00F82DCF">
        <w:rPr>
          <w:rFonts w:ascii="Titillium" w:hAnsi="Titillium" w:cs="Calibri"/>
          <w:sz w:val="18"/>
          <w:szCs w:val="18"/>
          <w:lang w:eastAsia="it-IT"/>
        </w:rPr>
        <w:t xml:space="preserve">di cui al </w:t>
      </w:r>
      <w:r w:rsidR="00D10F14" w:rsidRPr="00F82DCF">
        <w:rPr>
          <w:rFonts w:ascii="Titillium" w:hAnsi="Titillium" w:cs="Calibri"/>
          <w:sz w:val="18"/>
          <w:szCs w:val="18"/>
          <w:lang w:eastAsia="it-IT"/>
        </w:rPr>
        <w:t xml:space="preserve">punto </w:t>
      </w:r>
      <w:r w:rsidR="00D10F14">
        <w:rPr>
          <w:rFonts w:ascii="Titillium" w:hAnsi="Titillium" w:cs="Calibri"/>
          <w:sz w:val="18"/>
          <w:szCs w:val="18"/>
          <w:lang w:eastAsia="it-IT"/>
        </w:rPr>
        <w:fldChar w:fldCharType="begin"/>
      </w:r>
      <w:r w:rsidR="00D10F14">
        <w:rPr>
          <w:rFonts w:ascii="Titillium" w:hAnsi="Titillium" w:cs="Calibri"/>
          <w:sz w:val="18"/>
          <w:szCs w:val="18"/>
          <w:lang w:eastAsia="it-IT"/>
        </w:rPr>
        <w:instrText xml:space="preserve"> REF _Ref495411575 \r \h </w:instrText>
      </w:r>
      <w:r w:rsidR="00D10F14">
        <w:rPr>
          <w:rFonts w:ascii="Titillium" w:hAnsi="Titillium" w:cs="Calibri"/>
          <w:sz w:val="18"/>
          <w:szCs w:val="18"/>
          <w:lang w:eastAsia="it-IT"/>
        </w:rPr>
      </w:r>
      <w:r w:rsidR="00D10F14">
        <w:rPr>
          <w:rFonts w:ascii="Titillium" w:hAnsi="Titillium" w:cs="Calibri"/>
          <w:sz w:val="18"/>
          <w:szCs w:val="18"/>
          <w:lang w:eastAsia="it-IT"/>
        </w:rPr>
        <w:fldChar w:fldCharType="separate"/>
      </w:r>
      <w:r w:rsidR="00527049">
        <w:rPr>
          <w:rFonts w:ascii="Titillium" w:hAnsi="Titillium" w:cs="Calibri"/>
          <w:sz w:val="18"/>
          <w:szCs w:val="18"/>
          <w:lang w:eastAsia="it-IT"/>
        </w:rPr>
        <w:t>6.2</w:t>
      </w:r>
      <w:r w:rsidR="00D10F14">
        <w:rPr>
          <w:rFonts w:ascii="Titillium" w:hAnsi="Titillium" w:cs="Calibri"/>
          <w:sz w:val="18"/>
          <w:szCs w:val="18"/>
          <w:lang w:eastAsia="it-IT"/>
        </w:rPr>
        <w:fldChar w:fldCharType="end"/>
      </w:r>
      <w:r w:rsidR="00D10F14">
        <w:rPr>
          <w:rFonts w:ascii="Titillium" w:hAnsi="Titillium" w:cs="Calibri"/>
          <w:sz w:val="18"/>
          <w:szCs w:val="18"/>
          <w:lang w:eastAsia="it-IT"/>
        </w:rPr>
        <w:t xml:space="preserve"> </w:t>
      </w:r>
      <w:r w:rsidRPr="00F82DCF">
        <w:rPr>
          <w:rFonts w:ascii="Titillium" w:hAnsi="Titillium" w:cs="Calibri"/>
          <w:sz w:val="18"/>
          <w:szCs w:val="18"/>
          <w:lang w:eastAsia="it-IT"/>
        </w:rPr>
        <w:t>deve essere soddisfatto dal raggruppamento temporaneo nei termini di seguito indicati …</w:t>
      </w:r>
      <w:r w:rsidRPr="00F82DCF">
        <w:rPr>
          <w:rFonts w:ascii="Titillium" w:hAnsi="Titillium" w:cs="Calibri"/>
          <w:i/>
          <w:sz w:val="18"/>
          <w:szCs w:val="18"/>
          <w:lang w:eastAsia="it-IT"/>
        </w:rPr>
        <w:t xml:space="preserve"> [</w:t>
      </w:r>
      <w:r w:rsidR="00B71887">
        <w:rPr>
          <w:rFonts w:ascii="Titillium" w:hAnsi="Titillium" w:cs="Calibri"/>
          <w:i/>
          <w:sz w:val="18"/>
          <w:szCs w:val="18"/>
          <w:lang w:eastAsia="it-IT"/>
        </w:rPr>
        <w:t>ai sensi dell’art. 68</w:t>
      </w:r>
      <w:r w:rsidR="00995F41">
        <w:rPr>
          <w:rFonts w:ascii="Titillium" w:hAnsi="Titillium" w:cs="Calibri"/>
          <w:i/>
          <w:sz w:val="18"/>
          <w:szCs w:val="18"/>
          <w:lang w:eastAsia="it-IT"/>
        </w:rPr>
        <w:t>,</w:t>
      </w:r>
      <w:r w:rsidR="00B71887">
        <w:rPr>
          <w:rFonts w:ascii="Titillium" w:hAnsi="Titillium" w:cs="Calibri"/>
          <w:i/>
          <w:sz w:val="18"/>
          <w:szCs w:val="18"/>
          <w:lang w:eastAsia="it-IT"/>
        </w:rPr>
        <w:t xml:space="preserve"> comma 4</w:t>
      </w:r>
      <w:r w:rsidR="00995F41">
        <w:rPr>
          <w:rFonts w:ascii="Titillium" w:hAnsi="Titillium" w:cs="Calibri"/>
          <w:i/>
          <w:sz w:val="18"/>
          <w:szCs w:val="18"/>
          <w:lang w:eastAsia="it-IT"/>
        </w:rPr>
        <w:t>,</w:t>
      </w:r>
      <w:r w:rsidR="00B71887">
        <w:rPr>
          <w:rFonts w:ascii="Titillium" w:hAnsi="Titillium" w:cs="Calibri"/>
          <w:i/>
          <w:sz w:val="18"/>
          <w:szCs w:val="18"/>
          <w:lang w:eastAsia="it-IT"/>
        </w:rPr>
        <w:t xml:space="preserve"> </w:t>
      </w:r>
      <w:proofErr w:type="spellStart"/>
      <w:r w:rsidR="00B71887">
        <w:rPr>
          <w:rFonts w:ascii="Titillium" w:hAnsi="Titillium" w:cs="Calibri"/>
          <w:i/>
          <w:sz w:val="18"/>
          <w:szCs w:val="18"/>
          <w:lang w:eastAsia="it-IT"/>
        </w:rPr>
        <w:t>lett</w:t>
      </w:r>
      <w:proofErr w:type="spellEnd"/>
      <w:r w:rsidR="00B71887">
        <w:rPr>
          <w:rFonts w:ascii="Titillium" w:hAnsi="Titillium" w:cs="Calibri"/>
          <w:i/>
          <w:sz w:val="18"/>
          <w:szCs w:val="18"/>
          <w:lang w:eastAsia="it-IT"/>
        </w:rPr>
        <w:t xml:space="preserve">. b) </w:t>
      </w:r>
      <w:r w:rsidR="00995F41">
        <w:rPr>
          <w:rFonts w:ascii="Titillium" w:hAnsi="Titillium" w:cs="Calibri"/>
          <w:i/>
          <w:sz w:val="18"/>
          <w:szCs w:val="18"/>
          <w:lang w:eastAsia="it-IT"/>
        </w:rPr>
        <w:t xml:space="preserve">del Codice </w:t>
      </w:r>
      <w:r w:rsidR="00B71887">
        <w:rPr>
          <w:rFonts w:ascii="Titillium" w:hAnsi="Titillium" w:cs="Calibri"/>
          <w:i/>
          <w:sz w:val="18"/>
          <w:szCs w:val="18"/>
          <w:lang w:eastAsia="it-IT"/>
        </w:rPr>
        <w:t xml:space="preserve">è possibile indicare le </w:t>
      </w:r>
      <w:r w:rsidR="00D63970" w:rsidRPr="00F82DCF">
        <w:rPr>
          <w:rFonts w:ascii="Titillium" w:hAnsi="Titillium" w:cs="Calibri"/>
          <w:i/>
          <w:sz w:val="18"/>
          <w:szCs w:val="18"/>
          <w:lang w:eastAsia="it-IT"/>
        </w:rPr>
        <w:t xml:space="preserve">modalità con cui il raggruppamento deve ottemperare ai requisiti, </w:t>
      </w:r>
      <w:r w:rsidR="00B71887" w:rsidRPr="00B71887">
        <w:rPr>
          <w:rFonts w:ascii="Titillium" w:hAnsi="Titillium" w:cs="Calibri"/>
          <w:i/>
          <w:sz w:val="18"/>
          <w:szCs w:val="18"/>
          <w:lang w:eastAsia="it-IT"/>
        </w:rPr>
        <w:t>purché ciò sia</w:t>
      </w:r>
      <w:r w:rsidR="00B71887">
        <w:rPr>
          <w:rFonts w:ascii="Titillium" w:hAnsi="Titillium" w:cs="Calibri"/>
          <w:i/>
          <w:sz w:val="18"/>
          <w:szCs w:val="18"/>
          <w:lang w:eastAsia="it-IT"/>
        </w:rPr>
        <w:t xml:space="preserve"> </w:t>
      </w:r>
      <w:r w:rsidR="00B71887" w:rsidRPr="00B71887">
        <w:rPr>
          <w:rFonts w:ascii="Titillium" w:hAnsi="Titillium" w:cs="Calibri"/>
          <w:i/>
          <w:sz w:val="18"/>
          <w:szCs w:val="18"/>
          <w:lang w:eastAsia="it-IT"/>
        </w:rPr>
        <w:t>proporzionato e giustificato da motivazioni obiettive</w:t>
      </w:r>
      <w:r w:rsidR="00D10F14">
        <w:rPr>
          <w:rFonts w:ascii="Titillium" w:hAnsi="Titillium" w:cs="Calibri"/>
          <w:i/>
          <w:sz w:val="18"/>
          <w:szCs w:val="18"/>
          <w:lang w:eastAsia="it-IT"/>
        </w:rPr>
        <w:t>].</w:t>
      </w:r>
      <w:r w:rsidR="00D63970" w:rsidRPr="00AD1171">
        <w:rPr>
          <w:rFonts w:ascii="Titillium" w:hAnsi="Titillium" w:cs="Calibri"/>
          <w:i/>
          <w:sz w:val="18"/>
          <w:szCs w:val="18"/>
          <w:lang w:eastAsia="it-IT"/>
        </w:rPr>
        <w:t xml:space="preserve"> </w:t>
      </w:r>
    </w:p>
    <w:p w14:paraId="5C126927" w14:textId="7D2A301A" w:rsidR="0099471A" w:rsidRPr="006A3B79" w:rsidRDefault="0099471A" w:rsidP="0099471A">
      <w:pPr>
        <w:pStyle w:val="Paragrafoelenco"/>
        <w:numPr>
          <w:ilvl w:val="2"/>
          <w:numId w:val="72"/>
        </w:numPr>
        <w:spacing w:before="60" w:after="60"/>
      </w:pPr>
      <w:r w:rsidRPr="00A2765A">
        <w:rPr>
          <w:rFonts w:ascii="Titillium" w:hAnsi="Titillium" w:cs="Calibri"/>
          <w:b/>
          <w:bCs/>
          <w:i/>
          <w:sz w:val="18"/>
          <w:szCs w:val="18"/>
        </w:rPr>
        <w:t xml:space="preserve">[Se richiesti ulteriori requisiti economico finanziari previsti dalla normativa </w:t>
      </w:r>
      <w:r w:rsidRPr="00F968CC">
        <w:rPr>
          <w:rFonts w:ascii="Titillium" w:hAnsi="Titillium" w:cs="Calibri"/>
          <w:b/>
          <w:bCs/>
          <w:i/>
          <w:sz w:val="18"/>
          <w:szCs w:val="18"/>
        </w:rPr>
        <w:t>vigente]</w:t>
      </w:r>
      <w:r w:rsidRPr="00A2765A">
        <w:rPr>
          <w:rFonts w:ascii="Titillium" w:hAnsi="Titillium" w:cs="Calibri"/>
          <w:iCs/>
          <w:sz w:val="18"/>
          <w:szCs w:val="18"/>
        </w:rPr>
        <w:t xml:space="preserve"> Il requisito relativo a …. </w:t>
      </w:r>
      <w:r w:rsidRPr="00A2765A">
        <w:rPr>
          <w:rFonts w:ascii="Titillium" w:hAnsi="Titillium" w:cs="Calibri"/>
          <w:i/>
          <w:sz w:val="18"/>
          <w:szCs w:val="18"/>
        </w:rPr>
        <w:t>[specificare il requisito]</w:t>
      </w:r>
      <w:r w:rsidRPr="00A2765A">
        <w:rPr>
          <w:rFonts w:ascii="Titillium" w:hAnsi="Titillium" w:cs="Calibri"/>
          <w:iCs/>
          <w:sz w:val="18"/>
          <w:szCs w:val="18"/>
        </w:rPr>
        <w:t xml:space="preserve"> di cui al punto </w:t>
      </w:r>
      <w:r w:rsidRPr="00A2765A">
        <w:rPr>
          <w:rFonts w:ascii="Titillium" w:hAnsi="Titillium" w:cs="Calibri"/>
          <w:iCs/>
          <w:sz w:val="18"/>
          <w:szCs w:val="18"/>
        </w:rPr>
        <w:fldChar w:fldCharType="begin"/>
      </w:r>
      <w:r w:rsidRPr="00A2765A">
        <w:rPr>
          <w:rFonts w:ascii="Titillium" w:hAnsi="Titillium" w:cs="Calibri"/>
          <w:iCs/>
          <w:sz w:val="18"/>
          <w:szCs w:val="18"/>
        </w:rPr>
        <w:instrText xml:space="preserve"> REF _Ref495411575 \r \h </w:instrText>
      </w:r>
      <w:r>
        <w:rPr>
          <w:rFonts w:ascii="Titillium" w:hAnsi="Titillium" w:cs="Calibri"/>
          <w:iCs/>
          <w:sz w:val="18"/>
          <w:szCs w:val="18"/>
        </w:rPr>
        <w:instrText xml:space="preserve"> \* MERGEFORMAT </w:instrText>
      </w:r>
      <w:r w:rsidRPr="00A2765A">
        <w:rPr>
          <w:rFonts w:ascii="Titillium" w:hAnsi="Titillium" w:cs="Calibri"/>
          <w:iCs/>
          <w:sz w:val="18"/>
          <w:szCs w:val="18"/>
        </w:rPr>
      </w:r>
      <w:r w:rsidRPr="00A2765A">
        <w:rPr>
          <w:rFonts w:ascii="Titillium" w:hAnsi="Titillium" w:cs="Calibri"/>
          <w:iCs/>
          <w:sz w:val="18"/>
          <w:szCs w:val="18"/>
        </w:rPr>
        <w:fldChar w:fldCharType="separate"/>
      </w:r>
      <w:r w:rsidR="00527049">
        <w:rPr>
          <w:rFonts w:ascii="Titillium" w:hAnsi="Titillium" w:cs="Calibri"/>
          <w:iCs/>
          <w:sz w:val="18"/>
          <w:szCs w:val="18"/>
        </w:rPr>
        <w:t>6.2</w:t>
      </w:r>
      <w:r w:rsidRPr="00A2765A">
        <w:rPr>
          <w:rFonts w:ascii="Titillium" w:hAnsi="Titillium" w:cs="Calibri"/>
          <w:iCs/>
          <w:sz w:val="18"/>
          <w:szCs w:val="18"/>
        </w:rPr>
        <w:fldChar w:fldCharType="end"/>
      </w:r>
      <w:r w:rsidRPr="00A2765A">
        <w:rPr>
          <w:rFonts w:ascii="Titillium" w:hAnsi="Titillium" w:cs="Calibri"/>
          <w:iCs/>
          <w:sz w:val="18"/>
          <w:szCs w:val="18"/>
        </w:rPr>
        <w:t xml:space="preserve"> deve essere soddisfatto dal raggruppamento temporaneo nei termini di seguito indicati </w:t>
      </w:r>
      <w:r w:rsidRPr="00A2765A">
        <w:rPr>
          <w:rFonts w:ascii="Titillium" w:hAnsi="Titillium" w:cs="Calibri"/>
          <w:i/>
          <w:sz w:val="18"/>
          <w:szCs w:val="18"/>
        </w:rPr>
        <w:t xml:space="preserve">… </w:t>
      </w:r>
      <w:r w:rsidR="001F12D6" w:rsidRPr="00B71887">
        <w:rPr>
          <w:rFonts w:ascii="Titillium" w:hAnsi="Titillium" w:cs="Calibri"/>
          <w:bCs/>
          <w:i/>
          <w:sz w:val="18"/>
          <w:szCs w:val="18"/>
        </w:rPr>
        <w:t>[indicare quali soggetti devono possedere il requisito</w:t>
      </w:r>
      <w:r w:rsidRPr="00A2765A">
        <w:rPr>
          <w:rFonts w:ascii="Titillium" w:hAnsi="Titillium" w:cs="Calibri"/>
          <w:i/>
          <w:sz w:val="18"/>
          <w:szCs w:val="18"/>
        </w:rPr>
        <w:t>].</w:t>
      </w:r>
    </w:p>
    <w:p w14:paraId="362F337D" w14:textId="77777777" w:rsidR="006A3B79" w:rsidRPr="0099471A" w:rsidRDefault="006A3B79" w:rsidP="00BE6C5B">
      <w:pPr>
        <w:pStyle w:val="Paragrafoelenco"/>
        <w:spacing w:before="60" w:after="60"/>
        <w:ind w:left="360"/>
      </w:pPr>
    </w:p>
    <w:p w14:paraId="4FBC3346" w14:textId="274410CA" w:rsidR="0099471A" w:rsidRPr="0099471A" w:rsidRDefault="0099471A" w:rsidP="0099471A">
      <w:pPr>
        <w:spacing w:before="60" w:after="60"/>
        <w:rPr>
          <w:rFonts w:ascii="Titillium" w:hAnsi="Titillium"/>
          <w:b/>
          <w:iCs/>
          <w:sz w:val="18"/>
          <w:szCs w:val="18"/>
        </w:rPr>
      </w:pPr>
      <w:r w:rsidRPr="0099471A">
        <w:rPr>
          <w:rFonts w:ascii="Titillium" w:hAnsi="Titillium"/>
          <w:b/>
          <w:iCs/>
          <w:sz w:val="18"/>
          <w:szCs w:val="18"/>
        </w:rPr>
        <w:t xml:space="preserve">Requisiti di capacità </w:t>
      </w:r>
      <w:r>
        <w:rPr>
          <w:rFonts w:ascii="Titillium" w:hAnsi="Titillium"/>
          <w:b/>
          <w:iCs/>
          <w:sz w:val="18"/>
          <w:szCs w:val="18"/>
        </w:rPr>
        <w:t>tecnico-professionale</w:t>
      </w:r>
    </w:p>
    <w:p w14:paraId="1DF2540F" w14:textId="166527CA" w:rsidR="006B77B9" w:rsidRPr="00B71887" w:rsidRDefault="006B77B9" w:rsidP="000A5602">
      <w:pPr>
        <w:pStyle w:val="Paragrafoelenco"/>
        <w:numPr>
          <w:ilvl w:val="2"/>
          <w:numId w:val="73"/>
        </w:numPr>
        <w:spacing w:before="60" w:after="60"/>
        <w:ind w:left="284" w:hanging="284"/>
      </w:pPr>
      <w:r w:rsidRPr="001B44C8">
        <w:rPr>
          <w:rFonts w:ascii="Titillium" w:hAnsi="Titillium" w:cs="Calibri"/>
          <w:b/>
          <w:i/>
          <w:sz w:val="18"/>
          <w:szCs w:val="18"/>
        </w:rPr>
        <w:t xml:space="preserve">[Se richiesto elenco di servizi/forniture analoghi] </w:t>
      </w:r>
      <w:r w:rsidRPr="001B44C8">
        <w:rPr>
          <w:rFonts w:ascii="Titillium" w:hAnsi="Titillium" w:cs="Calibri"/>
          <w:sz w:val="18"/>
          <w:szCs w:val="18"/>
        </w:rPr>
        <w:t>Il requisito dei servizi</w:t>
      </w:r>
      <w:r w:rsidR="001B44C8" w:rsidRPr="001B44C8">
        <w:rPr>
          <w:rFonts w:ascii="Titillium" w:hAnsi="Titillium" w:cs="Calibri"/>
          <w:sz w:val="18"/>
          <w:szCs w:val="18"/>
        </w:rPr>
        <w:t xml:space="preserve"> </w:t>
      </w:r>
      <w:r w:rsidRPr="001B44C8">
        <w:rPr>
          <w:rFonts w:ascii="Titillium" w:hAnsi="Titillium" w:cs="Calibri"/>
          <w:sz w:val="18"/>
          <w:szCs w:val="18"/>
        </w:rPr>
        <w:t xml:space="preserve">analoghi </w:t>
      </w:r>
      <w:r w:rsidR="001B44C8" w:rsidRPr="001B44C8">
        <w:rPr>
          <w:rFonts w:ascii="Titillium" w:hAnsi="Titillium" w:cs="Calibri"/>
          <w:i/>
          <w:iCs/>
          <w:sz w:val="18"/>
          <w:szCs w:val="18"/>
        </w:rPr>
        <w:t>[o forniture analoghe]</w:t>
      </w:r>
      <w:r w:rsidR="001B44C8" w:rsidRPr="001B44C8">
        <w:rPr>
          <w:rFonts w:ascii="Titillium" w:hAnsi="Titillium" w:cs="Calibri"/>
          <w:sz w:val="18"/>
          <w:szCs w:val="18"/>
        </w:rPr>
        <w:t xml:space="preserve"> </w:t>
      </w:r>
      <w:r w:rsidRPr="001B44C8">
        <w:rPr>
          <w:rFonts w:ascii="Titillium" w:hAnsi="Titillium" w:cs="Calibri"/>
          <w:sz w:val="18"/>
          <w:szCs w:val="18"/>
        </w:rPr>
        <w:t>di cui al precedente</w:t>
      </w:r>
      <w:r w:rsidRPr="00A2765A">
        <w:rPr>
          <w:rFonts w:ascii="Titillium" w:hAnsi="Titillium" w:cs="Calibri"/>
          <w:sz w:val="18"/>
          <w:szCs w:val="18"/>
        </w:rPr>
        <w:t xml:space="preserve"> punto </w:t>
      </w:r>
      <w:r w:rsidRPr="00A2765A">
        <w:rPr>
          <w:rFonts w:ascii="Titillium" w:hAnsi="Titillium" w:cs="Calibri"/>
          <w:sz w:val="18"/>
          <w:szCs w:val="18"/>
        </w:rPr>
        <w:fldChar w:fldCharType="begin"/>
      </w:r>
      <w:r w:rsidRPr="00A2765A">
        <w:rPr>
          <w:rFonts w:ascii="Titillium" w:hAnsi="Titillium" w:cs="Calibri"/>
          <w:sz w:val="18"/>
          <w:szCs w:val="18"/>
        </w:rPr>
        <w:instrText xml:space="preserve"> REF _Ref495506173 \r \h  \* MERGEFORMAT </w:instrText>
      </w:r>
      <w:r w:rsidRPr="00A2765A">
        <w:rPr>
          <w:rFonts w:ascii="Titillium" w:hAnsi="Titillium" w:cs="Calibri"/>
          <w:sz w:val="18"/>
          <w:szCs w:val="18"/>
        </w:rPr>
      </w:r>
      <w:r w:rsidRPr="00A2765A">
        <w:rPr>
          <w:rFonts w:ascii="Titillium" w:hAnsi="Titillium" w:cs="Calibri"/>
          <w:sz w:val="18"/>
          <w:szCs w:val="18"/>
        </w:rPr>
        <w:fldChar w:fldCharType="separate"/>
      </w:r>
      <w:r w:rsidR="00527049">
        <w:rPr>
          <w:rFonts w:ascii="Titillium" w:hAnsi="Titillium" w:cs="Calibri"/>
          <w:sz w:val="18"/>
          <w:szCs w:val="18"/>
        </w:rPr>
        <w:t>6.3</w:t>
      </w:r>
      <w:r w:rsidRPr="00A2765A">
        <w:rPr>
          <w:rFonts w:ascii="Titillium" w:hAnsi="Titillium" w:cs="Calibri"/>
          <w:sz w:val="18"/>
          <w:szCs w:val="18"/>
        </w:rPr>
        <w:fldChar w:fldCharType="end"/>
      </w:r>
      <w:r w:rsidRPr="00A2765A">
        <w:rPr>
          <w:rFonts w:ascii="Titillium" w:hAnsi="Titillium" w:cs="Calibri"/>
          <w:sz w:val="18"/>
          <w:szCs w:val="18"/>
        </w:rPr>
        <w:t xml:space="preserve"> richiesto in relazione alla prestazione … </w:t>
      </w:r>
      <w:r w:rsidRPr="00A2765A">
        <w:rPr>
          <w:rFonts w:ascii="Titillium" w:hAnsi="Titillium" w:cs="Calibri"/>
          <w:i/>
          <w:iCs/>
          <w:sz w:val="18"/>
          <w:szCs w:val="18"/>
        </w:rPr>
        <w:t>[indicare la prestazione]</w:t>
      </w:r>
      <w:r w:rsidRPr="00A2765A">
        <w:rPr>
          <w:rFonts w:ascii="Titillium" w:hAnsi="Titillium" w:cs="Calibri"/>
          <w:sz w:val="18"/>
          <w:szCs w:val="18"/>
        </w:rPr>
        <w:t xml:space="preserve"> deve essere posseduto dal raggruppamento nel complesso</w:t>
      </w:r>
      <w:r w:rsidR="001F12D6">
        <w:rPr>
          <w:rFonts w:ascii="Titillium" w:hAnsi="Titillium" w:cs="Calibri"/>
          <w:sz w:val="18"/>
          <w:szCs w:val="18"/>
        </w:rPr>
        <w:t>.</w:t>
      </w:r>
    </w:p>
    <w:p w14:paraId="1AFA41EF" w14:textId="77777777" w:rsidR="00B71887" w:rsidRPr="00B71887" w:rsidRDefault="00B71887" w:rsidP="000A5602">
      <w:pPr>
        <w:spacing w:before="60" w:after="60"/>
        <w:ind w:left="284"/>
        <w:rPr>
          <w:rFonts w:ascii="Titillium" w:hAnsi="Titillium"/>
          <w:b/>
          <w:i/>
          <w:sz w:val="18"/>
          <w:szCs w:val="18"/>
        </w:rPr>
      </w:pPr>
      <w:r w:rsidRPr="00B71887">
        <w:rPr>
          <w:rFonts w:ascii="Titillium" w:hAnsi="Titillium"/>
          <w:b/>
          <w:i/>
          <w:sz w:val="18"/>
          <w:szCs w:val="18"/>
        </w:rPr>
        <w:t>[o in alternativa]</w:t>
      </w:r>
    </w:p>
    <w:p w14:paraId="0DC01D1B" w14:textId="660FC410" w:rsidR="00B71887" w:rsidRPr="00B71887" w:rsidRDefault="00B71887" w:rsidP="000A5602">
      <w:pPr>
        <w:spacing w:before="60" w:after="60"/>
        <w:ind w:left="284"/>
        <w:rPr>
          <w:rFonts w:ascii="Titillium" w:hAnsi="Titillium" w:cs="Calibri"/>
          <w:i/>
          <w:sz w:val="18"/>
          <w:szCs w:val="18"/>
        </w:rPr>
      </w:pPr>
      <w:r w:rsidRPr="00B71887">
        <w:rPr>
          <w:rFonts w:ascii="Titillium" w:hAnsi="Titillium" w:cs="Calibri"/>
          <w:b/>
          <w:i/>
          <w:sz w:val="18"/>
          <w:szCs w:val="18"/>
        </w:rPr>
        <w:t>[Se richiesto</w:t>
      </w:r>
      <w:r w:rsidRPr="00B71887">
        <w:rPr>
          <w:rFonts w:ascii="Titillium" w:hAnsi="Titillium" w:cs="Calibri"/>
          <w:sz w:val="18"/>
          <w:szCs w:val="18"/>
        </w:rPr>
        <w:t xml:space="preserve"> </w:t>
      </w:r>
      <w:r w:rsidRPr="00A2765A">
        <w:rPr>
          <w:rFonts w:ascii="Titillium" w:hAnsi="Titillium" w:cs="Calibri"/>
          <w:sz w:val="18"/>
          <w:szCs w:val="18"/>
        </w:rPr>
        <w:t xml:space="preserve">Il requisito dell’elenco dei servizi/forniture analoghi di cui al precedente punto </w:t>
      </w:r>
      <w:r w:rsidRPr="00A2765A">
        <w:rPr>
          <w:rFonts w:ascii="Titillium" w:hAnsi="Titillium" w:cs="Calibri"/>
          <w:sz w:val="18"/>
          <w:szCs w:val="18"/>
        </w:rPr>
        <w:fldChar w:fldCharType="begin"/>
      </w:r>
      <w:r w:rsidRPr="00A2765A">
        <w:rPr>
          <w:rFonts w:ascii="Titillium" w:hAnsi="Titillium" w:cs="Calibri"/>
          <w:sz w:val="18"/>
          <w:szCs w:val="18"/>
        </w:rPr>
        <w:instrText xml:space="preserve"> REF _Ref495506173 \r \h  \* MERGEFORMAT </w:instrText>
      </w:r>
      <w:r w:rsidRPr="00A2765A">
        <w:rPr>
          <w:rFonts w:ascii="Titillium" w:hAnsi="Titillium" w:cs="Calibri"/>
          <w:sz w:val="18"/>
          <w:szCs w:val="18"/>
        </w:rPr>
      </w:r>
      <w:r w:rsidRPr="00A2765A">
        <w:rPr>
          <w:rFonts w:ascii="Titillium" w:hAnsi="Titillium" w:cs="Calibri"/>
          <w:sz w:val="18"/>
          <w:szCs w:val="18"/>
        </w:rPr>
        <w:fldChar w:fldCharType="separate"/>
      </w:r>
      <w:r w:rsidR="00527049">
        <w:rPr>
          <w:rFonts w:ascii="Titillium" w:hAnsi="Titillium" w:cs="Calibri"/>
          <w:sz w:val="18"/>
          <w:szCs w:val="18"/>
        </w:rPr>
        <w:t>6.3</w:t>
      </w:r>
      <w:r w:rsidRPr="00A2765A">
        <w:rPr>
          <w:rFonts w:ascii="Titillium" w:hAnsi="Titillium" w:cs="Calibri"/>
          <w:sz w:val="18"/>
          <w:szCs w:val="18"/>
        </w:rPr>
        <w:fldChar w:fldCharType="end"/>
      </w:r>
      <w:r w:rsidRPr="00A2765A">
        <w:rPr>
          <w:rFonts w:ascii="Titillium" w:hAnsi="Titillium" w:cs="Calibri"/>
          <w:sz w:val="18"/>
          <w:szCs w:val="18"/>
        </w:rPr>
        <w:t xml:space="preserve"> </w:t>
      </w:r>
      <w:r w:rsidRPr="00B71887">
        <w:rPr>
          <w:rFonts w:ascii="Titillium" w:hAnsi="Titillium" w:cs="Calibri"/>
          <w:sz w:val="18"/>
          <w:szCs w:val="18"/>
        </w:rPr>
        <w:t xml:space="preserve"> deve essere soddisfatto dal raggruppamento temporaneo nei termini di seguito indicati …</w:t>
      </w:r>
      <w:r w:rsidRPr="00B71887">
        <w:rPr>
          <w:rFonts w:ascii="Titillium" w:hAnsi="Titillium" w:cs="Calibri"/>
          <w:i/>
          <w:sz w:val="18"/>
          <w:szCs w:val="18"/>
        </w:rPr>
        <w:t xml:space="preserve"> [ai sensi dell’art. 68</w:t>
      </w:r>
      <w:r w:rsidR="00995F41">
        <w:rPr>
          <w:rFonts w:ascii="Titillium" w:hAnsi="Titillium" w:cs="Calibri"/>
          <w:i/>
          <w:sz w:val="18"/>
          <w:szCs w:val="18"/>
        </w:rPr>
        <w:t>,</w:t>
      </w:r>
      <w:r w:rsidRPr="00B71887">
        <w:rPr>
          <w:rFonts w:ascii="Titillium" w:hAnsi="Titillium" w:cs="Calibri"/>
          <w:i/>
          <w:sz w:val="18"/>
          <w:szCs w:val="18"/>
        </w:rPr>
        <w:t xml:space="preserve"> comma 4</w:t>
      </w:r>
      <w:r w:rsidR="00995F41">
        <w:rPr>
          <w:rFonts w:ascii="Titillium" w:hAnsi="Titillium" w:cs="Calibri"/>
          <w:i/>
          <w:sz w:val="18"/>
          <w:szCs w:val="18"/>
        </w:rPr>
        <w:t>,</w:t>
      </w:r>
      <w:r w:rsidRPr="00B71887">
        <w:rPr>
          <w:rFonts w:ascii="Titillium" w:hAnsi="Titillium" w:cs="Calibri"/>
          <w:i/>
          <w:sz w:val="18"/>
          <w:szCs w:val="18"/>
        </w:rPr>
        <w:t xml:space="preserve"> </w:t>
      </w:r>
      <w:proofErr w:type="spellStart"/>
      <w:r w:rsidRPr="00B71887">
        <w:rPr>
          <w:rFonts w:ascii="Titillium" w:hAnsi="Titillium" w:cs="Calibri"/>
          <w:i/>
          <w:sz w:val="18"/>
          <w:szCs w:val="18"/>
        </w:rPr>
        <w:t>lett</w:t>
      </w:r>
      <w:proofErr w:type="spellEnd"/>
      <w:r w:rsidRPr="00B71887">
        <w:rPr>
          <w:rFonts w:ascii="Titillium" w:hAnsi="Titillium" w:cs="Calibri"/>
          <w:i/>
          <w:sz w:val="18"/>
          <w:szCs w:val="18"/>
        </w:rPr>
        <w:t>. b)</w:t>
      </w:r>
      <w:r w:rsidR="00995F41">
        <w:rPr>
          <w:rFonts w:ascii="Titillium" w:hAnsi="Titillium" w:cs="Calibri"/>
          <w:i/>
          <w:sz w:val="18"/>
          <w:szCs w:val="18"/>
        </w:rPr>
        <w:t xml:space="preserve"> del Codice</w:t>
      </w:r>
      <w:r w:rsidRPr="00B71887">
        <w:rPr>
          <w:rFonts w:ascii="Titillium" w:hAnsi="Titillium" w:cs="Calibri"/>
          <w:i/>
          <w:sz w:val="18"/>
          <w:szCs w:val="18"/>
        </w:rPr>
        <w:t xml:space="preserve"> è possibile indicare le modalità con cui il raggruppamento deve ottemperare ai requisiti, purché ciò sia proporzionato e giustificato da motivazioni obiettive]. </w:t>
      </w:r>
    </w:p>
    <w:p w14:paraId="76DCC93D" w14:textId="69381249" w:rsidR="001F12D6" w:rsidRPr="0099471A" w:rsidRDefault="001F12D6" w:rsidP="001F12D6">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Pr>
          <w:rFonts w:ascii="Titillium" w:hAnsi="Titillium" w:cs="Calibri"/>
          <w:i/>
          <w:iCs/>
          <w:sz w:val="18"/>
          <w:szCs w:val="18"/>
        </w:rPr>
        <w:t xml:space="preserve">N.B.: </w:t>
      </w:r>
      <w:r w:rsidRPr="0099471A">
        <w:rPr>
          <w:rFonts w:ascii="Titillium" w:hAnsi="Titillium" w:cs="Calibri"/>
          <w:i/>
          <w:iCs/>
          <w:sz w:val="18"/>
          <w:szCs w:val="18"/>
        </w:rPr>
        <w:t>se richiest</w:t>
      </w:r>
      <w:r>
        <w:rPr>
          <w:rFonts w:ascii="Titillium" w:hAnsi="Titillium" w:cs="Calibri"/>
          <w:i/>
          <w:iCs/>
          <w:sz w:val="18"/>
          <w:szCs w:val="18"/>
        </w:rPr>
        <w:t xml:space="preserve">o elenco di </w:t>
      </w:r>
      <w:r w:rsidRPr="0099471A">
        <w:rPr>
          <w:rFonts w:ascii="Titillium" w:hAnsi="Titillium" w:cs="Calibri"/>
          <w:i/>
          <w:iCs/>
          <w:sz w:val="18"/>
          <w:szCs w:val="18"/>
        </w:rPr>
        <w:t>servizi/forniture in prestazioni diverse ripetere la dicitura</w:t>
      </w:r>
      <w:r>
        <w:rPr>
          <w:rFonts w:ascii="Titillium" w:hAnsi="Titillium" w:cs="Calibri"/>
          <w:i/>
          <w:iCs/>
          <w:sz w:val="18"/>
          <w:szCs w:val="18"/>
        </w:rPr>
        <w:t xml:space="preserve"> per ogni prestazione</w:t>
      </w:r>
    </w:p>
    <w:p w14:paraId="3348ABFF" w14:textId="7D573F42" w:rsidR="00A2765A" w:rsidRDefault="00A2765A" w:rsidP="00B87B2B">
      <w:pPr>
        <w:spacing w:before="60" w:after="60"/>
        <w:rPr>
          <w:rFonts w:ascii="Titillium" w:hAnsi="Titillium" w:cs="Calibri"/>
          <w:strike/>
          <w:sz w:val="18"/>
          <w:szCs w:val="18"/>
        </w:rPr>
      </w:pPr>
    </w:p>
    <w:p w14:paraId="2A8B151E" w14:textId="27D13902" w:rsidR="00BE6C5B" w:rsidRPr="006A3B79" w:rsidRDefault="00BE6C5B" w:rsidP="00BE6C5B">
      <w:pPr>
        <w:pStyle w:val="Paragrafoelenco"/>
        <w:numPr>
          <w:ilvl w:val="2"/>
          <w:numId w:val="72"/>
        </w:numPr>
        <w:spacing w:before="60" w:after="60"/>
      </w:pPr>
      <w:r w:rsidRPr="00A2765A">
        <w:rPr>
          <w:rFonts w:ascii="Titillium" w:hAnsi="Titillium" w:cs="Calibri"/>
          <w:b/>
          <w:bCs/>
          <w:i/>
          <w:sz w:val="18"/>
          <w:szCs w:val="18"/>
        </w:rPr>
        <w:t xml:space="preserve">[Se richiesti ulteriori requisiti </w:t>
      </w:r>
      <w:r>
        <w:rPr>
          <w:rFonts w:ascii="Titillium" w:hAnsi="Titillium" w:cs="Calibri"/>
          <w:b/>
          <w:bCs/>
          <w:i/>
          <w:sz w:val="18"/>
          <w:szCs w:val="18"/>
        </w:rPr>
        <w:t>tecnico professionali</w:t>
      </w:r>
      <w:r w:rsidRPr="00A2765A">
        <w:rPr>
          <w:rFonts w:ascii="Titillium" w:hAnsi="Titillium" w:cs="Calibri"/>
          <w:b/>
          <w:bCs/>
          <w:i/>
          <w:sz w:val="18"/>
          <w:szCs w:val="18"/>
        </w:rPr>
        <w:t xml:space="preserve"> previsti dalla normativa vigente</w:t>
      </w:r>
      <w:r w:rsidRPr="00A2765A">
        <w:rPr>
          <w:rFonts w:ascii="Titillium" w:hAnsi="Titillium" w:cs="Calibri"/>
          <w:b/>
          <w:bCs/>
          <w:iCs/>
          <w:sz w:val="18"/>
          <w:szCs w:val="18"/>
        </w:rPr>
        <w:t>]</w:t>
      </w:r>
      <w:r w:rsidRPr="00A2765A">
        <w:rPr>
          <w:rFonts w:ascii="Titillium" w:hAnsi="Titillium" w:cs="Calibri"/>
          <w:iCs/>
          <w:sz w:val="18"/>
          <w:szCs w:val="18"/>
        </w:rPr>
        <w:t xml:space="preserve"> Il requisito relativo a …. </w:t>
      </w:r>
      <w:r w:rsidRPr="00A2765A">
        <w:rPr>
          <w:rFonts w:ascii="Titillium" w:hAnsi="Titillium" w:cs="Calibri"/>
          <w:i/>
          <w:sz w:val="18"/>
          <w:szCs w:val="18"/>
        </w:rPr>
        <w:t>[specificare il requisito]</w:t>
      </w:r>
      <w:r w:rsidRPr="00A2765A">
        <w:rPr>
          <w:rFonts w:ascii="Titillium" w:hAnsi="Titillium" w:cs="Calibri"/>
          <w:iCs/>
          <w:sz w:val="18"/>
          <w:szCs w:val="18"/>
        </w:rPr>
        <w:t xml:space="preserve"> di cui al punto </w:t>
      </w:r>
      <w:r w:rsidRPr="00AD3779">
        <w:rPr>
          <w:rFonts w:ascii="Titillium" w:hAnsi="Titillium" w:cs="Calibri"/>
          <w:sz w:val="18"/>
          <w:szCs w:val="18"/>
        </w:rPr>
        <w:fldChar w:fldCharType="begin"/>
      </w:r>
      <w:r w:rsidRPr="00AD3779">
        <w:rPr>
          <w:rFonts w:ascii="Titillium" w:hAnsi="Titillium" w:cs="Calibri"/>
          <w:sz w:val="18"/>
          <w:szCs w:val="18"/>
        </w:rPr>
        <w:instrText xml:space="preserve"> REF _Ref495506173 \r \h  \* MERGEFORMAT </w:instrText>
      </w:r>
      <w:r w:rsidRPr="00AD3779">
        <w:rPr>
          <w:rFonts w:ascii="Titillium" w:hAnsi="Titillium" w:cs="Calibri"/>
          <w:sz w:val="18"/>
          <w:szCs w:val="18"/>
        </w:rPr>
      </w:r>
      <w:r w:rsidRPr="00AD3779">
        <w:rPr>
          <w:rFonts w:ascii="Titillium" w:hAnsi="Titillium" w:cs="Calibri"/>
          <w:sz w:val="18"/>
          <w:szCs w:val="18"/>
        </w:rPr>
        <w:fldChar w:fldCharType="separate"/>
      </w:r>
      <w:r w:rsidR="00527049">
        <w:rPr>
          <w:rFonts w:ascii="Titillium" w:hAnsi="Titillium" w:cs="Calibri"/>
          <w:sz w:val="18"/>
          <w:szCs w:val="18"/>
        </w:rPr>
        <w:t>6.3</w:t>
      </w:r>
      <w:r w:rsidRPr="00AD3779">
        <w:rPr>
          <w:rFonts w:ascii="Titillium" w:hAnsi="Titillium" w:cs="Calibri"/>
          <w:sz w:val="18"/>
          <w:szCs w:val="18"/>
        </w:rPr>
        <w:fldChar w:fldCharType="end"/>
      </w:r>
      <w:r w:rsidRPr="00A2765A">
        <w:rPr>
          <w:rFonts w:ascii="Titillium" w:hAnsi="Titillium" w:cs="Calibri"/>
          <w:iCs/>
          <w:sz w:val="18"/>
          <w:szCs w:val="18"/>
        </w:rPr>
        <w:t xml:space="preserve"> deve essere soddisfatto dal raggruppamento temporaneo nei termini di seguito indicati </w:t>
      </w:r>
      <w:r w:rsidRPr="00A2765A">
        <w:rPr>
          <w:rFonts w:ascii="Titillium" w:hAnsi="Titillium" w:cs="Calibri"/>
          <w:i/>
          <w:sz w:val="18"/>
          <w:szCs w:val="18"/>
        </w:rPr>
        <w:t>… [la stazione appaltante indica le eventuali modalità con cui il raggruppamento deve ottemperare ai requisiti, nel rispetto del principio di proporzionalità].</w:t>
      </w:r>
    </w:p>
    <w:p w14:paraId="5392AA75" w14:textId="0A5372A7" w:rsidR="00F35D82" w:rsidRDefault="00F35D82" w:rsidP="00B87B2B">
      <w:pPr>
        <w:spacing w:before="60" w:after="60"/>
        <w:rPr>
          <w:rFonts w:ascii="Titillium" w:hAnsi="Titillium" w:cs="Calibri"/>
          <w:strike/>
          <w:sz w:val="18"/>
          <w:szCs w:val="18"/>
        </w:rPr>
      </w:pPr>
    </w:p>
    <w:p w14:paraId="4472C1E5" w14:textId="71346F71" w:rsidR="00F35D82" w:rsidRDefault="001051E3" w:rsidP="00B87B2B">
      <w:pPr>
        <w:spacing w:before="60" w:after="60"/>
        <w:rPr>
          <w:rFonts w:ascii="Titillium" w:hAnsi="Titillium"/>
          <w:sz w:val="18"/>
          <w:szCs w:val="24"/>
        </w:rPr>
      </w:pPr>
      <w:r>
        <w:rPr>
          <w:rFonts w:ascii="Titillium" w:hAnsi="Titillium"/>
          <w:sz w:val="18"/>
          <w:szCs w:val="24"/>
        </w:rPr>
        <w:t>Nel caso in cui</w:t>
      </w:r>
      <w:r w:rsidRPr="00FA010F">
        <w:rPr>
          <w:rFonts w:ascii="Titillium" w:hAnsi="Titillium"/>
          <w:sz w:val="18"/>
          <w:szCs w:val="24"/>
        </w:rPr>
        <w:t xml:space="preserve"> un </w:t>
      </w:r>
      <w:r>
        <w:rPr>
          <w:rFonts w:ascii="Titillium" w:hAnsi="Titillium"/>
          <w:sz w:val="18"/>
          <w:szCs w:val="24"/>
        </w:rPr>
        <w:t>raggruppamento</w:t>
      </w:r>
      <w:r w:rsidRPr="00FA010F">
        <w:rPr>
          <w:rFonts w:ascii="Titillium" w:hAnsi="Titillium"/>
          <w:sz w:val="18"/>
          <w:szCs w:val="24"/>
        </w:rPr>
        <w:t xml:space="preserve"> </w:t>
      </w:r>
      <w:r>
        <w:rPr>
          <w:rFonts w:ascii="Titillium" w:hAnsi="Titillium"/>
          <w:sz w:val="18"/>
          <w:szCs w:val="24"/>
        </w:rPr>
        <w:t>abbia estromesso o sostituito un partecipante allo stesso</w:t>
      </w:r>
      <w:r w:rsidRPr="00FA010F">
        <w:rPr>
          <w:rFonts w:ascii="Titillium" w:hAnsi="Titillium"/>
          <w:sz w:val="18"/>
          <w:szCs w:val="24"/>
        </w:rPr>
        <w:t xml:space="preserve"> </w:t>
      </w:r>
      <w:r>
        <w:rPr>
          <w:rFonts w:ascii="Titillium" w:hAnsi="Titillium"/>
          <w:sz w:val="18"/>
          <w:szCs w:val="24"/>
        </w:rPr>
        <w:t>poiché privo di un requisito di ordine speciale di cui all’articolo 100 del Codice, si valutano le misure adottate ai sensi dell’articolo 97 del Codice al fine di decidere sull’esclusione del raggruppamento.</w:t>
      </w:r>
      <w:r w:rsidRPr="00FA010F">
        <w:rPr>
          <w:rFonts w:ascii="Titillium" w:hAnsi="Titillium"/>
          <w:sz w:val="18"/>
          <w:szCs w:val="24"/>
        </w:rPr>
        <w:t xml:space="preserve"> </w:t>
      </w:r>
    </w:p>
    <w:p w14:paraId="03A43C6A" w14:textId="77777777" w:rsidR="0062004E" w:rsidRDefault="0062004E" w:rsidP="00B87B2B">
      <w:pPr>
        <w:spacing w:before="60" w:after="60"/>
        <w:rPr>
          <w:rFonts w:ascii="Titillium" w:hAnsi="Titillium"/>
          <w:sz w:val="18"/>
          <w:szCs w:val="24"/>
        </w:rPr>
      </w:pPr>
    </w:p>
    <w:p w14:paraId="6DC8E805" w14:textId="18455998" w:rsidR="004C53A8" w:rsidRPr="0062004E" w:rsidRDefault="001051E3" w:rsidP="0062004E">
      <w:pPr>
        <w:pStyle w:val="Titolo3"/>
        <w:numPr>
          <w:ilvl w:val="1"/>
          <w:numId w:val="4"/>
        </w:numPr>
        <w:ind w:left="426" w:hanging="426"/>
        <w:rPr>
          <w:rFonts w:ascii="Titillium" w:hAnsi="Titillium"/>
          <w:caps w:val="0"/>
          <w:sz w:val="18"/>
          <w:szCs w:val="18"/>
          <w:lang w:val="it-IT"/>
        </w:rPr>
      </w:pPr>
      <w:bookmarkStart w:id="1704" w:name="_Toc497728151"/>
      <w:bookmarkStart w:id="1705" w:name="_Toc497484953"/>
      <w:bookmarkStart w:id="1706" w:name="_Toc494359032"/>
      <w:bookmarkStart w:id="1707" w:name="_Toc494358983"/>
      <w:bookmarkStart w:id="1708" w:name="_Toc498419744"/>
      <w:bookmarkStart w:id="1709" w:name="_Toc497831546"/>
      <w:bookmarkStart w:id="1710" w:name="_Ref496007652"/>
      <w:bookmarkStart w:id="1711" w:name="_Ref496007650"/>
      <w:bookmarkStart w:id="1712" w:name="_Toc139549428"/>
      <w:bookmarkEnd w:id="1704"/>
      <w:bookmarkEnd w:id="1705"/>
      <w:bookmarkEnd w:id="1706"/>
      <w:bookmarkEnd w:id="1707"/>
      <w:bookmarkEnd w:id="1708"/>
      <w:bookmarkEnd w:id="1709"/>
      <w:r w:rsidRPr="0062004E">
        <w:rPr>
          <w:rFonts w:ascii="Titillium" w:hAnsi="Titillium"/>
          <w:caps w:val="0"/>
          <w:sz w:val="18"/>
          <w:szCs w:val="18"/>
          <w:lang w:val="it-IT"/>
        </w:rPr>
        <w:t>I</w:t>
      </w:r>
      <w:r w:rsidR="004C667D" w:rsidRPr="0062004E">
        <w:rPr>
          <w:rFonts w:ascii="Titillium" w:hAnsi="Titillium"/>
          <w:caps w:val="0"/>
          <w:sz w:val="18"/>
          <w:szCs w:val="18"/>
          <w:lang w:val="it-IT"/>
        </w:rPr>
        <w:t xml:space="preserve">NDICAZIONI </w:t>
      </w:r>
      <w:r w:rsidR="00872FA1" w:rsidRPr="0062004E">
        <w:rPr>
          <w:rFonts w:ascii="Titillium" w:hAnsi="Titillium"/>
          <w:caps w:val="0"/>
          <w:sz w:val="18"/>
          <w:szCs w:val="18"/>
          <w:lang w:val="it-IT"/>
        </w:rPr>
        <w:t>SUI REQUISITI</w:t>
      </w:r>
      <w:r w:rsidR="0062004E">
        <w:rPr>
          <w:rFonts w:ascii="Titillium" w:hAnsi="Titillium"/>
          <w:caps w:val="0"/>
          <w:sz w:val="18"/>
          <w:szCs w:val="18"/>
          <w:lang w:val="it-IT"/>
        </w:rPr>
        <w:t xml:space="preserve"> SPECIALI</w:t>
      </w:r>
      <w:r w:rsidR="00872FA1" w:rsidRPr="0062004E">
        <w:rPr>
          <w:rFonts w:ascii="Titillium" w:hAnsi="Titillium"/>
          <w:caps w:val="0"/>
          <w:sz w:val="18"/>
          <w:szCs w:val="18"/>
          <w:lang w:val="it-IT"/>
        </w:rPr>
        <w:t xml:space="preserve"> NEI</w:t>
      </w:r>
      <w:r w:rsidR="0062004E">
        <w:rPr>
          <w:rFonts w:ascii="Titillium" w:hAnsi="Titillium"/>
          <w:caps w:val="0"/>
          <w:sz w:val="18"/>
          <w:szCs w:val="18"/>
          <w:lang w:val="it-IT"/>
        </w:rPr>
        <w:t xml:space="preserve"> </w:t>
      </w:r>
      <w:r w:rsidR="004C667D" w:rsidRPr="0062004E">
        <w:rPr>
          <w:rFonts w:ascii="Titillium" w:hAnsi="Titillium"/>
          <w:caps w:val="0"/>
          <w:sz w:val="18"/>
          <w:szCs w:val="18"/>
          <w:lang w:val="it-IT"/>
        </w:rPr>
        <w:t>CONSORZI DI COOPERATIVE</w:t>
      </w:r>
      <w:r w:rsidR="005060AD" w:rsidRPr="0062004E">
        <w:rPr>
          <w:rFonts w:ascii="Titillium" w:hAnsi="Titillium"/>
          <w:caps w:val="0"/>
          <w:sz w:val="18"/>
          <w:szCs w:val="18"/>
          <w:lang w:val="it-IT"/>
        </w:rPr>
        <w:t xml:space="preserve">, CONSORZI </w:t>
      </w:r>
      <w:r w:rsidR="004C667D" w:rsidRPr="0062004E">
        <w:rPr>
          <w:rFonts w:ascii="Titillium" w:hAnsi="Titillium"/>
          <w:caps w:val="0"/>
          <w:sz w:val="18"/>
          <w:szCs w:val="18"/>
          <w:lang w:val="it-IT"/>
        </w:rPr>
        <w:t>DI IMPRESE ARTIGIANE</w:t>
      </w:r>
      <w:r w:rsidR="005060AD" w:rsidRPr="0062004E">
        <w:rPr>
          <w:rFonts w:ascii="Titillium" w:hAnsi="Titillium"/>
          <w:caps w:val="0"/>
          <w:sz w:val="18"/>
          <w:szCs w:val="18"/>
          <w:lang w:val="it-IT"/>
        </w:rPr>
        <w:t xml:space="preserve">, </w:t>
      </w:r>
      <w:r w:rsidR="004C667D" w:rsidRPr="0062004E">
        <w:rPr>
          <w:rFonts w:ascii="Titillium" w:hAnsi="Titillium"/>
          <w:caps w:val="0"/>
          <w:sz w:val="18"/>
          <w:szCs w:val="18"/>
          <w:lang w:val="it-IT"/>
        </w:rPr>
        <w:t>CONSORZI STABILI</w:t>
      </w:r>
      <w:bookmarkEnd w:id="1710"/>
      <w:bookmarkEnd w:id="1711"/>
      <w:bookmarkEnd w:id="1712"/>
      <w:r w:rsidR="004C667D" w:rsidRPr="0062004E">
        <w:rPr>
          <w:rFonts w:ascii="Titillium" w:hAnsi="Titillium"/>
          <w:caps w:val="0"/>
          <w:sz w:val="18"/>
          <w:szCs w:val="18"/>
          <w:lang w:val="it-IT"/>
        </w:rPr>
        <w:t xml:space="preserve"> </w:t>
      </w:r>
    </w:p>
    <w:p w14:paraId="034F66AE" w14:textId="4530B0F3" w:rsidR="00270975" w:rsidRPr="0000590E" w:rsidRDefault="00270975" w:rsidP="00270975">
      <w:pPr>
        <w:spacing w:before="60" w:after="60"/>
        <w:rPr>
          <w:rFonts w:ascii="Titillium" w:hAnsi="Titillium"/>
          <w:b/>
          <w:iCs/>
          <w:sz w:val="18"/>
          <w:szCs w:val="18"/>
        </w:rPr>
      </w:pPr>
      <w:r w:rsidRPr="0000590E">
        <w:rPr>
          <w:rFonts w:ascii="Titillium" w:hAnsi="Titillium"/>
          <w:b/>
          <w:iCs/>
          <w:sz w:val="18"/>
          <w:szCs w:val="18"/>
        </w:rPr>
        <w:t>Requisiti di idoneità professionale</w:t>
      </w:r>
    </w:p>
    <w:p w14:paraId="0C68888E" w14:textId="2255AD75" w:rsidR="00270975" w:rsidRPr="0000590E" w:rsidRDefault="00270975" w:rsidP="00270975">
      <w:pPr>
        <w:pStyle w:val="Paragrafoelenco"/>
        <w:numPr>
          <w:ilvl w:val="2"/>
          <w:numId w:val="74"/>
        </w:numPr>
        <w:spacing w:before="60" w:after="60"/>
      </w:pPr>
      <w:r w:rsidRPr="0000590E">
        <w:rPr>
          <w:rFonts w:ascii="Titillium" w:eastAsia="Times New Roman" w:hAnsi="Titillium" w:cs="Calibri"/>
          <w:sz w:val="18"/>
          <w:szCs w:val="18"/>
          <w:lang w:eastAsia="en-US"/>
        </w:rPr>
        <w:t xml:space="preserve">Il requisito relativo all’iscrizione nel Registro delle Imprese oppure nell’Albo delle Imprese artigiane di cui di cui al punto </w:t>
      </w:r>
      <w:r w:rsidRPr="0000590E">
        <w:rPr>
          <w:rFonts w:ascii="Titillium" w:eastAsia="Times New Roman" w:hAnsi="Titillium" w:cs="Calibri"/>
          <w:sz w:val="18"/>
          <w:szCs w:val="18"/>
          <w:lang w:eastAsia="en-US"/>
        </w:rPr>
        <w:fldChar w:fldCharType="begin"/>
      </w:r>
      <w:r w:rsidRPr="0000590E">
        <w:rPr>
          <w:rFonts w:ascii="Titillium" w:eastAsia="Times New Roman" w:hAnsi="Titillium" w:cs="Calibri"/>
          <w:sz w:val="18"/>
          <w:szCs w:val="18"/>
          <w:lang w:eastAsia="en-US"/>
        </w:rPr>
        <w:instrText xml:space="preserve"> REF _Ref128681470 \r \h  \* MERGEFORMAT </w:instrText>
      </w:r>
      <w:r w:rsidRPr="0000590E">
        <w:rPr>
          <w:rFonts w:ascii="Titillium" w:eastAsia="Times New Roman" w:hAnsi="Titillium" w:cs="Calibri"/>
          <w:sz w:val="18"/>
          <w:szCs w:val="18"/>
          <w:lang w:eastAsia="en-US"/>
        </w:rPr>
      </w:r>
      <w:r w:rsidRPr="0000590E">
        <w:rPr>
          <w:rFonts w:ascii="Titillium" w:eastAsia="Times New Roman" w:hAnsi="Titillium" w:cs="Calibri"/>
          <w:sz w:val="18"/>
          <w:szCs w:val="18"/>
          <w:lang w:eastAsia="en-US"/>
        </w:rPr>
        <w:fldChar w:fldCharType="separate"/>
      </w:r>
      <w:r w:rsidR="00527049">
        <w:rPr>
          <w:rFonts w:ascii="Titillium" w:eastAsia="Times New Roman" w:hAnsi="Titillium" w:cs="Calibri"/>
          <w:sz w:val="18"/>
          <w:szCs w:val="18"/>
          <w:lang w:eastAsia="en-US"/>
        </w:rPr>
        <w:t>6.1</w:t>
      </w:r>
      <w:r w:rsidRPr="0000590E">
        <w:rPr>
          <w:rFonts w:ascii="Titillium" w:eastAsia="Times New Roman" w:hAnsi="Titillium" w:cs="Calibri"/>
          <w:sz w:val="18"/>
          <w:szCs w:val="18"/>
          <w:lang w:eastAsia="en-US"/>
        </w:rPr>
        <w:fldChar w:fldCharType="end"/>
      </w:r>
      <w:r w:rsidRPr="0000590E">
        <w:rPr>
          <w:rFonts w:ascii="Titillium" w:eastAsia="Times New Roman" w:hAnsi="Titillium" w:cs="Calibri"/>
          <w:sz w:val="18"/>
          <w:szCs w:val="18"/>
          <w:lang w:eastAsia="en-US"/>
        </w:rPr>
        <w:t xml:space="preserve"> deve essere posseduto </w:t>
      </w:r>
      <w:r w:rsidRPr="0000590E">
        <w:rPr>
          <w:rFonts w:ascii="Titillium" w:hAnsi="Titillium" w:cs="Calibri"/>
          <w:sz w:val="18"/>
          <w:szCs w:val="18"/>
        </w:rPr>
        <w:t xml:space="preserve">dal consorzio e dai consorziati indicati come esecutori </w:t>
      </w:r>
      <w:r w:rsidRPr="0000590E">
        <w:rPr>
          <w:rFonts w:ascii="Titillium" w:hAnsi="Titillium"/>
          <w:i/>
          <w:iCs/>
          <w:sz w:val="18"/>
          <w:szCs w:val="18"/>
        </w:rPr>
        <w:t>[se l’iscrizione non è dovuta per l’esercizio dell’attività oggetto dell’affidamento, eliminare la clausola].</w:t>
      </w:r>
    </w:p>
    <w:p w14:paraId="05AE27B5" w14:textId="321C4A19" w:rsidR="00270975" w:rsidRPr="0000590E" w:rsidRDefault="00270975" w:rsidP="00270975">
      <w:pPr>
        <w:pStyle w:val="Paragrafoelenco"/>
        <w:numPr>
          <w:ilvl w:val="2"/>
          <w:numId w:val="74"/>
        </w:numPr>
        <w:spacing w:before="60" w:after="60"/>
      </w:pPr>
      <w:r w:rsidRPr="0000590E">
        <w:rPr>
          <w:rFonts w:ascii="Titillium" w:hAnsi="Titillium"/>
          <w:b/>
          <w:i/>
          <w:sz w:val="18"/>
          <w:szCs w:val="18"/>
        </w:rPr>
        <w:t>[Se richiesti altri requisiti di idoneità]</w:t>
      </w:r>
      <w:r w:rsidRPr="0000590E">
        <w:rPr>
          <w:rFonts w:ascii="Titillium" w:hAnsi="Titillium"/>
          <w:b/>
          <w:sz w:val="18"/>
          <w:szCs w:val="18"/>
        </w:rPr>
        <w:t xml:space="preserve"> </w:t>
      </w:r>
      <w:r w:rsidRPr="0000590E">
        <w:rPr>
          <w:rFonts w:ascii="Titillium" w:hAnsi="Titillium" w:cs="Calibri"/>
          <w:sz w:val="18"/>
          <w:szCs w:val="18"/>
        </w:rPr>
        <w:t>Il requisito relativo all’iscrizione … [</w:t>
      </w:r>
      <w:r w:rsidRPr="0000590E">
        <w:rPr>
          <w:rFonts w:ascii="Titillium" w:hAnsi="Titillium" w:cs="Calibri"/>
          <w:i/>
          <w:iCs/>
          <w:sz w:val="18"/>
          <w:szCs w:val="18"/>
        </w:rPr>
        <w:t>indicare tipologia di iscrizione richiesta</w:t>
      </w:r>
      <w:r w:rsidRPr="0000590E">
        <w:rPr>
          <w:rFonts w:ascii="Titillium" w:hAnsi="Titillium" w:cs="Calibri"/>
          <w:sz w:val="18"/>
          <w:szCs w:val="18"/>
        </w:rPr>
        <w:t xml:space="preserve">] di cui al punto 6.1 deve essere posseduto </w:t>
      </w:r>
      <w:r w:rsidRPr="0062004E">
        <w:rPr>
          <w:rFonts w:ascii="Titillium" w:hAnsi="Titillium" w:cs="Calibri"/>
          <w:sz w:val="18"/>
          <w:szCs w:val="18"/>
        </w:rPr>
        <w:t>dal consorziato esecutore</w:t>
      </w:r>
      <w:r w:rsidRPr="0000590E">
        <w:rPr>
          <w:rFonts w:ascii="Titillium" w:hAnsi="Titillium" w:cs="Calibri"/>
          <w:sz w:val="18"/>
          <w:szCs w:val="18"/>
        </w:rPr>
        <w:t>.</w:t>
      </w:r>
    </w:p>
    <w:p w14:paraId="1688A461" w14:textId="77777777" w:rsidR="008507BE" w:rsidRDefault="008507BE" w:rsidP="00270975">
      <w:pPr>
        <w:spacing w:before="60" w:after="60"/>
        <w:rPr>
          <w:rFonts w:ascii="Titillium" w:hAnsi="Titillium"/>
          <w:b/>
          <w:iCs/>
          <w:sz w:val="18"/>
          <w:szCs w:val="18"/>
        </w:rPr>
      </w:pPr>
    </w:p>
    <w:p w14:paraId="35D48F5D" w14:textId="5C85DD53" w:rsidR="00270975" w:rsidRPr="0000590E" w:rsidRDefault="00270975" w:rsidP="00270975">
      <w:pPr>
        <w:spacing w:before="60" w:after="60"/>
        <w:rPr>
          <w:rFonts w:ascii="Titillium" w:hAnsi="Titillium"/>
          <w:b/>
          <w:iCs/>
          <w:sz w:val="18"/>
          <w:szCs w:val="18"/>
        </w:rPr>
      </w:pPr>
      <w:r w:rsidRPr="0000590E">
        <w:rPr>
          <w:rFonts w:ascii="Titillium" w:hAnsi="Titillium"/>
          <w:b/>
          <w:iCs/>
          <w:sz w:val="18"/>
          <w:szCs w:val="18"/>
        </w:rPr>
        <w:t>Requisiti di capacità economico finanziaria e tecnico-professionale</w:t>
      </w:r>
    </w:p>
    <w:p w14:paraId="16FB5470" w14:textId="4B835ABA" w:rsidR="00F01168" w:rsidRPr="00700292" w:rsidRDefault="00870286" w:rsidP="008472C3">
      <w:pPr>
        <w:spacing w:before="60" w:after="60"/>
        <w:rPr>
          <w:rFonts w:ascii="Titillium" w:hAnsi="Titillium" w:cs="Calibri"/>
          <w:sz w:val="18"/>
          <w:szCs w:val="18"/>
        </w:rPr>
      </w:pPr>
      <w:r w:rsidRPr="0000590E">
        <w:rPr>
          <w:rFonts w:ascii="Titillium" w:hAnsi="Titillium" w:cs="Calibri"/>
          <w:b/>
          <w:i/>
          <w:sz w:val="18"/>
          <w:szCs w:val="18"/>
        </w:rPr>
        <w:t xml:space="preserve">[Se richiesti </w:t>
      </w:r>
      <w:r w:rsidRPr="00700292">
        <w:rPr>
          <w:rFonts w:ascii="Titillium" w:hAnsi="Titillium" w:cs="Calibri"/>
          <w:b/>
          <w:i/>
          <w:sz w:val="18"/>
          <w:szCs w:val="18"/>
        </w:rPr>
        <w:t xml:space="preserve">requisiti di capacità economica e finanziaria/tecnica e professionale di cui ai punti </w:t>
      </w:r>
      <w:r w:rsidR="00AA77D1" w:rsidRPr="00700292">
        <w:rPr>
          <w:rFonts w:ascii="Titillium" w:hAnsi="Titillium" w:cs="Calibri"/>
          <w:b/>
          <w:i/>
          <w:sz w:val="18"/>
          <w:szCs w:val="18"/>
        </w:rPr>
        <w:fldChar w:fldCharType="begin"/>
      </w:r>
      <w:r w:rsidR="00AA77D1" w:rsidRPr="00700292">
        <w:rPr>
          <w:rFonts w:ascii="Titillium" w:hAnsi="Titillium" w:cs="Calibri"/>
          <w:b/>
          <w:i/>
          <w:sz w:val="18"/>
          <w:szCs w:val="18"/>
        </w:rPr>
        <w:instrText xml:space="preserve"> REF _Ref495411575 \r \h </w:instrText>
      </w:r>
      <w:r w:rsidR="00700292">
        <w:rPr>
          <w:rFonts w:ascii="Titillium" w:hAnsi="Titillium" w:cs="Calibri"/>
          <w:b/>
          <w:i/>
          <w:sz w:val="18"/>
          <w:szCs w:val="18"/>
        </w:rPr>
        <w:instrText xml:space="preserve"> \* MERGEFORMAT </w:instrText>
      </w:r>
      <w:r w:rsidR="00AA77D1" w:rsidRPr="00700292">
        <w:rPr>
          <w:rFonts w:ascii="Titillium" w:hAnsi="Titillium" w:cs="Calibri"/>
          <w:b/>
          <w:i/>
          <w:sz w:val="18"/>
          <w:szCs w:val="18"/>
        </w:rPr>
      </w:r>
      <w:r w:rsidR="00AA77D1" w:rsidRPr="00700292">
        <w:rPr>
          <w:rFonts w:ascii="Titillium" w:hAnsi="Titillium" w:cs="Calibri"/>
          <w:b/>
          <w:i/>
          <w:sz w:val="18"/>
          <w:szCs w:val="18"/>
        </w:rPr>
        <w:fldChar w:fldCharType="separate"/>
      </w:r>
      <w:r w:rsidR="00AA77D1" w:rsidRPr="00700292">
        <w:rPr>
          <w:rFonts w:ascii="Titillium" w:hAnsi="Titillium" w:cs="Calibri"/>
          <w:b/>
          <w:i/>
          <w:sz w:val="18"/>
          <w:szCs w:val="18"/>
        </w:rPr>
        <w:t>6.2</w:t>
      </w:r>
      <w:r w:rsidR="00AA77D1" w:rsidRPr="00700292">
        <w:rPr>
          <w:rFonts w:ascii="Titillium" w:hAnsi="Titillium" w:cs="Calibri"/>
          <w:b/>
          <w:i/>
          <w:sz w:val="18"/>
          <w:szCs w:val="18"/>
        </w:rPr>
        <w:fldChar w:fldCharType="end"/>
      </w:r>
      <w:r w:rsidR="00AA77D1" w:rsidRPr="00700292">
        <w:rPr>
          <w:rFonts w:ascii="Titillium" w:hAnsi="Titillium" w:cs="Calibri"/>
          <w:b/>
          <w:i/>
          <w:sz w:val="18"/>
          <w:szCs w:val="18"/>
        </w:rPr>
        <w:t xml:space="preserve"> </w:t>
      </w:r>
      <w:r w:rsidRPr="00700292">
        <w:rPr>
          <w:rFonts w:ascii="Titillium" w:hAnsi="Titillium" w:cs="Calibri"/>
          <w:b/>
          <w:i/>
          <w:sz w:val="18"/>
          <w:szCs w:val="18"/>
        </w:rPr>
        <w:t>e</w:t>
      </w:r>
      <w:r w:rsidR="00F555F9" w:rsidRPr="00700292">
        <w:rPr>
          <w:rFonts w:ascii="Titillium" w:hAnsi="Titillium" w:cs="Calibri"/>
          <w:b/>
          <w:i/>
          <w:sz w:val="18"/>
          <w:szCs w:val="18"/>
        </w:rPr>
        <w:t xml:space="preserve"> </w:t>
      </w:r>
      <w:r w:rsidR="00AA77D1" w:rsidRPr="00700292">
        <w:rPr>
          <w:rFonts w:ascii="Titillium" w:hAnsi="Titillium" w:cs="Calibri"/>
          <w:b/>
          <w:i/>
          <w:sz w:val="18"/>
          <w:szCs w:val="18"/>
        </w:rPr>
        <w:fldChar w:fldCharType="begin"/>
      </w:r>
      <w:r w:rsidR="00AA77D1" w:rsidRPr="00700292">
        <w:rPr>
          <w:rFonts w:ascii="Titillium" w:hAnsi="Titillium" w:cs="Calibri"/>
          <w:b/>
          <w:i/>
          <w:sz w:val="18"/>
          <w:szCs w:val="18"/>
        </w:rPr>
        <w:instrText xml:space="preserve"> REF _Ref495506173 \r \h </w:instrText>
      </w:r>
      <w:r w:rsidR="00700292">
        <w:rPr>
          <w:rFonts w:ascii="Titillium" w:hAnsi="Titillium" w:cs="Calibri"/>
          <w:b/>
          <w:i/>
          <w:sz w:val="18"/>
          <w:szCs w:val="18"/>
        </w:rPr>
        <w:instrText xml:space="preserve"> \* MERGEFORMAT </w:instrText>
      </w:r>
      <w:r w:rsidR="00AA77D1" w:rsidRPr="00700292">
        <w:rPr>
          <w:rFonts w:ascii="Titillium" w:hAnsi="Titillium" w:cs="Calibri"/>
          <w:b/>
          <w:i/>
          <w:sz w:val="18"/>
          <w:szCs w:val="18"/>
        </w:rPr>
      </w:r>
      <w:r w:rsidR="00AA77D1" w:rsidRPr="00700292">
        <w:rPr>
          <w:rFonts w:ascii="Titillium" w:hAnsi="Titillium" w:cs="Calibri"/>
          <w:b/>
          <w:i/>
          <w:sz w:val="18"/>
          <w:szCs w:val="18"/>
        </w:rPr>
        <w:fldChar w:fldCharType="separate"/>
      </w:r>
      <w:r w:rsidR="00AA77D1" w:rsidRPr="00700292">
        <w:rPr>
          <w:rFonts w:ascii="Titillium" w:hAnsi="Titillium" w:cs="Calibri"/>
          <w:b/>
          <w:i/>
          <w:sz w:val="18"/>
          <w:szCs w:val="18"/>
        </w:rPr>
        <w:t>6.3</w:t>
      </w:r>
      <w:r w:rsidR="00AA77D1" w:rsidRPr="00700292">
        <w:rPr>
          <w:rFonts w:ascii="Titillium" w:hAnsi="Titillium" w:cs="Calibri"/>
          <w:b/>
          <w:i/>
          <w:sz w:val="18"/>
          <w:szCs w:val="18"/>
        </w:rPr>
        <w:fldChar w:fldCharType="end"/>
      </w:r>
      <w:r w:rsidRPr="00700292">
        <w:rPr>
          <w:rFonts w:ascii="Titillium" w:hAnsi="Titillium" w:cs="Calibri"/>
          <w:b/>
          <w:i/>
          <w:sz w:val="18"/>
          <w:szCs w:val="18"/>
        </w:rPr>
        <w:t>]</w:t>
      </w:r>
    </w:p>
    <w:p w14:paraId="6145B421" w14:textId="2841E034" w:rsidR="00F01168" w:rsidRPr="00700292" w:rsidRDefault="00F01168" w:rsidP="003A10B9">
      <w:pPr>
        <w:spacing w:before="60" w:after="60"/>
        <w:rPr>
          <w:rFonts w:ascii="Titillium" w:hAnsi="Titillium" w:cs="Calibri"/>
          <w:sz w:val="18"/>
          <w:szCs w:val="18"/>
        </w:rPr>
      </w:pPr>
      <w:r w:rsidRPr="00700292">
        <w:rPr>
          <w:rFonts w:ascii="Titillium" w:hAnsi="Titillium" w:cs="Calibri"/>
          <w:sz w:val="18"/>
          <w:szCs w:val="18"/>
        </w:rPr>
        <w:t xml:space="preserve">I </w:t>
      </w:r>
      <w:r w:rsidR="00276D70" w:rsidRPr="00700292">
        <w:rPr>
          <w:rFonts w:ascii="Titillium" w:hAnsi="Titillium" w:cs="Calibri"/>
          <w:sz w:val="18"/>
          <w:szCs w:val="18"/>
        </w:rPr>
        <w:t xml:space="preserve">consorzi di cui all’articolo </w:t>
      </w:r>
      <w:r w:rsidR="00794726" w:rsidRPr="00700292">
        <w:rPr>
          <w:rFonts w:ascii="Titillium" w:hAnsi="Titillium" w:cs="Calibri"/>
          <w:sz w:val="18"/>
          <w:szCs w:val="18"/>
        </w:rPr>
        <w:t>6</w:t>
      </w:r>
      <w:r w:rsidR="00276D70" w:rsidRPr="00700292">
        <w:rPr>
          <w:rFonts w:ascii="Titillium" w:hAnsi="Titillium" w:cs="Calibri"/>
          <w:sz w:val="18"/>
          <w:szCs w:val="18"/>
        </w:rPr>
        <w:t xml:space="preserve">5, comma 2, lettera b) </w:t>
      </w:r>
      <w:r w:rsidR="00D83FEC" w:rsidRPr="00700292">
        <w:rPr>
          <w:rFonts w:ascii="Titillium" w:hAnsi="Titillium" w:cs="Calibri"/>
          <w:sz w:val="18"/>
          <w:szCs w:val="18"/>
        </w:rPr>
        <w:t xml:space="preserve">e c) </w:t>
      </w:r>
      <w:r w:rsidR="00276D70" w:rsidRPr="00700292">
        <w:rPr>
          <w:rFonts w:ascii="Titillium" w:hAnsi="Titillium" w:cs="Calibri"/>
          <w:sz w:val="18"/>
          <w:szCs w:val="18"/>
        </w:rPr>
        <w:t xml:space="preserve">del Codice, </w:t>
      </w:r>
      <w:r w:rsidRPr="00700292">
        <w:rPr>
          <w:rFonts w:ascii="Titillium" w:hAnsi="Titillium" w:cs="Calibri"/>
          <w:sz w:val="18"/>
          <w:szCs w:val="18"/>
        </w:rPr>
        <w:t>utilizzano i requisiti propri e, nel novero di questi, fanno valere i mezzi nella disponibilità delle consorziate che li costituiscono</w:t>
      </w:r>
      <w:r w:rsidR="008507BE">
        <w:rPr>
          <w:rFonts w:ascii="Titillium" w:hAnsi="Titillium" w:cs="Calibri"/>
          <w:sz w:val="18"/>
          <w:szCs w:val="18"/>
        </w:rPr>
        <w:t>.</w:t>
      </w:r>
    </w:p>
    <w:p w14:paraId="4225A32F" w14:textId="6BAC3BA0" w:rsidR="0074473E" w:rsidRDefault="00464513" w:rsidP="003A10B9">
      <w:pPr>
        <w:spacing w:before="60" w:after="60"/>
        <w:rPr>
          <w:rFonts w:ascii="Titillium" w:hAnsi="Titillium" w:cs="Calibri"/>
          <w:sz w:val="18"/>
          <w:szCs w:val="18"/>
        </w:rPr>
      </w:pPr>
      <w:r w:rsidRPr="00700292">
        <w:rPr>
          <w:rFonts w:ascii="Titillium" w:hAnsi="Titillium" w:cs="Calibri"/>
          <w:sz w:val="18"/>
          <w:szCs w:val="18"/>
        </w:rPr>
        <w:t xml:space="preserve">Per </w:t>
      </w:r>
      <w:r w:rsidR="00F01168" w:rsidRPr="00700292">
        <w:rPr>
          <w:rFonts w:ascii="Titillium" w:hAnsi="Titillium" w:cs="Calibri"/>
          <w:sz w:val="18"/>
          <w:szCs w:val="18"/>
        </w:rPr>
        <w:t>i</w:t>
      </w:r>
      <w:r w:rsidR="00276D70" w:rsidRPr="00700292">
        <w:rPr>
          <w:rFonts w:ascii="Titillium" w:hAnsi="Titillium" w:cs="Calibri"/>
          <w:sz w:val="18"/>
          <w:szCs w:val="18"/>
        </w:rPr>
        <w:t xml:space="preserve"> consorzi di cui</w:t>
      </w:r>
      <w:r w:rsidR="00276D70" w:rsidRPr="0000590E">
        <w:rPr>
          <w:rFonts w:ascii="Titillium" w:hAnsi="Titillium" w:cs="Calibri"/>
          <w:sz w:val="18"/>
          <w:szCs w:val="18"/>
        </w:rPr>
        <w:t xml:space="preserve"> all’articolo </w:t>
      </w:r>
      <w:r w:rsidR="00794726" w:rsidRPr="0000590E">
        <w:rPr>
          <w:rFonts w:ascii="Titillium" w:hAnsi="Titillium" w:cs="Calibri"/>
          <w:sz w:val="18"/>
          <w:szCs w:val="18"/>
        </w:rPr>
        <w:t>6</w:t>
      </w:r>
      <w:r w:rsidR="00276D70" w:rsidRPr="0000590E">
        <w:rPr>
          <w:rFonts w:ascii="Titillium" w:hAnsi="Titillium" w:cs="Calibri"/>
          <w:sz w:val="18"/>
          <w:szCs w:val="18"/>
        </w:rPr>
        <w:t xml:space="preserve">5, comma 2, </w:t>
      </w:r>
      <w:proofErr w:type="spellStart"/>
      <w:r w:rsidR="00276D70" w:rsidRPr="0000590E">
        <w:rPr>
          <w:rFonts w:ascii="Titillium" w:hAnsi="Titillium" w:cs="Calibri"/>
          <w:sz w:val="18"/>
          <w:szCs w:val="18"/>
        </w:rPr>
        <w:t>lett</w:t>
      </w:r>
      <w:proofErr w:type="spellEnd"/>
      <w:r w:rsidR="00276D70" w:rsidRPr="0000590E">
        <w:rPr>
          <w:rFonts w:ascii="Titillium" w:hAnsi="Titillium" w:cs="Calibri"/>
          <w:sz w:val="18"/>
          <w:szCs w:val="18"/>
        </w:rPr>
        <w:t xml:space="preserve">. </w:t>
      </w:r>
      <w:r w:rsidR="00F01168" w:rsidRPr="0000590E">
        <w:rPr>
          <w:rFonts w:ascii="Titillium" w:hAnsi="Titillium" w:cs="Calibri"/>
          <w:sz w:val="18"/>
          <w:szCs w:val="18"/>
        </w:rPr>
        <w:t>d</w:t>
      </w:r>
      <w:r w:rsidR="00276D70" w:rsidRPr="0000590E">
        <w:rPr>
          <w:rFonts w:ascii="Titillium" w:hAnsi="Titillium" w:cs="Calibri"/>
          <w:sz w:val="18"/>
          <w:szCs w:val="18"/>
        </w:rPr>
        <w:t>) del Codice</w:t>
      </w:r>
      <w:r>
        <w:rPr>
          <w:rFonts w:ascii="Titillium" w:hAnsi="Titillium" w:cs="Calibri"/>
          <w:sz w:val="18"/>
          <w:szCs w:val="18"/>
        </w:rPr>
        <w:t>, i requisiti di capacità tecnica e finanziaria sono computati cumulativamente in capo al consorzio ancorché posseduti dalle singole</w:t>
      </w:r>
      <w:r w:rsidR="00F01168" w:rsidRPr="0000590E">
        <w:rPr>
          <w:rFonts w:ascii="Titillium" w:hAnsi="Titillium" w:cs="Calibri"/>
          <w:sz w:val="18"/>
          <w:szCs w:val="18"/>
        </w:rPr>
        <w:t xml:space="preserve"> consorziate.</w:t>
      </w:r>
    </w:p>
    <w:p w14:paraId="7E385E5B" w14:textId="0D7670E1" w:rsidR="001E0693" w:rsidRDefault="0062004E" w:rsidP="003A10B9">
      <w:pPr>
        <w:spacing w:before="60" w:after="60"/>
        <w:rPr>
          <w:rFonts w:ascii="Titillium" w:hAnsi="Titillium" w:cs="Calibri"/>
          <w:sz w:val="18"/>
          <w:szCs w:val="18"/>
        </w:rPr>
      </w:pPr>
      <w:r>
        <w:rPr>
          <w:rFonts w:ascii="Titillium" w:hAnsi="Titillium"/>
          <w:sz w:val="18"/>
          <w:szCs w:val="24"/>
        </w:rPr>
        <w:lastRenderedPageBreak/>
        <w:t>Nel caso in cui</w:t>
      </w:r>
      <w:r w:rsidRPr="00FA010F">
        <w:rPr>
          <w:rFonts w:ascii="Titillium" w:hAnsi="Titillium"/>
          <w:sz w:val="18"/>
          <w:szCs w:val="24"/>
        </w:rPr>
        <w:t xml:space="preserve"> un </w:t>
      </w:r>
      <w:r>
        <w:rPr>
          <w:rFonts w:ascii="Titillium" w:hAnsi="Titillium"/>
          <w:sz w:val="18"/>
          <w:szCs w:val="24"/>
        </w:rPr>
        <w:t>consorzio</w:t>
      </w:r>
      <w:r w:rsidRPr="00FA010F">
        <w:rPr>
          <w:rFonts w:ascii="Titillium" w:hAnsi="Titillium"/>
          <w:sz w:val="18"/>
          <w:szCs w:val="24"/>
        </w:rPr>
        <w:t xml:space="preserve"> </w:t>
      </w:r>
      <w:r>
        <w:rPr>
          <w:rFonts w:ascii="Titillium" w:hAnsi="Titillium"/>
          <w:sz w:val="18"/>
          <w:szCs w:val="24"/>
        </w:rPr>
        <w:t>abbia estromesso o sostituito una consorziata poiché priva di un requisito di ordine speciale di cui all’articolo 100 del Codice, si valutano le misure adottate ai sensi dell’articolo 97 del Codice al fine di decidere sull’esclusione.</w:t>
      </w:r>
    </w:p>
    <w:p w14:paraId="06FBD125" w14:textId="6B146B3B" w:rsidR="004C53A8" w:rsidRDefault="00870286" w:rsidP="00084AD6">
      <w:pPr>
        <w:pStyle w:val="Titolo2"/>
        <w:numPr>
          <w:ilvl w:val="0"/>
          <w:numId w:val="4"/>
        </w:numPr>
        <w:ind w:left="357" w:hanging="357"/>
      </w:pPr>
      <w:bookmarkStart w:id="1713" w:name="_Toc139549429"/>
      <w:r>
        <w:rPr>
          <w:rFonts w:ascii="Titillium" w:hAnsi="Titillium"/>
          <w:sz w:val="18"/>
          <w:szCs w:val="18"/>
        </w:rPr>
        <w:t>AVVALIMENTO</w:t>
      </w:r>
      <w:bookmarkEnd w:id="1713"/>
      <w:r>
        <w:rPr>
          <w:rFonts w:ascii="Titillium" w:hAnsi="Titillium"/>
          <w:sz w:val="18"/>
          <w:szCs w:val="18"/>
        </w:rPr>
        <w:t xml:space="preserve"> </w:t>
      </w:r>
    </w:p>
    <w:p w14:paraId="17DD3136" w14:textId="3B15F10C" w:rsidR="00122B2F" w:rsidRDefault="00F555F9" w:rsidP="00122B2F">
      <w:pPr>
        <w:tabs>
          <w:tab w:val="left" w:pos="0"/>
        </w:tabs>
        <w:spacing w:before="60" w:after="60"/>
        <w:rPr>
          <w:rFonts w:ascii="Titillium" w:hAnsi="Titillium" w:cs="Calibri"/>
          <w:sz w:val="18"/>
          <w:szCs w:val="18"/>
        </w:rPr>
      </w:pPr>
      <w:r>
        <w:rPr>
          <w:rFonts w:ascii="Titillium" w:hAnsi="Titillium" w:cs="Calibri"/>
          <w:sz w:val="18"/>
          <w:szCs w:val="18"/>
        </w:rPr>
        <w:t xml:space="preserve">Il concorrente </w:t>
      </w:r>
      <w:r w:rsidR="00122B2F">
        <w:rPr>
          <w:rFonts w:ascii="Titillium" w:hAnsi="Titillium" w:cs="Calibri"/>
          <w:sz w:val="18"/>
          <w:szCs w:val="18"/>
        </w:rPr>
        <w:t xml:space="preserve">può </w:t>
      </w:r>
      <w:r w:rsidR="00FE19FA">
        <w:rPr>
          <w:rFonts w:ascii="Titillium" w:hAnsi="Titillium" w:cs="Calibri"/>
          <w:sz w:val="18"/>
          <w:szCs w:val="18"/>
        </w:rPr>
        <w:t xml:space="preserve">avvalersi </w:t>
      </w:r>
      <w:r w:rsidR="00B51681">
        <w:rPr>
          <w:rFonts w:ascii="Titillium" w:hAnsi="Titillium" w:cs="Calibri"/>
          <w:sz w:val="18"/>
          <w:szCs w:val="18"/>
        </w:rPr>
        <w:t>di dotazioni tecniche, risorse umane e strumentali messe a disposizione da un</w:t>
      </w:r>
      <w:r w:rsidR="00FE19FA">
        <w:rPr>
          <w:rFonts w:ascii="Titillium" w:hAnsi="Titillium" w:cs="Calibri"/>
          <w:sz w:val="18"/>
          <w:szCs w:val="18"/>
        </w:rPr>
        <w:t>o</w:t>
      </w:r>
      <w:r w:rsidR="00B51681">
        <w:rPr>
          <w:rFonts w:ascii="Titillium" w:hAnsi="Titillium" w:cs="Calibri"/>
          <w:sz w:val="18"/>
          <w:szCs w:val="18"/>
        </w:rPr>
        <w:t xml:space="preserve"> o più </w:t>
      </w:r>
      <w:r w:rsidR="00FE19FA">
        <w:rPr>
          <w:rFonts w:ascii="Titillium" w:hAnsi="Titillium" w:cs="Calibri"/>
          <w:sz w:val="18"/>
          <w:szCs w:val="18"/>
        </w:rPr>
        <w:t>operatori economici</w:t>
      </w:r>
      <w:r w:rsidR="00B51681">
        <w:rPr>
          <w:rFonts w:ascii="Titillium" w:hAnsi="Titillium" w:cs="Calibri"/>
          <w:sz w:val="18"/>
          <w:szCs w:val="18"/>
        </w:rPr>
        <w:t xml:space="preserve"> ausiliar</w:t>
      </w:r>
      <w:r w:rsidR="00FE19FA">
        <w:rPr>
          <w:rFonts w:ascii="Titillium" w:hAnsi="Titillium" w:cs="Calibri"/>
          <w:sz w:val="18"/>
          <w:szCs w:val="18"/>
        </w:rPr>
        <w:t xml:space="preserve">i per dimostrare il possesso dei requisiti di ordine speciale di cui al punto </w:t>
      </w:r>
      <w:r w:rsidR="00FE19FA">
        <w:rPr>
          <w:rFonts w:ascii="Titillium" w:hAnsi="Titillium" w:cs="Calibri"/>
          <w:sz w:val="18"/>
          <w:szCs w:val="18"/>
        </w:rPr>
        <w:fldChar w:fldCharType="begin"/>
      </w:r>
      <w:r w:rsidR="00FE19FA">
        <w:rPr>
          <w:rFonts w:ascii="Titillium" w:hAnsi="Titillium" w:cs="Calibri"/>
          <w:sz w:val="18"/>
          <w:szCs w:val="18"/>
        </w:rPr>
        <w:instrText xml:space="preserve"> REF _Ref497211510 \r \h </w:instrText>
      </w:r>
      <w:r w:rsidR="00FE19FA">
        <w:rPr>
          <w:rFonts w:ascii="Titillium" w:hAnsi="Titillium" w:cs="Calibri"/>
          <w:sz w:val="18"/>
          <w:szCs w:val="18"/>
        </w:rPr>
      </w:r>
      <w:r w:rsidR="00FE19FA">
        <w:rPr>
          <w:rFonts w:ascii="Titillium" w:hAnsi="Titillium" w:cs="Calibri"/>
          <w:sz w:val="18"/>
          <w:szCs w:val="18"/>
        </w:rPr>
        <w:fldChar w:fldCharType="separate"/>
      </w:r>
      <w:r w:rsidR="00527049">
        <w:rPr>
          <w:rFonts w:ascii="Titillium" w:hAnsi="Titillium" w:cs="Calibri"/>
          <w:sz w:val="18"/>
          <w:szCs w:val="18"/>
        </w:rPr>
        <w:t>6</w:t>
      </w:r>
      <w:r w:rsidR="00FE19FA">
        <w:rPr>
          <w:rFonts w:ascii="Titillium" w:hAnsi="Titillium" w:cs="Calibri"/>
          <w:sz w:val="18"/>
          <w:szCs w:val="18"/>
        </w:rPr>
        <w:fldChar w:fldCharType="end"/>
      </w:r>
      <w:r w:rsidR="00FE19FA">
        <w:rPr>
          <w:rFonts w:ascii="Titillium" w:hAnsi="Titillium" w:cs="Calibri"/>
          <w:sz w:val="18"/>
          <w:szCs w:val="18"/>
        </w:rPr>
        <w:t xml:space="preserve"> e/</w:t>
      </w:r>
      <w:r w:rsidR="003262F9">
        <w:rPr>
          <w:rFonts w:ascii="Titillium" w:hAnsi="Titillium" w:cs="Calibri"/>
          <w:sz w:val="18"/>
          <w:szCs w:val="18"/>
        </w:rPr>
        <w:t>o</w:t>
      </w:r>
      <w:r w:rsidR="00FE19FA">
        <w:rPr>
          <w:rFonts w:ascii="Titillium" w:hAnsi="Titillium" w:cs="Calibri"/>
          <w:sz w:val="18"/>
          <w:szCs w:val="18"/>
        </w:rPr>
        <w:t xml:space="preserve"> per </w:t>
      </w:r>
      <w:r w:rsidR="00FE19FA" w:rsidRPr="00122B2F">
        <w:rPr>
          <w:rFonts w:ascii="Titillium" w:hAnsi="Titillium" w:cs="Calibri"/>
          <w:sz w:val="18"/>
          <w:szCs w:val="18"/>
        </w:rPr>
        <w:t>migliorare la propria offerta</w:t>
      </w:r>
      <w:r w:rsidR="00FE19FA">
        <w:rPr>
          <w:rFonts w:ascii="Titillium" w:hAnsi="Titillium" w:cs="Calibri"/>
          <w:sz w:val="18"/>
          <w:szCs w:val="18"/>
        </w:rPr>
        <w:t>.</w:t>
      </w:r>
    </w:p>
    <w:p w14:paraId="35289A18" w14:textId="35AC1762" w:rsidR="00D1092C" w:rsidRDefault="00D1092C" w:rsidP="00D1092C">
      <w:pPr>
        <w:tabs>
          <w:tab w:val="left" w:pos="0"/>
        </w:tabs>
        <w:spacing w:before="60" w:after="60"/>
        <w:rPr>
          <w:rFonts w:ascii="Titillium" w:hAnsi="Titillium" w:cs="Calibri"/>
          <w:sz w:val="18"/>
          <w:szCs w:val="18"/>
        </w:rPr>
      </w:pPr>
      <w:r>
        <w:rPr>
          <w:rFonts w:ascii="Titillium" w:hAnsi="Titillium" w:cs="Calibri"/>
          <w:sz w:val="18"/>
          <w:szCs w:val="18"/>
        </w:rPr>
        <w:t xml:space="preserve">Nel contratto di avvalimento le parti specificano le risorse strumentali e umane che l’ausiliario mette a disposizione del concorrente e indicano se l’avvalimento è finalizzato ad acquisire un requisito di partecipazione o a migliorare l’offerta del concorrente, o </w:t>
      </w:r>
      <w:r w:rsidR="00B01357">
        <w:rPr>
          <w:rFonts w:ascii="Titillium" w:hAnsi="Titillium" w:cs="Calibri"/>
          <w:sz w:val="18"/>
          <w:szCs w:val="18"/>
        </w:rPr>
        <w:t xml:space="preserve">se serve ad </w:t>
      </w:r>
      <w:r>
        <w:rPr>
          <w:rFonts w:ascii="Titillium" w:hAnsi="Titillium" w:cs="Calibri"/>
          <w:sz w:val="18"/>
          <w:szCs w:val="18"/>
        </w:rPr>
        <w:t>entrambe</w:t>
      </w:r>
      <w:r w:rsidR="00B01357">
        <w:rPr>
          <w:rFonts w:ascii="Titillium" w:hAnsi="Titillium" w:cs="Calibri"/>
          <w:sz w:val="18"/>
          <w:szCs w:val="18"/>
        </w:rPr>
        <w:t xml:space="preserve"> le finalità</w:t>
      </w:r>
      <w:r>
        <w:rPr>
          <w:rFonts w:ascii="Titillium" w:hAnsi="Titillium" w:cs="Calibri"/>
          <w:sz w:val="18"/>
          <w:szCs w:val="18"/>
        </w:rPr>
        <w:t>.</w:t>
      </w:r>
    </w:p>
    <w:p w14:paraId="64B2F30A" w14:textId="77777777" w:rsidR="00FE19FA" w:rsidRDefault="00FE19FA" w:rsidP="00FE19FA">
      <w:pPr>
        <w:spacing w:before="60" w:after="60"/>
        <w:rPr>
          <w:rFonts w:ascii="Titillium" w:hAnsi="Titillium" w:cs="Calibri"/>
          <w:sz w:val="18"/>
          <w:szCs w:val="18"/>
        </w:rPr>
      </w:pPr>
      <w:r w:rsidRPr="002A39BA">
        <w:rPr>
          <w:rFonts w:ascii="Titillium" w:hAnsi="Titillium" w:cs="Calibri"/>
          <w:iCs/>
          <w:sz w:val="18"/>
          <w:szCs w:val="18"/>
        </w:rPr>
        <w:t>Nei casi in cui l’avvalimento sia finalizzato a migliorare l’offerta, non è consentito che alla stessa gara partecipino sia l’ausiliari</w:t>
      </w:r>
      <w:r>
        <w:rPr>
          <w:rFonts w:ascii="Titillium" w:hAnsi="Titillium" w:cs="Calibri"/>
          <w:iCs/>
          <w:sz w:val="18"/>
          <w:szCs w:val="18"/>
        </w:rPr>
        <w:t>o</w:t>
      </w:r>
      <w:r w:rsidRPr="002A39BA">
        <w:rPr>
          <w:rFonts w:ascii="Titillium" w:hAnsi="Titillium" w:cs="Calibri"/>
          <w:iCs/>
          <w:sz w:val="18"/>
          <w:szCs w:val="18"/>
        </w:rPr>
        <w:t xml:space="preserve"> che </w:t>
      </w:r>
      <w:r>
        <w:rPr>
          <w:rFonts w:ascii="Titillium" w:hAnsi="Titillium" w:cs="Calibri"/>
          <w:iCs/>
          <w:sz w:val="18"/>
          <w:szCs w:val="18"/>
        </w:rPr>
        <w:t xml:space="preserve">l’operatore che </w:t>
      </w:r>
      <w:r w:rsidRPr="002A39BA">
        <w:rPr>
          <w:rFonts w:ascii="Titillium" w:hAnsi="Titillium" w:cs="Calibri"/>
          <w:iCs/>
          <w:sz w:val="18"/>
          <w:szCs w:val="18"/>
        </w:rPr>
        <w:t>si avvale delle risorse da quest</w:t>
      </w:r>
      <w:r>
        <w:rPr>
          <w:rFonts w:ascii="Titillium" w:hAnsi="Titillium" w:cs="Calibri"/>
          <w:iCs/>
          <w:sz w:val="18"/>
          <w:szCs w:val="18"/>
        </w:rPr>
        <w:t>o</w:t>
      </w:r>
      <w:r w:rsidRPr="002A39BA">
        <w:rPr>
          <w:rFonts w:ascii="Titillium" w:hAnsi="Titillium" w:cs="Calibri"/>
          <w:iCs/>
          <w:sz w:val="18"/>
          <w:szCs w:val="18"/>
        </w:rPr>
        <w:t xml:space="preserve"> a messe a disposizione, pena l’esclusione di entrambi i soggetti.</w:t>
      </w:r>
    </w:p>
    <w:p w14:paraId="65F19846" w14:textId="41EB6740" w:rsidR="001410B1" w:rsidRPr="006A17FF" w:rsidRDefault="001410B1" w:rsidP="001410B1">
      <w:pPr>
        <w:tabs>
          <w:tab w:val="left" w:pos="0"/>
        </w:tabs>
        <w:spacing w:before="60" w:after="60"/>
        <w:rPr>
          <w:rFonts w:ascii="Titillium" w:hAnsi="Titillium" w:cs="Calibri"/>
          <w:sz w:val="18"/>
          <w:szCs w:val="18"/>
        </w:rPr>
      </w:pPr>
      <w:r w:rsidRPr="00672BED">
        <w:rPr>
          <w:rFonts w:ascii="Titillium" w:hAnsi="Titillium" w:cs="Calibri"/>
          <w:sz w:val="18"/>
          <w:szCs w:val="18"/>
        </w:rPr>
        <w:t xml:space="preserve">Ai sensi dell’articolo 372, comma 4 del codice della crisi di impresa e dell’insolvenza, per la partecipazione alla presente procedura tra il momento del deposito della domanda di </w:t>
      </w:r>
      <w:r w:rsidR="00441CB3" w:rsidRPr="00672BED">
        <w:rPr>
          <w:rFonts w:ascii="Titillium" w:hAnsi="Titillium" w:cs="Calibri"/>
          <w:sz w:val="18"/>
          <w:szCs w:val="18"/>
        </w:rPr>
        <w:t xml:space="preserve">cui all’articolo 40 </w:t>
      </w:r>
      <w:r w:rsidR="00B80A64" w:rsidRPr="00672BED">
        <w:rPr>
          <w:rFonts w:ascii="Titillium" w:hAnsi="Titillium" w:cs="Calibri"/>
          <w:sz w:val="18"/>
          <w:szCs w:val="18"/>
        </w:rPr>
        <w:t xml:space="preserve">del succitato codice </w:t>
      </w:r>
      <w:r w:rsidRPr="00672BED">
        <w:rPr>
          <w:rFonts w:ascii="Titillium" w:hAnsi="Titillium" w:cs="Calibri"/>
          <w:sz w:val="18"/>
          <w:szCs w:val="18"/>
        </w:rPr>
        <w:t>e il momento del deposito del decreto previsto dall'articolo 47 del codice</w:t>
      </w:r>
      <w:r w:rsidR="00B80A64" w:rsidRPr="00672BED">
        <w:rPr>
          <w:rFonts w:ascii="Titillium" w:hAnsi="Titillium" w:cs="Calibri"/>
          <w:sz w:val="18"/>
          <w:szCs w:val="18"/>
        </w:rPr>
        <w:t xml:space="preserve"> medesimo</w:t>
      </w:r>
      <w:r w:rsidRPr="00672BED">
        <w:rPr>
          <w:rFonts w:ascii="Titillium" w:hAnsi="Titillium" w:cs="Calibri"/>
          <w:sz w:val="18"/>
          <w:szCs w:val="18"/>
        </w:rPr>
        <w:t xml:space="preserve"> è sempre necessario l'avvalimento dei requisiti di un altro soggetto. </w:t>
      </w:r>
      <w:r w:rsidR="00441CB3" w:rsidRPr="00672BED">
        <w:rPr>
          <w:rFonts w:ascii="Titillium" w:hAnsi="Titillium" w:cs="Calibri"/>
          <w:sz w:val="18"/>
          <w:szCs w:val="18"/>
        </w:rPr>
        <w:t>L’avvalimento non è necessario in caso di ammissione al concordato preventivo.</w:t>
      </w:r>
    </w:p>
    <w:p w14:paraId="4916E1C2" w14:textId="77777777" w:rsidR="003262F9" w:rsidRDefault="003262F9" w:rsidP="003262F9">
      <w:pPr>
        <w:spacing w:before="60" w:after="60"/>
      </w:pPr>
      <w:r>
        <w:rPr>
          <w:rFonts w:ascii="Titillium" w:hAnsi="Titillium" w:cs="Calibri"/>
          <w:sz w:val="18"/>
          <w:szCs w:val="18"/>
        </w:rPr>
        <w:t>Il concorrente e l’ausiliario sono responsabili in solido nei confronti della stazione appaltante in relazione alle prestazioni oggetto del contratto.</w:t>
      </w:r>
    </w:p>
    <w:p w14:paraId="0F2CC5DF" w14:textId="305E418D" w:rsidR="00122B2F" w:rsidRPr="006A17FF" w:rsidRDefault="00870286">
      <w:pPr>
        <w:tabs>
          <w:tab w:val="left" w:pos="0"/>
        </w:tabs>
        <w:spacing w:before="60" w:after="60"/>
        <w:rPr>
          <w:rFonts w:ascii="Titillium" w:hAnsi="Titillium" w:cs="Calibri"/>
          <w:sz w:val="18"/>
          <w:szCs w:val="18"/>
        </w:rPr>
      </w:pPr>
      <w:r w:rsidRPr="001030AC">
        <w:rPr>
          <w:rFonts w:ascii="Titillium" w:hAnsi="Titillium" w:cs="Calibri"/>
          <w:sz w:val="18"/>
          <w:szCs w:val="18"/>
        </w:rPr>
        <w:t>Non è consentito l’avvalimento</w:t>
      </w:r>
      <w:r w:rsidR="00012AFC">
        <w:rPr>
          <w:rFonts w:ascii="Titillium" w:hAnsi="Titillium" w:cs="Calibri"/>
          <w:sz w:val="18"/>
          <w:szCs w:val="18"/>
        </w:rPr>
        <w:t xml:space="preserve"> </w:t>
      </w:r>
      <w:r w:rsidR="00012AFC" w:rsidRPr="006A17FF">
        <w:rPr>
          <w:rFonts w:ascii="Titillium" w:hAnsi="Titillium" w:cs="Calibri"/>
          <w:sz w:val="18"/>
          <w:szCs w:val="18"/>
        </w:rPr>
        <w:t>per soddisfare</w:t>
      </w:r>
      <w:r w:rsidR="00012AFC">
        <w:rPr>
          <w:rFonts w:ascii="Titillium" w:hAnsi="Titillium" w:cs="Calibri"/>
          <w:sz w:val="18"/>
          <w:szCs w:val="18"/>
        </w:rPr>
        <w:t xml:space="preserve"> </w:t>
      </w:r>
      <w:r w:rsidRPr="001030AC">
        <w:rPr>
          <w:rFonts w:ascii="Titillium" w:hAnsi="Titillium" w:cs="Calibri"/>
          <w:sz w:val="18"/>
          <w:szCs w:val="18"/>
        </w:rPr>
        <w:t xml:space="preserve">i requisiti </w:t>
      </w:r>
      <w:r w:rsidR="00122B2F" w:rsidRPr="006A17FF">
        <w:rPr>
          <w:rFonts w:ascii="Titillium" w:hAnsi="Titillium" w:cs="Calibri"/>
          <w:sz w:val="18"/>
          <w:szCs w:val="18"/>
        </w:rPr>
        <w:t>di ordine generale</w:t>
      </w:r>
      <w:r w:rsidR="00EA70C7">
        <w:rPr>
          <w:rFonts w:ascii="Titillium" w:hAnsi="Titillium" w:cs="Calibri"/>
          <w:sz w:val="18"/>
          <w:szCs w:val="18"/>
        </w:rPr>
        <w:t xml:space="preserve"> e dell’iscrizione alla Camer</w:t>
      </w:r>
      <w:r w:rsidR="00B22C9B">
        <w:rPr>
          <w:rFonts w:ascii="Titillium" w:hAnsi="Titillium" w:cs="Calibri"/>
          <w:sz w:val="18"/>
          <w:szCs w:val="18"/>
        </w:rPr>
        <w:t>a</w:t>
      </w:r>
      <w:r w:rsidR="00EA70C7">
        <w:rPr>
          <w:rFonts w:ascii="Titillium" w:hAnsi="Titillium" w:cs="Calibri"/>
          <w:sz w:val="18"/>
          <w:szCs w:val="18"/>
        </w:rPr>
        <w:t xml:space="preserve"> di commercio</w:t>
      </w:r>
      <w:r w:rsidR="00242B24">
        <w:rPr>
          <w:rFonts w:ascii="Titillium" w:hAnsi="Titillium" w:cs="Calibri"/>
          <w:sz w:val="18"/>
          <w:szCs w:val="18"/>
        </w:rPr>
        <w:t>.</w:t>
      </w:r>
    </w:p>
    <w:p w14:paraId="638E36F8" w14:textId="2415896F" w:rsidR="00012AFC" w:rsidRPr="006A17FF" w:rsidRDefault="00012AFC" w:rsidP="00012AFC">
      <w:pPr>
        <w:tabs>
          <w:tab w:val="left" w:pos="0"/>
        </w:tabs>
        <w:spacing w:before="60" w:after="60"/>
        <w:rPr>
          <w:rFonts w:ascii="Titillium" w:hAnsi="Titillium" w:cs="Calibri"/>
          <w:sz w:val="18"/>
          <w:szCs w:val="18"/>
        </w:rPr>
      </w:pPr>
      <w:r w:rsidRPr="00C26CB3">
        <w:rPr>
          <w:rFonts w:ascii="Titillium" w:hAnsi="Titillium" w:cs="Calibri"/>
          <w:b/>
          <w:i/>
          <w:sz w:val="18"/>
          <w:szCs w:val="18"/>
        </w:rPr>
        <w:t>[Se richiesto il requisito relativo all'iscrizione all'Albo nazionale dei gestori ambientali di cui all'articolo 212 del decreto legislativo 3 aprile 2006, n. 152</w:t>
      </w:r>
      <w:r w:rsidRPr="001030AC">
        <w:rPr>
          <w:rFonts w:ascii="Titillium" w:hAnsi="Titillium" w:cs="Calibri"/>
          <w:b/>
          <w:i/>
          <w:sz w:val="18"/>
          <w:szCs w:val="18"/>
        </w:rPr>
        <w:t xml:space="preserve">] </w:t>
      </w:r>
      <w:r w:rsidRPr="001030AC">
        <w:rPr>
          <w:rFonts w:ascii="Titillium" w:hAnsi="Titillium" w:cs="Calibri"/>
          <w:sz w:val="18"/>
          <w:szCs w:val="18"/>
        </w:rPr>
        <w:t>Non è consentito l’avvalimento</w:t>
      </w:r>
      <w:r>
        <w:rPr>
          <w:rFonts w:ascii="Titillium" w:hAnsi="Titillium" w:cs="Calibri"/>
          <w:sz w:val="18"/>
          <w:szCs w:val="18"/>
        </w:rPr>
        <w:t xml:space="preserve"> </w:t>
      </w:r>
      <w:r w:rsidRPr="006A17FF">
        <w:rPr>
          <w:rFonts w:ascii="Titillium" w:hAnsi="Titillium" w:cs="Calibri"/>
          <w:sz w:val="18"/>
          <w:szCs w:val="18"/>
        </w:rPr>
        <w:t>per soddisfare</w:t>
      </w:r>
      <w:r>
        <w:rPr>
          <w:rFonts w:ascii="Titillium" w:hAnsi="Titillium" w:cs="Calibri"/>
          <w:sz w:val="18"/>
          <w:szCs w:val="18"/>
        </w:rPr>
        <w:t xml:space="preserve"> </w:t>
      </w:r>
      <w:r w:rsidRPr="006A17FF">
        <w:rPr>
          <w:rFonts w:ascii="Titillium" w:hAnsi="Titillium" w:cs="Calibri"/>
          <w:sz w:val="18"/>
          <w:szCs w:val="18"/>
        </w:rPr>
        <w:t>il requisito dell'iscrizione all'Albo nazionale dei gestori ambientali.</w:t>
      </w:r>
    </w:p>
    <w:p w14:paraId="55EAB311" w14:textId="108D8BDD" w:rsidR="00122B2F" w:rsidRPr="0093796D" w:rsidRDefault="00122B2F" w:rsidP="00122B2F">
      <w:pPr>
        <w:tabs>
          <w:tab w:val="left" w:pos="0"/>
        </w:tabs>
        <w:spacing w:before="60" w:after="60"/>
        <w:rPr>
          <w:rFonts w:ascii="Titillium" w:hAnsi="Titillium" w:cs="Calibri"/>
          <w:sz w:val="18"/>
          <w:szCs w:val="18"/>
        </w:rPr>
      </w:pPr>
      <w:r w:rsidRPr="0093796D">
        <w:rPr>
          <w:rFonts w:ascii="Titillium" w:hAnsi="Titillium" w:cs="Calibri"/>
          <w:b/>
          <w:i/>
          <w:sz w:val="18"/>
          <w:szCs w:val="18"/>
        </w:rPr>
        <w:t>[Se richiesti requisiti relativi ad autorizzazioni o altri titoli abilitativi di cui all’art</w:t>
      </w:r>
      <w:r w:rsidR="00242B24">
        <w:rPr>
          <w:rFonts w:ascii="Titillium" w:hAnsi="Titillium" w:cs="Calibri"/>
          <w:b/>
          <w:i/>
          <w:sz w:val="18"/>
          <w:szCs w:val="18"/>
        </w:rPr>
        <w:t>icolo</w:t>
      </w:r>
      <w:r w:rsidRPr="0093796D">
        <w:rPr>
          <w:rFonts w:ascii="Titillium" w:hAnsi="Titillium" w:cs="Calibri"/>
          <w:b/>
          <w:i/>
          <w:sz w:val="18"/>
          <w:szCs w:val="18"/>
        </w:rPr>
        <w:t xml:space="preserve"> 100</w:t>
      </w:r>
      <w:r w:rsidR="00242B24">
        <w:rPr>
          <w:rFonts w:ascii="Titillium" w:hAnsi="Titillium" w:cs="Calibri"/>
          <w:b/>
          <w:i/>
          <w:sz w:val="18"/>
          <w:szCs w:val="18"/>
        </w:rPr>
        <w:t>,</w:t>
      </w:r>
      <w:r w:rsidRPr="0093796D">
        <w:rPr>
          <w:rFonts w:ascii="Titillium" w:hAnsi="Titillium" w:cs="Calibri"/>
          <w:b/>
          <w:i/>
          <w:sz w:val="18"/>
          <w:szCs w:val="18"/>
        </w:rPr>
        <w:t xml:space="preserve"> comma 3</w:t>
      </w:r>
      <w:r w:rsidR="00242B24">
        <w:rPr>
          <w:rFonts w:ascii="Titillium" w:hAnsi="Titillium" w:cs="Calibri"/>
          <w:b/>
          <w:i/>
          <w:sz w:val="18"/>
          <w:szCs w:val="18"/>
        </w:rPr>
        <w:t>, del Codice</w:t>
      </w:r>
      <w:r w:rsidRPr="0093796D">
        <w:rPr>
          <w:rFonts w:ascii="Titillium" w:hAnsi="Titillium" w:cs="Calibri"/>
          <w:b/>
          <w:i/>
          <w:sz w:val="18"/>
          <w:szCs w:val="18"/>
        </w:rPr>
        <w:t xml:space="preserve">] </w:t>
      </w:r>
      <w:r w:rsidR="00672BED" w:rsidRPr="0093796D">
        <w:rPr>
          <w:rFonts w:ascii="Titillium" w:hAnsi="Titillium" w:cs="Calibri"/>
          <w:sz w:val="18"/>
          <w:szCs w:val="18"/>
        </w:rPr>
        <w:t>I</w:t>
      </w:r>
      <w:r w:rsidR="00536BF6" w:rsidRPr="0093796D">
        <w:rPr>
          <w:rFonts w:ascii="Titillium" w:hAnsi="Titillium" w:cs="Calibri"/>
          <w:sz w:val="18"/>
          <w:szCs w:val="18"/>
        </w:rPr>
        <w:t xml:space="preserve">l concorrente può avvalersi </w:t>
      </w:r>
      <w:r w:rsidR="005A7C0B" w:rsidRPr="0093796D">
        <w:rPr>
          <w:rFonts w:ascii="Titillium" w:hAnsi="Titillium" w:cs="Calibri"/>
          <w:sz w:val="18"/>
          <w:szCs w:val="18"/>
        </w:rPr>
        <w:t>di un</w:t>
      </w:r>
      <w:r w:rsidR="00FE19FA" w:rsidRPr="0093796D">
        <w:rPr>
          <w:rFonts w:ascii="Titillium" w:hAnsi="Titillium" w:cs="Calibri"/>
          <w:sz w:val="18"/>
          <w:szCs w:val="18"/>
        </w:rPr>
        <w:t xml:space="preserve"> </w:t>
      </w:r>
      <w:r w:rsidR="005A7C0B" w:rsidRPr="0093796D">
        <w:rPr>
          <w:rFonts w:ascii="Titillium" w:hAnsi="Titillium" w:cs="Calibri"/>
          <w:sz w:val="18"/>
          <w:szCs w:val="18"/>
        </w:rPr>
        <w:t>ausiliari</w:t>
      </w:r>
      <w:r w:rsidR="00FE19FA" w:rsidRPr="0093796D">
        <w:rPr>
          <w:rFonts w:ascii="Titillium" w:hAnsi="Titillium" w:cs="Calibri"/>
          <w:sz w:val="18"/>
          <w:szCs w:val="18"/>
        </w:rPr>
        <w:t>o</w:t>
      </w:r>
      <w:r w:rsidR="00536BF6" w:rsidRPr="0093796D">
        <w:rPr>
          <w:rFonts w:ascii="Titillium" w:hAnsi="Titillium" w:cs="Calibri"/>
          <w:sz w:val="18"/>
          <w:szCs w:val="18"/>
        </w:rPr>
        <w:t xml:space="preserve"> </w:t>
      </w:r>
      <w:r w:rsidR="00B32871" w:rsidRPr="0093796D">
        <w:rPr>
          <w:rFonts w:ascii="Titillium" w:hAnsi="Titillium" w:cs="Calibri"/>
          <w:sz w:val="18"/>
          <w:szCs w:val="18"/>
        </w:rPr>
        <w:t>per comprovare il possesso d</w:t>
      </w:r>
      <w:r w:rsidR="000F1101" w:rsidRPr="0093796D">
        <w:rPr>
          <w:rFonts w:ascii="Titillium" w:hAnsi="Titillium" w:cs="Calibri"/>
          <w:sz w:val="18"/>
          <w:szCs w:val="18"/>
        </w:rPr>
        <w:t>el requisito di cui al punto ….</w:t>
      </w:r>
      <w:r w:rsidR="00B32871" w:rsidRPr="0093796D">
        <w:rPr>
          <w:rFonts w:ascii="Titillium" w:hAnsi="Titillium" w:cs="Calibri"/>
          <w:sz w:val="18"/>
          <w:szCs w:val="18"/>
        </w:rPr>
        <w:t xml:space="preserve"> </w:t>
      </w:r>
      <w:r w:rsidR="00536BF6" w:rsidRPr="0093796D">
        <w:rPr>
          <w:rFonts w:ascii="Titillium" w:hAnsi="Titillium" w:cs="Calibri"/>
          <w:sz w:val="18"/>
          <w:szCs w:val="18"/>
        </w:rPr>
        <w:t xml:space="preserve">solo se </w:t>
      </w:r>
      <w:r w:rsidR="00B22C9B" w:rsidRPr="0093796D">
        <w:rPr>
          <w:rFonts w:ascii="Titillium" w:hAnsi="Titillium" w:cs="Calibri"/>
          <w:sz w:val="18"/>
          <w:szCs w:val="18"/>
        </w:rPr>
        <w:t>l’ausiliari</w:t>
      </w:r>
      <w:r w:rsidR="00FE19FA" w:rsidRPr="0093796D">
        <w:rPr>
          <w:rFonts w:ascii="Titillium" w:hAnsi="Titillium" w:cs="Calibri"/>
          <w:sz w:val="18"/>
          <w:szCs w:val="18"/>
        </w:rPr>
        <w:t>o</w:t>
      </w:r>
      <w:r w:rsidR="00B22C9B" w:rsidRPr="0093796D">
        <w:rPr>
          <w:rFonts w:ascii="Titillium" w:hAnsi="Titillium" w:cs="Calibri"/>
          <w:sz w:val="18"/>
          <w:szCs w:val="18"/>
        </w:rPr>
        <w:t xml:space="preserve"> esegue</w:t>
      </w:r>
      <w:r w:rsidR="006A17FF" w:rsidRPr="0093796D">
        <w:rPr>
          <w:rFonts w:ascii="Titillium" w:hAnsi="Titillium" w:cs="Calibri"/>
          <w:sz w:val="18"/>
          <w:szCs w:val="18"/>
        </w:rPr>
        <w:t xml:space="preserve"> </w:t>
      </w:r>
      <w:r w:rsidR="00536BF6" w:rsidRPr="0093796D">
        <w:rPr>
          <w:rFonts w:ascii="Titillium" w:hAnsi="Titillium" w:cs="Calibri"/>
          <w:sz w:val="18"/>
          <w:szCs w:val="18"/>
        </w:rPr>
        <w:t xml:space="preserve">direttamente </w:t>
      </w:r>
      <w:r w:rsidR="005A7C0B" w:rsidRPr="0093796D">
        <w:rPr>
          <w:rFonts w:ascii="Titillium" w:hAnsi="Titillium" w:cs="Calibri"/>
          <w:sz w:val="18"/>
          <w:szCs w:val="18"/>
        </w:rPr>
        <w:t>la prestazione per cui tale requisito è richiesto</w:t>
      </w:r>
      <w:r w:rsidRPr="0093796D">
        <w:rPr>
          <w:rFonts w:ascii="Titillium" w:hAnsi="Titillium" w:cs="Calibri"/>
          <w:sz w:val="18"/>
          <w:szCs w:val="18"/>
        </w:rPr>
        <w:t>.</w:t>
      </w:r>
      <w:r w:rsidR="000F1101" w:rsidRPr="0093796D">
        <w:rPr>
          <w:rFonts w:ascii="Titillium" w:hAnsi="Titillium" w:cs="Calibri"/>
          <w:sz w:val="18"/>
          <w:szCs w:val="18"/>
        </w:rPr>
        <w:t xml:space="preserve"> </w:t>
      </w:r>
      <w:r w:rsidR="00B22C9B" w:rsidRPr="0093796D">
        <w:rPr>
          <w:rFonts w:ascii="Titillium" w:hAnsi="Titillium" w:cs="Calibri"/>
          <w:sz w:val="18"/>
          <w:szCs w:val="18"/>
        </w:rPr>
        <w:t>In tal caso, l’ausiliari</w:t>
      </w:r>
      <w:r w:rsidR="00FE19FA" w:rsidRPr="0093796D">
        <w:rPr>
          <w:rFonts w:ascii="Titillium" w:hAnsi="Titillium" w:cs="Calibri"/>
          <w:sz w:val="18"/>
          <w:szCs w:val="18"/>
        </w:rPr>
        <w:t>o</w:t>
      </w:r>
      <w:r w:rsidR="00B22C9B" w:rsidRPr="0093796D">
        <w:rPr>
          <w:rFonts w:ascii="Titillium" w:hAnsi="Titillium" w:cs="Calibri"/>
          <w:sz w:val="18"/>
          <w:szCs w:val="18"/>
        </w:rPr>
        <w:t xml:space="preserve"> agisce in qualità di subappalta</w:t>
      </w:r>
      <w:r w:rsidR="00FE19FA" w:rsidRPr="0093796D">
        <w:rPr>
          <w:rFonts w:ascii="Titillium" w:hAnsi="Titillium" w:cs="Calibri"/>
          <w:sz w:val="18"/>
          <w:szCs w:val="18"/>
        </w:rPr>
        <w:t>tore</w:t>
      </w:r>
      <w:r w:rsidR="00B22C9B" w:rsidRPr="0093796D">
        <w:rPr>
          <w:rFonts w:ascii="Titillium" w:hAnsi="Titillium" w:cs="Calibri"/>
          <w:sz w:val="18"/>
          <w:szCs w:val="18"/>
        </w:rPr>
        <w:t>.</w:t>
      </w:r>
    </w:p>
    <w:p w14:paraId="17E50800" w14:textId="72281CF9" w:rsidR="004C53A8" w:rsidRPr="006A17FF" w:rsidRDefault="00870286" w:rsidP="00536BF6">
      <w:pPr>
        <w:tabs>
          <w:tab w:val="left" w:pos="0"/>
        </w:tabs>
        <w:spacing w:before="60" w:after="60"/>
        <w:rPr>
          <w:rFonts w:ascii="Titillium" w:hAnsi="Titillium" w:cs="Calibri"/>
          <w:sz w:val="18"/>
          <w:szCs w:val="18"/>
        </w:rPr>
      </w:pPr>
      <w:r w:rsidRPr="003E4EEF">
        <w:rPr>
          <w:rFonts w:ascii="Titillium" w:hAnsi="Titillium" w:cs="Calibri"/>
          <w:b/>
          <w:i/>
          <w:sz w:val="18"/>
          <w:szCs w:val="18"/>
        </w:rPr>
        <w:t xml:space="preserve">[Se richiesti requisiti relativi a titoli di studio e professionali </w:t>
      </w:r>
      <w:r w:rsidR="00EA3367" w:rsidRPr="003E4EEF">
        <w:rPr>
          <w:rFonts w:ascii="Titillium" w:hAnsi="Titillium" w:cs="Calibri"/>
          <w:b/>
          <w:i/>
          <w:sz w:val="18"/>
          <w:szCs w:val="18"/>
        </w:rPr>
        <w:t>necessari all’esecuzione dell’appalto</w:t>
      </w:r>
      <w:r w:rsidR="00242B24">
        <w:rPr>
          <w:rFonts w:ascii="Titillium" w:hAnsi="Titillium" w:cs="Calibri"/>
          <w:b/>
          <w:i/>
          <w:sz w:val="18"/>
          <w:szCs w:val="18"/>
        </w:rPr>
        <w:t>]</w:t>
      </w:r>
      <w:r w:rsidR="0062004E" w:rsidRPr="003E4EEF">
        <w:rPr>
          <w:rFonts w:ascii="Titillium" w:hAnsi="Titillium" w:cs="Calibri"/>
          <w:b/>
          <w:i/>
          <w:sz w:val="18"/>
          <w:szCs w:val="18"/>
        </w:rPr>
        <w:t xml:space="preserve"> </w:t>
      </w:r>
      <w:r w:rsidR="0062004E" w:rsidRPr="003E4EEF">
        <w:rPr>
          <w:rFonts w:ascii="Titillium" w:hAnsi="Titillium" w:cs="Calibri"/>
          <w:sz w:val="18"/>
          <w:szCs w:val="18"/>
        </w:rPr>
        <w:t>Il co</w:t>
      </w:r>
      <w:r w:rsidRPr="003E4EEF">
        <w:rPr>
          <w:rFonts w:ascii="Titillium" w:hAnsi="Titillium" w:cs="Calibri"/>
          <w:sz w:val="18"/>
          <w:szCs w:val="18"/>
        </w:rPr>
        <w:t>ncorrente</w:t>
      </w:r>
      <w:r w:rsidR="00A71354" w:rsidRPr="003E4EEF">
        <w:rPr>
          <w:rFonts w:ascii="Titillium" w:hAnsi="Titillium" w:cs="Calibri"/>
          <w:sz w:val="18"/>
          <w:szCs w:val="18"/>
        </w:rPr>
        <w:t xml:space="preserve"> </w:t>
      </w:r>
      <w:r w:rsidRPr="003E4EEF">
        <w:rPr>
          <w:rFonts w:ascii="Titillium" w:hAnsi="Titillium" w:cs="Calibri"/>
          <w:sz w:val="18"/>
          <w:szCs w:val="18"/>
        </w:rPr>
        <w:t xml:space="preserve">può avvalersi </w:t>
      </w:r>
      <w:r w:rsidR="005A7C0B" w:rsidRPr="003E4EEF">
        <w:rPr>
          <w:rFonts w:ascii="Titillium" w:hAnsi="Titillium" w:cs="Calibri"/>
          <w:sz w:val="18"/>
          <w:szCs w:val="18"/>
        </w:rPr>
        <w:t>di un</w:t>
      </w:r>
      <w:r w:rsidR="009F0E0D" w:rsidRPr="003E4EEF">
        <w:rPr>
          <w:rFonts w:ascii="Titillium" w:hAnsi="Titillium" w:cs="Calibri"/>
          <w:sz w:val="18"/>
          <w:szCs w:val="18"/>
        </w:rPr>
        <w:t xml:space="preserve"> </w:t>
      </w:r>
      <w:r w:rsidR="005A7C0B" w:rsidRPr="003E4EEF">
        <w:rPr>
          <w:rFonts w:ascii="Titillium" w:hAnsi="Titillium" w:cs="Calibri"/>
          <w:sz w:val="18"/>
          <w:szCs w:val="18"/>
        </w:rPr>
        <w:t>ausiliari</w:t>
      </w:r>
      <w:r w:rsidR="00FE19FA" w:rsidRPr="003E4EEF">
        <w:rPr>
          <w:rFonts w:ascii="Titillium" w:hAnsi="Titillium" w:cs="Calibri"/>
          <w:sz w:val="18"/>
          <w:szCs w:val="18"/>
        </w:rPr>
        <w:t>o</w:t>
      </w:r>
      <w:r w:rsidRPr="003E4EEF">
        <w:rPr>
          <w:rFonts w:ascii="Titillium" w:hAnsi="Titillium" w:cs="Calibri"/>
          <w:sz w:val="18"/>
          <w:szCs w:val="18"/>
        </w:rPr>
        <w:t xml:space="preserve"> </w:t>
      </w:r>
      <w:r w:rsidR="00B32871" w:rsidRPr="003E4EEF">
        <w:rPr>
          <w:rFonts w:ascii="Titillium" w:hAnsi="Titillium" w:cs="Calibri"/>
          <w:sz w:val="18"/>
          <w:szCs w:val="18"/>
        </w:rPr>
        <w:t xml:space="preserve">per comprovare il possesso </w:t>
      </w:r>
      <w:r w:rsidR="000F1101" w:rsidRPr="003E4EEF">
        <w:rPr>
          <w:rFonts w:ascii="Titillium" w:hAnsi="Titillium" w:cs="Calibri"/>
          <w:sz w:val="18"/>
          <w:szCs w:val="18"/>
        </w:rPr>
        <w:t xml:space="preserve">del requisito di cui al punto …. </w:t>
      </w:r>
      <w:r w:rsidRPr="003E4EEF">
        <w:rPr>
          <w:rFonts w:ascii="Titillium" w:hAnsi="Titillium" w:cs="Calibri"/>
          <w:sz w:val="18"/>
          <w:szCs w:val="18"/>
        </w:rPr>
        <w:t xml:space="preserve">solo se </w:t>
      </w:r>
      <w:r w:rsidR="005A7C0B" w:rsidRPr="003E4EEF">
        <w:rPr>
          <w:rFonts w:ascii="Titillium" w:hAnsi="Titillium" w:cs="Calibri"/>
          <w:sz w:val="18"/>
          <w:szCs w:val="18"/>
        </w:rPr>
        <w:t>l’</w:t>
      </w:r>
      <w:r w:rsidR="00B22C9B" w:rsidRPr="003E4EEF">
        <w:rPr>
          <w:rFonts w:ascii="Titillium" w:hAnsi="Titillium" w:cs="Calibri"/>
          <w:sz w:val="18"/>
          <w:szCs w:val="18"/>
        </w:rPr>
        <w:t>ausiliari</w:t>
      </w:r>
      <w:r w:rsidR="00FE19FA" w:rsidRPr="003E4EEF">
        <w:rPr>
          <w:rFonts w:ascii="Titillium" w:hAnsi="Titillium" w:cs="Calibri"/>
          <w:sz w:val="18"/>
          <w:szCs w:val="18"/>
        </w:rPr>
        <w:t>o</w:t>
      </w:r>
      <w:r w:rsidR="00B22C9B" w:rsidRPr="003E4EEF">
        <w:rPr>
          <w:rFonts w:ascii="Titillium" w:hAnsi="Titillium" w:cs="Calibri"/>
          <w:sz w:val="18"/>
          <w:szCs w:val="18"/>
        </w:rPr>
        <w:t xml:space="preserve"> esegue</w:t>
      </w:r>
      <w:r w:rsidR="00B32871" w:rsidRPr="003E4EEF">
        <w:rPr>
          <w:rFonts w:ascii="Titillium" w:hAnsi="Titillium" w:cs="Calibri"/>
          <w:sz w:val="18"/>
          <w:szCs w:val="18"/>
        </w:rPr>
        <w:t xml:space="preserve"> </w:t>
      </w:r>
      <w:r w:rsidRPr="003E4EEF">
        <w:rPr>
          <w:rFonts w:ascii="Titillium" w:hAnsi="Titillium" w:cs="Calibri"/>
          <w:sz w:val="18"/>
          <w:szCs w:val="18"/>
        </w:rPr>
        <w:t xml:space="preserve">direttamente </w:t>
      </w:r>
      <w:r w:rsidR="005A7C0B" w:rsidRPr="003E4EEF">
        <w:rPr>
          <w:rFonts w:ascii="Titillium" w:hAnsi="Titillium" w:cs="Calibri"/>
          <w:sz w:val="18"/>
          <w:szCs w:val="18"/>
        </w:rPr>
        <w:t>la prestazione per cui tale requisito è richiesto</w:t>
      </w:r>
      <w:r w:rsidRPr="003E4EEF">
        <w:rPr>
          <w:rFonts w:ascii="Titillium" w:hAnsi="Titillium" w:cs="Calibri"/>
          <w:sz w:val="18"/>
          <w:szCs w:val="18"/>
        </w:rPr>
        <w:t xml:space="preserve">. </w:t>
      </w:r>
      <w:r w:rsidR="00564B90" w:rsidRPr="003E4EEF">
        <w:rPr>
          <w:rFonts w:ascii="Titillium" w:hAnsi="Titillium" w:cs="Calibri"/>
          <w:sz w:val="18"/>
          <w:szCs w:val="18"/>
        </w:rPr>
        <w:t>In tal caso, l’ausiliari</w:t>
      </w:r>
      <w:r w:rsidR="00FE19FA" w:rsidRPr="003E4EEF">
        <w:rPr>
          <w:rFonts w:ascii="Titillium" w:hAnsi="Titillium" w:cs="Calibri"/>
          <w:sz w:val="18"/>
          <w:szCs w:val="18"/>
        </w:rPr>
        <w:t>o</w:t>
      </w:r>
      <w:r w:rsidR="00564B90" w:rsidRPr="003E4EEF">
        <w:rPr>
          <w:rFonts w:ascii="Titillium" w:hAnsi="Titillium" w:cs="Calibri"/>
          <w:sz w:val="18"/>
          <w:szCs w:val="18"/>
        </w:rPr>
        <w:t xml:space="preserve"> agisce in qualità di subappalta</w:t>
      </w:r>
      <w:r w:rsidR="00FE19FA" w:rsidRPr="003E4EEF">
        <w:rPr>
          <w:rFonts w:ascii="Titillium" w:hAnsi="Titillium" w:cs="Calibri"/>
          <w:sz w:val="18"/>
          <w:szCs w:val="18"/>
        </w:rPr>
        <w:t>re</w:t>
      </w:r>
      <w:r w:rsidR="00564B90" w:rsidRPr="003E4EEF">
        <w:rPr>
          <w:rFonts w:ascii="Titillium" w:hAnsi="Titillium" w:cs="Calibri"/>
          <w:sz w:val="18"/>
          <w:szCs w:val="18"/>
        </w:rPr>
        <w:t>.</w:t>
      </w:r>
    </w:p>
    <w:p w14:paraId="4C36D252" w14:textId="5AB51C8D" w:rsidR="005D3409" w:rsidRDefault="005D3409" w:rsidP="005D3409">
      <w:pPr>
        <w:spacing w:before="60" w:after="60"/>
        <w:rPr>
          <w:rFonts w:ascii="Titillium" w:hAnsi="Titillium" w:cs="Calibri"/>
          <w:i/>
          <w:sz w:val="18"/>
          <w:szCs w:val="18"/>
        </w:rPr>
      </w:pPr>
      <w:r w:rsidRPr="009F0E0D">
        <w:rPr>
          <w:rFonts w:ascii="Titillium" w:hAnsi="Titillium" w:cs="Calibri"/>
          <w:b/>
          <w:i/>
          <w:sz w:val="18"/>
          <w:szCs w:val="18"/>
        </w:rPr>
        <w:t xml:space="preserve">[Facoltativo per i servizi o le forniture con </w:t>
      </w:r>
      <w:r w:rsidR="00612D7A" w:rsidRPr="009F0E0D">
        <w:rPr>
          <w:rFonts w:ascii="Titillium" w:hAnsi="Titillium" w:cs="Calibri"/>
          <w:b/>
          <w:i/>
          <w:sz w:val="18"/>
          <w:szCs w:val="18"/>
        </w:rPr>
        <w:t xml:space="preserve">operazioni di </w:t>
      </w:r>
      <w:r w:rsidRPr="009F0E0D">
        <w:rPr>
          <w:rFonts w:ascii="Titillium" w:hAnsi="Titillium" w:cs="Calibri"/>
          <w:b/>
          <w:i/>
          <w:sz w:val="18"/>
          <w:szCs w:val="18"/>
        </w:rPr>
        <w:t>posa in opera o installazione]</w:t>
      </w:r>
      <w:r w:rsidRPr="009F0E0D">
        <w:rPr>
          <w:rFonts w:ascii="Titillium" w:hAnsi="Titillium" w:cs="Calibri"/>
          <w:b/>
          <w:sz w:val="18"/>
          <w:szCs w:val="18"/>
        </w:rPr>
        <w:t xml:space="preserve"> </w:t>
      </w:r>
      <w:r w:rsidRPr="009F0E0D">
        <w:rPr>
          <w:rFonts w:ascii="Titillium" w:hAnsi="Titillium" w:cs="Calibri"/>
          <w:sz w:val="18"/>
          <w:szCs w:val="18"/>
        </w:rPr>
        <w:t>Ai sensi dell’articolo 104, comma 11</w:t>
      </w:r>
      <w:r w:rsidR="00242B24">
        <w:rPr>
          <w:rFonts w:ascii="Titillium" w:hAnsi="Titillium" w:cs="Calibri"/>
          <w:sz w:val="18"/>
          <w:szCs w:val="18"/>
        </w:rPr>
        <w:t>,</w:t>
      </w:r>
      <w:r w:rsidRPr="009F0E0D">
        <w:rPr>
          <w:rFonts w:ascii="Titillium" w:hAnsi="Titillium" w:cs="Calibri"/>
          <w:sz w:val="18"/>
          <w:szCs w:val="18"/>
        </w:rPr>
        <w:t xml:space="preserve"> del Codice, i seguenti compiti essenziali: … </w:t>
      </w:r>
      <w:r w:rsidRPr="009F0E0D">
        <w:rPr>
          <w:rFonts w:ascii="Titillium" w:hAnsi="Titillium" w:cs="Calibri"/>
          <w:i/>
          <w:sz w:val="18"/>
          <w:szCs w:val="18"/>
        </w:rPr>
        <w:t>[</w:t>
      </w:r>
      <w:r w:rsidRPr="009F0E0D">
        <w:rPr>
          <w:rFonts w:ascii="Titillium" w:hAnsi="Titillium" w:cs="Calibri"/>
          <w:i/>
          <w:iCs/>
          <w:sz w:val="18"/>
          <w:szCs w:val="18"/>
        </w:rPr>
        <w:t>descrivere i compiti</w:t>
      </w:r>
      <w:r w:rsidRPr="009F0E0D">
        <w:rPr>
          <w:rFonts w:ascii="Titillium" w:hAnsi="Titillium" w:cs="Calibri"/>
          <w:i/>
          <w:sz w:val="18"/>
          <w:szCs w:val="18"/>
        </w:rPr>
        <w:t>]</w:t>
      </w:r>
      <w:r w:rsidRPr="009F0E0D">
        <w:rPr>
          <w:rFonts w:ascii="Titillium" w:hAnsi="Titillium" w:cs="Calibri"/>
          <w:sz w:val="18"/>
          <w:szCs w:val="18"/>
        </w:rPr>
        <w:t xml:space="preserve"> sono direttamente svolti dall’offerente </w:t>
      </w:r>
      <w:r w:rsidRPr="00141178">
        <w:rPr>
          <w:rFonts w:ascii="Titillium" w:hAnsi="Titillium" w:cs="Calibri"/>
          <w:sz w:val="18"/>
          <w:szCs w:val="18"/>
        </w:rPr>
        <w:t xml:space="preserve">o, nel caso di offerta presentata da un raggruppamento da </w:t>
      </w:r>
      <w:r w:rsidR="00141178" w:rsidRPr="00141178">
        <w:rPr>
          <w:rFonts w:ascii="Titillium" w:hAnsi="Titillium" w:cs="Calibri"/>
          <w:sz w:val="18"/>
          <w:szCs w:val="18"/>
        </w:rPr>
        <w:t>un partecipante al raggruppamento.</w:t>
      </w:r>
      <w:r>
        <w:rPr>
          <w:rFonts w:ascii="Titillium" w:hAnsi="Titillium" w:cs="Calibri"/>
          <w:i/>
          <w:sz w:val="18"/>
          <w:szCs w:val="18"/>
        </w:rPr>
        <w:t xml:space="preserve"> </w:t>
      </w:r>
    </w:p>
    <w:p w14:paraId="63E7423D" w14:textId="77777777" w:rsidR="005D3409" w:rsidRDefault="005D3409">
      <w:pPr>
        <w:spacing w:before="60" w:after="60"/>
        <w:rPr>
          <w:rFonts w:ascii="Titillium" w:hAnsi="Titillium" w:cs="Calibri"/>
          <w:sz w:val="18"/>
          <w:szCs w:val="18"/>
        </w:rPr>
      </w:pPr>
    </w:p>
    <w:p w14:paraId="49534745" w14:textId="3BAFD766" w:rsidR="004C53A8" w:rsidRPr="00C26CB3" w:rsidRDefault="00870286">
      <w:pPr>
        <w:spacing w:before="60" w:after="60"/>
        <w:rPr>
          <w:rFonts w:ascii="Titillium" w:hAnsi="Titillium" w:cs="Calibri"/>
          <w:sz w:val="18"/>
          <w:szCs w:val="18"/>
        </w:rPr>
      </w:pPr>
      <w:r w:rsidRPr="001B44C8">
        <w:rPr>
          <w:rFonts w:ascii="Titillium" w:hAnsi="Titillium" w:cs="Calibri"/>
          <w:sz w:val="18"/>
          <w:szCs w:val="18"/>
        </w:rPr>
        <w:t>L’ausiliari</w:t>
      </w:r>
      <w:r w:rsidR="00FE19FA" w:rsidRPr="001B44C8">
        <w:rPr>
          <w:rFonts w:ascii="Titillium" w:hAnsi="Titillium" w:cs="Calibri"/>
          <w:sz w:val="18"/>
          <w:szCs w:val="18"/>
        </w:rPr>
        <w:t>o</w:t>
      </w:r>
      <w:r w:rsidRPr="001B44C8">
        <w:rPr>
          <w:rFonts w:ascii="Titillium" w:hAnsi="Titillium" w:cs="Calibri"/>
          <w:sz w:val="18"/>
          <w:szCs w:val="18"/>
        </w:rPr>
        <w:t xml:space="preserve"> deve:</w:t>
      </w:r>
    </w:p>
    <w:p w14:paraId="093F41C3" w14:textId="02ABB0D8" w:rsidR="00915FCC" w:rsidRPr="005533E3" w:rsidRDefault="00B8054C" w:rsidP="00B8054C">
      <w:pPr>
        <w:pStyle w:val="Paragrafoelenco"/>
        <w:numPr>
          <w:ilvl w:val="2"/>
          <w:numId w:val="18"/>
        </w:numPr>
        <w:spacing w:before="60" w:after="60"/>
        <w:ind w:left="709"/>
      </w:pPr>
      <w:r w:rsidRPr="00C26CB3">
        <w:rPr>
          <w:rFonts w:ascii="Titillium" w:hAnsi="Titillium" w:cs="Calibri"/>
          <w:sz w:val="18"/>
          <w:szCs w:val="18"/>
        </w:rPr>
        <w:t xml:space="preserve">possedere i requisiti previsti dall’articolo </w:t>
      </w:r>
      <w:r w:rsidR="00CB0AD7" w:rsidRPr="006A17FF">
        <w:rPr>
          <w:rFonts w:ascii="Titillium" w:hAnsi="Titillium" w:cs="Calibri"/>
          <w:sz w:val="18"/>
          <w:szCs w:val="18"/>
        </w:rPr>
        <w:fldChar w:fldCharType="begin"/>
      </w:r>
      <w:r w:rsidR="00CB0AD7" w:rsidRPr="006A17FF">
        <w:rPr>
          <w:rFonts w:ascii="Titillium" w:hAnsi="Titillium" w:cs="Calibri"/>
          <w:sz w:val="18"/>
          <w:szCs w:val="18"/>
        </w:rPr>
        <w:instrText xml:space="preserve"> REF _Ref128477566 \r \h </w:instrText>
      </w:r>
      <w:r w:rsidR="006A17FF">
        <w:rPr>
          <w:rFonts w:ascii="Titillium" w:hAnsi="Titillium" w:cs="Calibri"/>
          <w:sz w:val="18"/>
          <w:szCs w:val="18"/>
        </w:rPr>
        <w:instrText xml:space="preserve"> \* MERGEFORMAT </w:instrText>
      </w:r>
      <w:r w:rsidR="00CB0AD7" w:rsidRPr="006A17FF">
        <w:rPr>
          <w:rFonts w:ascii="Titillium" w:hAnsi="Titillium" w:cs="Calibri"/>
          <w:sz w:val="18"/>
          <w:szCs w:val="18"/>
        </w:rPr>
      </w:r>
      <w:r w:rsidR="00CB0AD7" w:rsidRPr="006A17FF">
        <w:rPr>
          <w:rFonts w:ascii="Titillium" w:hAnsi="Titillium" w:cs="Calibri"/>
          <w:sz w:val="18"/>
          <w:szCs w:val="18"/>
        </w:rPr>
        <w:fldChar w:fldCharType="separate"/>
      </w:r>
      <w:r w:rsidR="00527049">
        <w:rPr>
          <w:rFonts w:ascii="Titillium" w:hAnsi="Titillium" w:cs="Calibri"/>
          <w:sz w:val="18"/>
          <w:szCs w:val="18"/>
        </w:rPr>
        <w:t>5</w:t>
      </w:r>
      <w:r w:rsidR="00CB0AD7" w:rsidRPr="006A17FF">
        <w:rPr>
          <w:rFonts w:ascii="Titillium" w:hAnsi="Titillium" w:cs="Calibri"/>
          <w:sz w:val="18"/>
          <w:szCs w:val="18"/>
        </w:rPr>
        <w:fldChar w:fldCharType="end"/>
      </w:r>
      <w:r w:rsidR="005533E3">
        <w:rPr>
          <w:rFonts w:ascii="Titillium" w:hAnsi="Titillium" w:cs="Calibri"/>
          <w:sz w:val="18"/>
          <w:szCs w:val="18"/>
        </w:rPr>
        <w:t xml:space="preserve"> </w:t>
      </w:r>
      <w:r w:rsidR="005533E3" w:rsidRPr="005533E3">
        <w:rPr>
          <w:rFonts w:ascii="Titillium" w:hAnsi="Titillium" w:cs="Calibri"/>
          <w:sz w:val="18"/>
          <w:szCs w:val="18"/>
        </w:rPr>
        <w:t>e dichiararli presentando un proprio DGUE, da compilare nelle parti pertinenti;</w:t>
      </w:r>
    </w:p>
    <w:p w14:paraId="391D7A9F" w14:textId="63805717" w:rsidR="00B8054C" w:rsidRPr="001B44C8" w:rsidRDefault="00915FCC" w:rsidP="00B8054C">
      <w:pPr>
        <w:pStyle w:val="Paragrafoelenco"/>
        <w:numPr>
          <w:ilvl w:val="2"/>
          <w:numId w:val="18"/>
        </w:numPr>
        <w:spacing w:before="60" w:after="60"/>
        <w:ind w:left="709"/>
      </w:pPr>
      <w:r w:rsidRPr="001B44C8">
        <w:rPr>
          <w:rFonts w:ascii="Titillium" w:hAnsi="Titillium" w:cs="Calibri"/>
          <w:sz w:val="18"/>
          <w:szCs w:val="18"/>
        </w:rPr>
        <w:t xml:space="preserve">possedere i requisiti </w:t>
      </w:r>
      <w:r w:rsidR="004A4954" w:rsidRPr="001B44C8">
        <w:rPr>
          <w:rFonts w:ascii="Titillium" w:hAnsi="Titillium" w:cs="Calibri"/>
          <w:sz w:val="18"/>
          <w:szCs w:val="18"/>
        </w:rPr>
        <w:t xml:space="preserve">i di cui all’articolo </w:t>
      </w:r>
      <w:r w:rsidR="00B8054C" w:rsidRPr="001B44C8">
        <w:rPr>
          <w:rFonts w:ascii="Titillium" w:hAnsi="Titillium" w:cs="Calibri"/>
          <w:sz w:val="18"/>
          <w:szCs w:val="18"/>
        </w:rPr>
        <w:t>6</w:t>
      </w:r>
      <w:r w:rsidR="00CB0AD7" w:rsidRPr="001B44C8">
        <w:rPr>
          <w:rFonts w:ascii="Titillium" w:hAnsi="Titillium" w:cs="Calibri"/>
          <w:sz w:val="18"/>
          <w:szCs w:val="18"/>
        </w:rPr>
        <w:t xml:space="preserve"> </w:t>
      </w:r>
      <w:r w:rsidR="00B8054C" w:rsidRPr="001B44C8">
        <w:rPr>
          <w:rFonts w:ascii="Titillium" w:hAnsi="Titillium" w:cs="Calibri"/>
          <w:sz w:val="18"/>
          <w:szCs w:val="18"/>
        </w:rPr>
        <w:t xml:space="preserve">oggetto di avvalimento e dichiararli </w:t>
      </w:r>
      <w:r w:rsidR="005533E3" w:rsidRPr="001B44C8">
        <w:rPr>
          <w:rFonts w:ascii="Titillium" w:hAnsi="Titillium" w:cs="Calibri"/>
          <w:sz w:val="18"/>
          <w:szCs w:val="18"/>
        </w:rPr>
        <w:t>nel</w:t>
      </w:r>
      <w:r w:rsidR="00B8054C" w:rsidRPr="001B44C8">
        <w:rPr>
          <w:rFonts w:ascii="Titillium" w:hAnsi="Titillium" w:cs="Calibri"/>
          <w:sz w:val="18"/>
          <w:szCs w:val="18"/>
        </w:rPr>
        <w:t xml:space="preserve"> proprio </w:t>
      </w:r>
      <w:r w:rsidR="00870286" w:rsidRPr="001B44C8">
        <w:rPr>
          <w:rFonts w:ascii="Titillium" w:hAnsi="Titillium" w:cs="Calibri"/>
          <w:sz w:val="18"/>
          <w:szCs w:val="18"/>
        </w:rPr>
        <w:t xml:space="preserve">DGUE, da compilare nelle parti pertinenti; </w:t>
      </w:r>
    </w:p>
    <w:p w14:paraId="09571959" w14:textId="4B8A8465" w:rsidR="004C53A8" w:rsidRPr="006A17FF" w:rsidRDefault="002712AE" w:rsidP="00B8054C">
      <w:pPr>
        <w:pStyle w:val="Paragrafoelenco"/>
        <w:numPr>
          <w:ilvl w:val="2"/>
          <w:numId w:val="18"/>
        </w:numPr>
        <w:spacing w:before="60" w:after="60"/>
        <w:ind w:left="709"/>
      </w:pPr>
      <w:r w:rsidRPr="006A17FF">
        <w:rPr>
          <w:rFonts w:ascii="Titillium" w:hAnsi="Titillium" w:cs="Calibri"/>
          <w:sz w:val="18"/>
          <w:szCs w:val="18"/>
        </w:rPr>
        <w:t>impegna</w:t>
      </w:r>
      <w:r w:rsidR="004A4954" w:rsidRPr="006A17FF">
        <w:rPr>
          <w:rFonts w:ascii="Titillium" w:hAnsi="Titillium" w:cs="Calibri"/>
          <w:sz w:val="18"/>
          <w:szCs w:val="18"/>
        </w:rPr>
        <w:t>rsi</w:t>
      </w:r>
      <w:r w:rsidRPr="006A17FF">
        <w:rPr>
          <w:rFonts w:ascii="Titillium" w:hAnsi="Titillium" w:cs="Calibri"/>
          <w:sz w:val="18"/>
          <w:szCs w:val="18"/>
        </w:rPr>
        <w:t>,</w:t>
      </w:r>
      <w:r w:rsidR="00870286" w:rsidRPr="006A17FF">
        <w:rPr>
          <w:rFonts w:ascii="Titillium" w:hAnsi="Titillium" w:cs="Calibri"/>
          <w:sz w:val="18"/>
          <w:szCs w:val="18"/>
        </w:rPr>
        <w:t xml:space="preserve"> verso il concorrente </w:t>
      </w:r>
      <w:r w:rsidR="00FE19FA">
        <w:rPr>
          <w:rFonts w:ascii="Titillium" w:hAnsi="Titillium" w:cs="Calibri"/>
          <w:sz w:val="18"/>
          <w:szCs w:val="18"/>
        </w:rPr>
        <w:t xml:space="preserve">che si avvale </w:t>
      </w:r>
      <w:r w:rsidR="00870286" w:rsidRPr="006A17FF">
        <w:rPr>
          <w:rFonts w:ascii="Titillium" w:hAnsi="Titillium" w:cs="Calibri"/>
          <w:sz w:val="18"/>
          <w:szCs w:val="18"/>
        </w:rPr>
        <w:t xml:space="preserve">e verso la stazione appaltante, </w:t>
      </w:r>
      <w:r w:rsidRPr="006A17FF">
        <w:rPr>
          <w:rFonts w:ascii="Titillium" w:hAnsi="Titillium" w:cs="Calibri"/>
          <w:sz w:val="18"/>
          <w:szCs w:val="18"/>
        </w:rPr>
        <w:t xml:space="preserve">a </w:t>
      </w:r>
      <w:r w:rsidR="00870286" w:rsidRPr="006A17FF">
        <w:rPr>
          <w:rFonts w:ascii="Titillium" w:hAnsi="Titillium" w:cs="Calibri"/>
          <w:sz w:val="18"/>
          <w:szCs w:val="18"/>
        </w:rPr>
        <w:t xml:space="preserve">mettere a disposizione, per tutta la durata dell’appalto, le risorse </w:t>
      </w:r>
      <w:r w:rsidR="0036223F">
        <w:rPr>
          <w:rFonts w:ascii="Titillium" w:hAnsi="Titillium" w:cs="Calibri"/>
          <w:sz w:val="18"/>
          <w:szCs w:val="18"/>
        </w:rPr>
        <w:t xml:space="preserve">(riferite a requisiti di partecipazione e/o premiali) </w:t>
      </w:r>
      <w:r w:rsidRPr="006A17FF">
        <w:rPr>
          <w:rFonts w:ascii="Titillium" w:hAnsi="Titillium" w:cs="Calibri"/>
          <w:sz w:val="18"/>
          <w:szCs w:val="18"/>
        </w:rPr>
        <w:t>oggetto di avvalimento</w:t>
      </w:r>
      <w:r w:rsidR="0036223F">
        <w:rPr>
          <w:rFonts w:ascii="Titillium" w:hAnsi="Titillium" w:cs="Calibri"/>
          <w:sz w:val="18"/>
          <w:szCs w:val="18"/>
        </w:rPr>
        <w:t xml:space="preserve"> </w:t>
      </w:r>
    </w:p>
    <w:p w14:paraId="583A6B07" w14:textId="77777777" w:rsidR="00D1092C" w:rsidRDefault="00D1092C" w:rsidP="004B4789">
      <w:pPr>
        <w:spacing w:before="60" w:after="60"/>
        <w:rPr>
          <w:rFonts w:ascii="Titillium" w:hAnsi="Titillium" w:cs="Calibri"/>
          <w:sz w:val="18"/>
          <w:szCs w:val="18"/>
          <w:highlight w:val="yellow"/>
        </w:rPr>
      </w:pPr>
    </w:p>
    <w:p w14:paraId="3AE41561" w14:textId="2ADF80D7" w:rsidR="00D1092C" w:rsidRPr="0093796D" w:rsidRDefault="00D1092C" w:rsidP="004B4789">
      <w:pPr>
        <w:spacing w:before="60" w:after="60"/>
        <w:rPr>
          <w:rFonts w:ascii="Titillium" w:hAnsi="Titillium" w:cs="Calibri"/>
          <w:sz w:val="18"/>
          <w:szCs w:val="18"/>
        </w:rPr>
      </w:pPr>
      <w:r w:rsidRPr="0093796D">
        <w:rPr>
          <w:rFonts w:ascii="Titillium" w:hAnsi="Titillium" w:cs="Calibri"/>
          <w:sz w:val="18"/>
          <w:szCs w:val="18"/>
        </w:rPr>
        <w:t>Il concorrente allega alla domanda di partecipazione il contratto di avvalimento</w:t>
      </w:r>
      <w:r w:rsidR="00B01357" w:rsidRPr="0093796D">
        <w:rPr>
          <w:rFonts w:ascii="Titillium" w:hAnsi="Titillium" w:cs="Calibri"/>
          <w:sz w:val="18"/>
          <w:szCs w:val="18"/>
        </w:rPr>
        <w:t>,</w:t>
      </w:r>
      <w:r w:rsidRPr="0093796D">
        <w:rPr>
          <w:rFonts w:ascii="Titillium" w:hAnsi="Titillium" w:cs="Calibri"/>
          <w:sz w:val="18"/>
          <w:szCs w:val="18"/>
        </w:rPr>
        <w:t xml:space="preserve"> </w:t>
      </w:r>
      <w:r w:rsidR="0056180A" w:rsidRPr="0093796D">
        <w:rPr>
          <w:rFonts w:ascii="Titillium" w:hAnsi="Titillium" w:cs="Calibri"/>
          <w:sz w:val="18"/>
          <w:szCs w:val="18"/>
        </w:rPr>
        <w:t>che deve essere nativo digitale e firmato digitalmente dalle parti</w:t>
      </w:r>
      <w:r w:rsidR="0093796D" w:rsidRPr="0093796D">
        <w:rPr>
          <w:rFonts w:ascii="Titillium" w:hAnsi="Titillium" w:cs="Calibri"/>
          <w:sz w:val="18"/>
          <w:szCs w:val="18"/>
        </w:rPr>
        <w:t>, nonché le dichiarazioni dell’ausiliario.</w:t>
      </w:r>
    </w:p>
    <w:p w14:paraId="7BCEFD20" w14:textId="69653767" w:rsidR="00012AFC" w:rsidRPr="0074473E" w:rsidRDefault="004B4789" w:rsidP="004B4789">
      <w:pPr>
        <w:spacing w:before="60" w:after="60"/>
        <w:rPr>
          <w:rFonts w:ascii="Titillium" w:hAnsi="Titillium" w:cs="Calibri"/>
          <w:sz w:val="18"/>
          <w:szCs w:val="18"/>
        </w:rPr>
      </w:pPr>
      <w:r w:rsidRPr="0074473E">
        <w:rPr>
          <w:rFonts w:ascii="Titillium" w:hAnsi="Titillium" w:cs="Calibri"/>
          <w:sz w:val="18"/>
          <w:szCs w:val="18"/>
        </w:rPr>
        <w:t>È sanabile, mediante soccorso istruttorio, la mancata produzione delle dichiarazioni</w:t>
      </w:r>
      <w:r w:rsidR="00D1092C" w:rsidRPr="0074473E">
        <w:rPr>
          <w:rFonts w:ascii="Titillium" w:hAnsi="Titillium" w:cs="Calibri"/>
          <w:sz w:val="18"/>
          <w:szCs w:val="18"/>
        </w:rPr>
        <w:t xml:space="preserve"> dell’ausiliari</w:t>
      </w:r>
      <w:r w:rsidR="00FE19FA" w:rsidRPr="0074473E">
        <w:rPr>
          <w:rFonts w:ascii="Titillium" w:hAnsi="Titillium" w:cs="Calibri"/>
          <w:sz w:val="18"/>
          <w:szCs w:val="18"/>
        </w:rPr>
        <w:t>o</w:t>
      </w:r>
      <w:r w:rsidR="00B01357" w:rsidRPr="0074473E">
        <w:rPr>
          <w:rFonts w:ascii="Titillium" w:hAnsi="Titillium" w:cs="Calibri"/>
          <w:sz w:val="18"/>
          <w:szCs w:val="18"/>
        </w:rPr>
        <w:t>.</w:t>
      </w:r>
    </w:p>
    <w:p w14:paraId="630FBB0B" w14:textId="6E28DED6" w:rsidR="004B4789" w:rsidRPr="006A17FF" w:rsidRDefault="00012AFC" w:rsidP="004B4789">
      <w:pPr>
        <w:spacing w:before="60" w:after="60"/>
      </w:pPr>
      <w:r w:rsidRPr="0074473E">
        <w:rPr>
          <w:rFonts w:ascii="Titillium" w:hAnsi="Titillium" w:cs="Calibri"/>
          <w:sz w:val="18"/>
          <w:szCs w:val="18"/>
        </w:rPr>
        <w:lastRenderedPageBreak/>
        <w:t xml:space="preserve">È sanabile, mediante soccorso istruttorio, la mancata produzione </w:t>
      </w:r>
      <w:r w:rsidR="004B4789" w:rsidRPr="0074473E">
        <w:rPr>
          <w:rFonts w:ascii="Titillium" w:hAnsi="Titillium" w:cs="Calibri"/>
          <w:sz w:val="18"/>
          <w:szCs w:val="18"/>
        </w:rPr>
        <w:t xml:space="preserve">del contratto di avvalimento a condizione che </w:t>
      </w:r>
      <w:r w:rsidRPr="0074473E">
        <w:rPr>
          <w:rFonts w:ascii="Titillium" w:hAnsi="Titillium" w:cs="Calibri"/>
          <w:sz w:val="18"/>
          <w:szCs w:val="18"/>
        </w:rPr>
        <w:t xml:space="preserve">il contratto sia </w:t>
      </w:r>
      <w:r w:rsidR="00CD5AC3" w:rsidRPr="0074473E">
        <w:rPr>
          <w:rFonts w:ascii="Titillium" w:hAnsi="Titillium" w:cs="Calibri"/>
          <w:sz w:val="18"/>
          <w:szCs w:val="18"/>
        </w:rPr>
        <w:t xml:space="preserve">stato </w:t>
      </w:r>
      <w:r w:rsidRPr="0074473E">
        <w:rPr>
          <w:rFonts w:ascii="Titillium" w:hAnsi="Titillium" w:cs="Calibri"/>
          <w:sz w:val="18"/>
          <w:szCs w:val="18"/>
        </w:rPr>
        <w:t>stipulato prima del</w:t>
      </w:r>
      <w:r w:rsidR="004B4789" w:rsidRPr="0074473E">
        <w:rPr>
          <w:rFonts w:ascii="Titillium" w:hAnsi="Titillium" w:cs="Calibri"/>
          <w:sz w:val="18"/>
          <w:szCs w:val="18"/>
        </w:rPr>
        <w:t xml:space="preserve"> termine di presentazione dell’offerta</w:t>
      </w:r>
      <w:r w:rsidRPr="0074473E">
        <w:rPr>
          <w:rFonts w:ascii="Titillium" w:hAnsi="Titillium" w:cs="Calibri"/>
          <w:sz w:val="18"/>
          <w:szCs w:val="18"/>
        </w:rPr>
        <w:t xml:space="preserve"> e che tale circostanza sia comprovabile con data certa</w:t>
      </w:r>
      <w:r w:rsidR="004B4789" w:rsidRPr="0074473E">
        <w:rPr>
          <w:rFonts w:ascii="Titillium" w:hAnsi="Titillium" w:cs="Calibri"/>
          <w:sz w:val="18"/>
          <w:szCs w:val="18"/>
        </w:rPr>
        <w:t>.</w:t>
      </w:r>
    </w:p>
    <w:p w14:paraId="23695E51" w14:textId="5E9B8864" w:rsidR="004B4789" w:rsidRPr="006A17FF" w:rsidRDefault="004B4789" w:rsidP="004B4789">
      <w:pPr>
        <w:tabs>
          <w:tab w:val="left" w:pos="0"/>
        </w:tabs>
        <w:spacing w:before="60" w:after="60"/>
        <w:rPr>
          <w:rFonts w:ascii="Titillium" w:hAnsi="Titillium" w:cs="Calibri"/>
          <w:sz w:val="18"/>
          <w:szCs w:val="18"/>
        </w:rPr>
      </w:pPr>
      <w:r w:rsidRPr="00685DD7">
        <w:rPr>
          <w:rFonts w:ascii="Titillium" w:hAnsi="Titillium" w:cs="Calibri"/>
          <w:sz w:val="18"/>
          <w:szCs w:val="18"/>
        </w:rPr>
        <w:t xml:space="preserve">Non è sanabile la mancata indicazione delle risorse </w:t>
      </w:r>
      <w:r w:rsidR="00F820D7" w:rsidRPr="00685DD7">
        <w:rPr>
          <w:rFonts w:ascii="Titillium" w:hAnsi="Titillium" w:cs="Calibri"/>
          <w:sz w:val="18"/>
          <w:szCs w:val="18"/>
        </w:rPr>
        <w:t xml:space="preserve">messe </w:t>
      </w:r>
      <w:r w:rsidRPr="00685DD7">
        <w:rPr>
          <w:rFonts w:ascii="Titillium" w:hAnsi="Titillium" w:cs="Calibri"/>
          <w:sz w:val="18"/>
          <w:szCs w:val="18"/>
        </w:rPr>
        <w:t>a disposizione dall’ausiliari</w:t>
      </w:r>
      <w:r w:rsidR="00FE19FA" w:rsidRPr="00685DD7">
        <w:rPr>
          <w:rFonts w:ascii="Titillium" w:hAnsi="Titillium" w:cs="Calibri"/>
          <w:sz w:val="18"/>
          <w:szCs w:val="18"/>
        </w:rPr>
        <w:t>o</w:t>
      </w:r>
      <w:r w:rsidRPr="00685DD7">
        <w:rPr>
          <w:rFonts w:ascii="Titillium" w:hAnsi="Titillium" w:cs="Calibri"/>
          <w:sz w:val="18"/>
          <w:szCs w:val="18"/>
        </w:rPr>
        <w:t xml:space="preserve"> in quanto causa di nullità del contratto di avvalimento.</w:t>
      </w:r>
    </w:p>
    <w:p w14:paraId="2184CBC1" w14:textId="2705D173" w:rsidR="00012AFC" w:rsidRPr="00182618" w:rsidRDefault="00012AFC" w:rsidP="00012AFC">
      <w:pPr>
        <w:spacing w:before="60" w:after="60"/>
      </w:pPr>
      <w:r w:rsidRPr="00182618">
        <w:rPr>
          <w:rFonts w:ascii="Titillium" w:hAnsi="Titillium" w:cs="Calibri"/>
          <w:sz w:val="18"/>
          <w:szCs w:val="18"/>
        </w:rPr>
        <w:t>Qualora per l’ausiliari</w:t>
      </w:r>
      <w:r w:rsidR="00FE19FA">
        <w:rPr>
          <w:rFonts w:ascii="Titillium" w:hAnsi="Titillium" w:cs="Calibri"/>
          <w:sz w:val="18"/>
          <w:szCs w:val="18"/>
        </w:rPr>
        <w:t>o</w:t>
      </w:r>
      <w:r w:rsidRPr="00182618">
        <w:rPr>
          <w:rFonts w:ascii="Titillium" w:hAnsi="Titillium" w:cs="Calibri"/>
          <w:sz w:val="18"/>
          <w:szCs w:val="18"/>
        </w:rPr>
        <w:t xml:space="preserve"> sussistano motivi di esclusione o laddove ess</w:t>
      </w:r>
      <w:r w:rsidR="00F35D54">
        <w:rPr>
          <w:rFonts w:ascii="Titillium" w:hAnsi="Titillium" w:cs="Calibri"/>
          <w:sz w:val="18"/>
          <w:szCs w:val="18"/>
        </w:rPr>
        <w:t>o</w:t>
      </w:r>
      <w:r w:rsidRPr="00182618">
        <w:rPr>
          <w:rFonts w:ascii="Titillium" w:hAnsi="Titillium" w:cs="Calibri"/>
          <w:sz w:val="18"/>
          <w:szCs w:val="18"/>
        </w:rPr>
        <w:t xml:space="preserve"> non soddisfi i </w:t>
      </w:r>
      <w:r>
        <w:rPr>
          <w:rFonts w:ascii="Titillium" w:hAnsi="Titillium" w:cs="Calibri"/>
          <w:sz w:val="18"/>
          <w:szCs w:val="18"/>
        </w:rPr>
        <w:t>requisiti di ordine speciale</w:t>
      </w:r>
      <w:r w:rsidRPr="00182618">
        <w:rPr>
          <w:rFonts w:ascii="Titillium" w:hAnsi="Titillium" w:cs="Calibri"/>
          <w:sz w:val="18"/>
          <w:szCs w:val="18"/>
        </w:rPr>
        <w:t>, il concorrente sostituisce l’ausiliari</w:t>
      </w:r>
      <w:r w:rsidR="00F35D54">
        <w:rPr>
          <w:rFonts w:ascii="Titillium" w:hAnsi="Titillium" w:cs="Calibri"/>
          <w:sz w:val="18"/>
          <w:szCs w:val="18"/>
        </w:rPr>
        <w:t>o</w:t>
      </w:r>
      <w:r w:rsidRPr="00182618">
        <w:rPr>
          <w:rFonts w:ascii="Titillium" w:hAnsi="Titillium" w:cs="Calibri"/>
          <w:sz w:val="18"/>
          <w:szCs w:val="18"/>
        </w:rPr>
        <w:t xml:space="preserve"> entro … </w:t>
      </w:r>
      <w:r w:rsidRPr="00182618">
        <w:rPr>
          <w:rFonts w:ascii="Titillium" w:hAnsi="Titillium" w:cs="Calibri"/>
          <w:i/>
          <w:sz w:val="18"/>
          <w:szCs w:val="18"/>
        </w:rPr>
        <w:t>[indicare il numero dei giorni previsti</w:t>
      </w:r>
      <w:r w:rsidRPr="00182618">
        <w:rPr>
          <w:rFonts w:ascii="Titillium" w:hAnsi="Titillium" w:cs="Calibri"/>
          <w:sz w:val="18"/>
          <w:szCs w:val="18"/>
        </w:rPr>
        <w:t xml:space="preserve">] giorni decorrenti dal ricevimento della richiesta da parte della stazione appaltante. Contestualmente il concorrente produce i documenti richiesti per l’avvalimento. </w:t>
      </w:r>
    </w:p>
    <w:p w14:paraId="754CCCA6" w14:textId="61FF1984" w:rsidR="00F26ABD" w:rsidRDefault="005C2985">
      <w:pPr>
        <w:tabs>
          <w:tab w:val="left" w:pos="0"/>
        </w:tabs>
        <w:spacing w:before="60" w:after="60"/>
      </w:pPr>
      <w:r w:rsidRPr="00E31D10">
        <w:rPr>
          <w:rFonts w:ascii="Titillium" w:hAnsi="Titillium" w:cs="Calibri"/>
          <w:sz w:val="18"/>
          <w:szCs w:val="18"/>
        </w:rPr>
        <w:t xml:space="preserve">Nel caso in cui </w:t>
      </w:r>
      <w:r w:rsidR="00012AFC">
        <w:rPr>
          <w:rFonts w:ascii="Titillium" w:hAnsi="Titillium" w:cs="Calibri"/>
          <w:sz w:val="18"/>
          <w:szCs w:val="18"/>
        </w:rPr>
        <w:t>l’</w:t>
      </w:r>
      <w:r w:rsidRPr="00E31D10">
        <w:rPr>
          <w:rFonts w:ascii="Titillium" w:hAnsi="Titillium" w:cs="Calibri"/>
          <w:sz w:val="18"/>
          <w:szCs w:val="18"/>
        </w:rPr>
        <w:t>ausiliari</w:t>
      </w:r>
      <w:r w:rsidR="00F35D54">
        <w:rPr>
          <w:rFonts w:ascii="Titillium" w:hAnsi="Titillium" w:cs="Calibri"/>
          <w:sz w:val="18"/>
          <w:szCs w:val="18"/>
        </w:rPr>
        <w:t>o</w:t>
      </w:r>
      <w:r w:rsidRPr="00E31D10">
        <w:rPr>
          <w:rFonts w:ascii="Titillium" w:hAnsi="Titillium" w:cs="Calibri"/>
          <w:sz w:val="18"/>
          <w:szCs w:val="18"/>
        </w:rPr>
        <w:t xml:space="preserve"> si sia res</w:t>
      </w:r>
      <w:r w:rsidR="00F35D54">
        <w:rPr>
          <w:rFonts w:ascii="Titillium" w:hAnsi="Titillium" w:cs="Calibri"/>
          <w:sz w:val="18"/>
          <w:szCs w:val="18"/>
        </w:rPr>
        <w:t>o</w:t>
      </w:r>
      <w:r w:rsidRPr="00E31D10">
        <w:rPr>
          <w:rFonts w:ascii="Titillium" w:hAnsi="Titillium" w:cs="Calibri"/>
          <w:sz w:val="18"/>
          <w:szCs w:val="18"/>
        </w:rPr>
        <w:t xml:space="preserve"> responsabile di una falsa dichiarazione sul possesso dei requisiti</w:t>
      </w:r>
      <w:r w:rsidR="00233A66" w:rsidRPr="00E31D10">
        <w:rPr>
          <w:rFonts w:ascii="Titillium" w:hAnsi="Titillium" w:cs="Calibri"/>
          <w:sz w:val="18"/>
          <w:szCs w:val="18"/>
        </w:rPr>
        <w:t xml:space="preserve">, </w:t>
      </w:r>
      <w:r w:rsidR="00EF4968" w:rsidRPr="00E31D10">
        <w:rPr>
          <w:rFonts w:ascii="Titillium" w:hAnsi="Titillium" w:cs="Calibri"/>
          <w:sz w:val="18"/>
          <w:szCs w:val="18"/>
        </w:rPr>
        <w:t>la stazione appaltante</w:t>
      </w:r>
      <w:r w:rsidR="00E31D10" w:rsidRPr="00E31D10">
        <w:rPr>
          <w:rFonts w:ascii="Titillium" w:hAnsi="Titillium" w:cs="Calibri"/>
          <w:sz w:val="18"/>
          <w:szCs w:val="18"/>
        </w:rPr>
        <w:t xml:space="preserve"> procede </w:t>
      </w:r>
      <w:r w:rsidR="0036223F">
        <w:rPr>
          <w:rFonts w:ascii="Titillium" w:hAnsi="Titillium" w:cs="Calibri"/>
          <w:sz w:val="18"/>
          <w:szCs w:val="18"/>
        </w:rPr>
        <w:t>a segnalare</w:t>
      </w:r>
      <w:r w:rsidR="00E31D10" w:rsidRPr="00E31D10">
        <w:rPr>
          <w:rFonts w:ascii="Titillium" w:hAnsi="Titillium" w:cs="Calibri"/>
          <w:sz w:val="18"/>
          <w:szCs w:val="18"/>
        </w:rPr>
        <w:t xml:space="preserve"> all’</w:t>
      </w:r>
      <w:r w:rsidR="0036223F">
        <w:rPr>
          <w:rFonts w:ascii="Titillium" w:hAnsi="Titillium" w:cs="Calibri"/>
          <w:sz w:val="18"/>
          <w:szCs w:val="18"/>
        </w:rPr>
        <w:t>A</w:t>
      </w:r>
      <w:r w:rsidR="00E31D10" w:rsidRPr="00E31D10">
        <w:rPr>
          <w:rFonts w:ascii="Titillium" w:hAnsi="Titillium" w:cs="Calibri"/>
          <w:sz w:val="18"/>
          <w:szCs w:val="18"/>
        </w:rPr>
        <w:t xml:space="preserve">utorità </w:t>
      </w:r>
      <w:r w:rsidR="0036223F">
        <w:rPr>
          <w:rFonts w:ascii="Titillium" w:hAnsi="Titillium" w:cs="Calibri"/>
          <w:sz w:val="18"/>
          <w:szCs w:val="18"/>
        </w:rPr>
        <w:t xml:space="preserve">nazionale anticorruzione </w:t>
      </w:r>
      <w:r w:rsidR="00E31D10" w:rsidRPr="00E31D10">
        <w:rPr>
          <w:rFonts w:ascii="Titillium" w:hAnsi="Titillium" w:cs="Calibri"/>
          <w:sz w:val="18"/>
          <w:szCs w:val="18"/>
        </w:rPr>
        <w:t>il comportamento tenuto dall’ausiliari</w:t>
      </w:r>
      <w:r w:rsidR="0056180A">
        <w:rPr>
          <w:rFonts w:ascii="Titillium" w:hAnsi="Titillium" w:cs="Calibri"/>
          <w:sz w:val="18"/>
          <w:szCs w:val="18"/>
        </w:rPr>
        <w:t>o</w:t>
      </w:r>
      <w:r w:rsidR="00E31D10" w:rsidRPr="00E31D10">
        <w:rPr>
          <w:rFonts w:ascii="Titillium" w:hAnsi="Titillium" w:cs="Calibri"/>
          <w:sz w:val="18"/>
          <w:szCs w:val="18"/>
        </w:rPr>
        <w:t xml:space="preserve"> per consentire le valutazioni di cui all’articolo 96, comma 15</w:t>
      </w:r>
      <w:r w:rsidR="00242B24">
        <w:rPr>
          <w:rFonts w:ascii="Titillium" w:hAnsi="Titillium" w:cs="Calibri"/>
          <w:sz w:val="18"/>
          <w:szCs w:val="18"/>
        </w:rPr>
        <w:t>, del Codice</w:t>
      </w:r>
      <w:r w:rsidR="00E31D10" w:rsidRPr="00E31D10">
        <w:rPr>
          <w:rFonts w:ascii="Titillium" w:hAnsi="Titillium" w:cs="Calibri"/>
          <w:sz w:val="18"/>
          <w:szCs w:val="18"/>
        </w:rPr>
        <w:t>. L</w:t>
      </w:r>
      <w:r w:rsidR="00233A66" w:rsidRPr="00E31D10">
        <w:rPr>
          <w:rFonts w:ascii="Titillium" w:hAnsi="Titillium" w:cs="Calibri"/>
          <w:sz w:val="18"/>
          <w:szCs w:val="18"/>
        </w:rPr>
        <w:t xml:space="preserve">’operatore economico può indicare </w:t>
      </w:r>
      <w:r w:rsidR="00CD5AC3">
        <w:rPr>
          <w:rFonts w:ascii="Titillium" w:hAnsi="Titillium" w:cs="Calibri"/>
          <w:sz w:val="18"/>
          <w:szCs w:val="18"/>
        </w:rPr>
        <w:t>un</w:t>
      </w:r>
      <w:r w:rsidR="00F35D54">
        <w:rPr>
          <w:rFonts w:ascii="Titillium" w:hAnsi="Titillium" w:cs="Calibri"/>
          <w:sz w:val="18"/>
          <w:szCs w:val="18"/>
        </w:rPr>
        <w:t xml:space="preserve"> </w:t>
      </w:r>
      <w:r w:rsidR="00233A66" w:rsidRPr="00E31D10">
        <w:rPr>
          <w:rFonts w:ascii="Titillium" w:hAnsi="Titillium" w:cs="Calibri"/>
          <w:sz w:val="18"/>
          <w:szCs w:val="18"/>
        </w:rPr>
        <w:t>altr</w:t>
      </w:r>
      <w:r w:rsidR="00F35D54">
        <w:rPr>
          <w:rFonts w:ascii="Titillium" w:hAnsi="Titillium" w:cs="Calibri"/>
          <w:sz w:val="18"/>
          <w:szCs w:val="18"/>
        </w:rPr>
        <w:t>o</w:t>
      </w:r>
      <w:r w:rsidR="00233A66" w:rsidRPr="00E31D10">
        <w:rPr>
          <w:rFonts w:ascii="Titillium" w:hAnsi="Titillium" w:cs="Calibri"/>
          <w:sz w:val="18"/>
          <w:szCs w:val="18"/>
        </w:rPr>
        <w:t xml:space="preserve"> ausiliari</w:t>
      </w:r>
      <w:r w:rsidR="00F35D54">
        <w:rPr>
          <w:rFonts w:ascii="Titillium" w:hAnsi="Titillium" w:cs="Calibri"/>
          <w:sz w:val="18"/>
          <w:szCs w:val="18"/>
        </w:rPr>
        <w:t>o</w:t>
      </w:r>
      <w:r w:rsidR="00233A66" w:rsidRPr="00E31D10">
        <w:rPr>
          <w:rFonts w:ascii="Titillium" w:hAnsi="Titillium" w:cs="Calibri"/>
          <w:sz w:val="18"/>
          <w:szCs w:val="18"/>
        </w:rPr>
        <w:t xml:space="preserve"> nel termine di dieci giorni, pena l’esclusione dalla gara. La sostituzione può essere effettuata soltanto nel caso in cui non conduca a una modifica sostanziale dell’offerta.</w:t>
      </w:r>
      <w:r w:rsidR="00564B90" w:rsidRPr="00E31D10">
        <w:rPr>
          <w:rFonts w:ascii="Titillium" w:hAnsi="Titillium" w:cs="Calibri"/>
          <w:sz w:val="18"/>
          <w:szCs w:val="18"/>
        </w:rPr>
        <w:t xml:space="preserve"> Il mancato rispetto del termine assegnato per la sostituzione comporta l’esclusione del concorrente.</w:t>
      </w:r>
    </w:p>
    <w:p w14:paraId="5D933A30" w14:textId="59325D8D" w:rsidR="004C53A8" w:rsidRDefault="00870286" w:rsidP="00084AD6">
      <w:pPr>
        <w:pStyle w:val="Titolo2"/>
        <w:numPr>
          <w:ilvl w:val="0"/>
          <w:numId w:val="4"/>
        </w:numPr>
        <w:ind w:left="357" w:hanging="357"/>
      </w:pPr>
      <w:bookmarkStart w:id="1714" w:name="_Toc406058375"/>
      <w:bookmarkStart w:id="1715" w:name="_Toc403471269"/>
      <w:bookmarkStart w:id="1716" w:name="_Toc397422862"/>
      <w:bookmarkStart w:id="1717" w:name="_Toc397346821"/>
      <w:bookmarkStart w:id="1718" w:name="_Toc393706906"/>
      <w:bookmarkStart w:id="1719" w:name="_Toc393700833"/>
      <w:bookmarkStart w:id="1720" w:name="_Toc393283174"/>
      <w:bookmarkStart w:id="1721" w:name="_Toc393272658"/>
      <w:bookmarkStart w:id="1722" w:name="_Toc393272600"/>
      <w:bookmarkStart w:id="1723" w:name="_Toc393187844"/>
      <w:bookmarkStart w:id="1724" w:name="_Toc393112127"/>
      <w:bookmarkStart w:id="1725" w:name="_Toc393110563"/>
      <w:bookmarkStart w:id="1726" w:name="_Toc392577496"/>
      <w:bookmarkStart w:id="1727" w:name="_Toc391036055"/>
      <w:bookmarkStart w:id="1728" w:name="_Toc391035982"/>
      <w:bookmarkStart w:id="1729" w:name="_Toc380501869"/>
      <w:bookmarkStart w:id="1730" w:name="_Toc354038180"/>
      <w:bookmarkStart w:id="1731" w:name="_Toc416423361"/>
      <w:bookmarkStart w:id="1732" w:name="_Toc406754176"/>
      <w:bookmarkStart w:id="1733" w:name="_Toc139549430"/>
      <w:r>
        <w:rPr>
          <w:rFonts w:ascii="Titillium" w:hAnsi="Titillium"/>
          <w:sz w:val="18"/>
          <w:szCs w:val="18"/>
        </w:rPr>
        <w:t>SUBAPPALTO</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 w14:paraId="06DE2331" w14:textId="1537AD5A" w:rsidR="00502577" w:rsidRDefault="00502577" w:rsidP="00502577">
      <w:pPr>
        <w:spacing w:before="60" w:after="60"/>
      </w:pPr>
      <w:r>
        <w:rPr>
          <w:rFonts w:ascii="Titillium" w:hAnsi="Titillium" w:cs="Calibri"/>
          <w:sz w:val="18"/>
          <w:szCs w:val="18"/>
        </w:rPr>
        <w:t xml:space="preserve">Il concorrente indica le prestazioni che intende subappaltare o concedere in cottimo. In caso di mancata indicazione il subappalto </w:t>
      </w:r>
      <w:r w:rsidRPr="00291685">
        <w:rPr>
          <w:rFonts w:ascii="Titillium" w:hAnsi="Titillium" w:cs="Calibri"/>
          <w:sz w:val="18"/>
          <w:szCs w:val="18"/>
        </w:rPr>
        <w:t>è vietato.</w:t>
      </w:r>
      <w:r>
        <w:rPr>
          <w:rFonts w:ascii="Titillium" w:hAnsi="Titillium" w:cs="Calibri"/>
          <w:sz w:val="18"/>
          <w:szCs w:val="18"/>
        </w:rPr>
        <w:t xml:space="preserve"> </w:t>
      </w:r>
    </w:p>
    <w:p w14:paraId="1E210A07" w14:textId="7B42350B" w:rsidR="00D4022F" w:rsidRDefault="00870286" w:rsidP="00D4022F">
      <w:pPr>
        <w:spacing w:before="60" w:after="60"/>
        <w:rPr>
          <w:rFonts w:ascii="Titillium" w:hAnsi="Titillium" w:cs="Calibri"/>
          <w:sz w:val="18"/>
          <w:szCs w:val="18"/>
        </w:rPr>
      </w:pPr>
      <w:r>
        <w:rPr>
          <w:rFonts w:ascii="Titillium" w:hAnsi="Titillium" w:cs="Calibri"/>
          <w:sz w:val="18"/>
          <w:szCs w:val="18"/>
        </w:rPr>
        <w:t>Non può essere affidata in subappalto l’integrale esecuzione del</w:t>
      </w:r>
      <w:r w:rsidR="002B60EA">
        <w:rPr>
          <w:rFonts w:ascii="Titillium" w:hAnsi="Titillium" w:cs="Calibri"/>
          <w:sz w:val="18"/>
          <w:szCs w:val="18"/>
        </w:rPr>
        <w:t>le p</w:t>
      </w:r>
      <w:r w:rsidR="00612D7A">
        <w:rPr>
          <w:rFonts w:ascii="Titillium" w:hAnsi="Titillium" w:cs="Calibri"/>
          <w:sz w:val="18"/>
          <w:szCs w:val="18"/>
        </w:rPr>
        <w:t>restazioni oggetto del</w:t>
      </w:r>
      <w:r>
        <w:rPr>
          <w:rFonts w:ascii="Titillium" w:hAnsi="Titillium" w:cs="Calibri"/>
          <w:sz w:val="18"/>
          <w:szCs w:val="18"/>
        </w:rPr>
        <w:t xml:space="preserve"> contratto</w:t>
      </w:r>
      <w:r w:rsidR="00D4022F">
        <w:rPr>
          <w:rFonts w:ascii="Titillium" w:hAnsi="Titillium" w:cs="Calibri"/>
          <w:sz w:val="18"/>
          <w:szCs w:val="18"/>
        </w:rPr>
        <w:t xml:space="preserve"> </w:t>
      </w:r>
      <w:r w:rsidR="00D4022F" w:rsidRPr="00675EF0">
        <w:rPr>
          <w:rFonts w:ascii="Titillium" w:hAnsi="Titillium" w:cs="Calibri"/>
          <w:b/>
          <w:i/>
          <w:sz w:val="18"/>
          <w:szCs w:val="18"/>
        </w:rPr>
        <w:t>[</w:t>
      </w:r>
      <w:r w:rsidR="002B60EA">
        <w:rPr>
          <w:rFonts w:ascii="Titillium" w:hAnsi="Titillium" w:cs="Calibri"/>
          <w:b/>
          <w:i/>
          <w:sz w:val="18"/>
          <w:szCs w:val="18"/>
        </w:rPr>
        <w:t>n</w:t>
      </w:r>
      <w:r w:rsidR="00D4022F" w:rsidRPr="00A059A3">
        <w:rPr>
          <w:rFonts w:ascii="Titillium" w:hAnsi="Titillium" w:cs="Calibri"/>
          <w:b/>
          <w:i/>
          <w:sz w:val="18"/>
          <w:szCs w:val="18"/>
        </w:rPr>
        <w:t>el caso di contratti aventi ad oggetto servizi ad alta intensità di manodopera</w:t>
      </w:r>
      <w:r w:rsidR="002B60EA">
        <w:rPr>
          <w:rFonts w:ascii="Titillium" w:hAnsi="Titillium" w:cs="Calibri"/>
          <w:b/>
          <w:i/>
          <w:sz w:val="18"/>
          <w:szCs w:val="18"/>
        </w:rPr>
        <w:t>, aggiungere</w:t>
      </w:r>
      <w:r w:rsidR="00D4022F" w:rsidRPr="00675EF0">
        <w:rPr>
          <w:rFonts w:ascii="Titillium" w:hAnsi="Titillium" w:cs="Calibri"/>
          <w:b/>
          <w:i/>
          <w:sz w:val="18"/>
          <w:szCs w:val="18"/>
        </w:rPr>
        <w:t>]</w:t>
      </w:r>
      <w:r w:rsidR="00D4022F" w:rsidRPr="00D4022F">
        <w:rPr>
          <w:rFonts w:ascii="Titillium" w:hAnsi="Titillium" w:cs="Calibri"/>
          <w:sz w:val="18"/>
          <w:szCs w:val="18"/>
        </w:rPr>
        <w:t xml:space="preserve"> </w:t>
      </w:r>
      <w:r w:rsidR="005B1324" w:rsidRPr="003E4EEF">
        <w:rPr>
          <w:rFonts w:ascii="Titillium" w:hAnsi="Titillium" w:cs="Calibri"/>
          <w:sz w:val="18"/>
          <w:szCs w:val="18"/>
        </w:rPr>
        <w:t xml:space="preserve">nonché </w:t>
      </w:r>
      <w:r w:rsidR="0062004E" w:rsidRPr="003E4EEF">
        <w:rPr>
          <w:rFonts w:ascii="Titillium" w:hAnsi="Titillium" w:cs="Calibri"/>
          <w:sz w:val="18"/>
          <w:szCs w:val="18"/>
        </w:rPr>
        <w:t>l</w:t>
      </w:r>
      <w:r w:rsidR="00D4022F" w:rsidRPr="003E4EEF">
        <w:rPr>
          <w:rFonts w:ascii="Titillium" w:hAnsi="Titillium" w:cs="Calibri"/>
          <w:sz w:val="18"/>
          <w:szCs w:val="18"/>
        </w:rPr>
        <w:t>a prevalente esecuzione del</w:t>
      </w:r>
      <w:r w:rsidR="005B1324" w:rsidRPr="003E4EEF">
        <w:rPr>
          <w:rFonts w:ascii="Titillium" w:hAnsi="Titillium" w:cs="Calibri"/>
          <w:sz w:val="18"/>
          <w:szCs w:val="18"/>
        </w:rPr>
        <w:t xml:space="preserve">le </w:t>
      </w:r>
      <w:r w:rsidR="00612D7A" w:rsidRPr="003E4EEF">
        <w:rPr>
          <w:rFonts w:ascii="Titillium" w:hAnsi="Titillium" w:cs="Calibri"/>
          <w:sz w:val="18"/>
          <w:szCs w:val="18"/>
        </w:rPr>
        <w:t>medesime</w:t>
      </w:r>
      <w:r w:rsidR="00D4022F" w:rsidRPr="00D4022F">
        <w:rPr>
          <w:rFonts w:ascii="Titillium" w:hAnsi="Titillium" w:cs="Calibri"/>
          <w:sz w:val="18"/>
          <w:szCs w:val="18"/>
        </w:rPr>
        <w:t>.</w:t>
      </w:r>
    </w:p>
    <w:p w14:paraId="6CF81B2C" w14:textId="3805DF0D" w:rsidR="003E4EEF" w:rsidRPr="0062004E" w:rsidRDefault="00D4022F" w:rsidP="009B342F">
      <w:pPr>
        <w:spacing w:before="60" w:after="60"/>
        <w:rPr>
          <w:rFonts w:ascii="Titillium" w:hAnsi="Titillium" w:cs="Calibri"/>
          <w:sz w:val="18"/>
          <w:szCs w:val="18"/>
        </w:rPr>
      </w:pPr>
      <w:r w:rsidRPr="00A059A3">
        <w:rPr>
          <w:rFonts w:ascii="Titillium" w:hAnsi="Titillium" w:cs="Calibri"/>
          <w:b/>
          <w:i/>
          <w:sz w:val="18"/>
          <w:szCs w:val="18"/>
        </w:rPr>
        <w:t>[</w:t>
      </w:r>
      <w:r w:rsidR="00D77D9B">
        <w:rPr>
          <w:rFonts w:ascii="Titillium" w:hAnsi="Titillium" w:cs="Calibri"/>
          <w:b/>
          <w:i/>
          <w:sz w:val="18"/>
          <w:szCs w:val="18"/>
        </w:rPr>
        <w:t>Facoltativo, nel caso in cui</w:t>
      </w:r>
      <w:r w:rsidRPr="00A059A3">
        <w:rPr>
          <w:rFonts w:ascii="Titillium" w:hAnsi="Titillium" w:cs="Calibri"/>
          <w:b/>
          <w:i/>
          <w:sz w:val="18"/>
          <w:szCs w:val="18"/>
        </w:rPr>
        <w:t xml:space="preserve"> </w:t>
      </w:r>
      <w:r w:rsidR="00D77D9B">
        <w:rPr>
          <w:rFonts w:ascii="Titillium" w:hAnsi="Titillium" w:cs="Calibri"/>
          <w:b/>
          <w:i/>
          <w:sz w:val="18"/>
          <w:szCs w:val="18"/>
        </w:rPr>
        <w:t>l</w:t>
      </w:r>
      <w:r w:rsidR="00D77D9B" w:rsidRPr="00A059A3">
        <w:rPr>
          <w:rFonts w:ascii="Titillium" w:hAnsi="Titillium" w:cs="Calibri"/>
          <w:b/>
          <w:i/>
          <w:sz w:val="18"/>
          <w:szCs w:val="18"/>
        </w:rPr>
        <w:t>a stazione appaltante intend</w:t>
      </w:r>
      <w:r w:rsidR="00D77D9B">
        <w:rPr>
          <w:rFonts w:ascii="Titillium" w:hAnsi="Titillium" w:cs="Calibri"/>
          <w:b/>
          <w:i/>
          <w:sz w:val="18"/>
          <w:szCs w:val="18"/>
        </w:rPr>
        <w:t>a</w:t>
      </w:r>
      <w:r w:rsidR="00D77D9B" w:rsidRPr="00A059A3">
        <w:rPr>
          <w:rFonts w:ascii="Titillium" w:hAnsi="Titillium" w:cs="Calibri"/>
          <w:b/>
          <w:i/>
          <w:sz w:val="18"/>
          <w:szCs w:val="18"/>
        </w:rPr>
        <w:t xml:space="preserve"> riservare</w:t>
      </w:r>
      <w:r w:rsidR="00D77D9B">
        <w:rPr>
          <w:rFonts w:ascii="Titillium" w:hAnsi="Titillium" w:cs="Calibri"/>
          <w:b/>
          <w:i/>
          <w:sz w:val="18"/>
          <w:szCs w:val="18"/>
        </w:rPr>
        <w:t>, previa motivazione della decisione a contrarre,</w:t>
      </w:r>
      <w:r w:rsidR="00D77D9B" w:rsidRPr="00A059A3">
        <w:rPr>
          <w:rFonts w:ascii="Titillium" w:hAnsi="Titillium" w:cs="Calibri"/>
          <w:b/>
          <w:i/>
          <w:sz w:val="18"/>
          <w:szCs w:val="18"/>
        </w:rPr>
        <w:t xml:space="preserve"> una o più prestazioni all’affidatari</w:t>
      </w:r>
      <w:r w:rsidR="00D77D9B">
        <w:rPr>
          <w:rFonts w:ascii="Titillium" w:hAnsi="Titillium" w:cs="Calibri"/>
          <w:b/>
          <w:i/>
          <w:sz w:val="18"/>
          <w:szCs w:val="18"/>
        </w:rPr>
        <w:t xml:space="preserve">o </w:t>
      </w:r>
      <w:r w:rsidRPr="00A059A3">
        <w:rPr>
          <w:rFonts w:ascii="Titillium" w:hAnsi="Titillium" w:cs="Calibri"/>
          <w:b/>
          <w:i/>
          <w:sz w:val="18"/>
          <w:szCs w:val="18"/>
        </w:rPr>
        <w:t>in ragione delle caratteristiche delle prestazioni oggetto dell’appalto</w:t>
      </w:r>
      <w:r w:rsidR="00635A9C">
        <w:rPr>
          <w:rFonts w:ascii="Titillium" w:hAnsi="Titillium" w:cs="Calibri"/>
          <w:b/>
          <w:i/>
          <w:sz w:val="18"/>
          <w:szCs w:val="18"/>
        </w:rPr>
        <w:t>, dell’esigenza di garantire una più intensa tutela delle condizioni di lavoro e della salute e sicurezza sul lavoro ovvero di prevenire il rischio di infiltrazioni mafiose</w:t>
      </w:r>
      <w:r w:rsidR="00EE79C2">
        <w:rPr>
          <w:rFonts w:ascii="Titillium" w:hAnsi="Titillium" w:cs="Calibri"/>
          <w:b/>
          <w:i/>
          <w:sz w:val="18"/>
          <w:szCs w:val="18"/>
        </w:rPr>
        <w:t>]</w:t>
      </w:r>
      <w:r w:rsidRPr="00D4022F">
        <w:rPr>
          <w:rFonts w:ascii="Titillium" w:hAnsi="Titillium" w:cs="Calibri"/>
          <w:sz w:val="18"/>
          <w:szCs w:val="18"/>
        </w:rPr>
        <w:t xml:space="preserve"> L’affidatario deve eseguire direttamente le seguenti prestazioni:</w:t>
      </w:r>
      <w:r w:rsidR="00C06B88">
        <w:rPr>
          <w:rFonts w:ascii="Titillium" w:hAnsi="Titillium" w:cs="Calibri"/>
          <w:sz w:val="18"/>
          <w:szCs w:val="18"/>
        </w:rPr>
        <w:t xml:space="preserve"> </w:t>
      </w:r>
      <w:r w:rsidRPr="0062004E">
        <w:rPr>
          <w:rFonts w:ascii="Titillium" w:hAnsi="Titillium" w:cs="Calibri"/>
          <w:sz w:val="18"/>
          <w:szCs w:val="18"/>
        </w:rPr>
        <w:t xml:space="preserve">… </w:t>
      </w:r>
      <w:r w:rsidRPr="0062004E">
        <w:rPr>
          <w:rFonts w:ascii="Titillium" w:hAnsi="Titillium" w:cs="Calibri"/>
          <w:i/>
          <w:sz w:val="18"/>
          <w:szCs w:val="18"/>
        </w:rPr>
        <w:t>[indicare quali</w:t>
      </w:r>
      <w:r w:rsidR="00612D7A" w:rsidRPr="0062004E">
        <w:rPr>
          <w:rFonts w:ascii="Titillium" w:hAnsi="Titillium" w:cs="Calibri"/>
          <w:i/>
          <w:sz w:val="18"/>
          <w:szCs w:val="18"/>
        </w:rPr>
        <w:t>]</w:t>
      </w:r>
      <w:r w:rsidR="0062004E" w:rsidRPr="0062004E">
        <w:rPr>
          <w:rFonts w:ascii="Titillium" w:hAnsi="Titillium" w:cs="Calibri"/>
          <w:sz w:val="18"/>
          <w:szCs w:val="18"/>
        </w:rPr>
        <w:t>.</w:t>
      </w:r>
      <w:r w:rsidR="0062004E">
        <w:rPr>
          <w:rFonts w:ascii="Titillium" w:hAnsi="Titillium" w:cs="Calibri"/>
          <w:sz w:val="18"/>
          <w:szCs w:val="18"/>
        </w:rPr>
        <w:t xml:space="preserve"> </w:t>
      </w:r>
      <w:r w:rsidR="00612D7A">
        <w:rPr>
          <w:rFonts w:ascii="Titillium" w:hAnsi="Titillium" w:cs="Calibri"/>
          <w:sz w:val="18"/>
          <w:szCs w:val="18"/>
        </w:rPr>
        <w:t xml:space="preserve">Ciò in </w:t>
      </w:r>
      <w:r w:rsidR="009B342F">
        <w:rPr>
          <w:rFonts w:ascii="Titillium" w:hAnsi="Titillium" w:cs="Calibri"/>
          <w:sz w:val="18"/>
          <w:szCs w:val="18"/>
        </w:rPr>
        <w:t xml:space="preserve">ragione dell’esigenza di garantire </w:t>
      </w:r>
      <w:r w:rsidR="00612D7A">
        <w:rPr>
          <w:rFonts w:ascii="Titillium" w:hAnsi="Titillium" w:cs="Calibri"/>
          <w:sz w:val="18"/>
          <w:szCs w:val="18"/>
        </w:rPr>
        <w:t xml:space="preserve">… </w:t>
      </w:r>
      <w:r w:rsidR="009B342F">
        <w:rPr>
          <w:rFonts w:ascii="Titillium" w:hAnsi="Titillium" w:cs="Calibri"/>
          <w:sz w:val="18"/>
          <w:szCs w:val="18"/>
        </w:rPr>
        <w:t>[</w:t>
      </w:r>
      <w:r w:rsidR="009B342F">
        <w:rPr>
          <w:rFonts w:ascii="Titillium" w:hAnsi="Titillium" w:cs="Calibri"/>
          <w:i/>
          <w:sz w:val="18"/>
          <w:szCs w:val="18"/>
        </w:rPr>
        <w:t>indicare le motivazioni</w:t>
      </w:r>
      <w:r w:rsidR="009B342F">
        <w:rPr>
          <w:rFonts w:ascii="Titillium" w:hAnsi="Titillium" w:cs="Calibri"/>
          <w:sz w:val="18"/>
          <w:szCs w:val="18"/>
        </w:rPr>
        <w:t>]</w:t>
      </w:r>
      <w:r w:rsidR="00612D7A">
        <w:rPr>
          <w:rFonts w:ascii="Titillium" w:hAnsi="Titillium" w:cs="Calibri"/>
          <w:sz w:val="18"/>
          <w:szCs w:val="18"/>
        </w:rPr>
        <w:t>.</w:t>
      </w:r>
    </w:p>
    <w:p w14:paraId="31A0CA64" w14:textId="5E5A9866" w:rsidR="00612D7A" w:rsidRPr="0062004E" w:rsidRDefault="00861831" w:rsidP="00612D7A">
      <w:pPr>
        <w:spacing w:before="60" w:after="60"/>
        <w:rPr>
          <w:rFonts w:ascii="Titillium" w:hAnsi="Titillium" w:cs="Calibri"/>
          <w:sz w:val="18"/>
          <w:szCs w:val="18"/>
        </w:rPr>
      </w:pPr>
      <w:r w:rsidRPr="00A059A3">
        <w:rPr>
          <w:rFonts w:ascii="Titillium" w:hAnsi="Titillium" w:cs="Calibri"/>
          <w:b/>
          <w:i/>
          <w:sz w:val="18"/>
          <w:szCs w:val="18"/>
        </w:rPr>
        <w:t>[</w:t>
      </w:r>
      <w:r>
        <w:rPr>
          <w:rFonts w:ascii="Titillium" w:hAnsi="Titillium" w:cs="Calibri"/>
          <w:b/>
          <w:i/>
          <w:sz w:val="18"/>
          <w:szCs w:val="18"/>
        </w:rPr>
        <w:t>Facoltativo, nel caso in cui</w:t>
      </w:r>
      <w:r w:rsidRPr="00A059A3">
        <w:rPr>
          <w:rFonts w:ascii="Titillium" w:hAnsi="Titillium" w:cs="Calibri"/>
          <w:b/>
          <w:i/>
          <w:sz w:val="18"/>
          <w:szCs w:val="18"/>
        </w:rPr>
        <w:t xml:space="preserve"> </w:t>
      </w:r>
      <w:r>
        <w:rPr>
          <w:rFonts w:ascii="Titillium" w:hAnsi="Titillium" w:cs="Calibri"/>
          <w:b/>
          <w:i/>
          <w:sz w:val="18"/>
          <w:szCs w:val="18"/>
        </w:rPr>
        <w:t>l</w:t>
      </w:r>
      <w:r w:rsidRPr="00A059A3">
        <w:rPr>
          <w:rFonts w:ascii="Titillium" w:hAnsi="Titillium" w:cs="Calibri"/>
          <w:b/>
          <w:i/>
          <w:sz w:val="18"/>
          <w:szCs w:val="18"/>
        </w:rPr>
        <w:t>a stazione appaltante</w:t>
      </w:r>
      <w:r w:rsidR="00044072" w:rsidRPr="00044072">
        <w:t xml:space="preserve"> </w:t>
      </w:r>
      <w:r w:rsidR="00044072" w:rsidRPr="00044072">
        <w:rPr>
          <w:rFonts w:ascii="Titillium" w:hAnsi="Titillium" w:cs="Calibri"/>
          <w:b/>
          <w:i/>
          <w:sz w:val="18"/>
          <w:szCs w:val="18"/>
        </w:rPr>
        <w:t>intend</w:t>
      </w:r>
      <w:r w:rsidR="00044072">
        <w:rPr>
          <w:rFonts w:ascii="Titillium" w:hAnsi="Titillium" w:cs="Calibri"/>
          <w:b/>
          <w:i/>
          <w:sz w:val="18"/>
          <w:szCs w:val="18"/>
        </w:rPr>
        <w:t>a vietare il subappalto a cascata in determinate prestazioni, i</w:t>
      </w:r>
      <w:r w:rsidRPr="00A059A3">
        <w:rPr>
          <w:rFonts w:ascii="Titillium" w:hAnsi="Titillium" w:cs="Calibri"/>
          <w:b/>
          <w:i/>
          <w:sz w:val="18"/>
          <w:szCs w:val="18"/>
        </w:rPr>
        <w:t xml:space="preserve">n ragione delle </w:t>
      </w:r>
      <w:r w:rsidR="00044072">
        <w:rPr>
          <w:rFonts w:ascii="Titillium" w:hAnsi="Titillium" w:cs="Calibri"/>
          <w:b/>
          <w:i/>
          <w:sz w:val="18"/>
          <w:szCs w:val="18"/>
        </w:rPr>
        <w:t xml:space="preserve">specifiche </w:t>
      </w:r>
      <w:r w:rsidRPr="00A059A3">
        <w:rPr>
          <w:rFonts w:ascii="Titillium" w:hAnsi="Titillium" w:cs="Calibri"/>
          <w:b/>
          <w:i/>
          <w:sz w:val="18"/>
          <w:szCs w:val="18"/>
        </w:rPr>
        <w:t>caratteristiche dell’appalto</w:t>
      </w:r>
      <w:r>
        <w:rPr>
          <w:rFonts w:ascii="Titillium" w:hAnsi="Titillium" w:cs="Calibri"/>
          <w:b/>
          <w:i/>
          <w:sz w:val="18"/>
          <w:szCs w:val="18"/>
        </w:rPr>
        <w:t xml:space="preserve">, dell’esigenza di </w:t>
      </w:r>
      <w:r w:rsidR="00044072">
        <w:rPr>
          <w:rFonts w:ascii="Titillium" w:hAnsi="Titillium" w:cs="Calibri"/>
          <w:b/>
          <w:i/>
          <w:sz w:val="18"/>
          <w:szCs w:val="18"/>
        </w:rPr>
        <w:t xml:space="preserve">rafforzare i controllo dei luoghi di lavoro, di </w:t>
      </w:r>
      <w:r>
        <w:rPr>
          <w:rFonts w:ascii="Titillium" w:hAnsi="Titillium" w:cs="Calibri"/>
          <w:b/>
          <w:i/>
          <w:sz w:val="18"/>
          <w:szCs w:val="18"/>
        </w:rPr>
        <w:t>garantire una più intensa tutela delle condizioni di lavoro e della salute e sicurezza sul lavoro ovvero di prevenire il rischio di infiltrazioni mafiose]</w:t>
      </w:r>
      <w:r w:rsidR="00044072">
        <w:rPr>
          <w:rFonts w:ascii="Titillium" w:hAnsi="Titillium" w:cs="Calibri"/>
          <w:b/>
          <w:i/>
          <w:sz w:val="18"/>
          <w:szCs w:val="18"/>
        </w:rPr>
        <w:t xml:space="preserve">  </w:t>
      </w:r>
      <w:r w:rsidR="00FE59C3">
        <w:rPr>
          <w:rFonts w:ascii="Titillium" w:hAnsi="Titillium" w:cs="Calibri"/>
          <w:bCs/>
          <w:iCs/>
          <w:sz w:val="18"/>
          <w:szCs w:val="18"/>
        </w:rPr>
        <w:t>Le seguenti prestazioni possono essere subappaltate ma non possono, a loro volta, essere oggetto di ulteriore subappalto:</w:t>
      </w:r>
      <w:r w:rsidR="00044072" w:rsidRPr="00257984">
        <w:rPr>
          <w:rFonts w:ascii="Titillium" w:hAnsi="Titillium" w:cs="Calibri"/>
          <w:sz w:val="18"/>
          <w:szCs w:val="18"/>
        </w:rPr>
        <w:t xml:space="preserve"> </w:t>
      </w:r>
      <w:r w:rsidR="00044072">
        <w:rPr>
          <w:rFonts w:ascii="Titillium" w:hAnsi="Titillium" w:cs="Calibri"/>
          <w:sz w:val="18"/>
          <w:szCs w:val="18"/>
        </w:rPr>
        <w:t xml:space="preserve">… </w:t>
      </w:r>
      <w:r w:rsidR="00044072" w:rsidRPr="0036223F">
        <w:rPr>
          <w:rFonts w:ascii="Titillium" w:hAnsi="Titillium" w:cs="Calibri"/>
          <w:i/>
          <w:iCs/>
          <w:sz w:val="18"/>
          <w:szCs w:val="18"/>
        </w:rPr>
        <w:t>[indicare le prestazioni]</w:t>
      </w:r>
      <w:r w:rsidR="0062004E" w:rsidRPr="0036223F">
        <w:rPr>
          <w:rFonts w:ascii="Titillium" w:hAnsi="Titillium" w:cs="Calibri"/>
          <w:i/>
          <w:iCs/>
          <w:sz w:val="18"/>
          <w:szCs w:val="18"/>
        </w:rPr>
        <w:t>.</w:t>
      </w:r>
      <w:r w:rsidR="0062004E">
        <w:rPr>
          <w:rFonts w:ascii="Titillium" w:hAnsi="Titillium" w:cs="Calibri"/>
          <w:sz w:val="18"/>
          <w:szCs w:val="18"/>
        </w:rPr>
        <w:t xml:space="preserve"> </w:t>
      </w:r>
      <w:r w:rsidR="00612D7A">
        <w:rPr>
          <w:rFonts w:ascii="Titillium" w:hAnsi="Titillium" w:cs="Calibri"/>
          <w:sz w:val="18"/>
          <w:szCs w:val="18"/>
        </w:rPr>
        <w:t xml:space="preserve">Ciò in ragione dell’esigenza di garantire … </w:t>
      </w:r>
      <w:r w:rsidR="00612D7A" w:rsidRPr="0036223F">
        <w:rPr>
          <w:rFonts w:ascii="Titillium" w:hAnsi="Titillium" w:cs="Calibri"/>
          <w:i/>
          <w:iCs/>
          <w:sz w:val="18"/>
          <w:szCs w:val="18"/>
        </w:rPr>
        <w:t>[indicare le motivazioni].</w:t>
      </w:r>
    </w:p>
    <w:p w14:paraId="1751FC9C" w14:textId="0081328D" w:rsidR="00887F13" w:rsidRDefault="00887F13" w:rsidP="00044072">
      <w:pPr>
        <w:rPr>
          <w:rFonts w:ascii="Titillium" w:hAnsi="Titillium" w:cs="Calibri"/>
          <w:sz w:val="18"/>
          <w:szCs w:val="18"/>
        </w:rPr>
      </w:pPr>
    </w:p>
    <w:p w14:paraId="79E30089" w14:textId="77777777" w:rsidR="00887F13" w:rsidRDefault="00887F13" w:rsidP="00887F13">
      <w:pPr>
        <w:pBdr>
          <w:top w:val="single" w:sz="4" w:space="1" w:color="000000"/>
          <w:left w:val="single" w:sz="4" w:space="0" w:color="000000"/>
          <w:bottom w:val="single" w:sz="4" w:space="1" w:color="000000"/>
          <w:right w:val="single" w:sz="4" w:space="4" w:color="000000"/>
        </w:pBdr>
        <w:spacing w:before="60" w:after="60"/>
        <w:rPr>
          <w:rFonts w:ascii="Titillium" w:eastAsia="Calibri" w:hAnsi="Titillium" w:cs="Calibri"/>
          <w:i/>
          <w:sz w:val="18"/>
          <w:szCs w:val="18"/>
          <w:lang w:eastAsia="it-IT"/>
        </w:rPr>
      </w:pPr>
      <w:r>
        <w:rPr>
          <w:rFonts w:ascii="Titillium" w:eastAsia="Calibri" w:hAnsi="Titillium" w:cs="Calibri"/>
          <w:i/>
          <w:sz w:val="18"/>
          <w:szCs w:val="18"/>
          <w:lang w:eastAsia="it-IT"/>
        </w:rPr>
        <w:t xml:space="preserve">N.B. La stazione appaltante prescinde dal valutare eventuali ragioni volte a prevenire il rischio di infiltrazione mafiosa nel caso in cui le imprese subappaltatrici o i subappaltatori ulteriori siano iscritti nelle </w:t>
      </w:r>
      <w:proofErr w:type="spellStart"/>
      <w:r>
        <w:rPr>
          <w:rFonts w:ascii="Titillium" w:eastAsia="Calibri" w:hAnsi="Titillium" w:cs="Calibri"/>
          <w:i/>
          <w:sz w:val="18"/>
          <w:szCs w:val="18"/>
          <w:lang w:eastAsia="it-IT"/>
        </w:rPr>
        <w:t>white</w:t>
      </w:r>
      <w:proofErr w:type="spellEnd"/>
      <w:r>
        <w:rPr>
          <w:rFonts w:ascii="Titillium" w:eastAsia="Calibri" w:hAnsi="Titillium" w:cs="Calibri"/>
          <w:i/>
          <w:sz w:val="18"/>
          <w:szCs w:val="18"/>
          <w:lang w:eastAsia="it-IT"/>
        </w:rPr>
        <w:t xml:space="preserve"> list o nell’anagrafe antimafia.</w:t>
      </w:r>
    </w:p>
    <w:p w14:paraId="62D36FB9" w14:textId="2B21A310" w:rsidR="004C53A8" w:rsidRDefault="00870286">
      <w:pPr>
        <w:rPr>
          <w:rFonts w:ascii="Titillium" w:hAnsi="Titillium" w:cs="Calibri"/>
          <w:sz w:val="18"/>
          <w:szCs w:val="18"/>
        </w:rPr>
      </w:pPr>
      <w:r>
        <w:rPr>
          <w:rFonts w:ascii="Titillium" w:hAnsi="Titillium" w:cs="Calibri"/>
          <w:sz w:val="18"/>
          <w:szCs w:val="18"/>
        </w:rPr>
        <w:t>L’aggiudicatario e il subappaltatore sono responsabili in solido nei confronti della stazione appaltante dell’esecuzione delle prestazioni oggetto del contratto di subappalto</w:t>
      </w:r>
      <w:r w:rsidR="003069C1">
        <w:rPr>
          <w:rFonts w:ascii="Titillium" w:hAnsi="Titillium" w:cs="Calibri"/>
          <w:sz w:val="18"/>
          <w:szCs w:val="18"/>
        </w:rPr>
        <w:t>.</w:t>
      </w:r>
    </w:p>
    <w:p w14:paraId="642F26DD" w14:textId="656111FA" w:rsidR="00D90974" w:rsidRPr="00D90974" w:rsidRDefault="00D90974" w:rsidP="00FC2704">
      <w:pPr>
        <w:pStyle w:val="Titolo2"/>
        <w:numPr>
          <w:ilvl w:val="0"/>
          <w:numId w:val="4"/>
        </w:numPr>
        <w:ind w:left="357" w:hanging="357"/>
        <w:rPr>
          <w:rFonts w:ascii="Titillium" w:hAnsi="Titillium" w:cs="Calibri"/>
          <w:sz w:val="18"/>
          <w:szCs w:val="18"/>
          <w:lang w:val="it-IT"/>
        </w:rPr>
      </w:pPr>
      <w:bookmarkStart w:id="1734" w:name="_Ref132050689"/>
      <w:bookmarkStart w:id="1735" w:name="_Toc139549431"/>
      <w:bookmarkStart w:id="1736" w:name="_Ref531264739"/>
      <w:bookmarkStart w:id="1737" w:name="_Ref531346857"/>
      <w:bookmarkStart w:id="1738" w:name="_Ref531346843"/>
      <w:r>
        <w:rPr>
          <w:rFonts w:ascii="Titillium" w:hAnsi="Titillium"/>
          <w:sz w:val="18"/>
          <w:szCs w:val="18"/>
          <w:lang w:val="it-IT"/>
        </w:rPr>
        <w:t>REQUISITI DI PARTECIPAZIONE E/O CONDIZIONI DI ESECUZIONE</w:t>
      </w:r>
      <w:bookmarkEnd w:id="1734"/>
      <w:bookmarkEnd w:id="1735"/>
      <w:r w:rsidR="009F414F">
        <w:rPr>
          <w:rFonts w:ascii="Titillium" w:hAnsi="Titillium"/>
          <w:sz w:val="18"/>
          <w:szCs w:val="18"/>
          <w:lang w:val="it-IT"/>
        </w:rPr>
        <w:t xml:space="preserve"> </w:t>
      </w:r>
    </w:p>
    <w:p w14:paraId="17F9D483" w14:textId="6AB9D847" w:rsidR="00C74D0A" w:rsidRDefault="003B49E3" w:rsidP="00CE0ADB">
      <w:pPr>
        <w:spacing w:before="60" w:after="60"/>
        <w:rPr>
          <w:rFonts w:ascii="Titillium" w:hAnsi="Titillium"/>
          <w:b/>
          <w:i/>
          <w:sz w:val="18"/>
          <w:szCs w:val="18"/>
        </w:rPr>
      </w:pPr>
      <w:bookmarkStart w:id="1739" w:name="_Toc483571518"/>
      <w:bookmarkStart w:id="1740" w:name="_Toc483474087"/>
      <w:bookmarkStart w:id="1741" w:name="_Toc483401291"/>
      <w:bookmarkStart w:id="1742" w:name="_Toc483325813"/>
      <w:bookmarkStart w:id="1743" w:name="_Toc483316520"/>
      <w:bookmarkStart w:id="1744" w:name="_Toc483316389"/>
      <w:bookmarkStart w:id="1745" w:name="_Toc483316257"/>
      <w:bookmarkStart w:id="1746" w:name="_Toc483316052"/>
      <w:bookmarkStart w:id="1747" w:name="_Toc483302431"/>
      <w:bookmarkStart w:id="1748" w:name="_Toc483233704"/>
      <w:bookmarkStart w:id="1749" w:name="_Toc482979744"/>
      <w:bookmarkStart w:id="1750" w:name="_Toc482979646"/>
      <w:bookmarkStart w:id="1751" w:name="_Toc482979548"/>
      <w:bookmarkStart w:id="1752" w:name="_Toc482979440"/>
      <w:bookmarkStart w:id="1753" w:name="_Toc482979331"/>
      <w:bookmarkStart w:id="1754" w:name="_Toc482979222"/>
      <w:bookmarkStart w:id="1755" w:name="_Toc482979111"/>
      <w:bookmarkStart w:id="1756" w:name="_Toc482979003"/>
      <w:bookmarkStart w:id="1757" w:name="_Toc482978894"/>
      <w:bookmarkStart w:id="1758" w:name="_Toc482959775"/>
      <w:bookmarkStart w:id="1759" w:name="_Toc482959665"/>
      <w:bookmarkStart w:id="1760" w:name="_Toc482959555"/>
      <w:bookmarkStart w:id="1761" w:name="_Toc482712767"/>
      <w:bookmarkStart w:id="1762" w:name="_Toc482641321"/>
      <w:bookmarkStart w:id="1763" w:name="_Toc483907018"/>
      <w:bookmarkStart w:id="1764" w:name="_Toc483571640"/>
      <w:bookmarkStart w:id="1765" w:name="_Hlk138154822"/>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Pr>
          <w:rFonts w:ascii="Titillium" w:hAnsi="Titillium"/>
          <w:b/>
          <w:i/>
          <w:sz w:val="18"/>
          <w:szCs w:val="18"/>
        </w:rPr>
        <w:t>[T</w:t>
      </w:r>
      <w:r w:rsidR="00C74D0A">
        <w:rPr>
          <w:rFonts w:ascii="Titillium" w:hAnsi="Titillium"/>
          <w:b/>
          <w:i/>
          <w:sz w:val="18"/>
          <w:szCs w:val="18"/>
        </w:rPr>
        <w:t xml:space="preserve">enuto conto </w:t>
      </w:r>
      <w:r w:rsidR="00C74D0A" w:rsidRPr="00315AE7">
        <w:rPr>
          <w:rFonts w:ascii="Titillium" w:hAnsi="Titillium"/>
          <w:b/>
          <w:i/>
          <w:sz w:val="18"/>
          <w:szCs w:val="18"/>
        </w:rPr>
        <w:t>della tipologia di intervento</w:t>
      </w:r>
      <w:r w:rsidR="00C74D0A">
        <w:rPr>
          <w:rFonts w:ascii="Titillium" w:hAnsi="Titillium"/>
          <w:b/>
          <w:i/>
          <w:sz w:val="18"/>
          <w:szCs w:val="18"/>
        </w:rPr>
        <w:t>, inserire le seguenti clausole sociali</w:t>
      </w:r>
      <w:r>
        <w:rPr>
          <w:rFonts w:ascii="Titillium" w:hAnsi="Titillium"/>
          <w:b/>
          <w:i/>
          <w:sz w:val="18"/>
          <w:szCs w:val="18"/>
        </w:rPr>
        <w:t xml:space="preserve">. Non applicabile ai </w:t>
      </w:r>
      <w:r w:rsidRPr="00B309E3">
        <w:rPr>
          <w:rFonts w:ascii="Titillium" w:hAnsi="Titillium"/>
          <w:b/>
          <w:i/>
          <w:sz w:val="18"/>
          <w:szCs w:val="18"/>
        </w:rPr>
        <w:t>servizi di natura intellettuale e</w:t>
      </w:r>
      <w:r>
        <w:rPr>
          <w:rFonts w:ascii="Titillium" w:hAnsi="Titillium"/>
          <w:b/>
          <w:i/>
          <w:sz w:val="18"/>
          <w:szCs w:val="18"/>
        </w:rPr>
        <w:t>d alle</w:t>
      </w:r>
      <w:r w:rsidRPr="00B309E3">
        <w:rPr>
          <w:rFonts w:ascii="Titillium" w:hAnsi="Titillium"/>
          <w:b/>
          <w:i/>
          <w:sz w:val="18"/>
          <w:szCs w:val="18"/>
        </w:rPr>
        <w:t xml:space="preserve"> fornitur</w:t>
      </w:r>
      <w:r>
        <w:rPr>
          <w:rFonts w:ascii="Titillium" w:hAnsi="Titillium"/>
          <w:b/>
          <w:i/>
          <w:sz w:val="18"/>
          <w:szCs w:val="18"/>
        </w:rPr>
        <w:t>e</w:t>
      </w:r>
      <w:r w:rsidRPr="00B309E3">
        <w:rPr>
          <w:rFonts w:ascii="Titillium" w:hAnsi="Titillium"/>
          <w:b/>
          <w:i/>
          <w:sz w:val="18"/>
          <w:szCs w:val="18"/>
        </w:rPr>
        <w:t xml:space="preserve"> senza posa in opera</w:t>
      </w:r>
      <w:r w:rsidR="00C74D0A">
        <w:rPr>
          <w:rFonts w:ascii="Titillium" w:hAnsi="Titillium"/>
          <w:b/>
          <w:i/>
          <w:sz w:val="18"/>
          <w:szCs w:val="18"/>
        </w:rPr>
        <w:t xml:space="preserve">] </w:t>
      </w:r>
    </w:p>
    <w:bookmarkEnd w:id="1765"/>
    <w:p w14:paraId="5420E68B" w14:textId="78D1A5F4" w:rsidR="00CE0ADB" w:rsidRDefault="00960B3A" w:rsidP="00CE0ADB">
      <w:pPr>
        <w:spacing w:before="60" w:after="60"/>
        <w:rPr>
          <w:rFonts w:ascii="Titillium" w:hAnsi="Titillium" w:cs="Calibri"/>
          <w:b/>
          <w:sz w:val="18"/>
          <w:szCs w:val="18"/>
        </w:rPr>
      </w:pPr>
      <w:r>
        <w:rPr>
          <w:rFonts w:ascii="Titillium" w:hAnsi="Titillium"/>
          <w:sz w:val="18"/>
          <w:szCs w:val="18"/>
        </w:rPr>
        <w:t>L</w:t>
      </w:r>
      <w:r w:rsidR="007C7742" w:rsidRPr="00CE0ADB">
        <w:rPr>
          <w:rFonts w:ascii="Titillium" w:hAnsi="Titillium" w:cs="Calibri"/>
          <w:sz w:val="18"/>
          <w:szCs w:val="18"/>
        </w:rPr>
        <w:t xml:space="preserve">’aggiudicatario è tenuto </w:t>
      </w:r>
      <w:r w:rsidR="00FC5FFC">
        <w:rPr>
          <w:rFonts w:ascii="Titillium" w:hAnsi="Titillium" w:cs="Calibri"/>
          <w:sz w:val="18"/>
          <w:szCs w:val="18"/>
        </w:rPr>
        <w:t xml:space="preserve">a garantire </w:t>
      </w:r>
      <w:r>
        <w:rPr>
          <w:rFonts w:ascii="Titillium" w:hAnsi="Titillium" w:cs="Calibri"/>
          <w:sz w:val="18"/>
          <w:szCs w:val="18"/>
        </w:rPr>
        <w:t>l’applicazione del contratto collettivo nazionale e territoriale (o dei contratti collettivi nazionali</w:t>
      </w:r>
      <w:r w:rsidR="00CE0ADB" w:rsidRPr="00CE0ADB">
        <w:rPr>
          <w:rFonts w:ascii="Titillium" w:hAnsi="Titillium" w:cs="Calibri"/>
          <w:sz w:val="18"/>
          <w:szCs w:val="18"/>
        </w:rPr>
        <w:t xml:space="preserve"> e territoriali di settore</w:t>
      </w:r>
      <w:r>
        <w:rPr>
          <w:rFonts w:ascii="Titillium" w:hAnsi="Titillium" w:cs="Calibri"/>
          <w:sz w:val="18"/>
          <w:szCs w:val="18"/>
        </w:rPr>
        <w:t xml:space="preserve">) di cui al punto </w:t>
      </w:r>
      <w:r w:rsidR="00AA77D1">
        <w:rPr>
          <w:rFonts w:ascii="Titillium" w:hAnsi="Titillium" w:cs="Calibri"/>
          <w:sz w:val="18"/>
          <w:szCs w:val="18"/>
        </w:rPr>
        <w:fldChar w:fldCharType="begin"/>
      </w:r>
      <w:r w:rsidR="00AA77D1">
        <w:rPr>
          <w:rFonts w:ascii="Titillium" w:hAnsi="Titillium" w:cs="Calibri"/>
          <w:sz w:val="18"/>
          <w:szCs w:val="18"/>
        </w:rPr>
        <w:instrText xml:space="preserve"> REF _Ref132303600 \r \h </w:instrText>
      </w:r>
      <w:r w:rsidR="00AA77D1">
        <w:rPr>
          <w:rFonts w:ascii="Titillium" w:hAnsi="Titillium" w:cs="Calibri"/>
          <w:sz w:val="18"/>
          <w:szCs w:val="18"/>
        </w:rPr>
      </w:r>
      <w:r w:rsidR="00AA77D1">
        <w:rPr>
          <w:rFonts w:ascii="Titillium" w:hAnsi="Titillium" w:cs="Calibri"/>
          <w:sz w:val="18"/>
          <w:szCs w:val="18"/>
        </w:rPr>
        <w:fldChar w:fldCharType="separate"/>
      </w:r>
      <w:r w:rsidR="00AA77D1">
        <w:rPr>
          <w:rFonts w:ascii="Titillium" w:hAnsi="Titillium" w:cs="Calibri"/>
          <w:sz w:val="18"/>
          <w:szCs w:val="18"/>
        </w:rPr>
        <w:t>3</w:t>
      </w:r>
      <w:r w:rsidR="00AA77D1">
        <w:rPr>
          <w:rFonts w:ascii="Titillium" w:hAnsi="Titillium" w:cs="Calibri"/>
          <w:sz w:val="18"/>
          <w:szCs w:val="18"/>
        </w:rPr>
        <w:fldChar w:fldCharType="end"/>
      </w:r>
      <w:r w:rsidR="00CE0ADB" w:rsidRPr="00CE0ADB">
        <w:rPr>
          <w:rFonts w:ascii="Titillium" w:hAnsi="Titillium" w:cs="Calibri"/>
          <w:sz w:val="18"/>
          <w:szCs w:val="18"/>
        </w:rPr>
        <w:t xml:space="preserve">, </w:t>
      </w:r>
      <w:r w:rsidR="00D93AD9">
        <w:rPr>
          <w:rFonts w:ascii="Titillium" w:hAnsi="Titillium" w:cs="Calibri"/>
          <w:sz w:val="18"/>
          <w:szCs w:val="18"/>
        </w:rPr>
        <w:t xml:space="preserve">oppure </w:t>
      </w:r>
      <w:r w:rsidR="0036223F">
        <w:rPr>
          <w:rFonts w:ascii="Titillium" w:hAnsi="Titillium" w:cs="Calibri"/>
          <w:sz w:val="18"/>
          <w:szCs w:val="18"/>
        </w:rPr>
        <w:t xml:space="preserve">di </w:t>
      </w:r>
      <w:r w:rsidR="00D93AD9">
        <w:rPr>
          <w:rFonts w:ascii="Titillium" w:hAnsi="Titillium" w:cs="Calibri"/>
          <w:sz w:val="18"/>
          <w:szCs w:val="18"/>
        </w:rPr>
        <w:t xml:space="preserve">un altro contratto che </w:t>
      </w:r>
      <w:r w:rsidR="00CE0ADB" w:rsidRPr="00CE0ADB">
        <w:rPr>
          <w:rFonts w:ascii="Titillium" w:hAnsi="Titillium" w:cs="Calibri"/>
          <w:sz w:val="18"/>
          <w:szCs w:val="18"/>
        </w:rPr>
        <w:t>garanti</w:t>
      </w:r>
      <w:r w:rsidR="00D93AD9">
        <w:rPr>
          <w:rFonts w:ascii="Titillium" w:hAnsi="Titillium" w:cs="Calibri"/>
          <w:sz w:val="18"/>
          <w:szCs w:val="18"/>
        </w:rPr>
        <w:t>sca</w:t>
      </w:r>
      <w:r w:rsidR="00CE0ADB" w:rsidRPr="00CE0ADB">
        <w:rPr>
          <w:rFonts w:ascii="Titillium" w:hAnsi="Titillium" w:cs="Calibri"/>
          <w:sz w:val="18"/>
          <w:szCs w:val="18"/>
        </w:rPr>
        <w:t xml:space="preserve"> le stesse tutele economiche e normative per i </w:t>
      </w:r>
      <w:r w:rsidR="00D93AD9">
        <w:rPr>
          <w:rFonts w:ascii="Titillium" w:hAnsi="Titillium" w:cs="Calibri"/>
          <w:sz w:val="18"/>
          <w:szCs w:val="18"/>
        </w:rPr>
        <w:t xml:space="preserve">propri lavoratori e per quelli in </w:t>
      </w:r>
      <w:r w:rsidR="00CE0ADB" w:rsidRPr="00CE0ADB">
        <w:rPr>
          <w:rFonts w:ascii="Titillium" w:hAnsi="Titillium" w:cs="Calibri"/>
          <w:sz w:val="18"/>
          <w:szCs w:val="18"/>
        </w:rPr>
        <w:t>subappalto</w:t>
      </w:r>
      <w:r w:rsidR="0062004E">
        <w:rPr>
          <w:rFonts w:ascii="Titillium" w:hAnsi="Titillium" w:cs="Calibri"/>
          <w:b/>
          <w:sz w:val="18"/>
          <w:szCs w:val="18"/>
        </w:rPr>
        <w:t>.</w:t>
      </w:r>
    </w:p>
    <w:p w14:paraId="7DD8EA66" w14:textId="77777777" w:rsidR="005A0540" w:rsidRDefault="005A0540" w:rsidP="005A0540">
      <w:pPr>
        <w:rPr>
          <w:rFonts w:ascii="Titillium" w:hAnsi="Titillium"/>
          <w:b/>
          <w:i/>
          <w:sz w:val="18"/>
          <w:szCs w:val="18"/>
        </w:rPr>
      </w:pPr>
    </w:p>
    <w:p w14:paraId="69184785" w14:textId="57226CEB" w:rsidR="00A407A7" w:rsidRDefault="00D93AD9" w:rsidP="000A09BF">
      <w:r>
        <w:rPr>
          <w:rFonts w:ascii="Titillium" w:hAnsi="Titillium"/>
          <w:sz w:val="18"/>
          <w:szCs w:val="18"/>
        </w:rPr>
        <w:t>F</w:t>
      </w:r>
      <w:r w:rsidR="00521A1B">
        <w:rPr>
          <w:rFonts w:ascii="Titillium" w:hAnsi="Titillium"/>
          <w:sz w:val="18"/>
          <w:szCs w:val="18"/>
        </w:rPr>
        <w:t xml:space="preserve">erma restando la necessaria armonizzazione con </w:t>
      </w:r>
      <w:r w:rsidR="0036223F">
        <w:rPr>
          <w:rFonts w:ascii="Titillium" w:hAnsi="Titillium"/>
          <w:sz w:val="18"/>
          <w:szCs w:val="18"/>
        </w:rPr>
        <w:t>la propria organizzazione</w:t>
      </w:r>
      <w:r w:rsidR="00521A1B">
        <w:rPr>
          <w:rFonts w:ascii="Titillium" w:hAnsi="Titillium"/>
          <w:sz w:val="18"/>
          <w:szCs w:val="18"/>
        </w:rPr>
        <w:t xml:space="preserve"> e con le esigenze tecnico-organizzative e di manodopera previste nel nuovo contratto, l’aggiudicatario del contratto di appalto è tenuto </w:t>
      </w:r>
      <w:r>
        <w:rPr>
          <w:rFonts w:ascii="Titillium" w:hAnsi="Titillium"/>
          <w:sz w:val="18"/>
          <w:szCs w:val="18"/>
        </w:rPr>
        <w:t xml:space="preserve">a </w:t>
      </w:r>
      <w:r w:rsidR="00521A1B">
        <w:rPr>
          <w:rFonts w:ascii="Titillium" w:hAnsi="Titillium"/>
          <w:sz w:val="18"/>
          <w:szCs w:val="18"/>
        </w:rPr>
        <w:t xml:space="preserve">garantire la stabilità </w:t>
      </w:r>
      <w:r w:rsidR="00521A1B">
        <w:rPr>
          <w:rFonts w:ascii="Titillium" w:hAnsi="Titillium"/>
          <w:sz w:val="18"/>
          <w:szCs w:val="18"/>
        </w:rPr>
        <w:lastRenderedPageBreak/>
        <w:t xml:space="preserve">occupazionale del personale impiegato nel contratto, </w:t>
      </w:r>
      <w:r w:rsidR="00521A1B" w:rsidRPr="00023D01">
        <w:rPr>
          <w:rFonts w:ascii="Titillium" w:hAnsi="Titillium"/>
          <w:sz w:val="18"/>
          <w:szCs w:val="18"/>
        </w:rPr>
        <w:t xml:space="preserve">assorbendo </w:t>
      </w:r>
      <w:r w:rsidR="00521A1B" w:rsidRPr="00871272">
        <w:rPr>
          <w:rFonts w:ascii="Titillium" w:hAnsi="Titillium"/>
          <w:sz w:val="18"/>
          <w:szCs w:val="18"/>
        </w:rPr>
        <w:t>prioritariamente</w:t>
      </w:r>
      <w:r w:rsidR="00521A1B" w:rsidRPr="00023D01">
        <w:rPr>
          <w:rFonts w:ascii="Titillium" w:hAnsi="Titillium"/>
          <w:sz w:val="18"/>
          <w:szCs w:val="18"/>
        </w:rPr>
        <w:t xml:space="preserve"> nel</w:t>
      </w:r>
      <w:r w:rsidR="00521A1B">
        <w:rPr>
          <w:rFonts w:ascii="Titillium" w:hAnsi="Titillium"/>
          <w:sz w:val="18"/>
          <w:szCs w:val="18"/>
        </w:rPr>
        <w:t xml:space="preserve"> proprio organico il personale già operante alle dipendenze dell’aggiudicatario uscente, </w:t>
      </w:r>
      <w:r w:rsidR="00C063FA">
        <w:rPr>
          <w:rFonts w:ascii="Titillium" w:hAnsi="Titillium"/>
          <w:sz w:val="18"/>
          <w:szCs w:val="18"/>
        </w:rPr>
        <w:t xml:space="preserve">garantendo le </w:t>
      </w:r>
      <w:r w:rsidR="00915FCC">
        <w:rPr>
          <w:rFonts w:ascii="Titillium" w:hAnsi="Titillium"/>
          <w:sz w:val="18"/>
          <w:szCs w:val="18"/>
        </w:rPr>
        <w:t>stesse</w:t>
      </w:r>
      <w:r w:rsidR="00C063FA">
        <w:rPr>
          <w:rFonts w:ascii="Titillium" w:hAnsi="Titillium"/>
          <w:sz w:val="18"/>
          <w:szCs w:val="18"/>
        </w:rPr>
        <w:t xml:space="preserve"> tutele del CCNL indicato al punto 3</w:t>
      </w:r>
      <w:r w:rsidR="000A09BF">
        <w:rPr>
          <w:rFonts w:ascii="Titillium" w:hAnsi="Titillium"/>
          <w:sz w:val="18"/>
          <w:szCs w:val="18"/>
        </w:rPr>
        <w:t xml:space="preserve"> </w:t>
      </w:r>
      <w:r w:rsidR="00A407A7">
        <w:rPr>
          <w:rFonts w:ascii="Titillium" w:hAnsi="Titillium"/>
          <w:b/>
          <w:i/>
          <w:sz w:val="18"/>
          <w:szCs w:val="18"/>
        </w:rPr>
        <w:t>[In alternativa, nel caso in cui siano cambiate le condizioni di esecuzione dell’appalto]</w:t>
      </w:r>
      <w:r w:rsidR="00A407A7">
        <w:rPr>
          <w:rFonts w:ascii="Titillium" w:hAnsi="Titillium"/>
          <w:sz w:val="18"/>
          <w:szCs w:val="18"/>
        </w:rPr>
        <w:t xml:space="preserve"> Considerato che sono cambiate le condizioni di esecuzione dell’appalto rispetto all’appalto stipulato con l’operatore uscente, il personale da riassorbire è definito in esito ad una verifica congiunta con appaltatore e sindacati.</w:t>
      </w:r>
    </w:p>
    <w:p w14:paraId="4E230824" w14:textId="77777777" w:rsidR="000A09BF" w:rsidRDefault="000A09BF" w:rsidP="000A09BF">
      <w:pPr>
        <w:rPr>
          <w:rFonts w:ascii="Titillium" w:hAnsi="Titillium"/>
          <w:sz w:val="18"/>
          <w:szCs w:val="18"/>
        </w:rPr>
      </w:pPr>
    </w:p>
    <w:p w14:paraId="0E3024F2" w14:textId="680620BE" w:rsidR="000A09BF" w:rsidRDefault="000A09BF" w:rsidP="000A09BF">
      <w:pPr>
        <w:rPr>
          <w:rFonts w:ascii="Titillium" w:hAnsi="Titillium"/>
          <w:sz w:val="18"/>
          <w:szCs w:val="18"/>
        </w:rPr>
      </w:pPr>
      <w:r>
        <w:rPr>
          <w:rFonts w:ascii="Titillium" w:hAnsi="Titillium"/>
          <w:sz w:val="18"/>
          <w:szCs w:val="18"/>
        </w:rPr>
        <w:t xml:space="preserve">L’elenco e i dati relativi al personale attualmente impiegato dal contraente uscente per l’esecuzione del contratto sono riportati nel ... … </w:t>
      </w:r>
      <w:r w:rsidRPr="000A09BF">
        <w:rPr>
          <w:rFonts w:ascii="Titillium" w:hAnsi="Titillium"/>
          <w:i/>
          <w:iCs/>
          <w:sz w:val="18"/>
          <w:szCs w:val="18"/>
        </w:rPr>
        <w:t xml:space="preserve">[indicare il paragrafo del capitolato o lo specifico documento indicato al punto </w:t>
      </w:r>
      <w:r w:rsidRPr="000A09BF">
        <w:rPr>
          <w:rFonts w:ascii="Titillium" w:hAnsi="Titillium"/>
          <w:i/>
          <w:iCs/>
          <w:sz w:val="18"/>
          <w:szCs w:val="18"/>
        </w:rPr>
        <w:fldChar w:fldCharType="begin"/>
      </w:r>
      <w:r w:rsidRPr="000A09BF">
        <w:rPr>
          <w:rFonts w:ascii="Titillium" w:hAnsi="Titillium"/>
          <w:i/>
          <w:iCs/>
          <w:sz w:val="18"/>
          <w:szCs w:val="18"/>
        </w:rPr>
        <w:instrText xml:space="preserve"> REF _Ref138082059 \r \h </w:instrText>
      </w:r>
      <w:r>
        <w:rPr>
          <w:rFonts w:ascii="Titillium" w:hAnsi="Titillium"/>
          <w:i/>
          <w:iCs/>
          <w:sz w:val="18"/>
          <w:szCs w:val="18"/>
        </w:rPr>
        <w:instrText xml:space="preserve"> \* MERGEFORMAT </w:instrText>
      </w:r>
      <w:r w:rsidRPr="000A09BF">
        <w:rPr>
          <w:rFonts w:ascii="Titillium" w:hAnsi="Titillium"/>
          <w:i/>
          <w:iCs/>
          <w:sz w:val="18"/>
          <w:szCs w:val="18"/>
        </w:rPr>
      </w:r>
      <w:r w:rsidRPr="000A09BF">
        <w:rPr>
          <w:rFonts w:ascii="Titillium" w:hAnsi="Titillium"/>
          <w:i/>
          <w:iCs/>
          <w:sz w:val="18"/>
          <w:szCs w:val="18"/>
        </w:rPr>
        <w:fldChar w:fldCharType="separate"/>
      </w:r>
      <w:r w:rsidRPr="000A09BF">
        <w:rPr>
          <w:rFonts w:ascii="Titillium" w:hAnsi="Titillium"/>
          <w:i/>
          <w:iCs/>
          <w:sz w:val="18"/>
          <w:szCs w:val="18"/>
        </w:rPr>
        <w:t>2.1</w:t>
      </w:r>
      <w:r w:rsidRPr="000A09BF">
        <w:rPr>
          <w:rFonts w:ascii="Titillium" w:hAnsi="Titillium"/>
          <w:i/>
          <w:iCs/>
          <w:sz w:val="18"/>
          <w:szCs w:val="18"/>
        </w:rPr>
        <w:fldChar w:fldCharType="end"/>
      </w:r>
      <w:r w:rsidRPr="000A09BF">
        <w:rPr>
          <w:rFonts w:ascii="Titillium" w:hAnsi="Titillium"/>
          <w:i/>
          <w:iCs/>
          <w:sz w:val="18"/>
          <w:szCs w:val="18"/>
        </w:rPr>
        <w:t>]</w:t>
      </w:r>
      <w:r>
        <w:rPr>
          <w:rFonts w:ascii="Titillium" w:hAnsi="Titillium"/>
          <w:sz w:val="18"/>
          <w:szCs w:val="18"/>
        </w:rPr>
        <w:t xml:space="preserve"> </w:t>
      </w:r>
      <w:r w:rsidRPr="00A407A7">
        <w:rPr>
          <w:rFonts w:ascii="Titillium" w:hAnsi="Titillium"/>
          <w:sz w:val="18"/>
          <w:szCs w:val="18"/>
        </w:rPr>
        <w:t>e contiene il numero degli addetti con indicazione dei lavoratori svantaggiati ai sensi della legge n. 381/91, qualifica, livelli anzianità, sede di lavoro, monte ore, etc</w:t>
      </w:r>
      <w:r>
        <w:rPr>
          <w:rFonts w:ascii="Titillium" w:hAnsi="Titillium"/>
          <w:sz w:val="18"/>
          <w:szCs w:val="18"/>
        </w:rPr>
        <w:t>.</w:t>
      </w:r>
    </w:p>
    <w:p w14:paraId="3C9343E1" w14:textId="150D200F" w:rsidR="00D90974" w:rsidRDefault="00D90974" w:rsidP="00CE0ADB">
      <w:pPr>
        <w:spacing w:before="60" w:after="60"/>
        <w:rPr>
          <w:rFonts w:ascii="Titillium" w:hAnsi="Titillium"/>
          <w:b/>
          <w:i/>
          <w:sz w:val="18"/>
          <w:szCs w:val="18"/>
        </w:rPr>
      </w:pPr>
    </w:p>
    <w:p w14:paraId="1F035682" w14:textId="7DCB48DA" w:rsidR="00C86A03" w:rsidRDefault="00D93AD9" w:rsidP="00D93AD9">
      <w:pPr>
        <w:spacing w:after="120"/>
        <w:rPr>
          <w:rFonts w:ascii="Titillium" w:hAnsi="Titillium" w:cs="Arial"/>
          <w:sz w:val="18"/>
          <w:szCs w:val="18"/>
        </w:rPr>
      </w:pPr>
      <w:r w:rsidRPr="00F16718">
        <w:rPr>
          <w:rFonts w:ascii="Titillium" w:hAnsi="Titillium" w:cs="Calibri"/>
          <w:i/>
          <w:sz w:val="18"/>
          <w:szCs w:val="18"/>
        </w:rPr>
        <w:t>[</w:t>
      </w:r>
      <w:r w:rsidRPr="00F16718">
        <w:rPr>
          <w:rFonts w:ascii="Titillium" w:hAnsi="Titillium" w:cs="Arial"/>
          <w:b/>
          <w:bCs/>
          <w:i/>
          <w:sz w:val="18"/>
          <w:szCs w:val="18"/>
        </w:rPr>
        <w:t xml:space="preserve">Per le procedure di gara </w:t>
      </w:r>
      <w:r w:rsidR="002B1BF0">
        <w:rPr>
          <w:rFonts w:ascii="Titillium" w:hAnsi="Titillium" w:cs="Arial"/>
          <w:b/>
          <w:bCs/>
          <w:i/>
          <w:sz w:val="18"/>
          <w:szCs w:val="18"/>
        </w:rPr>
        <w:t xml:space="preserve">riservate </w:t>
      </w:r>
      <w:r w:rsidR="00AC56CE">
        <w:rPr>
          <w:rFonts w:ascii="Titillium" w:hAnsi="Titillium" w:cs="Arial"/>
          <w:b/>
          <w:bCs/>
          <w:i/>
          <w:sz w:val="18"/>
          <w:szCs w:val="18"/>
        </w:rPr>
        <w:t>ai sensi dell’articolo 61 del codice e</w:t>
      </w:r>
      <w:r w:rsidR="00023D01">
        <w:rPr>
          <w:rFonts w:ascii="Titillium" w:hAnsi="Titillium" w:cs="Arial"/>
          <w:b/>
          <w:bCs/>
          <w:i/>
          <w:sz w:val="18"/>
          <w:szCs w:val="18"/>
        </w:rPr>
        <w:t>/o</w:t>
      </w:r>
      <w:r w:rsidR="00AC56CE">
        <w:rPr>
          <w:rFonts w:ascii="Titillium" w:hAnsi="Titillium" w:cs="Arial"/>
          <w:b/>
          <w:bCs/>
          <w:i/>
          <w:sz w:val="18"/>
          <w:szCs w:val="18"/>
        </w:rPr>
        <w:t xml:space="preserve"> per quelle </w:t>
      </w:r>
      <w:r w:rsidRPr="00F16718">
        <w:rPr>
          <w:rFonts w:ascii="Titillium" w:hAnsi="Titillium" w:cs="Arial"/>
          <w:b/>
          <w:bCs/>
          <w:i/>
          <w:sz w:val="18"/>
          <w:szCs w:val="18"/>
        </w:rPr>
        <w:t xml:space="preserve">afferenti </w:t>
      </w:r>
      <w:r w:rsidR="00025169">
        <w:rPr>
          <w:rFonts w:ascii="Titillium" w:hAnsi="Titillium" w:cs="Arial"/>
          <w:b/>
          <w:bCs/>
          <w:i/>
          <w:sz w:val="18"/>
          <w:szCs w:val="18"/>
        </w:rPr>
        <w:t>a</w:t>
      </w:r>
      <w:r w:rsidRPr="00F16718">
        <w:rPr>
          <w:rFonts w:ascii="Titillium" w:hAnsi="Titillium" w:cs="Arial"/>
          <w:b/>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F16718">
        <w:rPr>
          <w:rFonts w:ascii="Titillium" w:hAnsi="Titillium" w:cs="Courier New"/>
          <w:b/>
          <w:i/>
          <w:sz w:val="18"/>
          <w:szCs w:val="18"/>
        </w:rPr>
        <w:t>decreto legge 31 maggio 2021, n. 77, convertito, con modificazioni, dalla legge 29 luglio 2021, n. 108, indicare le seguenti condizioni di esecuzione</w:t>
      </w:r>
      <w:r w:rsidRPr="00F16718">
        <w:rPr>
          <w:rFonts w:ascii="Titillium" w:hAnsi="Titillium" w:cs="Arial"/>
          <w:sz w:val="18"/>
          <w:szCs w:val="18"/>
        </w:rPr>
        <w:t>]</w:t>
      </w:r>
    </w:p>
    <w:p w14:paraId="6AB2DDC6" w14:textId="08722BB4" w:rsidR="00D93AD9" w:rsidRPr="009F0EE6" w:rsidRDefault="00D93AD9" w:rsidP="00D93AD9">
      <w:pPr>
        <w:spacing w:after="120"/>
        <w:rPr>
          <w:rFonts w:ascii="Titillium" w:hAnsi="Titillium" w:cs="Arial"/>
          <w:b/>
          <w:bCs/>
          <w:i/>
          <w:sz w:val="18"/>
          <w:szCs w:val="18"/>
        </w:rPr>
      </w:pPr>
      <w:r w:rsidRPr="009F0EE6">
        <w:rPr>
          <w:rFonts w:ascii="Titillium" w:hAnsi="Titillium" w:cs="Calibri"/>
          <w:sz w:val="18"/>
          <w:szCs w:val="18"/>
        </w:rPr>
        <w:t xml:space="preserve">Il concorrente si impegna, </w:t>
      </w:r>
      <w:r w:rsidRPr="009F0EE6">
        <w:rPr>
          <w:rFonts w:ascii="Titillium" w:hAnsi="Titillium" w:cs="Calibri"/>
          <w:sz w:val="18"/>
          <w:szCs w:val="18"/>
          <w:u w:val="single"/>
        </w:rPr>
        <w:t>a pena di esclusione</w:t>
      </w:r>
      <w:r w:rsidRPr="009F0EE6">
        <w:rPr>
          <w:rFonts w:ascii="Titillium" w:hAnsi="Titillium" w:cs="Arial"/>
          <w:sz w:val="18"/>
          <w:szCs w:val="18"/>
        </w:rPr>
        <w:t>, in caso di aggiudicazione del contratto, ad assicurare:</w:t>
      </w:r>
    </w:p>
    <w:p w14:paraId="6AF2F594" w14:textId="5E23029D" w:rsidR="00D93AD9" w:rsidRPr="009F0EE6" w:rsidRDefault="00D93AD9" w:rsidP="00D93AD9">
      <w:pPr>
        <w:pStyle w:val="Paragrafoelenco"/>
        <w:widowControl w:val="0"/>
        <w:numPr>
          <w:ilvl w:val="0"/>
          <w:numId w:val="48"/>
        </w:numPr>
        <w:ind w:left="851" w:hanging="426"/>
        <w:rPr>
          <w:rFonts w:ascii="Titillium" w:hAnsi="Titillium" w:cs="Arial"/>
          <w:sz w:val="18"/>
          <w:szCs w:val="18"/>
        </w:rPr>
      </w:pPr>
      <w:r w:rsidRPr="009F0EE6">
        <w:rPr>
          <w:rFonts w:ascii="Titillium" w:hAnsi="Titillium" w:cs="Arial"/>
          <w:sz w:val="18"/>
          <w:szCs w:val="18"/>
        </w:rPr>
        <w:t>una quota pari al …per cento</w:t>
      </w:r>
      <w:r w:rsidR="00922227">
        <w:rPr>
          <w:rFonts w:ascii="Titillium" w:hAnsi="Titillium" w:cs="Arial"/>
          <w:sz w:val="18"/>
          <w:szCs w:val="18"/>
        </w:rPr>
        <w:t xml:space="preserve"> delle assunzioni necessarie</w:t>
      </w:r>
      <w:r w:rsidR="00450C25">
        <w:rPr>
          <w:rFonts w:ascii="Titillium" w:hAnsi="Titillium" w:cs="Arial"/>
          <w:sz w:val="18"/>
          <w:szCs w:val="18"/>
        </w:rPr>
        <w:t xml:space="preserve"> </w:t>
      </w:r>
      <w:r w:rsidRPr="00D874D7">
        <w:rPr>
          <w:rFonts w:ascii="Titillium" w:hAnsi="Titillium" w:cs="Arial"/>
          <w:i/>
          <w:iCs/>
          <w:sz w:val="18"/>
          <w:szCs w:val="18"/>
        </w:rPr>
        <w:t>[indicare la quota percentuale scelta]</w:t>
      </w:r>
      <w:r w:rsidRPr="009F0EE6">
        <w:rPr>
          <w:rFonts w:ascii="Titillium" w:hAnsi="Titillium" w:cs="Arial"/>
          <w:sz w:val="18"/>
          <w:szCs w:val="18"/>
        </w:rPr>
        <w:t xml:space="preserve"> di occupazione giovanile</w:t>
      </w:r>
    </w:p>
    <w:p w14:paraId="05C42A40" w14:textId="22020C55" w:rsidR="00D93AD9" w:rsidRPr="009F0EE6" w:rsidRDefault="00D93AD9" w:rsidP="00D93AD9">
      <w:pPr>
        <w:pStyle w:val="Paragrafoelenco"/>
        <w:widowControl w:val="0"/>
        <w:numPr>
          <w:ilvl w:val="0"/>
          <w:numId w:val="48"/>
        </w:numPr>
        <w:ind w:left="851" w:hanging="426"/>
        <w:rPr>
          <w:rFonts w:ascii="Titillium" w:hAnsi="Titillium" w:cs="Arial"/>
          <w:sz w:val="18"/>
          <w:szCs w:val="18"/>
        </w:rPr>
      </w:pPr>
      <w:r w:rsidRPr="009F0EE6">
        <w:rPr>
          <w:rFonts w:ascii="Titillium" w:hAnsi="Titillium" w:cs="Arial"/>
          <w:sz w:val="18"/>
          <w:szCs w:val="18"/>
        </w:rPr>
        <w:t xml:space="preserve">una quota pari al … per cento </w:t>
      </w:r>
      <w:r w:rsidR="00922227">
        <w:rPr>
          <w:rFonts w:ascii="Titillium" w:hAnsi="Titillium" w:cs="Arial"/>
          <w:sz w:val="18"/>
          <w:szCs w:val="18"/>
        </w:rPr>
        <w:t xml:space="preserve">delle assunzioni necessarie </w:t>
      </w:r>
      <w:r w:rsidRPr="00D874D7">
        <w:rPr>
          <w:rFonts w:ascii="Titillium" w:hAnsi="Titillium" w:cs="Arial"/>
          <w:i/>
          <w:iCs/>
          <w:sz w:val="18"/>
          <w:szCs w:val="18"/>
        </w:rPr>
        <w:t>[indicare la quota percentuale scelta]</w:t>
      </w:r>
      <w:r w:rsidRPr="009F0EE6">
        <w:rPr>
          <w:rFonts w:ascii="Titillium" w:hAnsi="Titillium" w:cs="Arial"/>
          <w:sz w:val="18"/>
          <w:szCs w:val="18"/>
        </w:rPr>
        <w:t xml:space="preserve"> di occupazione femminile</w:t>
      </w:r>
    </w:p>
    <w:p w14:paraId="519599EA" w14:textId="01A2CBA2" w:rsidR="00D93AD9" w:rsidRPr="009F0EE6" w:rsidRDefault="00AA77D1" w:rsidP="00D93AD9">
      <w:pPr>
        <w:widowControl w:val="0"/>
        <w:rPr>
          <w:rFonts w:ascii="Titillium" w:hAnsi="Titillium" w:cs="Calibri"/>
          <w:sz w:val="18"/>
          <w:szCs w:val="18"/>
        </w:rPr>
      </w:pPr>
      <w:r>
        <w:rPr>
          <w:rFonts w:ascii="Titillium" w:hAnsi="Titillium" w:cs="Arial"/>
          <w:i/>
          <w:sz w:val="18"/>
          <w:szCs w:val="18"/>
        </w:rPr>
        <w:t>[l</w:t>
      </w:r>
      <w:r w:rsidR="00D93AD9" w:rsidRPr="009F0EE6">
        <w:rPr>
          <w:rFonts w:ascii="Titillium" w:hAnsi="Titillium" w:cs="Arial"/>
          <w:i/>
          <w:sz w:val="18"/>
          <w:szCs w:val="18"/>
        </w:rPr>
        <w:t>a quota percentuale scelta, deve essere almeno pari al 30 per cento</w:t>
      </w:r>
      <w:r w:rsidR="00D93AD9" w:rsidRPr="009F0EE6">
        <w:rPr>
          <w:rFonts w:ascii="Titillium" w:hAnsi="Titillium" w:cs="Arial"/>
          <w:sz w:val="18"/>
          <w:szCs w:val="18"/>
        </w:rPr>
        <w:t xml:space="preserve">, ovvero </w:t>
      </w:r>
      <w:r w:rsidR="00D93AD9" w:rsidRPr="009F0EE6">
        <w:rPr>
          <w:rFonts w:ascii="Titillium" w:hAnsi="Titillium" w:cs="Arial"/>
          <w:i/>
          <w:sz w:val="18"/>
          <w:szCs w:val="18"/>
        </w:rPr>
        <w:t>inferiore; in tal caso le stazioni appaltanti motivano le ragioni della deroga, richiamando espressamente la determina a contrarre o l’atto immediatamente esecutivo della stessa ovvero l’atto espresso del responsabile della stazione appaltante adottato prima o contestualmente all'avvio della procedura ad evidenza pubblica, contenenti adeguata e specifica motivazione della deroga</w:t>
      </w:r>
      <w:r w:rsidR="00D93AD9" w:rsidRPr="00D874D7">
        <w:rPr>
          <w:rFonts w:ascii="Titillium" w:hAnsi="Titillium" w:cs="Arial"/>
          <w:i/>
          <w:iCs/>
          <w:sz w:val="18"/>
          <w:szCs w:val="18"/>
        </w:rPr>
        <w:t xml:space="preserve">] </w:t>
      </w:r>
      <w:r w:rsidR="00D93AD9" w:rsidRPr="009F0EE6">
        <w:rPr>
          <w:rFonts w:ascii="Titillium" w:hAnsi="Titillium" w:cs="Arial"/>
          <w:sz w:val="18"/>
          <w:szCs w:val="18"/>
        </w:rPr>
        <w:t xml:space="preserve">delle assunzioni necessarie per l'esecuzione del contratto o per la realizzazione di attività ad esso connesse o strumentali </w:t>
      </w:r>
      <w:r w:rsidR="00D93AD9" w:rsidRPr="00D874D7">
        <w:rPr>
          <w:rFonts w:ascii="Titillium" w:hAnsi="Titillium" w:cs="Arial"/>
          <w:i/>
          <w:iCs/>
          <w:sz w:val="18"/>
          <w:szCs w:val="18"/>
        </w:rPr>
        <w:t xml:space="preserve">[calcolate secondo le modalità di cui alle </w:t>
      </w:r>
      <w:r w:rsidR="00D93AD9" w:rsidRPr="00C57666">
        <w:rPr>
          <w:rFonts w:ascii="Titillium" w:hAnsi="Titillium" w:cs="Arial"/>
          <w:i/>
          <w:iCs/>
          <w:sz w:val="18"/>
          <w:szCs w:val="18"/>
        </w:rPr>
        <w:t xml:space="preserve">linee </w:t>
      </w:r>
      <w:r w:rsidR="00D93AD9" w:rsidRPr="009F0EE6">
        <w:rPr>
          <w:rFonts w:ascii="Titillium" w:hAnsi="Titillium" w:cs="Arial"/>
          <w:i/>
          <w:sz w:val="18"/>
          <w:szCs w:val="18"/>
        </w:rPr>
        <w:t xml:space="preserve">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w:t>
      </w:r>
      <w:r w:rsidR="00D93AD9" w:rsidRPr="00C57666">
        <w:rPr>
          <w:rFonts w:ascii="Titillium" w:hAnsi="Titillium" w:cs="Arial"/>
          <w:i/>
          <w:sz w:val="18"/>
          <w:szCs w:val="18"/>
        </w:rPr>
        <w:t>dicembre 2021</w:t>
      </w:r>
      <w:r w:rsidR="00D93AD9" w:rsidRPr="00D874D7">
        <w:rPr>
          <w:rFonts w:ascii="Titillium" w:hAnsi="Titillium" w:cs="Calibri"/>
          <w:i/>
          <w:sz w:val="18"/>
          <w:szCs w:val="18"/>
        </w:rPr>
        <w:t>, n. 309</w:t>
      </w:r>
      <w:r w:rsidR="00922227" w:rsidRPr="00D874D7">
        <w:rPr>
          <w:rFonts w:ascii="Titillium" w:hAnsi="Titillium" w:cs="Calibri"/>
          <w:i/>
          <w:sz w:val="18"/>
          <w:szCs w:val="18"/>
        </w:rPr>
        <w:t xml:space="preserve"> e delle linee guida adottate ai sensi dell’articolo 1, comma 8, dell’allegato II.3 al codice</w:t>
      </w:r>
      <w:r w:rsidR="00D93AD9" w:rsidRPr="00D874D7">
        <w:rPr>
          <w:rFonts w:ascii="Titillium" w:hAnsi="Titillium" w:cs="Calibri"/>
          <w:i/>
          <w:sz w:val="18"/>
          <w:szCs w:val="18"/>
        </w:rPr>
        <w:t>].</w:t>
      </w:r>
    </w:p>
    <w:p w14:paraId="7FAF95C8" w14:textId="77777777" w:rsidR="00C86A03" w:rsidRPr="00F16718" w:rsidRDefault="00C86A03" w:rsidP="00C86A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F16718">
        <w:rPr>
          <w:rFonts w:ascii="Titillium" w:hAnsi="Titillium" w:cs="Courier New"/>
          <w:sz w:val="18"/>
          <w:szCs w:val="18"/>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Pr="00F16718">
        <w:rPr>
          <w:rFonts w:ascii="Titillium" w:hAnsi="Titillium" w:cs="Calibri"/>
          <w:sz w:val="18"/>
          <w:szCs w:val="18"/>
        </w:rPr>
        <w:t>.</w:t>
      </w:r>
    </w:p>
    <w:p w14:paraId="0E12154B" w14:textId="77777777" w:rsidR="00C86A03" w:rsidRPr="00F16718" w:rsidRDefault="00C86A03" w:rsidP="00C86A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sz w:val="18"/>
          <w:szCs w:val="18"/>
        </w:rPr>
      </w:pPr>
      <w:r w:rsidRPr="00F16718">
        <w:rPr>
          <w:rFonts w:ascii="Titillium" w:hAnsi="Titillium" w:cs="Courier New"/>
          <w:sz w:val="18"/>
          <w:szCs w:val="18"/>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14:paraId="0F2C629F" w14:textId="77777777" w:rsidR="009F0EE6" w:rsidRDefault="009F0EE6" w:rsidP="009F0EE6">
      <w:pPr>
        <w:spacing w:before="60" w:after="60"/>
        <w:rPr>
          <w:rFonts w:ascii="Titillium" w:hAnsi="Titillium"/>
          <w:sz w:val="18"/>
          <w:szCs w:val="18"/>
        </w:rPr>
      </w:pPr>
    </w:p>
    <w:p w14:paraId="3F068101" w14:textId="4D8F6C4D" w:rsidR="009F0EE6" w:rsidRPr="00D93AD9" w:rsidRDefault="009F0EE6" w:rsidP="009F0EE6">
      <w:pPr>
        <w:spacing w:before="60" w:after="60"/>
        <w:rPr>
          <w:rFonts w:ascii="Titillium" w:hAnsi="Titillium"/>
          <w:sz w:val="18"/>
          <w:szCs w:val="18"/>
        </w:rPr>
      </w:pPr>
      <w:r w:rsidRPr="009F0EE6">
        <w:rPr>
          <w:rFonts w:ascii="Titillium" w:hAnsi="Titillium"/>
          <w:b/>
          <w:sz w:val="18"/>
          <w:szCs w:val="18"/>
        </w:rPr>
        <w:lastRenderedPageBreak/>
        <w:t>[Per le altre procedure]</w:t>
      </w:r>
      <w:r>
        <w:rPr>
          <w:rFonts w:ascii="Titillium" w:hAnsi="Titillium"/>
          <w:sz w:val="18"/>
          <w:szCs w:val="18"/>
        </w:rPr>
        <w:t xml:space="preserve"> Al fine di garantire le pari opportunità generazionali, di genere e di inclusione lavorativa per le person</w:t>
      </w:r>
      <w:r w:rsidR="009F2987">
        <w:rPr>
          <w:rFonts w:ascii="Titillium" w:hAnsi="Titillium"/>
          <w:sz w:val="18"/>
          <w:szCs w:val="18"/>
        </w:rPr>
        <w:t>e</w:t>
      </w:r>
      <w:r>
        <w:rPr>
          <w:rFonts w:ascii="Titillium" w:hAnsi="Titillium"/>
          <w:sz w:val="18"/>
          <w:szCs w:val="18"/>
        </w:rPr>
        <w:t xml:space="preserve"> con disabilità o svantaggiate, l’aggiudicatario si impegna a … [</w:t>
      </w:r>
      <w:r w:rsidRPr="00D93AD9">
        <w:rPr>
          <w:rFonts w:ascii="Titillium" w:hAnsi="Titillium"/>
          <w:i/>
          <w:sz w:val="18"/>
          <w:szCs w:val="18"/>
        </w:rPr>
        <w:t>le stazioni appaltanti indicano quali misure l’aggiudicatario è tenuto ad adempiere, tenendo conto delle prestazioni oggetto del contratto e del mercato di riferimento</w:t>
      </w:r>
      <w:r>
        <w:rPr>
          <w:rFonts w:ascii="Titillium" w:hAnsi="Titillium"/>
          <w:sz w:val="18"/>
          <w:szCs w:val="18"/>
        </w:rPr>
        <w:t>]</w:t>
      </w:r>
    </w:p>
    <w:p w14:paraId="7DDC6BEC" w14:textId="77777777" w:rsidR="00DB6ACC" w:rsidRDefault="00DB6ACC" w:rsidP="00DB6ACC">
      <w:pPr>
        <w:spacing w:before="60" w:after="60"/>
        <w:rPr>
          <w:rFonts w:ascii="Titillium" w:hAnsi="Titillium" w:cs="Calibri"/>
          <w:b/>
          <w:i/>
          <w:sz w:val="18"/>
          <w:szCs w:val="18"/>
        </w:rPr>
      </w:pPr>
    </w:p>
    <w:p w14:paraId="2AD8E62F" w14:textId="00283C72" w:rsidR="00D90974" w:rsidRDefault="00D90974" w:rsidP="00DB6ACC">
      <w:pPr>
        <w:spacing w:before="60" w:after="60"/>
        <w:rPr>
          <w:rFonts w:ascii="Titillium" w:hAnsi="Titillium" w:cs="Calibri"/>
          <w:i/>
          <w:iCs/>
          <w:sz w:val="18"/>
          <w:szCs w:val="18"/>
        </w:rPr>
      </w:pPr>
      <w:r>
        <w:rPr>
          <w:rFonts w:ascii="Titillium" w:hAnsi="Titillium" w:cs="Calibri"/>
          <w:b/>
          <w:i/>
          <w:sz w:val="18"/>
          <w:szCs w:val="18"/>
        </w:rPr>
        <w:t>[</w:t>
      </w:r>
      <w:r w:rsidR="00DB6ACC">
        <w:rPr>
          <w:rFonts w:ascii="Titillium" w:hAnsi="Titillium" w:cs="Calibri"/>
          <w:b/>
          <w:i/>
          <w:sz w:val="18"/>
          <w:szCs w:val="18"/>
        </w:rPr>
        <w:t>Se</w:t>
      </w:r>
      <w:r>
        <w:rPr>
          <w:rFonts w:ascii="Titillium" w:hAnsi="Titillium" w:cs="Calibri"/>
          <w:b/>
          <w:i/>
          <w:sz w:val="18"/>
          <w:szCs w:val="18"/>
        </w:rPr>
        <w:t xml:space="preserve"> </w:t>
      </w:r>
      <w:r w:rsidR="00DB6ACC">
        <w:rPr>
          <w:rFonts w:ascii="Titillium" w:hAnsi="Titillium" w:cs="Calibri"/>
          <w:b/>
          <w:i/>
          <w:sz w:val="18"/>
          <w:szCs w:val="18"/>
        </w:rPr>
        <w:t xml:space="preserve">la stazione appaltante richiede </w:t>
      </w:r>
      <w:r w:rsidR="00DB6ACC" w:rsidRPr="00DB6ACC">
        <w:rPr>
          <w:rFonts w:ascii="Titillium" w:hAnsi="Titillium" w:cs="Calibri"/>
          <w:b/>
          <w:i/>
          <w:sz w:val="18"/>
          <w:szCs w:val="18"/>
        </w:rPr>
        <w:t>requisiti particolari per l'esecuzione del contratto</w:t>
      </w:r>
      <w:r w:rsidR="00D93AD9">
        <w:rPr>
          <w:rFonts w:ascii="Titillium" w:hAnsi="Titillium" w:cs="Calibri"/>
          <w:b/>
          <w:i/>
          <w:sz w:val="18"/>
          <w:szCs w:val="18"/>
        </w:rPr>
        <w:t xml:space="preserve"> ai sensi dell’articolo</w:t>
      </w:r>
      <w:r w:rsidR="00DB6ACC">
        <w:rPr>
          <w:rFonts w:ascii="Titillium" w:hAnsi="Titillium" w:cs="Calibri"/>
          <w:b/>
          <w:i/>
          <w:sz w:val="18"/>
          <w:szCs w:val="18"/>
        </w:rPr>
        <w:t xml:space="preserve"> 113 del Codice</w:t>
      </w:r>
      <w:r>
        <w:rPr>
          <w:rFonts w:ascii="Titillium" w:hAnsi="Titillium" w:cs="Calibri"/>
          <w:b/>
          <w:i/>
          <w:sz w:val="18"/>
          <w:szCs w:val="18"/>
        </w:rPr>
        <w:t>]</w:t>
      </w:r>
      <w:r>
        <w:rPr>
          <w:rFonts w:ascii="Titillium" w:hAnsi="Titillium" w:cs="Calibri"/>
          <w:sz w:val="18"/>
          <w:szCs w:val="18"/>
        </w:rPr>
        <w:t xml:space="preserve"> Per l’esecuzione del servizio/fornitura oggetto del presente appalto</w:t>
      </w:r>
      <w:r w:rsidR="00DB6ACC">
        <w:rPr>
          <w:rFonts w:ascii="Titillium" w:hAnsi="Titillium" w:cs="Calibri"/>
          <w:sz w:val="18"/>
          <w:szCs w:val="18"/>
        </w:rPr>
        <w:t>, ai sensi dell’art</w:t>
      </w:r>
      <w:r w:rsidR="001E66DA">
        <w:rPr>
          <w:rFonts w:ascii="Titillium" w:hAnsi="Titillium" w:cs="Calibri"/>
          <w:sz w:val="18"/>
          <w:szCs w:val="18"/>
        </w:rPr>
        <w:t>icolo</w:t>
      </w:r>
      <w:r w:rsidR="00DB6ACC">
        <w:rPr>
          <w:rFonts w:ascii="Titillium" w:hAnsi="Titillium" w:cs="Calibri"/>
          <w:sz w:val="18"/>
          <w:szCs w:val="18"/>
        </w:rPr>
        <w:t xml:space="preserve"> 113 del Codice,</w:t>
      </w:r>
      <w:r>
        <w:rPr>
          <w:rFonts w:ascii="Titillium" w:hAnsi="Titillium" w:cs="Calibri"/>
          <w:sz w:val="18"/>
          <w:szCs w:val="18"/>
        </w:rPr>
        <w:t xml:space="preserve"> è richiesto … </w:t>
      </w:r>
      <w:r w:rsidRPr="00DB6ACC">
        <w:rPr>
          <w:rFonts w:ascii="Titillium" w:hAnsi="Titillium" w:cs="Calibri"/>
          <w:i/>
          <w:iCs/>
          <w:sz w:val="18"/>
          <w:szCs w:val="18"/>
        </w:rPr>
        <w:t>[specificare</w:t>
      </w:r>
      <w:r w:rsidR="00DB6ACC">
        <w:rPr>
          <w:rFonts w:ascii="Titillium" w:hAnsi="Titillium" w:cs="Calibri"/>
          <w:i/>
          <w:iCs/>
          <w:sz w:val="18"/>
          <w:szCs w:val="18"/>
        </w:rPr>
        <w:t xml:space="preserve">]. </w:t>
      </w:r>
    </w:p>
    <w:p w14:paraId="6471EB4A" w14:textId="190D7698" w:rsidR="004C53A8" w:rsidRDefault="00870286" w:rsidP="00084AD6">
      <w:pPr>
        <w:pStyle w:val="Titolo2"/>
        <w:numPr>
          <w:ilvl w:val="0"/>
          <w:numId w:val="4"/>
        </w:numPr>
        <w:ind w:left="357" w:hanging="357"/>
      </w:pPr>
      <w:bookmarkStart w:id="1766" w:name="_Toc139549432"/>
      <w:r>
        <w:rPr>
          <w:rFonts w:ascii="Titillium" w:hAnsi="Titillium" w:cs="Calibri"/>
          <w:sz w:val="18"/>
          <w:szCs w:val="18"/>
          <w:lang w:val="it-IT"/>
        </w:rPr>
        <w:t>GARANZIA PROVVISOR</w:t>
      </w:r>
      <w:r>
        <w:rPr>
          <w:rFonts w:ascii="Titillium" w:hAnsi="Titillium"/>
          <w:sz w:val="18"/>
          <w:szCs w:val="18"/>
        </w:rPr>
        <w:t>IA</w:t>
      </w:r>
      <w:bookmarkEnd w:id="1736"/>
      <w:bookmarkEnd w:id="1737"/>
      <w:bookmarkEnd w:id="1738"/>
      <w:bookmarkEnd w:id="1766"/>
    </w:p>
    <w:p w14:paraId="504DFCA4" w14:textId="19801440" w:rsidR="004C53A8" w:rsidRDefault="00870286" w:rsidP="000E7F3A">
      <w:pPr>
        <w:spacing w:before="60" w:after="60"/>
      </w:pPr>
      <w:r>
        <w:rPr>
          <w:rFonts w:ascii="Titillium" w:hAnsi="Titillium" w:cs="Calibri"/>
          <w:sz w:val="18"/>
          <w:szCs w:val="18"/>
        </w:rPr>
        <w:t xml:space="preserve">L’offerta </w:t>
      </w:r>
      <w:r>
        <w:rPr>
          <w:rFonts w:ascii="Titillium" w:hAnsi="Titillium" w:cs="Calibri"/>
          <w:i/>
          <w:sz w:val="18"/>
          <w:szCs w:val="18"/>
        </w:rPr>
        <w:t xml:space="preserve">[eventualmente: </w:t>
      </w:r>
      <w:r>
        <w:rPr>
          <w:rFonts w:ascii="Titillium" w:hAnsi="Titillium" w:cs="Calibri"/>
          <w:sz w:val="18"/>
          <w:szCs w:val="18"/>
        </w:rPr>
        <w:t>“per ciascun lotto”</w:t>
      </w:r>
      <w:r>
        <w:rPr>
          <w:rFonts w:ascii="Titillium" w:hAnsi="Titillium" w:cs="Calibri"/>
          <w:i/>
          <w:sz w:val="18"/>
          <w:szCs w:val="18"/>
        </w:rPr>
        <w:t xml:space="preserve">] </w:t>
      </w:r>
      <w:r>
        <w:rPr>
          <w:rFonts w:ascii="Titillium" w:hAnsi="Titillium" w:cs="Calibri"/>
          <w:sz w:val="18"/>
          <w:szCs w:val="18"/>
        </w:rPr>
        <w:t>è corredata, a pena di esclusione,</w:t>
      </w:r>
      <w:r>
        <w:rPr>
          <w:rFonts w:ascii="Titillium" w:hAnsi="Titillium" w:cs="Calibri"/>
          <w:b/>
          <w:sz w:val="18"/>
          <w:szCs w:val="18"/>
        </w:rPr>
        <w:t xml:space="preserve"> </w:t>
      </w:r>
      <w:r>
        <w:rPr>
          <w:rFonts w:ascii="Titillium" w:hAnsi="Titillium" w:cs="Calibri"/>
          <w:sz w:val="18"/>
          <w:szCs w:val="18"/>
        </w:rPr>
        <w:t>da</w:t>
      </w:r>
      <w:r w:rsidR="000E7F3A">
        <w:rPr>
          <w:rFonts w:ascii="Titillium" w:hAnsi="Titillium" w:cs="Calibri"/>
          <w:sz w:val="18"/>
          <w:szCs w:val="18"/>
        </w:rPr>
        <w:t xml:space="preserve"> </w:t>
      </w:r>
      <w:r w:rsidRPr="00291685">
        <w:rPr>
          <w:rFonts w:ascii="Titillium" w:hAnsi="Titillium" w:cs="Calibri"/>
          <w:sz w:val="18"/>
          <w:szCs w:val="18"/>
        </w:rPr>
        <w:t>una garanzia provvisoria</w:t>
      </w:r>
      <w:r>
        <w:rPr>
          <w:rFonts w:ascii="Titillium" w:hAnsi="Titillium" w:cs="Calibri"/>
          <w:sz w:val="18"/>
          <w:szCs w:val="18"/>
        </w:rPr>
        <w:t xml:space="preserve"> pari a ...</w:t>
      </w:r>
      <w:r w:rsidR="00E10143">
        <w:rPr>
          <w:rFonts w:ascii="Titillium" w:hAnsi="Titillium" w:cs="Calibri"/>
          <w:sz w:val="18"/>
          <w:szCs w:val="18"/>
        </w:rPr>
        <w:t xml:space="preserve"> </w:t>
      </w:r>
      <w:r>
        <w:rPr>
          <w:rFonts w:ascii="Titillium" w:hAnsi="Titillium" w:cs="Calibri"/>
          <w:i/>
          <w:sz w:val="18"/>
          <w:szCs w:val="18"/>
        </w:rPr>
        <w:t xml:space="preserve">[2% del </w:t>
      </w:r>
      <w:r w:rsidR="0084248D">
        <w:rPr>
          <w:rFonts w:ascii="Titillium" w:hAnsi="Titillium" w:cs="Calibri"/>
          <w:i/>
          <w:sz w:val="18"/>
          <w:szCs w:val="18"/>
        </w:rPr>
        <w:t xml:space="preserve">valore complessivo </w:t>
      </w:r>
      <w:r>
        <w:rPr>
          <w:rFonts w:ascii="Titillium" w:hAnsi="Titillium" w:cs="Calibri"/>
          <w:i/>
          <w:sz w:val="18"/>
          <w:szCs w:val="18"/>
        </w:rPr>
        <w:t>dell’appalto ovvero altra percentuale ai sensi dell’</w:t>
      </w:r>
      <w:r w:rsidR="00291685">
        <w:rPr>
          <w:rFonts w:ascii="Titillium" w:hAnsi="Titillium" w:cs="Calibri"/>
          <w:i/>
          <w:sz w:val="18"/>
          <w:szCs w:val="18"/>
        </w:rPr>
        <w:t>articolo</w:t>
      </w:r>
      <w:r>
        <w:rPr>
          <w:rFonts w:ascii="Titillium" w:hAnsi="Titillium" w:cs="Calibri"/>
          <w:i/>
          <w:sz w:val="18"/>
          <w:szCs w:val="18"/>
        </w:rPr>
        <w:t xml:space="preserve"> </w:t>
      </w:r>
      <w:r w:rsidR="000E7F3A">
        <w:rPr>
          <w:rFonts w:ascii="Titillium" w:hAnsi="Titillium" w:cs="Calibri"/>
          <w:i/>
          <w:sz w:val="18"/>
          <w:szCs w:val="18"/>
        </w:rPr>
        <w:t>106</w:t>
      </w:r>
      <w:r>
        <w:rPr>
          <w:rFonts w:ascii="Titillium" w:hAnsi="Titillium" w:cs="Calibri"/>
          <w:i/>
          <w:sz w:val="18"/>
          <w:szCs w:val="18"/>
        </w:rPr>
        <w:t xml:space="preserve">, comma 1 del Codice] </w:t>
      </w:r>
      <w:r>
        <w:rPr>
          <w:rFonts w:ascii="Titillium" w:hAnsi="Titillium" w:cs="Calibri"/>
          <w:sz w:val="18"/>
          <w:szCs w:val="18"/>
        </w:rPr>
        <w:t>e precisamente di importo pari ad € ...</w:t>
      </w:r>
      <w:r w:rsidR="00E10143">
        <w:rPr>
          <w:rFonts w:ascii="Titillium" w:hAnsi="Titillium" w:cs="Calibri"/>
          <w:sz w:val="18"/>
          <w:szCs w:val="18"/>
        </w:rPr>
        <w:t xml:space="preserve"> [</w:t>
      </w:r>
      <w:r w:rsidR="00E10143" w:rsidRPr="00E10143">
        <w:rPr>
          <w:rFonts w:ascii="Titillium" w:hAnsi="Titillium" w:cs="Calibri"/>
          <w:i/>
          <w:sz w:val="18"/>
          <w:szCs w:val="18"/>
        </w:rPr>
        <w:t>indicare</w:t>
      </w:r>
      <w:r w:rsidR="00E10143">
        <w:rPr>
          <w:rFonts w:ascii="Titillium" w:hAnsi="Titillium" w:cs="Calibri"/>
          <w:sz w:val="18"/>
          <w:szCs w:val="18"/>
        </w:rPr>
        <w:t>]</w:t>
      </w:r>
      <w:r w:rsidR="00291685">
        <w:rPr>
          <w:rFonts w:ascii="Titillium" w:hAnsi="Titillium" w:cs="Calibri"/>
          <w:sz w:val="18"/>
          <w:szCs w:val="18"/>
        </w:rPr>
        <w:t>. Si applicano le riduzioni di cui all’articolo</w:t>
      </w:r>
      <w:r>
        <w:rPr>
          <w:rFonts w:ascii="Titillium" w:hAnsi="Titillium" w:cs="Calibri"/>
          <w:sz w:val="18"/>
          <w:szCs w:val="18"/>
        </w:rPr>
        <w:t xml:space="preserve"> </w:t>
      </w:r>
      <w:r w:rsidR="000E7F3A">
        <w:rPr>
          <w:rFonts w:ascii="Titillium" w:hAnsi="Titillium" w:cs="Calibri"/>
          <w:sz w:val="18"/>
          <w:szCs w:val="18"/>
        </w:rPr>
        <w:t>106</w:t>
      </w:r>
      <w:r>
        <w:rPr>
          <w:rFonts w:ascii="Titillium" w:hAnsi="Titillium" w:cs="Calibri"/>
          <w:sz w:val="18"/>
          <w:szCs w:val="18"/>
        </w:rPr>
        <w:t xml:space="preserve">, comma </w:t>
      </w:r>
      <w:r w:rsidR="000E7F3A">
        <w:rPr>
          <w:rFonts w:ascii="Titillium" w:hAnsi="Titillium" w:cs="Calibri"/>
          <w:sz w:val="18"/>
          <w:szCs w:val="18"/>
        </w:rPr>
        <w:t>8</w:t>
      </w:r>
      <w:r>
        <w:rPr>
          <w:rFonts w:ascii="Titillium" w:hAnsi="Titillium" w:cs="Calibri"/>
          <w:sz w:val="18"/>
          <w:szCs w:val="18"/>
        </w:rPr>
        <w:t xml:space="preserve"> del Codice</w:t>
      </w:r>
      <w:r w:rsidR="00207D3F">
        <w:rPr>
          <w:rFonts w:ascii="Titillium" w:hAnsi="Titillium" w:cs="Calibri"/>
          <w:sz w:val="18"/>
          <w:szCs w:val="18"/>
        </w:rPr>
        <w:t>.</w:t>
      </w:r>
    </w:p>
    <w:p w14:paraId="5AE20807" w14:textId="38A94045" w:rsidR="004C53A8" w:rsidRDefault="00870286" w:rsidP="000E7F3A">
      <w:pPr>
        <w:pBdr>
          <w:top w:val="single" w:sz="4" w:space="1" w:color="000000"/>
          <w:left w:val="single" w:sz="4" w:space="0" w:color="000000"/>
          <w:bottom w:val="single" w:sz="4" w:space="1" w:color="000000"/>
          <w:right w:val="single" w:sz="4" w:space="4" w:color="000000"/>
        </w:pBdr>
        <w:spacing w:before="60" w:after="60"/>
        <w:rPr>
          <w:rFonts w:ascii="Titillium" w:eastAsia="Calibri" w:hAnsi="Titillium" w:cs="Calibri"/>
          <w:i/>
          <w:sz w:val="18"/>
          <w:szCs w:val="18"/>
          <w:lang w:eastAsia="it-IT"/>
        </w:rPr>
      </w:pPr>
      <w:r>
        <w:rPr>
          <w:rFonts w:ascii="Titillium" w:eastAsia="Calibri" w:hAnsi="Titillium" w:cs="Calibri"/>
          <w:i/>
          <w:sz w:val="18"/>
          <w:szCs w:val="18"/>
          <w:lang w:eastAsia="it-IT"/>
        </w:rPr>
        <w:t>N.B.</w:t>
      </w:r>
      <w:r w:rsidR="00955636">
        <w:rPr>
          <w:rFonts w:ascii="Titillium" w:eastAsia="Calibri" w:hAnsi="Titillium" w:cs="Calibri"/>
          <w:i/>
          <w:sz w:val="18"/>
          <w:szCs w:val="18"/>
          <w:lang w:eastAsia="it-IT"/>
        </w:rPr>
        <w:t xml:space="preserve"> A</w:t>
      </w:r>
      <w:r>
        <w:rPr>
          <w:rFonts w:ascii="Titillium" w:eastAsia="Calibri" w:hAnsi="Titillium" w:cs="Calibri"/>
          <w:i/>
          <w:sz w:val="18"/>
          <w:szCs w:val="18"/>
          <w:lang w:eastAsia="it-IT"/>
        </w:rPr>
        <w:t>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14:paraId="6DA2EBAD" w14:textId="77777777" w:rsidR="00502F55" w:rsidRDefault="00870286" w:rsidP="000E7F3A">
      <w:pPr>
        <w:spacing w:before="60" w:after="60"/>
        <w:rPr>
          <w:rFonts w:ascii="Titillium" w:hAnsi="Titillium" w:cs="Calibri"/>
          <w:sz w:val="18"/>
          <w:szCs w:val="18"/>
        </w:rPr>
      </w:pPr>
      <w:r w:rsidRPr="00BD31DB">
        <w:rPr>
          <w:rFonts w:ascii="Calibri" w:hAnsi="Calibri" w:cs="Calibri"/>
          <w:b/>
          <w:i/>
          <w:sz w:val="20"/>
          <w:szCs w:val="20"/>
        </w:rPr>
        <w:t>[</w:t>
      </w:r>
      <w:r w:rsidR="004E1CF3">
        <w:rPr>
          <w:rFonts w:ascii="Titillium" w:hAnsi="Titillium" w:cs="Calibri"/>
          <w:b/>
          <w:bCs/>
          <w:i/>
          <w:sz w:val="18"/>
          <w:szCs w:val="18"/>
        </w:rPr>
        <w:t xml:space="preserve">In caso di </w:t>
      </w:r>
      <w:r w:rsidRPr="00BD31DB">
        <w:rPr>
          <w:rFonts w:ascii="Titillium" w:hAnsi="Titillium" w:cs="Calibri"/>
          <w:b/>
          <w:bCs/>
          <w:i/>
          <w:sz w:val="18"/>
          <w:szCs w:val="18"/>
        </w:rPr>
        <w:t>gara divisa in più lotti</w:t>
      </w:r>
      <w:r w:rsidRPr="00BD31DB">
        <w:rPr>
          <w:rFonts w:ascii="Titillium" w:hAnsi="Titillium" w:cs="Calibri"/>
          <w:b/>
          <w:i/>
          <w:sz w:val="18"/>
          <w:szCs w:val="18"/>
        </w:rPr>
        <w:t>]</w:t>
      </w:r>
      <w:r>
        <w:rPr>
          <w:rFonts w:ascii="Titillium" w:hAnsi="Titillium" w:cs="Calibri"/>
          <w:sz w:val="18"/>
          <w:szCs w:val="18"/>
        </w:rPr>
        <w:t xml:space="preserve"> </w:t>
      </w:r>
      <w:bookmarkStart w:id="1767" w:name="_Hlk131759520"/>
      <w:r>
        <w:rPr>
          <w:rFonts w:ascii="Titillium" w:hAnsi="Titillium" w:cs="Calibri"/>
          <w:sz w:val="18"/>
          <w:szCs w:val="18"/>
        </w:rPr>
        <w:t xml:space="preserve">In caso di partecipazione a più lotti </w:t>
      </w:r>
      <w:r w:rsidR="00502F55">
        <w:rPr>
          <w:rFonts w:ascii="Titillium" w:hAnsi="Titillium" w:cs="Calibri"/>
          <w:sz w:val="18"/>
          <w:szCs w:val="18"/>
        </w:rPr>
        <w:t>l’operatore economico può alternativamente:</w:t>
      </w:r>
    </w:p>
    <w:p w14:paraId="29DA1381" w14:textId="1C10DA45" w:rsidR="004C53A8" w:rsidRDefault="00502F55" w:rsidP="000E7F3A">
      <w:pPr>
        <w:spacing w:before="60" w:after="60"/>
        <w:rPr>
          <w:rFonts w:ascii="Titillium" w:hAnsi="Titillium" w:cs="Calibri"/>
          <w:sz w:val="18"/>
          <w:szCs w:val="18"/>
        </w:rPr>
      </w:pPr>
      <w:r>
        <w:rPr>
          <w:rFonts w:ascii="Titillium" w:hAnsi="Titillium" w:cs="Calibri"/>
          <w:sz w:val="18"/>
          <w:szCs w:val="18"/>
        </w:rPr>
        <w:t xml:space="preserve">- prestare </w:t>
      </w:r>
      <w:r w:rsidR="00870286">
        <w:rPr>
          <w:rFonts w:ascii="Titillium" w:hAnsi="Titillium" w:cs="Calibri"/>
          <w:sz w:val="18"/>
          <w:szCs w:val="18"/>
        </w:rPr>
        <w:t>tante distinte ed autonome garanzie provvisorie quanti sono i lotti cui si intende partecipare</w:t>
      </w:r>
      <w:r>
        <w:rPr>
          <w:rFonts w:ascii="Titillium" w:hAnsi="Titillium" w:cs="Calibri"/>
          <w:sz w:val="18"/>
          <w:szCs w:val="18"/>
        </w:rPr>
        <w:t>;</w:t>
      </w:r>
    </w:p>
    <w:p w14:paraId="24FEC824" w14:textId="63B35F86" w:rsidR="00502F55" w:rsidRDefault="00502F55" w:rsidP="00502F55">
      <w:pPr>
        <w:spacing w:before="60" w:after="60"/>
        <w:rPr>
          <w:rFonts w:ascii="Titillium" w:hAnsi="Titillium" w:cs="Calibri"/>
          <w:sz w:val="18"/>
          <w:szCs w:val="18"/>
        </w:rPr>
      </w:pPr>
      <w:r>
        <w:rPr>
          <w:rFonts w:ascii="Titillium" w:hAnsi="Titillium" w:cs="Calibri"/>
          <w:sz w:val="18"/>
          <w:szCs w:val="18"/>
        </w:rPr>
        <w:t xml:space="preserve">- prestare un’unica garanzia di </w:t>
      </w:r>
      <w:r w:rsidRPr="00502F55">
        <w:rPr>
          <w:rFonts w:ascii="Titillium" w:hAnsi="Titillium" w:cs="Calibri"/>
          <w:sz w:val="18"/>
          <w:szCs w:val="18"/>
        </w:rPr>
        <w:t>importo pari alla somma</w:t>
      </w:r>
      <w:r>
        <w:rPr>
          <w:rFonts w:ascii="Titillium" w:hAnsi="Titillium" w:cs="Calibri"/>
          <w:sz w:val="18"/>
          <w:szCs w:val="18"/>
        </w:rPr>
        <w:t xml:space="preserve"> degli importi stabiliti per i l</w:t>
      </w:r>
      <w:r w:rsidRPr="00502F55">
        <w:rPr>
          <w:rFonts w:ascii="Titillium" w:hAnsi="Titillium" w:cs="Calibri"/>
          <w:sz w:val="18"/>
          <w:szCs w:val="18"/>
        </w:rPr>
        <w:t>otti cui intende partecipare</w:t>
      </w:r>
      <w:r>
        <w:rPr>
          <w:rFonts w:ascii="Titillium" w:hAnsi="Titillium" w:cs="Calibri"/>
          <w:sz w:val="18"/>
          <w:szCs w:val="18"/>
        </w:rPr>
        <w:t xml:space="preserve">. Nella garanzia sono indicati </w:t>
      </w:r>
      <w:r w:rsidRPr="00502F55">
        <w:rPr>
          <w:rFonts w:ascii="Titillium" w:hAnsi="Titillium" w:cs="Calibri"/>
          <w:sz w:val="18"/>
          <w:szCs w:val="18"/>
        </w:rPr>
        <w:t xml:space="preserve">espressamente i </w:t>
      </w:r>
      <w:r>
        <w:rPr>
          <w:rFonts w:ascii="Titillium" w:hAnsi="Titillium" w:cs="Calibri"/>
          <w:sz w:val="18"/>
          <w:szCs w:val="18"/>
        </w:rPr>
        <w:t>singoli l</w:t>
      </w:r>
      <w:r w:rsidRPr="00502F55">
        <w:rPr>
          <w:rFonts w:ascii="Titillium" w:hAnsi="Titillium" w:cs="Calibri"/>
          <w:sz w:val="18"/>
          <w:szCs w:val="18"/>
        </w:rPr>
        <w:t xml:space="preserve">otti per i quali </w:t>
      </w:r>
      <w:r>
        <w:rPr>
          <w:rFonts w:ascii="Titillium" w:hAnsi="Titillium" w:cs="Calibri"/>
          <w:sz w:val="18"/>
          <w:szCs w:val="18"/>
        </w:rPr>
        <w:t xml:space="preserve">la stessa </w:t>
      </w:r>
      <w:r w:rsidRPr="00502F55">
        <w:rPr>
          <w:rFonts w:ascii="Titillium" w:hAnsi="Titillium" w:cs="Calibri"/>
          <w:sz w:val="18"/>
          <w:szCs w:val="18"/>
        </w:rPr>
        <w:t xml:space="preserve">viene prestata, nonché gli importi di dettaglio delle singole cauzioni </w:t>
      </w:r>
      <w:r>
        <w:rPr>
          <w:rFonts w:ascii="Titillium" w:hAnsi="Titillium" w:cs="Calibri"/>
          <w:sz w:val="18"/>
          <w:szCs w:val="18"/>
        </w:rPr>
        <w:t xml:space="preserve">riferite a </w:t>
      </w:r>
      <w:r w:rsidRPr="00502F55">
        <w:rPr>
          <w:rFonts w:ascii="Titillium" w:hAnsi="Titillium" w:cs="Calibri"/>
          <w:sz w:val="18"/>
          <w:szCs w:val="18"/>
        </w:rPr>
        <w:t xml:space="preserve">ciascun lotto. </w:t>
      </w:r>
    </w:p>
    <w:p w14:paraId="73647902" w14:textId="62757370" w:rsidR="001C43A2" w:rsidRDefault="001C43A2" w:rsidP="00502F55">
      <w:pPr>
        <w:spacing w:before="60" w:after="60"/>
        <w:rPr>
          <w:rFonts w:ascii="Calibri" w:hAnsi="Calibri" w:cs="Calibri"/>
          <w:sz w:val="20"/>
          <w:szCs w:val="20"/>
        </w:rPr>
      </w:pPr>
      <w:r w:rsidRPr="000A09BF">
        <w:rPr>
          <w:rFonts w:ascii="Calibri" w:hAnsi="Calibri" w:cs="Calibri"/>
          <w:b/>
          <w:i/>
          <w:sz w:val="20"/>
          <w:szCs w:val="20"/>
        </w:rPr>
        <w:t>[</w:t>
      </w:r>
      <w:r w:rsidRPr="000A09BF">
        <w:rPr>
          <w:rFonts w:ascii="Titillium" w:hAnsi="Titillium" w:cs="Calibri"/>
          <w:b/>
          <w:bCs/>
          <w:i/>
          <w:sz w:val="18"/>
          <w:szCs w:val="18"/>
        </w:rPr>
        <w:t>In alternativa</w:t>
      </w:r>
      <w:r w:rsidR="001A5D7F" w:rsidRPr="000A09BF">
        <w:rPr>
          <w:rFonts w:ascii="Titillium" w:hAnsi="Titillium" w:cs="Calibri"/>
          <w:b/>
          <w:bCs/>
          <w:i/>
          <w:sz w:val="18"/>
          <w:szCs w:val="18"/>
        </w:rPr>
        <w:t xml:space="preserve">, </w:t>
      </w:r>
      <w:r w:rsidR="000A09BF" w:rsidRPr="000A09BF">
        <w:rPr>
          <w:rFonts w:ascii="Titillium" w:hAnsi="Titillium" w:cs="Calibri"/>
          <w:b/>
          <w:bCs/>
          <w:i/>
          <w:sz w:val="18"/>
          <w:szCs w:val="18"/>
        </w:rPr>
        <w:t>la stazione appaltante può indicare, se necessario, una sola delle due</w:t>
      </w:r>
      <w:r w:rsidR="001A5D7F" w:rsidRPr="000A09BF">
        <w:rPr>
          <w:rFonts w:ascii="Titillium" w:hAnsi="Titillium" w:cs="Calibri"/>
          <w:b/>
          <w:bCs/>
          <w:i/>
          <w:sz w:val="18"/>
          <w:szCs w:val="18"/>
        </w:rPr>
        <w:t xml:space="preserve"> opzioni </w:t>
      </w:r>
      <w:r w:rsidR="000A09BF" w:rsidRPr="000A09BF">
        <w:rPr>
          <w:rFonts w:ascii="Titillium" w:hAnsi="Titillium" w:cs="Calibri"/>
          <w:b/>
          <w:bCs/>
          <w:i/>
          <w:sz w:val="18"/>
          <w:szCs w:val="18"/>
        </w:rPr>
        <w:t>sopra indicate</w:t>
      </w:r>
      <w:r w:rsidRPr="000A09BF">
        <w:rPr>
          <w:rFonts w:ascii="Titillium" w:hAnsi="Titillium" w:cs="Calibri"/>
          <w:b/>
          <w:i/>
          <w:sz w:val="18"/>
          <w:szCs w:val="18"/>
        </w:rPr>
        <w:t>]</w:t>
      </w:r>
    </w:p>
    <w:bookmarkEnd w:id="1767"/>
    <w:p w14:paraId="050EAE81" w14:textId="6A7FC337" w:rsidR="004C53A8" w:rsidRPr="004B4C8D" w:rsidRDefault="00870286">
      <w:pPr>
        <w:spacing w:before="120" w:after="60"/>
        <w:ind w:left="425" w:hanging="425"/>
      </w:pPr>
      <w:r>
        <w:rPr>
          <w:rFonts w:ascii="Titillium" w:hAnsi="Titillium" w:cs="Calibri"/>
          <w:sz w:val="18"/>
          <w:szCs w:val="18"/>
        </w:rPr>
        <w:t xml:space="preserve">La </w:t>
      </w:r>
      <w:r w:rsidRPr="004B4C8D">
        <w:rPr>
          <w:rFonts w:ascii="Titillium" w:hAnsi="Titillium" w:cs="Calibri"/>
          <w:sz w:val="18"/>
          <w:szCs w:val="18"/>
        </w:rPr>
        <w:t>garanzia provvisoria è costituita, a scelta del concorrente</w:t>
      </w:r>
      <w:r w:rsidR="00F6778C" w:rsidRPr="004B4C8D">
        <w:rPr>
          <w:rFonts w:ascii="Titillium" w:hAnsi="Titillium" w:cs="Calibri"/>
          <w:sz w:val="18"/>
          <w:szCs w:val="18"/>
        </w:rPr>
        <w:t xml:space="preserve"> sotto forma di cauzione o di fideiussione</w:t>
      </w:r>
      <w:r w:rsidRPr="004B4C8D">
        <w:rPr>
          <w:rFonts w:ascii="Titillium" w:hAnsi="Titillium" w:cs="Calibri"/>
          <w:sz w:val="18"/>
          <w:szCs w:val="18"/>
        </w:rPr>
        <w:t>:</w:t>
      </w:r>
    </w:p>
    <w:p w14:paraId="56EF4C87" w14:textId="717F8113" w:rsidR="004C53A8" w:rsidRPr="00F6778C" w:rsidRDefault="00F6778C" w:rsidP="00F6778C">
      <w:pPr>
        <w:spacing w:before="60" w:after="60"/>
        <w:rPr>
          <w:rFonts w:ascii="Titillium" w:hAnsi="Titillium" w:cs="Calibri"/>
          <w:sz w:val="18"/>
          <w:szCs w:val="18"/>
        </w:rPr>
      </w:pPr>
      <w:r w:rsidRPr="004B4C8D">
        <w:rPr>
          <w:rFonts w:ascii="Titillium" w:hAnsi="Titillium" w:cs="Calibri"/>
          <w:sz w:val="18"/>
          <w:szCs w:val="18"/>
        </w:rPr>
        <w:t xml:space="preserve">La cauzione </w:t>
      </w:r>
      <w:r w:rsidR="006020A6" w:rsidRPr="004B4C8D">
        <w:rPr>
          <w:rFonts w:ascii="Titillium" w:hAnsi="Titillium" w:cs="Calibri"/>
          <w:sz w:val="18"/>
          <w:szCs w:val="18"/>
        </w:rPr>
        <w:t xml:space="preserve">è </w:t>
      </w:r>
      <w:r w:rsidRPr="004B4C8D">
        <w:rPr>
          <w:rFonts w:ascii="Titillium" w:hAnsi="Titillium" w:cs="Calibri"/>
          <w:sz w:val="18"/>
          <w:szCs w:val="18"/>
        </w:rPr>
        <w:t>costituita</w:t>
      </w:r>
      <w:r w:rsidR="006020A6" w:rsidRPr="004B4C8D">
        <w:rPr>
          <w:rFonts w:ascii="Titillium" w:hAnsi="Titillium" w:cs="Calibri"/>
          <w:sz w:val="18"/>
          <w:szCs w:val="18"/>
        </w:rPr>
        <w:t xml:space="preserve"> mediante accredito</w:t>
      </w:r>
      <w:r w:rsidRPr="004B4C8D">
        <w:rPr>
          <w:rFonts w:ascii="Titillium" w:hAnsi="Titillium" w:cs="Calibri"/>
          <w:sz w:val="18"/>
          <w:szCs w:val="18"/>
        </w:rPr>
        <w:t xml:space="preserve">, </w:t>
      </w:r>
      <w:r w:rsidR="0065511E" w:rsidRPr="004B4C8D">
        <w:rPr>
          <w:rFonts w:ascii="Titillium" w:hAnsi="Titillium" w:cs="Calibri"/>
          <w:sz w:val="18"/>
          <w:szCs w:val="18"/>
        </w:rPr>
        <w:t>con</w:t>
      </w:r>
      <w:r w:rsidR="00EC088D" w:rsidRPr="004B4C8D">
        <w:rPr>
          <w:rFonts w:ascii="Titillium" w:hAnsi="Titillium" w:cs="Calibri"/>
          <w:sz w:val="18"/>
          <w:szCs w:val="18"/>
        </w:rPr>
        <w:t xml:space="preserve"> bonifico </w:t>
      </w:r>
      <w:r w:rsidR="006020A6" w:rsidRPr="004B4C8D">
        <w:rPr>
          <w:rFonts w:ascii="Titillium" w:hAnsi="Titillium" w:cs="Calibri"/>
          <w:sz w:val="18"/>
          <w:szCs w:val="18"/>
        </w:rPr>
        <w:t xml:space="preserve">o con altri strumenti e canali di pagamento elettronici, </w:t>
      </w:r>
      <w:r w:rsidR="0065511E" w:rsidRPr="004B4C8D">
        <w:rPr>
          <w:rFonts w:ascii="Titillium" w:hAnsi="Titillium" w:cs="Calibri"/>
          <w:sz w:val="18"/>
          <w:szCs w:val="18"/>
        </w:rPr>
        <w:t xml:space="preserve">presso </w:t>
      </w:r>
      <w:r w:rsidR="006020A6" w:rsidRPr="004B4C8D">
        <w:rPr>
          <w:rFonts w:ascii="Titillium" w:hAnsi="Titillium" w:cs="Calibri"/>
          <w:sz w:val="18"/>
          <w:szCs w:val="18"/>
        </w:rPr>
        <w:t xml:space="preserve">il conto </w:t>
      </w:r>
      <w:r w:rsidR="00FD0C04" w:rsidRPr="004B4C8D">
        <w:rPr>
          <w:rFonts w:ascii="Titillium" w:hAnsi="Titillium" w:cs="Calibri"/>
          <w:sz w:val="18"/>
          <w:szCs w:val="18"/>
        </w:rPr>
        <w:t>…</w:t>
      </w:r>
      <w:r w:rsidR="00EC088D" w:rsidRPr="004B4C8D">
        <w:rPr>
          <w:rFonts w:ascii="Titillium" w:hAnsi="Titillium" w:cs="Calibri"/>
          <w:sz w:val="18"/>
          <w:szCs w:val="18"/>
        </w:rPr>
        <w:t xml:space="preserve"> </w:t>
      </w:r>
      <w:r w:rsidR="00FD0C04" w:rsidRPr="004B4C8D">
        <w:rPr>
          <w:rFonts w:ascii="Titillium" w:hAnsi="Titillium" w:cs="Calibri"/>
          <w:sz w:val="18"/>
          <w:szCs w:val="18"/>
        </w:rPr>
        <w:t>[</w:t>
      </w:r>
      <w:r w:rsidR="00FD0C04" w:rsidRPr="004B4C8D">
        <w:rPr>
          <w:rFonts w:ascii="Titillium" w:hAnsi="Titillium" w:cs="Calibri"/>
          <w:i/>
          <w:sz w:val="18"/>
          <w:szCs w:val="18"/>
        </w:rPr>
        <w:t>la</w:t>
      </w:r>
      <w:r w:rsidR="00FD0C04" w:rsidRPr="00F6778C">
        <w:rPr>
          <w:rFonts w:ascii="Titillium" w:hAnsi="Titillium" w:cs="Calibri"/>
          <w:i/>
          <w:sz w:val="18"/>
          <w:szCs w:val="18"/>
        </w:rPr>
        <w:t xml:space="preserve"> stazione appaltante indica gli estremi </w:t>
      </w:r>
      <w:r w:rsidR="000E7F3A">
        <w:rPr>
          <w:rFonts w:ascii="Titillium" w:hAnsi="Titillium" w:cs="Calibri"/>
          <w:i/>
          <w:sz w:val="18"/>
          <w:szCs w:val="18"/>
        </w:rPr>
        <w:t>del conto presso l’istituto incaricato del servizio di tesoreria</w:t>
      </w:r>
      <w:r w:rsidR="00870286" w:rsidRPr="00F6778C">
        <w:rPr>
          <w:rFonts w:ascii="Titillium" w:hAnsi="Titillium" w:cs="Calibri"/>
          <w:sz w:val="18"/>
          <w:szCs w:val="18"/>
        </w:rPr>
        <w:t>;</w:t>
      </w:r>
    </w:p>
    <w:p w14:paraId="267104B2" w14:textId="5F71BD09" w:rsidR="0065511E" w:rsidRDefault="0065511E" w:rsidP="00903622">
      <w:pPr>
        <w:spacing w:before="60" w:after="60"/>
        <w:rPr>
          <w:rFonts w:ascii="Titillium" w:hAnsi="Titillium" w:cs="Calibri"/>
          <w:sz w:val="18"/>
          <w:szCs w:val="24"/>
        </w:rPr>
      </w:pPr>
      <w:r>
        <w:rPr>
          <w:rFonts w:ascii="Titillium" w:hAnsi="Titillium" w:cs="Calibri"/>
          <w:sz w:val="18"/>
          <w:szCs w:val="24"/>
        </w:rPr>
        <w:t xml:space="preserve">La fideiussione </w:t>
      </w:r>
      <w:r w:rsidR="00F131CC">
        <w:rPr>
          <w:rFonts w:ascii="Titillium" w:hAnsi="Titillium" w:cs="Calibri"/>
          <w:sz w:val="18"/>
          <w:szCs w:val="24"/>
        </w:rPr>
        <w:t>può essere</w:t>
      </w:r>
      <w:r>
        <w:rPr>
          <w:rFonts w:ascii="Titillium" w:hAnsi="Titillium" w:cs="Calibri"/>
          <w:sz w:val="18"/>
          <w:szCs w:val="24"/>
        </w:rPr>
        <w:t xml:space="preserve"> r</w:t>
      </w:r>
      <w:r w:rsidR="00870286" w:rsidRPr="00F6778C">
        <w:rPr>
          <w:rFonts w:ascii="Titillium" w:hAnsi="Titillium" w:cs="Calibri"/>
          <w:sz w:val="18"/>
          <w:szCs w:val="24"/>
        </w:rPr>
        <w:t>ilasciata</w:t>
      </w:r>
      <w:r>
        <w:rPr>
          <w:rFonts w:ascii="Titillium" w:hAnsi="Titillium" w:cs="Calibri"/>
          <w:sz w:val="18"/>
          <w:szCs w:val="24"/>
        </w:rPr>
        <w:t>:</w:t>
      </w:r>
    </w:p>
    <w:p w14:paraId="5C4CD9FF" w14:textId="3DF7C333" w:rsidR="0065511E" w:rsidRPr="0065511E" w:rsidRDefault="00870286" w:rsidP="00F131CC">
      <w:pPr>
        <w:pStyle w:val="Paragrafoelenco"/>
        <w:numPr>
          <w:ilvl w:val="1"/>
          <w:numId w:val="18"/>
        </w:numPr>
        <w:spacing w:before="60" w:after="60"/>
        <w:ind w:left="426"/>
      </w:pPr>
      <w:r w:rsidRPr="0065511E">
        <w:rPr>
          <w:rFonts w:ascii="Titillium" w:hAnsi="Titillium" w:cs="Calibri"/>
          <w:sz w:val="18"/>
          <w:szCs w:val="24"/>
        </w:rPr>
        <w:t>da imprese bancarie o assicurative che rispond</w:t>
      </w:r>
      <w:r w:rsidR="0065511E" w:rsidRPr="0065511E">
        <w:rPr>
          <w:rFonts w:ascii="Titillium" w:hAnsi="Titillium" w:cs="Calibri"/>
          <w:sz w:val="18"/>
          <w:szCs w:val="24"/>
        </w:rPr>
        <w:t>ono</w:t>
      </w:r>
      <w:r w:rsidRPr="0065511E">
        <w:rPr>
          <w:rFonts w:ascii="Titillium" w:hAnsi="Titillium" w:cs="Calibri"/>
          <w:sz w:val="18"/>
          <w:szCs w:val="24"/>
        </w:rPr>
        <w:t xml:space="preserve"> ai requisiti di solvibilità previsti dalle leggi che ne disciplinano le rispettive attività</w:t>
      </w:r>
      <w:r w:rsidR="00260794">
        <w:rPr>
          <w:rFonts w:ascii="Titillium" w:hAnsi="Titillium" w:cs="Calibri"/>
          <w:sz w:val="18"/>
          <w:szCs w:val="24"/>
        </w:rPr>
        <w:t>;</w:t>
      </w:r>
    </w:p>
    <w:p w14:paraId="369BEF98" w14:textId="03FC9D38" w:rsidR="00A42183" w:rsidRPr="00D164F6" w:rsidRDefault="00870286" w:rsidP="00A42183">
      <w:pPr>
        <w:pStyle w:val="Paragrafoelenco"/>
        <w:numPr>
          <w:ilvl w:val="1"/>
          <w:numId w:val="18"/>
        </w:numPr>
        <w:spacing w:before="60" w:after="60"/>
        <w:ind w:left="426"/>
      </w:pPr>
      <w:r w:rsidRPr="0065511E">
        <w:rPr>
          <w:rFonts w:ascii="Titillium" w:hAnsi="Titillium" w:cs="Calibri"/>
          <w:sz w:val="18"/>
          <w:szCs w:val="24"/>
        </w:rPr>
        <w:t>da un intermediario finanziario iscritto nell'albo di cui all'</w:t>
      </w:r>
      <w:hyperlink r:id="rId8" w:anchor="107" w:history="1">
        <w:r w:rsidRPr="0065511E">
          <w:rPr>
            <w:rFonts w:ascii="Titillium" w:hAnsi="Titillium" w:cs="Calibri"/>
            <w:sz w:val="18"/>
            <w:szCs w:val="24"/>
          </w:rPr>
          <w:t>articolo 106 del decreto legislativo 1 settembre 1993, n. 385</w:t>
        </w:r>
      </w:hyperlink>
      <w:r w:rsidR="0065511E" w:rsidRPr="0065511E">
        <w:rPr>
          <w:rFonts w:ascii="Titillium" w:hAnsi="Titillium"/>
          <w:sz w:val="18"/>
          <w:szCs w:val="18"/>
        </w:rPr>
        <w:t>, che</w:t>
      </w:r>
      <w:r w:rsidRPr="0065511E">
        <w:rPr>
          <w:rFonts w:ascii="Titillium" w:hAnsi="Titillium"/>
          <w:sz w:val="18"/>
          <w:szCs w:val="18"/>
        </w:rPr>
        <w:t xml:space="preserve"> </w:t>
      </w:r>
      <w:r w:rsidRPr="0065511E">
        <w:rPr>
          <w:rFonts w:ascii="Titillium" w:hAnsi="Titillium" w:cs="Calibri"/>
          <w:sz w:val="18"/>
          <w:szCs w:val="18"/>
        </w:rPr>
        <w:t>svolge</w:t>
      </w:r>
      <w:r w:rsidRPr="0065511E">
        <w:rPr>
          <w:rFonts w:ascii="Titillium" w:hAnsi="Titillium" w:cs="Calibri"/>
          <w:sz w:val="18"/>
          <w:szCs w:val="24"/>
        </w:rPr>
        <w:t xml:space="preserve"> in via esclusiva o prevalente attività di rilascio di garanzie</w:t>
      </w:r>
      <w:r w:rsidR="00865266">
        <w:rPr>
          <w:rFonts w:ascii="Titillium" w:hAnsi="Titillium" w:cs="Calibri"/>
          <w:sz w:val="18"/>
          <w:szCs w:val="24"/>
        </w:rPr>
        <w:t>, che</w:t>
      </w:r>
      <w:r w:rsidRPr="0065511E">
        <w:rPr>
          <w:rFonts w:ascii="Titillium" w:hAnsi="Titillium" w:cs="Calibri"/>
          <w:sz w:val="18"/>
          <w:szCs w:val="24"/>
        </w:rPr>
        <w:t xml:space="preserve"> è sottopost</w:t>
      </w:r>
      <w:r w:rsidR="00865266">
        <w:rPr>
          <w:rFonts w:ascii="Titillium" w:hAnsi="Titillium" w:cs="Calibri"/>
          <w:sz w:val="18"/>
          <w:szCs w:val="24"/>
        </w:rPr>
        <w:t>o</w:t>
      </w:r>
      <w:r w:rsidRPr="0065511E">
        <w:rPr>
          <w:rFonts w:ascii="Titillium" w:hAnsi="Titillium" w:cs="Calibri"/>
          <w:sz w:val="18"/>
          <w:szCs w:val="24"/>
        </w:rPr>
        <w:t xml:space="preserve"> a revisione contabile da parte di una società di revisione iscritta nell'albo previsto dall'articolo 161 del decreto legi</w:t>
      </w:r>
      <w:r w:rsidR="005F328F" w:rsidRPr="0065511E">
        <w:rPr>
          <w:rFonts w:ascii="Titillium" w:hAnsi="Titillium" w:cs="Calibri"/>
          <w:sz w:val="18"/>
          <w:szCs w:val="24"/>
        </w:rPr>
        <w:t>slativo 24 febbraio 1998, n. 58</w:t>
      </w:r>
      <w:r w:rsidRPr="0065511E">
        <w:rPr>
          <w:rFonts w:ascii="Titillium" w:hAnsi="Titillium" w:cs="Calibri"/>
          <w:sz w:val="18"/>
          <w:szCs w:val="24"/>
        </w:rPr>
        <w:t>;</w:t>
      </w:r>
      <w:r w:rsidR="00865266">
        <w:rPr>
          <w:rFonts w:ascii="Titillium" w:hAnsi="Titillium" w:cs="Calibri"/>
          <w:sz w:val="18"/>
          <w:szCs w:val="24"/>
        </w:rPr>
        <w:t xml:space="preserve"> e che abbia </w:t>
      </w:r>
      <w:r w:rsidRPr="0065511E">
        <w:rPr>
          <w:rFonts w:ascii="Titillium" w:hAnsi="Titillium" w:cs="Calibri"/>
          <w:sz w:val="18"/>
          <w:szCs w:val="24"/>
        </w:rPr>
        <w:t>i requisiti minimi di solvibilità richiesti dalla vigente normativa bancaria assicurativa</w:t>
      </w:r>
      <w:r w:rsidR="00865266">
        <w:rPr>
          <w:rFonts w:ascii="Titillium" w:hAnsi="Titillium" w:cs="Calibri"/>
          <w:sz w:val="18"/>
          <w:szCs w:val="24"/>
        </w:rPr>
        <w:t>.</w:t>
      </w:r>
    </w:p>
    <w:p w14:paraId="5CF3B4CD" w14:textId="77777777" w:rsidR="001A5D7F" w:rsidRDefault="001A5D7F" w:rsidP="00D164F6">
      <w:pPr>
        <w:spacing w:before="60" w:after="60"/>
        <w:rPr>
          <w:rFonts w:ascii="Titillium" w:hAnsi="Titillium" w:cs="Calibri"/>
          <w:sz w:val="18"/>
          <w:szCs w:val="24"/>
        </w:rPr>
      </w:pPr>
    </w:p>
    <w:p w14:paraId="42349621" w14:textId="6DBBE958" w:rsidR="00D164F6" w:rsidRPr="00D164F6" w:rsidRDefault="00D164F6" w:rsidP="00D164F6">
      <w:pPr>
        <w:spacing w:before="60" w:after="60"/>
        <w:rPr>
          <w:rFonts w:ascii="Titillium" w:hAnsi="Titillium" w:cs="Calibri"/>
          <w:sz w:val="18"/>
          <w:szCs w:val="24"/>
        </w:rPr>
      </w:pPr>
      <w:r>
        <w:rPr>
          <w:rFonts w:ascii="Titillium" w:hAnsi="Titillium" w:cs="Calibri"/>
          <w:sz w:val="18"/>
          <w:szCs w:val="24"/>
        </w:rPr>
        <w:t>G</w:t>
      </w:r>
      <w:r w:rsidRPr="00D164F6">
        <w:rPr>
          <w:rFonts w:ascii="Titillium" w:hAnsi="Titillium" w:cs="Calibri"/>
          <w:sz w:val="18"/>
          <w:szCs w:val="24"/>
        </w:rPr>
        <w:t>li operatori economici, prima di procedere alla sottoscrizione della garanzia, sono tenuti a verificare che il soggetto garante sia in possesso dell’autorizzazione al rilascio di garanzie mediante accesso ai seguenti siti internet:</w:t>
      </w:r>
    </w:p>
    <w:p w14:paraId="76705AE8" w14:textId="77777777" w:rsidR="00D164F6" w:rsidRPr="00D164F6" w:rsidRDefault="00C85664" w:rsidP="00D164F6">
      <w:pPr>
        <w:pStyle w:val="Paragrafoelenco"/>
        <w:spacing w:before="60" w:after="60"/>
        <w:ind w:left="0"/>
        <w:rPr>
          <w:rFonts w:ascii="Titillium" w:hAnsi="Titillium" w:cs="Calibri"/>
          <w:sz w:val="18"/>
          <w:szCs w:val="18"/>
        </w:rPr>
      </w:pPr>
      <w:hyperlink r:id="rId9" w:history="1">
        <w:r w:rsidR="00D164F6" w:rsidRPr="00D164F6">
          <w:rPr>
            <w:rStyle w:val="Collegamentoipertestuale"/>
            <w:rFonts w:ascii="Titillium" w:hAnsi="Titillium" w:cs="Calibri"/>
            <w:sz w:val="18"/>
            <w:szCs w:val="18"/>
          </w:rPr>
          <w:t>http://www.bancaditalia.it/compiti/vigilanza/intermediari/index.html</w:t>
        </w:r>
      </w:hyperlink>
    </w:p>
    <w:p w14:paraId="4F5C7E33" w14:textId="77777777" w:rsidR="00D164F6" w:rsidRPr="00D164F6" w:rsidRDefault="00C85664" w:rsidP="00D164F6">
      <w:pPr>
        <w:spacing w:before="60" w:after="60"/>
        <w:rPr>
          <w:rFonts w:ascii="Titillium" w:hAnsi="Titillium" w:cs="Calibri"/>
          <w:sz w:val="18"/>
          <w:szCs w:val="18"/>
        </w:rPr>
      </w:pPr>
      <w:hyperlink r:id="rId10" w:history="1">
        <w:r w:rsidR="00D164F6" w:rsidRPr="00D164F6">
          <w:rPr>
            <w:rStyle w:val="Collegamentoipertestuale"/>
            <w:rFonts w:ascii="Titillium" w:hAnsi="Titillium" w:cs="Calibri"/>
            <w:sz w:val="18"/>
            <w:szCs w:val="18"/>
          </w:rPr>
          <w:t>http://www.bancaditalia.it/compiti/vigilanza/avvisi-pub/garanzie-finanziarie/</w:t>
        </w:r>
      </w:hyperlink>
    </w:p>
    <w:p w14:paraId="19C57AB7" w14:textId="77777777" w:rsidR="00D164F6" w:rsidRPr="00D164F6" w:rsidRDefault="00C85664" w:rsidP="00D164F6">
      <w:pPr>
        <w:pStyle w:val="Paragrafoelenco"/>
        <w:spacing w:before="60" w:after="60"/>
        <w:ind w:left="0"/>
        <w:rPr>
          <w:rStyle w:val="Collegamentoipertestuale"/>
          <w:rFonts w:ascii="Titillium" w:hAnsi="Titillium" w:cs="Calibri"/>
          <w:sz w:val="18"/>
          <w:szCs w:val="18"/>
        </w:rPr>
      </w:pPr>
      <w:hyperlink r:id="rId11" w:history="1">
        <w:r w:rsidR="00D164F6" w:rsidRPr="00D164F6">
          <w:rPr>
            <w:rStyle w:val="Collegamentoipertestuale"/>
            <w:rFonts w:ascii="Titillium" w:hAnsi="Titillium" w:cs="Calibri"/>
            <w:sz w:val="18"/>
            <w:szCs w:val="18"/>
          </w:rPr>
          <w:t>http://www.ivass.it/ivass/imprese_jsp/HomePage.jsp</w:t>
        </w:r>
      </w:hyperlink>
    </w:p>
    <w:p w14:paraId="77B6F138" w14:textId="77777777" w:rsidR="0079408A" w:rsidRDefault="0079408A" w:rsidP="0079408A">
      <w:pPr>
        <w:pBdr>
          <w:top w:val="single" w:sz="4" w:space="1" w:color="auto"/>
          <w:left w:val="single" w:sz="4" w:space="4" w:color="auto"/>
          <w:bottom w:val="single" w:sz="4" w:space="1" w:color="auto"/>
          <w:right w:val="single" w:sz="4" w:space="4" w:color="auto"/>
        </w:pBdr>
        <w:spacing w:before="60" w:after="60"/>
        <w:jc w:val="left"/>
        <w:rPr>
          <w:rFonts w:ascii="Titillium" w:hAnsi="Titillium" w:cs="Calibri"/>
          <w:i/>
          <w:sz w:val="18"/>
          <w:szCs w:val="18"/>
        </w:rPr>
      </w:pPr>
      <w:r w:rsidRPr="004B4C8D">
        <w:rPr>
          <w:rFonts w:ascii="Titillium" w:hAnsi="Titillium" w:cs="Calibri"/>
          <w:i/>
          <w:sz w:val="18"/>
          <w:szCs w:val="18"/>
        </w:rPr>
        <w:t xml:space="preserve">N.B.: Si raccomanda di prendere visione del documento denominato </w:t>
      </w:r>
      <w:hyperlink r:id="rId12" w:history="1">
        <w:r w:rsidRPr="00F775EC">
          <w:rPr>
            <w:rStyle w:val="Collegamentoipertestuale"/>
            <w:rFonts w:ascii="Titillium" w:hAnsi="Titillium" w:cs="Calibri"/>
            <w:i/>
            <w:sz w:val="18"/>
            <w:szCs w:val="18"/>
          </w:rPr>
          <w:t>https://www.anticorruzione.it/-/garanzie-finanziarie</w:t>
        </w:r>
      </w:hyperlink>
    </w:p>
    <w:p w14:paraId="7A896E55" w14:textId="77777777" w:rsidR="00364DF1" w:rsidRDefault="00364DF1" w:rsidP="00364DF1">
      <w:pPr>
        <w:spacing w:before="60" w:after="60"/>
        <w:ind w:left="66"/>
        <w:rPr>
          <w:rFonts w:ascii="Titillium" w:hAnsi="Titillium" w:cs="Calibri"/>
          <w:sz w:val="18"/>
          <w:szCs w:val="24"/>
        </w:rPr>
      </w:pPr>
    </w:p>
    <w:p w14:paraId="196241B2" w14:textId="77777777" w:rsidR="00F563E7" w:rsidRDefault="00364DF1" w:rsidP="00D164F6">
      <w:pPr>
        <w:spacing w:before="60" w:after="60"/>
        <w:ind w:left="66"/>
        <w:rPr>
          <w:rFonts w:ascii="Titillium" w:hAnsi="Titillium" w:cs="Calibri"/>
          <w:sz w:val="18"/>
          <w:szCs w:val="24"/>
        </w:rPr>
      </w:pPr>
      <w:r w:rsidRPr="00364DF1">
        <w:rPr>
          <w:rFonts w:ascii="Titillium" w:hAnsi="Titillium" w:cs="Calibri"/>
          <w:i/>
          <w:iCs/>
          <w:sz w:val="18"/>
          <w:szCs w:val="24"/>
        </w:rPr>
        <w:t>[Fino al 31 dicembre 2023]</w:t>
      </w:r>
      <w:r>
        <w:rPr>
          <w:rFonts w:ascii="Titillium" w:hAnsi="Titillium" w:cs="Calibri"/>
          <w:sz w:val="18"/>
          <w:szCs w:val="24"/>
        </w:rPr>
        <w:t xml:space="preserve"> </w:t>
      </w:r>
      <w:r w:rsidRPr="00D20585">
        <w:rPr>
          <w:rFonts w:ascii="Titillium" w:hAnsi="Titillium" w:cs="Calibri"/>
          <w:sz w:val="18"/>
          <w:szCs w:val="24"/>
        </w:rPr>
        <w:t xml:space="preserve">La garanzia fideiussoria deve essere emessa e firmata </w:t>
      </w:r>
      <w:r w:rsidRPr="007518AC">
        <w:rPr>
          <w:rFonts w:ascii="Titillium" w:hAnsi="Titillium" w:cs="Calibri"/>
          <w:sz w:val="18"/>
          <w:szCs w:val="24"/>
        </w:rPr>
        <w:t>da un soggetto in possesso dei poteri necessari per impegnare il garante</w:t>
      </w:r>
      <w:r>
        <w:rPr>
          <w:rFonts w:ascii="Titillium" w:hAnsi="Titillium" w:cs="Calibri"/>
          <w:sz w:val="18"/>
          <w:szCs w:val="24"/>
        </w:rPr>
        <w:t xml:space="preserve">. </w:t>
      </w:r>
    </w:p>
    <w:p w14:paraId="6CBD2162" w14:textId="77777777" w:rsidR="007E5F58" w:rsidRDefault="00702CB7" w:rsidP="00D164F6">
      <w:pPr>
        <w:spacing w:before="60" w:after="60"/>
        <w:ind w:left="66"/>
        <w:rPr>
          <w:rFonts w:ascii="Titillium" w:hAnsi="Titillium" w:cs="Calibri"/>
          <w:i/>
          <w:iCs/>
          <w:sz w:val="18"/>
          <w:szCs w:val="24"/>
        </w:rPr>
      </w:pPr>
      <w:r w:rsidRPr="00364DF1">
        <w:rPr>
          <w:rFonts w:ascii="Titillium" w:hAnsi="Titillium" w:cs="Calibri"/>
          <w:i/>
          <w:iCs/>
          <w:sz w:val="18"/>
          <w:szCs w:val="24"/>
        </w:rPr>
        <w:t>[A decorrere dal 1° gennaio 2024]</w:t>
      </w:r>
    </w:p>
    <w:p w14:paraId="09BFAEFE" w14:textId="650ADC95" w:rsidR="00D164F6" w:rsidRDefault="00364DF1" w:rsidP="00D164F6">
      <w:pPr>
        <w:spacing w:before="60" w:after="60"/>
        <w:ind w:left="66"/>
        <w:rPr>
          <w:rFonts w:ascii="Titillium" w:hAnsi="Titillium" w:cs="Calibri"/>
          <w:sz w:val="18"/>
          <w:szCs w:val="24"/>
        </w:rPr>
      </w:pPr>
      <w:r>
        <w:rPr>
          <w:rFonts w:ascii="Titillium" w:hAnsi="Titillium" w:cs="Calibri"/>
          <w:i/>
          <w:iCs/>
          <w:sz w:val="18"/>
          <w:szCs w:val="24"/>
        </w:rPr>
        <w:lastRenderedPageBreak/>
        <w:t xml:space="preserve"> </w:t>
      </w:r>
      <w:r w:rsidR="00D164F6" w:rsidRPr="00D20585">
        <w:rPr>
          <w:rFonts w:ascii="Titillium" w:hAnsi="Titillium" w:cs="Calibri"/>
          <w:sz w:val="18"/>
          <w:szCs w:val="24"/>
        </w:rPr>
        <w:t>La garanzia fideiussoria deve essere emessa e firmata digitalmente</w:t>
      </w:r>
      <w:r w:rsidR="00D164F6" w:rsidRPr="007518AC">
        <w:t xml:space="preserve"> </w:t>
      </w:r>
      <w:r w:rsidR="00D164F6" w:rsidRPr="007518AC">
        <w:rPr>
          <w:rFonts w:ascii="Titillium" w:hAnsi="Titillium" w:cs="Calibri"/>
          <w:sz w:val="18"/>
          <w:szCs w:val="24"/>
        </w:rPr>
        <w:t>da un soggetto in possesso dei poteri necessari per impegnare il garante</w:t>
      </w:r>
      <w:r w:rsidR="00D164F6" w:rsidRPr="00D20585">
        <w:rPr>
          <w:rFonts w:ascii="Titillium" w:hAnsi="Titillium" w:cs="Calibri"/>
          <w:sz w:val="18"/>
          <w:szCs w:val="24"/>
        </w:rPr>
        <w:t xml:space="preserve">. </w:t>
      </w:r>
    </w:p>
    <w:p w14:paraId="0C014F3E" w14:textId="26FF723E" w:rsidR="0094237C" w:rsidRDefault="00292AC2" w:rsidP="00292AC2">
      <w:pPr>
        <w:spacing w:before="60" w:after="60"/>
        <w:ind w:left="66"/>
        <w:rPr>
          <w:rFonts w:ascii="Titillium" w:hAnsi="Titillium" w:cs="Calibri"/>
          <w:sz w:val="18"/>
          <w:szCs w:val="24"/>
        </w:rPr>
      </w:pPr>
      <w:r w:rsidRPr="00F44937">
        <w:rPr>
          <w:rFonts w:ascii="Titillium" w:hAnsi="Titillium" w:cs="Calibri"/>
          <w:i/>
          <w:sz w:val="18"/>
          <w:szCs w:val="24"/>
        </w:rPr>
        <w:t>[</w:t>
      </w:r>
      <w:bookmarkStart w:id="1768" w:name="_Hlk138084823"/>
      <w:r w:rsidR="0094237C">
        <w:rPr>
          <w:rFonts w:ascii="Titillium" w:hAnsi="Titillium" w:cs="Calibri"/>
          <w:i/>
          <w:sz w:val="18"/>
          <w:szCs w:val="24"/>
        </w:rPr>
        <w:t>N</w:t>
      </w:r>
      <w:r w:rsidRPr="00F44937">
        <w:rPr>
          <w:rFonts w:ascii="Titillium" w:hAnsi="Titillium" w:cs="Calibri"/>
          <w:i/>
          <w:sz w:val="18"/>
          <w:szCs w:val="24"/>
        </w:rPr>
        <w:t xml:space="preserve">el caso in cui la stazione appaltante sia abilitata ad effettuare le verifiche di veridicità sulle garanzie fideiussorie gestite tramite ricorso a piattaforme operanti </w:t>
      </w:r>
      <w:bookmarkEnd w:id="1768"/>
      <w:r w:rsidRPr="00F44937">
        <w:rPr>
          <w:rFonts w:ascii="Titillium" w:hAnsi="Titillium" w:cs="Calibri"/>
          <w:i/>
          <w:sz w:val="18"/>
          <w:szCs w:val="24"/>
        </w:rPr>
        <w:t>con tecnologie basate su registri distribuiti ai sensi dell’articolo 8-ter, comma 1, del decreto-legge 14 dicembre 2018, n. 135, convertito, con modificazioni, dalla legge 11 febbraio 2019, n. 12,</w:t>
      </w:r>
      <w:r>
        <w:rPr>
          <w:rFonts w:ascii="Titillium" w:hAnsi="Titillium" w:cs="Calibri"/>
          <w:sz w:val="18"/>
          <w:szCs w:val="24"/>
        </w:rPr>
        <w:t>] L’operatore economico</w:t>
      </w:r>
      <w:r w:rsidR="00500DB0">
        <w:rPr>
          <w:rFonts w:ascii="Titillium" w:hAnsi="Titillium" w:cs="Calibri"/>
          <w:sz w:val="18"/>
          <w:szCs w:val="24"/>
        </w:rPr>
        <w:t xml:space="preserve"> può</w:t>
      </w:r>
      <w:r w:rsidR="0094237C">
        <w:rPr>
          <w:rFonts w:ascii="Titillium" w:hAnsi="Titillium" w:cs="Calibri"/>
          <w:sz w:val="18"/>
          <w:szCs w:val="24"/>
        </w:rPr>
        <w:t>, alternativamente:</w:t>
      </w:r>
    </w:p>
    <w:p w14:paraId="1748EA6E" w14:textId="40FBA8D6" w:rsidR="0094237C" w:rsidRDefault="0094237C" w:rsidP="00292AC2">
      <w:pPr>
        <w:spacing w:before="60" w:after="60"/>
        <w:ind w:left="66"/>
        <w:rPr>
          <w:rFonts w:ascii="Titillium" w:hAnsi="Titillium" w:cs="Calibri"/>
          <w:sz w:val="18"/>
          <w:szCs w:val="24"/>
        </w:rPr>
      </w:pPr>
      <w:r w:rsidRPr="00385996">
        <w:rPr>
          <w:rFonts w:ascii="Titillium" w:hAnsi="Titillium" w:cs="Calibri"/>
          <w:i/>
          <w:sz w:val="18"/>
          <w:szCs w:val="24"/>
        </w:rPr>
        <w:t xml:space="preserve">- </w:t>
      </w:r>
      <w:r w:rsidR="00292AC2" w:rsidRPr="00385996">
        <w:rPr>
          <w:rFonts w:ascii="Titillium" w:hAnsi="Titillium" w:cs="Calibri"/>
          <w:sz w:val="18"/>
          <w:szCs w:val="24"/>
        </w:rPr>
        <w:t xml:space="preserve"> presentare una </w:t>
      </w:r>
      <w:r w:rsidR="00702CB7" w:rsidRPr="00385996">
        <w:rPr>
          <w:rFonts w:ascii="Titillium" w:hAnsi="Titillium" w:cs="Calibri"/>
          <w:sz w:val="18"/>
          <w:szCs w:val="24"/>
        </w:rPr>
        <w:t xml:space="preserve">garanzia fideiussoria </w:t>
      </w:r>
      <w:r w:rsidR="00A42183" w:rsidRPr="00385996">
        <w:rPr>
          <w:rFonts w:ascii="Titillium" w:hAnsi="Titillium" w:cs="Calibri"/>
          <w:sz w:val="18"/>
          <w:szCs w:val="24"/>
        </w:rPr>
        <w:t>gestita mediante ricorso</w:t>
      </w:r>
      <w:r w:rsidR="006C3BFD" w:rsidRPr="00385996">
        <w:rPr>
          <w:rFonts w:ascii="Titillium" w:hAnsi="Titillium" w:cs="Calibri"/>
          <w:sz w:val="18"/>
          <w:szCs w:val="24"/>
        </w:rPr>
        <w:t xml:space="preserve"> </w:t>
      </w:r>
      <w:r w:rsidR="00A42183" w:rsidRPr="00385996">
        <w:rPr>
          <w:rFonts w:ascii="Titillium" w:hAnsi="Titillium" w:cs="Calibri"/>
          <w:sz w:val="18"/>
          <w:szCs w:val="24"/>
        </w:rPr>
        <w:t>a</w:t>
      </w:r>
      <w:r w:rsidR="00E66A34" w:rsidRPr="00385996">
        <w:rPr>
          <w:rFonts w:ascii="Titillium" w:hAnsi="Titillium" w:cs="Calibri"/>
          <w:sz w:val="18"/>
          <w:szCs w:val="24"/>
        </w:rPr>
        <w:t xml:space="preserve"> una delle seguenti piattaforme </w:t>
      </w:r>
      <w:r w:rsidR="00500DB0" w:rsidRPr="00385996">
        <w:rPr>
          <w:rFonts w:ascii="Titillium" w:hAnsi="Titillium" w:cs="Calibri"/>
          <w:sz w:val="18"/>
          <w:szCs w:val="24"/>
        </w:rPr>
        <w:t xml:space="preserve">… </w:t>
      </w:r>
      <w:r w:rsidR="00E66A34" w:rsidRPr="00385996">
        <w:rPr>
          <w:rFonts w:ascii="Titillium" w:hAnsi="Titillium" w:cs="Calibri"/>
          <w:sz w:val="18"/>
          <w:szCs w:val="24"/>
        </w:rPr>
        <w:t>[</w:t>
      </w:r>
      <w:r w:rsidR="00E66A34" w:rsidRPr="00385996">
        <w:rPr>
          <w:rFonts w:ascii="Titillium" w:hAnsi="Titillium" w:cs="Calibri"/>
          <w:i/>
          <w:sz w:val="18"/>
          <w:szCs w:val="24"/>
        </w:rPr>
        <w:t>indicare le piattaforme cui la stazione appaltante è abilitata</w:t>
      </w:r>
      <w:r w:rsidR="00E66A34" w:rsidRPr="00385996">
        <w:rPr>
          <w:rFonts w:ascii="Titillium" w:hAnsi="Titillium" w:cs="Calibri"/>
          <w:sz w:val="18"/>
          <w:szCs w:val="24"/>
        </w:rPr>
        <w:t>]</w:t>
      </w:r>
      <w:r w:rsidRPr="00385996">
        <w:rPr>
          <w:rFonts w:ascii="Titillium" w:hAnsi="Titillium" w:cs="Calibri"/>
          <w:sz w:val="18"/>
          <w:szCs w:val="24"/>
        </w:rPr>
        <w:t>;</w:t>
      </w:r>
    </w:p>
    <w:p w14:paraId="1B11AEA5" w14:textId="07AF7CE0" w:rsidR="00A42183" w:rsidRDefault="0094237C" w:rsidP="00292AC2">
      <w:pPr>
        <w:spacing w:before="60" w:after="60"/>
        <w:ind w:left="66"/>
        <w:rPr>
          <w:rFonts w:ascii="Titillium" w:hAnsi="Titillium" w:cs="Calibri"/>
          <w:sz w:val="18"/>
          <w:szCs w:val="24"/>
        </w:rPr>
      </w:pPr>
      <w:r>
        <w:rPr>
          <w:rFonts w:ascii="Titillium" w:hAnsi="Titillium" w:cs="Calibri"/>
          <w:sz w:val="18"/>
          <w:szCs w:val="24"/>
        </w:rPr>
        <w:t xml:space="preserve">- </w:t>
      </w:r>
      <w:r w:rsidR="00F44937">
        <w:rPr>
          <w:rFonts w:ascii="Titillium" w:hAnsi="Titillium" w:cs="Calibri"/>
          <w:sz w:val="18"/>
          <w:szCs w:val="24"/>
        </w:rPr>
        <w:t xml:space="preserve">presentare una garanzia fideiussoria </w:t>
      </w:r>
      <w:r w:rsidR="00F44937" w:rsidRPr="00F44937">
        <w:rPr>
          <w:rFonts w:ascii="Titillium" w:hAnsi="Titillium" w:cs="Calibri"/>
          <w:sz w:val="18"/>
          <w:szCs w:val="24"/>
        </w:rPr>
        <w:t>verificabile telematicamente presso l’emittente</w:t>
      </w:r>
      <w:r w:rsidR="00F44937">
        <w:rPr>
          <w:rFonts w:ascii="Titillium" w:hAnsi="Titillium" w:cs="Calibri"/>
          <w:sz w:val="18"/>
          <w:szCs w:val="24"/>
        </w:rPr>
        <w:t xml:space="preserve">, indicando </w:t>
      </w:r>
      <w:r w:rsidR="00F44937" w:rsidRPr="00F44937">
        <w:rPr>
          <w:rFonts w:ascii="Titillium" w:hAnsi="Titillium" w:cs="Calibri"/>
          <w:sz w:val="18"/>
          <w:szCs w:val="24"/>
        </w:rPr>
        <w:t xml:space="preserve">nella domanda il sito internet presso il quale </w:t>
      </w:r>
      <w:r w:rsidR="00F44937">
        <w:rPr>
          <w:rFonts w:ascii="Titillium" w:hAnsi="Titillium" w:cs="Calibri"/>
          <w:sz w:val="18"/>
          <w:szCs w:val="24"/>
        </w:rPr>
        <w:t>è possibile verificare la garanzia.</w:t>
      </w:r>
      <w:r w:rsidR="00F44937" w:rsidRPr="00F44937">
        <w:rPr>
          <w:rFonts w:ascii="Titillium" w:hAnsi="Titillium" w:cs="Calibri"/>
          <w:sz w:val="18"/>
          <w:szCs w:val="24"/>
        </w:rPr>
        <w:t xml:space="preserve"> </w:t>
      </w:r>
    </w:p>
    <w:p w14:paraId="4FD7605D" w14:textId="6F91CD83" w:rsidR="00533FCD" w:rsidRDefault="0094237C" w:rsidP="0079408A">
      <w:pPr>
        <w:spacing w:before="60" w:after="60"/>
        <w:ind w:left="66"/>
        <w:rPr>
          <w:rFonts w:ascii="Titillium" w:hAnsi="Titillium" w:cs="Calibri"/>
          <w:sz w:val="18"/>
          <w:szCs w:val="24"/>
        </w:rPr>
      </w:pPr>
      <w:r>
        <w:rPr>
          <w:rFonts w:ascii="Titillium" w:hAnsi="Titillium" w:cs="Calibri"/>
          <w:i/>
          <w:sz w:val="18"/>
          <w:szCs w:val="24"/>
        </w:rPr>
        <w:t>[</w:t>
      </w:r>
      <w:r w:rsidR="00F44937">
        <w:rPr>
          <w:rFonts w:ascii="Titillium" w:hAnsi="Titillium" w:cs="Calibri"/>
          <w:i/>
          <w:sz w:val="18"/>
          <w:szCs w:val="24"/>
        </w:rPr>
        <w:t>In alternativa</w:t>
      </w:r>
      <w:r>
        <w:rPr>
          <w:rFonts w:ascii="Titillium" w:hAnsi="Titillium" w:cs="Calibri"/>
          <w:i/>
          <w:sz w:val="18"/>
          <w:szCs w:val="24"/>
        </w:rPr>
        <w:t xml:space="preserve">, nel caso in cui la stazione appaltante non sia abilitata ad effettuare verifiche di veridicità sulle garanzie fideiussorie gestite tramite piattaforme telematiche] </w:t>
      </w:r>
      <w:r w:rsidR="00F44937">
        <w:rPr>
          <w:rFonts w:ascii="Titillium" w:hAnsi="Titillium" w:cs="Calibri"/>
          <w:sz w:val="18"/>
          <w:szCs w:val="24"/>
        </w:rPr>
        <w:t xml:space="preserve">L’operatore economico </w:t>
      </w:r>
      <w:r w:rsidR="00F44937" w:rsidRPr="00F44937">
        <w:rPr>
          <w:rFonts w:ascii="Titillium" w:hAnsi="Titillium" w:cs="Calibri"/>
          <w:sz w:val="18"/>
          <w:szCs w:val="24"/>
        </w:rPr>
        <w:t xml:space="preserve">presenta una garanzia fideiussoria verificabile telematicamente presso l’emittente, indicando nella domanda il sito internet presso il quale </w:t>
      </w:r>
      <w:r w:rsidR="00F44937">
        <w:rPr>
          <w:rFonts w:ascii="Titillium" w:hAnsi="Titillium" w:cs="Calibri"/>
          <w:sz w:val="18"/>
          <w:szCs w:val="24"/>
        </w:rPr>
        <w:t xml:space="preserve">è possibile verificare la </w:t>
      </w:r>
      <w:r w:rsidR="00F44937" w:rsidRPr="00F44937">
        <w:rPr>
          <w:rFonts w:ascii="Titillium" w:hAnsi="Titillium" w:cs="Calibri"/>
          <w:sz w:val="18"/>
          <w:szCs w:val="24"/>
        </w:rPr>
        <w:t>garanzia</w:t>
      </w:r>
      <w:r w:rsidR="00F44937">
        <w:rPr>
          <w:rFonts w:ascii="Titillium" w:hAnsi="Titillium" w:cs="Calibri"/>
          <w:sz w:val="18"/>
          <w:szCs w:val="24"/>
        </w:rPr>
        <w:t>.</w:t>
      </w:r>
      <w:r w:rsidR="00F44937" w:rsidRPr="00F44937">
        <w:rPr>
          <w:rFonts w:ascii="Titillium" w:hAnsi="Titillium" w:cs="Calibri"/>
          <w:sz w:val="18"/>
          <w:szCs w:val="24"/>
        </w:rPr>
        <w:t xml:space="preserve"> </w:t>
      </w:r>
    </w:p>
    <w:p w14:paraId="0E90DF97" w14:textId="77777777" w:rsidR="007E5F58" w:rsidRDefault="007E5F58" w:rsidP="00865266">
      <w:pPr>
        <w:spacing w:before="60" w:after="60"/>
        <w:rPr>
          <w:rFonts w:ascii="Titillium" w:hAnsi="Titillium" w:cs="Calibri"/>
          <w:sz w:val="18"/>
          <w:szCs w:val="18"/>
        </w:rPr>
      </w:pPr>
    </w:p>
    <w:p w14:paraId="1FBCDBE9" w14:textId="1112854F" w:rsidR="004C53A8" w:rsidRPr="005F328F" w:rsidRDefault="002507BD" w:rsidP="00865266">
      <w:pPr>
        <w:spacing w:before="60" w:after="60"/>
      </w:pPr>
      <w:r w:rsidRPr="005F328F">
        <w:rPr>
          <w:rFonts w:ascii="Titillium" w:hAnsi="Titillium" w:cs="Calibri"/>
          <w:sz w:val="18"/>
          <w:szCs w:val="18"/>
        </w:rPr>
        <w:t xml:space="preserve">La </w:t>
      </w:r>
      <w:r w:rsidR="00865266">
        <w:rPr>
          <w:rFonts w:ascii="Titillium" w:hAnsi="Titillium" w:cs="Calibri"/>
          <w:sz w:val="18"/>
          <w:szCs w:val="18"/>
        </w:rPr>
        <w:t xml:space="preserve">fideiussione </w:t>
      </w:r>
      <w:r w:rsidR="00870286" w:rsidRPr="005F328F">
        <w:rPr>
          <w:rFonts w:ascii="Titillium" w:hAnsi="Titillium" w:cs="Calibri"/>
          <w:sz w:val="18"/>
          <w:szCs w:val="18"/>
        </w:rPr>
        <w:t>deve:</w:t>
      </w:r>
    </w:p>
    <w:p w14:paraId="2B4D2CBF" w14:textId="77777777"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contenere espressa menzione dell’oggetto del contratto di appalto e del soggetto garantito (stazione appaltante);</w:t>
      </w:r>
    </w:p>
    <w:p w14:paraId="32A95B9D" w14:textId="3AB8F8F2" w:rsidR="00092FE3" w:rsidRDefault="00870286" w:rsidP="00092FE3">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all’</w:t>
      </w:r>
      <w:r w:rsidR="00291685">
        <w:rPr>
          <w:rFonts w:ascii="Titillium" w:hAnsi="Titillium" w:cs="Calibri"/>
          <w:sz w:val="18"/>
          <w:szCs w:val="18"/>
        </w:rPr>
        <w:t>articolo</w:t>
      </w:r>
      <w:r w:rsidR="00533FCD">
        <w:rPr>
          <w:rFonts w:ascii="Titillium" w:hAnsi="Titillium" w:cs="Calibri"/>
          <w:sz w:val="18"/>
          <w:szCs w:val="18"/>
        </w:rPr>
        <w:t xml:space="preserve"> </w:t>
      </w:r>
      <w:r w:rsidR="00500DB0">
        <w:rPr>
          <w:rFonts w:ascii="Titillium" w:hAnsi="Titillium" w:cs="Calibri"/>
          <w:sz w:val="18"/>
          <w:szCs w:val="18"/>
        </w:rPr>
        <w:t>65</w:t>
      </w:r>
      <w:r w:rsidR="00533FCD">
        <w:rPr>
          <w:rFonts w:ascii="Titillium" w:hAnsi="Titillium" w:cs="Calibri"/>
          <w:sz w:val="18"/>
          <w:szCs w:val="18"/>
        </w:rPr>
        <w:t>, comma 2 lettere</w:t>
      </w:r>
      <w:r>
        <w:rPr>
          <w:rFonts w:ascii="Titillium" w:hAnsi="Titillium" w:cs="Calibri"/>
          <w:sz w:val="18"/>
          <w:szCs w:val="18"/>
        </w:rPr>
        <w:t xml:space="preserve"> b)</w:t>
      </w:r>
      <w:r w:rsidR="00500DB0">
        <w:rPr>
          <w:rFonts w:ascii="Titillium" w:hAnsi="Titillium" w:cs="Calibri"/>
          <w:sz w:val="18"/>
          <w:szCs w:val="18"/>
        </w:rPr>
        <w:t>,</w:t>
      </w:r>
      <w:r>
        <w:rPr>
          <w:rFonts w:ascii="Titillium" w:hAnsi="Titillium" w:cs="Calibri"/>
          <w:sz w:val="18"/>
          <w:szCs w:val="18"/>
        </w:rPr>
        <w:t xml:space="preserve"> c)</w:t>
      </w:r>
      <w:r w:rsidR="00500DB0">
        <w:rPr>
          <w:rFonts w:ascii="Titillium" w:hAnsi="Titillium" w:cs="Calibri"/>
          <w:sz w:val="18"/>
          <w:szCs w:val="18"/>
        </w:rPr>
        <w:t>, d)</w:t>
      </w:r>
      <w:r>
        <w:rPr>
          <w:rFonts w:ascii="Titillium" w:hAnsi="Titillium" w:cs="Calibri"/>
          <w:sz w:val="18"/>
          <w:szCs w:val="18"/>
        </w:rPr>
        <w:t xml:space="preserve"> del Codice, al solo consorzio;</w:t>
      </w:r>
    </w:p>
    <w:p w14:paraId="6D7DCBC2" w14:textId="3ACF02C0" w:rsidR="004C53A8" w:rsidRPr="00092FE3" w:rsidRDefault="00870286" w:rsidP="00092FE3">
      <w:pPr>
        <w:numPr>
          <w:ilvl w:val="2"/>
          <w:numId w:val="33"/>
        </w:numPr>
        <w:spacing w:before="60" w:after="60"/>
        <w:ind w:left="284" w:hanging="284"/>
        <w:rPr>
          <w:rFonts w:ascii="Titillium" w:hAnsi="Titillium" w:cs="Calibri"/>
          <w:sz w:val="18"/>
          <w:szCs w:val="18"/>
        </w:rPr>
      </w:pPr>
      <w:r w:rsidRPr="00092FE3">
        <w:rPr>
          <w:rFonts w:ascii="Titillium" w:hAnsi="Titillium" w:cs="Calibri"/>
          <w:sz w:val="18"/>
          <w:szCs w:val="18"/>
        </w:rPr>
        <w:t>essere conforme allo schema tipo approvato con decreto del Ministro dello sviluppo economico del</w:t>
      </w:r>
      <w:r w:rsidR="00865266" w:rsidRPr="00092FE3">
        <w:rPr>
          <w:rFonts w:ascii="Titillium" w:hAnsi="Titillium" w:cs="Calibri"/>
          <w:sz w:val="18"/>
          <w:szCs w:val="18"/>
        </w:rPr>
        <w:t xml:space="preserve"> </w:t>
      </w:r>
      <w:r w:rsidR="00B205AA" w:rsidRPr="00092FE3">
        <w:rPr>
          <w:rFonts w:ascii="Titillium" w:hAnsi="Titillium" w:cs="Calibri"/>
          <w:sz w:val="18"/>
          <w:szCs w:val="18"/>
        </w:rPr>
        <w:t>16 settembre 2022 n. 193</w:t>
      </w:r>
      <w:r w:rsidRPr="00092FE3">
        <w:rPr>
          <w:rFonts w:ascii="Titillium" w:hAnsi="Titillium" w:cs="Calibri"/>
          <w:sz w:val="18"/>
          <w:szCs w:val="18"/>
        </w:rPr>
        <w:t>;</w:t>
      </w:r>
    </w:p>
    <w:p w14:paraId="0DFEC432" w14:textId="77777777" w:rsidR="004C53A8" w:rsidRDefault="00870286" w:rsidP="00601972">
      <w:pPr>
        <w:numPr>
          <w:ilvl w:val="2"/>
          <w:numId w:val="33"/>
        </w:numPr>
        <w:spacing w:before="60" w:after="60"/>
        <w:ind w:left="284" w:hanging="284"/>
      </w:pPr>
      <w:r>
        <w:rPr>
          <w:rFonts w:ascii="Titillium" w:hAnsi="Titillium" w:cs="Calibri"/>
          <w:sz w:val="18"/>
          <w:szCs w:val="18"/>
        </w:rPr>
        <w:t xml:space="preserve">avere validità per </w:t>
      </w:r>
      <w:r>
        <w:rPr>
          <w:rFonts w:ascii="Titillium" w:hAnsi="Titillium" w:cs="Calibri"/>
          <w:i/>
          <w:sz w:val="18"/>
          <w:szCs w:val="18"/>
        </w:rPr>
        <w:t xml:space="preserve">... </w:t>
      </w:r>
      <w:r>
        <w:rPr>
          <w:rFonts w:ascii="Titillium" w:hAnsi="Titillium" w:cs="Calibri"/>
          <w:sz w:val="18"/>
          <w:szCs w:val="18"/>
        </w:rPr>
        <w:t>giorni</w:t>
      </w:r>
      <w:r>
        <w:rPr>
          <w:rFonts w:ascii="Titillium" w:hAnsi="Titillium" w:cs="Calibri"/>
          <w:i/>
          <w:sz w:val="18"/>
          <w:szCs w:val="18"/>
        </w:rPr>
        <w:t xml:space="preserve"> [almeno 180 gg. - ovvero altro termine, in relazione alla durata prevista per il procedimento]</w:t>
      </w:r>
      <w:r>
        <w:rPr>
          <w:rFonts w:ascii="Titillium" w:hAnsi="Titillium" w:cs="Calibri"/>
          <w:sz w:val="18"/>
          <w:szCs w:val="18"/>
        </w:rPr>
        <w:t xml:space="preserve"> dalla data di presentazione dell’offerta; </w:t>
      </w:r>
    </w:p>
    <w:p w14:paraId="01B9693E" w14:textId="77777777"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 xml:space="preserve">prevedere espressamente: </w:t>
      </w:r>
    </w:p>
    <w:p w14:paraId="4107100B" w14:textId="5524E11C" w:rsidR="004C53A8" w:rsidRDefault="00870286" w:rsidP="00601972">
      <w:pPr>
        <w:numPr>
          <w:ilvl w:val="3"/>
          <w:numId w:val="33"/>
        </w:numPr>
        <w:spacing w:before="60" w:after="60"/>
        <w:ind w:left="709" w:hanging="425"/>
        <w:rPr>
          <w:rFonts w:ascii="Titillium" w:hAnsi="Titillium" w:cs="Calibri"/>
          <w:sz w:val="18"/>
          <w:szCs w:val="18"/>
        </w:rPr>
      </w:pPr>
      <w:r>
        <w:rPr>
          <w:rFonts w:ascii="Titillium" w:hAnsi="Titillium" w:cs="Calibri"/>
          <w:sz w:val="18"/>
          <w:szCs w:val="18"/>
        </w:rPr>
        <w:t>la rinuncia al beneficio della preventiva escussione del debitore principale di cui all’</w:t>
      </w:r>
      <w:r w:rsidR="00291685">
        <w:rPr>
          <w:rFonts w:ascii="Titillium" w:hAnsi="Titillium" w:cs="Calibri"/>
          <w:sz w:val="18"/>
          <w:szCs w:val="18"/>
        </w:rPr>
        <w:t>articolo</w:t>
      </w:r>
      <w:r>
        <w:rPr>
          <w:rFonts w:ascii="Titillium" w:hAnsi="Titillium" w:cs="Calibri"/>
          <w:sz w:val="18"/>
          <w:szCs w:val="18"/>
        </w:rPr>
        <w:t xml:space="preserve"> 1944 del </w:t>
      </w:r>
      <w:r w:rsidR="00865266">
        <w:rPr>
          <w:rFonts w:ascii="Titillium" w:hAnsi="Titillium" w:cs="Calibri"/>
          <w:sz w:val="18"/>
          <w:szCs w:val="18"/>
        </w:rPr>
        <w:t>Codice civile</w:t>
      </w:r>
      <w:r>
        <w:rPr>
          <w:rFonts w:ascii="Titillium" w:hAnsi="Titillium" w:cs="Calibri"/>
          <w:sz w:val="18"/>
          <w:szCs w:val="18"/>
        </w:rPr>
        <w:t xml:space="preserve">; </w:t>
      </w:r>
    </w:p>
    <w:p w14:paraId="46FF4965" w14:textId="5117F8CF" w:rsidR="004C53A8" w:rsidRDefault="00870286" w:rsidP="00601972">
      <w:pPr>
        <w:numPr>
          <w:ilvl w:val="3"/>
          <w:numId w:val="33"/>
        </w:numPr>
        <w:spacing w:before="60" w:after="60"/>
        <w:ind w:left="709" w:hanging="425"/>
        <w:rPr>
          <w:rFonts w:ascii="Titillium" w:hAnsi="Titillium" w:cs="Calibri"/>
          <w:sz w:val="18"/>
          <w:szCs w:val="18"/>
        </w:rPr>
      </w:pPr>
      <w:r>
        <w:rPr>
          <w:rFonts w:ascii="Titillium" w:hAnsi="Titillium" w:cs="Calibri"/>
          <w:sz w:val="18"/>
          <w:szCs w:val="18"/>
        </w:rPr>
        <w:t>la rinuncia ad eccepire la decorrenza dei termini di cui all’</w:t>
      </w:r>
      <w:r w:rsidR="00291685">
        <w:rPr>
          <w:rFonts w:ascii="Titillium" w:hAnsi="Titillium" w:cs="Calibri"/>
          <w:sz w:val="18"/>
          <w:szCs w:val="18"/>
        </w:rPr>
        <w:t>articolo</w:t>
      </w:r>
      <w:r>
        <w:rPr>
          <w:rFonts w:ascii="Titillium" w:hAnsi="Titillium" w:cs="Calibri"/>
          <w:sz w:val="18"/>
          <w:szCs w:val="18"/>
        </w:rPr>
        <w:t xml:space="preserve"> 1957, secondo comma, del </w:t>
      </w:r>
      <w:r w:rsidR="00865266">
        <w:rPr>
          <w:rFonts w:ascii="Titillium" w:hAnsi="Titillium" w:cs="Calibri"/>
          <w:sz w:val="18"/>
          <w:szCs w:val="18"/>
        </w:rPr>
        <w:t>Codice civile</w:t>
      </w:r>
      <w:r>
        <w:rPr>
          <w:rFonts w:ascii="Titillium" w:hAnsi="Titillium" w:cs="Calibri"/>
          <w:sz w:val="18"/>
          <w:szCs w:val="18"/>
        </w:rPr>
        <w:t xml:space="preserve">; </w:t>
      </w:r>
    </w:p>
    <w:p w14:paraId="4AAF788A" w14:textId="19735B84" w:rsidR="004C53A8" w:rsidRDefault="00870286" w:rsidP="00601972">
      <w:pPr>
        <w:numPr>
          <w:ilvl w:val="3"/>
          <w:numId w:val="33"/>
        </w:numPr>
        <w:spacing w:before="60" w:after="60"/>
        <w:ind w:left="709" w:hanging="425"/>
      </w:pPr>
      <w:r>
        <w:rPr>
          <w:rFonts w:ascii="Titillium" w:hAnsi="Titillium" w:cs="Calibri"/>
          <w:sz w:val="18"/>
          <w:szCs w:val="18"/>
        </w:rPr>
        <w:t>l’operatività della stessa entro quindici giorni a semplice richiesta scritta della stazione appaltante</w:t>
      </w:r>
      <w:r w:rsidR="002507BD">
        <w:rPr>
          <w:rFonts w:ascii="Titillium" w:hAnsi="Titillium" w:cs="Calibri"/>
          <w:sz w:val="18"/>
          <w:szCs w:val="18"/>
        </w:rPr>
        <w:t>.</w:t>
      </w:r>
      <w:r>
        <w:rPr>
          <w:rFonts w:ascii="Titillium" w:hAnsi="Titillium" w:cs="Calibri"/>
          <w:sz w:val="18"/>
          <w:szCs w:val="18"/>
        </w:rPr>
        <w:t xml:space="preserve"> </w:t>
      </w:r>
    </w:p>
    <w:p w14:paraId="27B905C7" w14:textId="47860A3C" w:rsidR="004C53A8" w:rsidRDefault="00B205AA" w:rsidP="00601972">
      <w:pPr>
        <w:numPr>
          <w:ilvl w:val="0"/>
          <w:numId w:val="34"/>
        </w:numPr>
        <w:spacing w:before="60" w:after="60"/>
        <w:ind w:left="284" w:hanging="284"/>
      </w:pPr>
      <w:bookmarkStart w:id="1769" w:name="_Ref496519438"/>
      <w:r w:rsidRPr="00865266">
        <w:rPr>
          <w:rFonts w:ascii="Titillium" w:hAnsi="Titillium" w:cs="Calibri"/>
          <w:b/>
          <w:i/>
          <w:iCs/>
          <w:sz w:val="18"/>
          <w:szCs w:val="18"/>
        </w:rPr>
        <w:t>[facoltativo]</w:t>
      </w:r>
      <w:r>
        <w:rPr>
          <w:rFonts w:ascii="Titillium" w:hAnsi="Titillium" w:cs="Calibri"/>
          <w:sz w:val="18"/>
          <w:szCs w:val="18"/>
        </w:rPr>
        <w:t xml:space="preserve"> </w:t>
      </w:r>
      <w:r w:rsidR="00870286">
        <w:rPr>
          <w:rFonts w:ascii="Titillium" w:hAnsi="Titillium" w:cs="Calibri"/>
          <w:sz w:val="18"/>
          <w:szCs w:val="18"/>
        </w:rPr>
        <w:t>essere corredata dall’impegno del garante a rinnovare la garanzia ai sensi dell’</w:t>
      </w:r>
      <w:r w:rsidR="00291685">
        <w:rPr>
          <w:rFonts w:ascii="Titillium" w:hAnsi="Titillium" w:cs="Calibri"/>
          <w:sz w:val="18"/>
          <w:szCs w:val="18"/>
        </w:rPr>
        <w:t>articolo</w:t>
      </w:r>
      <w:r w:rsidR="00870286">
        <w:rPr>
          <w:rFonts w:ascii="Titillium" w:hAnsi="Titillium" w:cs="Calibri"/>
          <w:sz w:val="18"/>
          <w:szCs w:val="18"/>
        </w:rPr>
        <w:t xml:space="preserve"> </w:t>
      </w:r>
      <w:r>
        <w:rPr>
          <w:rFonts w:ascii="Titillium" w:hAnsi="Titillium" w:cs="Calibri"/>
          <w:sz w:val="18"/>
          <w:szCs w:val="18"/>
        </w:rPr>
        <w:t>106</w:t>
      </w:r>
      <w:r w:rsidR="00870286">
        <w:rPr>
          <w:rFonts w:ascii="Titillium" w:hAnsi="Titillium" w:cs="Calibri"/>
          <w:sz w:val="18"/>
          <w:szCs w:val="18"/>
        </w:rPr>
        <w:t>, comma 5 del Codice, su richiesta della staz</w:t>
      </w:r>
      <w:r w:rsidR="00533FCD">
        <w:rPr>
          <w:rFonts w:ascii="Titillium" w:hAnsi="Titillium" w:cs="Calibri"/>
          <w:sz w:val="18"/>
          <w:szCs w:val="18"/>
        </w:rPr>
        <w:t>ione appaltante per ulteriori ..</w:t>
      </w:r>
      <w:r w:rsidR="00870286">
        <w:rPr>
          <w:rFonts w:ascii="Titillium" w:hAnsi="Titillium" w:cs="Calibri"/>
          <w:sz w:val="18"/>
          <w:szCs w:val="18"/>
        </w:rPr>
        <w:t xml:space="preserve">. </w:t>
      </w:r>
      <w:r w:rsidR="00870286">
        <w:rPr>
          <w:rFonts w:ascii="Titillium" w:hAnsi="Titillium" w:cs="Calibri"/>
          <w:i/>
          <w:iCs/>
          <w:sz w:val="18"/>
          <w:szCs w:val="18"/>
        </w:rPr>
        <w:t xml:space="preserve">[indicare] </w:t>
      </w:r>
      <w:r w:rsidR="00870286">
        <w:rPr>
          <w:rFonts w:ascii="Titillium" w:hAnsi="Titillium" w:cs="Calibri"/>
          <w:sz w:val="18"/>
          <w:szCs w:val="18"/>
        </w:rPr>
        <w:t>giorni, nel caso in cui al momento della sua scadenza non sia ancora intervenuta l’aggiudicazione</w:t>
      </w:r>
      <w:bookmarkEnd w:id="1769"/>
      <w:r w:rsidR="002507BD">
        <w:rPr>
          <w:rFonts w:ascii="Titillium" w:hAnsi="Titillium" w:cs="Calibri"/>
          <w:sz w:val="18"/>
          <w:szCs w:val="18"/>
        </w:rPr>
        <w:t>.</w:t>
      </w:r>
    </w:p>
    <w:p w14:paraId="6235AC44" w14:textId="0FF18C98" w:rsidR="004C53A8" w:rsidRPr="0040308B" w:rsidRDefault="00870286" w:rsidP="00533FCD">
      <w:pPr>
        <w:spacing w:before="120" w:after="60"/>
      </w:pPr>
      <w:r>
        <w:rPr>
          <w:rFonts w:ascii="Titillium" w:hAnsi="Titillium" w:cs="Calibri"/>
          <w:sz w:val="18"/>
          <w:szCs w:val="18"/>
        </w:rPr>
        <w:t xml:space="preserve">In caso di richiesta di estensione della durata e validità dell’offerta e della garanzia fideiussoria, il concorrente </w:t>
      </w:r>
      <w:r w:rsidR="00D74FA2" w:rsidRPr="00D74FA2">
        <w:rPr>
          <w:rFonts w:ascii="Titillium" w:hAnsi="Titillium" w:cs="Calibri"/>
          <w:color w:val="000000" w:themeColor="text1"/>
          <w:sz w:val="18"/>
          <w:szCs w:val="18"/>
        </w:rPr>
        <w:t>potrà produrre</w:t>
      </w:r>
      <w:r w:rsidRPr="00D74FA2">
        <w:rPr>
          <w:rFonts w:ascii="Titillium" w:hAnsi="Titillium" w:cs="Calibri"/>
          <w:color w:val="000000" w:themeColor="text1"/>
          <w:sz w:val="18"/>
          <w:szCs w:val="18"/>
        </w:rPr>
        <w:t xml:space="preserve"> </w:t>
      </w:r>
      <w:r w:rsidR="0040308B">
        <w:rPr>
          <w:rFonts w:ascii="Titillium" w:hAnsi="Titillium" w:cs="Calibri"/>
          <w:sz w:val="18"/>
          <w:szCs w:val="18"/>
        </w:rPr>
        <w:t xml:space="preserve">nelle medesime forme di cui sopra </w:t>
      </w:r>
      <w:r>
        <w:rPr>
          <w:rFonts w:ascii="Titillium" w:hAnsi="Titillium" w:cs="Calibri"/>
          <w:sz w:val="18"/>
          <w:szCs w:val="18"/>
        </w:rPr>
        <w:t xml:space="preserve">una nuova garanzia provvisoria </w:t>
      </w:r>
      <w:r w:rsidR="00D74FA2">
        <w:rPr>
          <w:rFonts w:ascii="Titillium" w:hAnsi="Titillium" w:cs="Calibri"/>
          <w:sz w:val="18"/>
          <w:szCs w:val="18"/>
        </w:rPr>
        <w:t xml:space="preserve">del medesimo o </w:t>
      </w:r>
      <w:r>
        <w:rPr>
          <w:rFonts w:ascii="Titillium" w:hAnsi="Titillium" w:cs="Calibri"/>
          <w:sz w:val="18"/>
          <w:szCs w:val="18"/>
        </w:rPr>
        <w:t xml:space="preserve">di altro garante, in sostituzione della precedente, a condizione che abbia </w:t>
      </w:r>
      <w:r w:rsidRPr="0040308B">
        <w:rPr>
          <w:rFonts w:ascii="Titillium" w:hAnsi="Titillium" w:cs="Calibri"/>
          <w:sz w:val="18"/>
          <w:szCs w:val="18"/>
        </w:rPr>
        <w:t>espressa decorrenza dalla data di presentazione dell’offerta</w:t>
      </w:r>
      <w:r w:rsidR="00D74FA2">
        <w:rPr>
          <w:rFonts w:ascii="Titillium" w:hAnsi="Titillium" w:cs="Calibri"/>
          <w:sz w:val="18"/>
          <w:szCs w:val="18"/>
        </w:rPr>
        <w:t>.</w:t>
      </w:r>
    </w:p>
    <w:p w14:paraId="5443A3D4" w14:textId="607FD06A" w:rsidR="00B95FCA" w:rsidRDefault="00B95FCA" w:rsidP="00F37AB2">
      <w:pPr>
        <w:spacing w:before="60" w:after="60"/>
        <w:rPr>
          <w:rFonts w:ascii="Titillium" w:hAnsi="Titillium" w:cs="Calibri"/>
          <w:sz w:val="18"/>
          <w:szCs w:val="18"/>
        </w:rPr>
      </w:pPr>
      <w:r>
        <w:rPr>
          <w:rFonts w:ascii="Titillium" w:hAnsi="Titillium" w:cs="Calibri"/>
          <w:sz w:val="18"/>
          <w:szCs w:val="18"/>
        </w:rPr>
        <w:t>Ai sensi dell’art. 106</w:t>
      </w:r>
      <w:r w:rsidR="00260794">
        <w:rPr>
          <w:rFonts w:ascii="Titillium" w:hAnsi="Titillium" w:cs="Calibri"/>
          <w:sz w:val="18"/>
          <w:szCs w:val="18"/>
        </w:rPr>
        <w:t>,</w:t>
      </w:r>
      <w:r>
        <w:rPr>
          <w:rFonts w:ascii="Titillium" w:hAnsi="Titillium" w:cs="Calibri"/>
          <w:sz w:val="18"/>
          <w:szCs w:val="18"/>
        </w:rPr>
        <w:t xml:space="preserve"> comma 8</w:t>
      </w:r>
      <w:r w:rsidR="00260794">
        <w:rPr>
          <w:rFonts w:ascii="Titillium" w:hAnsi="Titillium" w:cs="Calibri"/>
          <w:sz w:val="18"/>
          <w:szCs w:val="18"/>
        </w:rPr>
        <w:t>,</w:t>
      </w:r>
      <w:r>
        <w:rPr>
          <w:rFonts w:ascii="Titillium" w:hAnsi="Titillium" w:cs="Calibri"/>
          <w:sz w:val="18"/>
          <w:szCs w:val="18"/>
        </w:rPr>
        <w:t xml:space="preserve"> del Codice l’importo della garanzia è ridotto nei termini di seguito indicati</w:t>
      </w:r>
      <w:r w:rsidR="00AA4E06">
        <w:rPr>
          <w:rFonts w:ascii="Titillium" w:hAnsi="Titillium" w:cs="Calibri"/>
          <w:sz w:val="18"/>
          <w:szCs w:val="18"/>
        </w:rPr>
        <w:t>.</w:t>
      </w:r>
    </w:p>
    <w:p w14:paraId="79A737AA" w14:textId="4AF6E430" w:rsidR="00F37AB2" w:rsidRPr="00B95FCA" w:rsidRDefault="00B95FCA" w:rsidP="00DC299E">
      <w:pPr>
        <w:pStyle w:val="Paragrafoelenco"/>
        <w:numPr>
          <w:ilvl w:val="1"/>
          <w:numId w:val="79"/>
        </w:numPr>
        <w:spacing w:before="60" w:after="60"/>
        <w:ind w:left="284"/>
        <w:rPr>
          <w:rFonts w:ascii="Titillium" w:hAnsi="Titillium" w:cs="Calibri"/>
          <w:sz w:val="18"/>
          <w:szCs w:val="18"/>
        </w:rPr>
      </w:pPr>
      <w:r>
        <w:rPr>
          <w:rFonts w:ascii="Titillium" w:hAnsi="Titillium" w:cs="Calibri"/>
          <w:sz w:val="18"/>
          <w:szCs w:val="18"/>
        </w:rPr>
        <w:t>R</w:t>
      </w:r>
      <w:r w:rsidRPr="00B95FCA">
        <w:rPr>
          <w:rFonts w:ascii="Titillium" w:hAnsi="Titillium" w:cs="Calibri"/>
          <w:sz w:val="18"/>
          <w:szCs w:val="18"/>
        </w:rPr>
        <w:t xml:space="preserve">iduzione del 30% in caso di possesso della certificazione di qualità conforme alle norme europee della serie UNI CEI ISO 9000. </w:t>
      </w:r>
      <w:r w:rsidR="00F37AB2" w:rsidRPr="00B95FCA">
        <w:rPr>
          <w:rFonts w:ascii="Titillium" w:hAnsi="Titillium" w:cs="Calibri"/>
          <w:sz w:val="18"/>
          <w:szCs w:val="18"/>
        </w:rPr>
        <w:t>In caso di partecipazione in forma associata, la riduzione si ottiene:</w:t>
      </w:r>
    </w:p>
    <w:p w14:paraId="2C622A87" w14:textId="44ABC1BD" w:rsidR="004E0358" w:rsidRPr="00605270" w:rsidRDefault="00FD0C04" w:rsidP="00B95FCA">
      <w:pPr>
        <w:pStyle w:val="Paragrafoelenco"/>
        <w:numPr>
          <w:ilvl w:val="1"/>
          <w:numId w:val="40"/>
        </w:numPr>
        <w:spacing w:before="60" w:after="60"/>
        <w:ind w:left="567" w:hanging="284"/>
        <w:rPr>
          <w:rFonts w:ascii="Titillium" w:hAnsi="Titillium" w:cs="Calibri"/>
          <w:sz w:val="18"/>
          <w:szCs w:val="18"/>
        </w:rPr>
      </w:pPr>
      <w:r>
        <w:rPr>
          <w:rFonts w:ascii="Titillium" w:hAnsi="Titillium" w:cs="Calibri"/>
          <w:sz w:val="18"/>
          <w:szCs w:val="18"/>
        </w:rPr>
        <w:t>per i</w:t>
      </w:r>
      <w:r w:rsidR="004E0358" w:rsidRPr="00605270">
        <w:rPr>
          <w:rFonts w:ascii="Titillium" w:hAnsi="Titillium" w:cs="Calibri"/>
          <w:sz w:val="18"/>
          <w:szCs w:val="18"/>
        </w:rPr>
        <w:t xml:space="preserve"> soggetti di cui all’articolo </w:t>
      </w:r>
      <w:r w:rsidR="00856A9A">
        <w:rPr>
          <w:rFonts w:ascii="Titillium" w:hAnsi="Titillium" w:cs="Calibri"/>
          <w:sz w:val="18"/>
          <w:szCs w:val="18"/>
        </w:rPr>
        <w:t>6</w:t>
      </w:r>
      <w:r w:rsidR="00856A9A" w:rsidRPr="00605270">
        <w:rPr>
          <w:rFonts w:ascii="Titillium" w:hAnsi="Titillium" w:cs="Calibri"/>
          <w:sz w:val="18"/>
          <w:szCs w:val="18"/>
        </w:rPr>
        <w:t>5</w:t>
      </w:r>
      <w:r w:rsidR="004E0358" w:rsidRPr="00605270">
        <w:rPr>
          <w:rFonts w:ascii="Titillium" w:hAnsi="Titillium" w:cs="Calibri"/>
          <w:sz w:val="18"/>
          <w:szCs w:val="18"/>
        </w:rPr>
        <w:t xml:space="preserve">, comma 2, lettere e), f), g), </w:t>
      </w:r>
      <w:r w:rsidR="009F1AE0">
        <w:rPr>
          <w:rFonts w:ascii="Titillium" w:hAnsi="Titillium" w:cs="Calibri"/>
          <w:sz w:val="18"/>
          <w:szCs w:val="18"/>
        </w:rPr>
        <w:t xml:space="preserve">h) </w:t>
      </w:r>
      <w:r w:rsidR="004E0358" w:rsidRPr="00605270">
        <w:rPr>
          <w:rFonts w:ascii="Titillium" w:hAnsi="Titillium" w:cs="Calibri"/>
          <w:sz w:val="18"/>
          <w:szCs w:val="18"/>
        </w:rPr>
        <w:t>del Codice solo se tutt</w:t>
      </w:r>
      <w:r w:rsidR="00AA65BA">
        <w:rPr>
          <w:rFonts w:ascii="Titillium" w:hAnsi="Titillium" w:cs="Calibri"/>
          <w:sz w:val="18"/>
          <w:szCs w:val="18"/>
        </w:rPr>
        <w:t xml:space="preserve">i soggetti </w:t>
      </w:r>
      <w:r w:rsidR="004E0358" w:rsidRPr="00605270">
        <w:rPr>
          <w:rFonts w:ascii="Titillium" w:hAnsi="Titillium" w:cs="Calibri"/>
          <w:sz w:val="18"/>
          <w:szCs w:val="18"/>
        </w:rPr>
        <w:t>che costituiscono il raggruppamento, consorzio ordinario o GEIE, o</w:t>
      </w:r>
      <w:r w:rsidR="009F1AE0">
        <w:rPr>
          <w:rFonts w:ascii="Titillium" w:hAnsi="Titillium" w:cs="Calibri"/>
          <w:sz w:val="18"/>
          <w:szCs w:val="18"/>
        </w:rPr>
        <w:t xml:space="preserve"> </w:t>
      </w:r>
      <w:r w:rsidR="004E0358" w:rsidRPr="00605270">
        <w:rPr>
          <w:rFonts w:ascii="Titillium" w:hAnsi="Titillium" w:cs="Calibri"/>
          <w:sz w:val="18"/>
          <w:szCs w:val="18"/>
        </w:rPr>
        <w:t>tutte le imprese retiste che partecipano alla gara siano in possesso della certificazione;</w:t>
      </w:r>
    </w:p>
    <w:p w14:paraId="34344392" w14:textId="047086A6" w:rsidR="00690F06" w:rsidRPr="00092FE3" w:rsidRDefault="00FD0C04" w:rsidP="00B95FCA">
      <w:pPr>
        <w:pStyle w:val="Paragrafoelenco"/>
        <w:numPr>
          <w:ilvl w:val="1"/>
          <w:numId w:val="40"/>
        </w:numPr>
        <w:spacing w:before="60" w:after="60"/>
        <w:ind w:left="567" w:hanging="284"/>
        <w:rPr>
          <w:rFonts w:ascii="Titillium" w:hAnsi="Titillium" w:cs="Calibri"/>
          <w:sz w:val="18"/>
          <w:szCs w:val="18"/>
        </w:rPr>
      </w:pPr>
      <w:r w:rsidRPr="00092FE3">
        <w:rPr>
          <w:rFonts w:ascii="Titillium" w:hAnsi="Titillium" w:cs="Calibri"/>
          <w:sz w:val="18"/>
          <w:szCs w:val="18"/>
        </w:rPr>
        <w:t>per i</w:t>
      </w:r>
      <w:r w:rsidR="004E0358" w:rsidRPr="00092FE3">
        <w:rPr>
          <w:rFonts w:ascii="Titillium" w:hAnsi="Titillium" w:cs="Calibri"/>
          <w:sz w:val="18"/>
          <w:szCs w:val="18"/>
        </w:rPr>
        <w:t xml:space="preserve"> consorzi di cui all’articolo </w:t>
      </w:r>
      <w:r w:rsidR="00856A9A" w:rsidRPr="00092FE3">
        <w:rPr>
          <w:rFonts w:ascii="Titillium" w:hAnsi="Titillium" w:cs="Calibri"/>
          <w:sz w:val="18"/>
          <w:szCs w:val="18"/>
        </w:rPr>
        <w:t>65</w:t>
      </w:r>
      <w:r w:rsidR="004E0358" w:rsidRPr="00092FE3">
        <w:rPr>
          <w:rFonts w:ascii="Titillium" w:hAnsi="Titillium" w:cs="Calibri"/>
          <w:sz w:val="18"/>
          <w:szCs w:val="18"/>
        </w:rPr>
        <w:t>, comma 2, lettere b)</w:t>
      </w:r>
      <w:r w:rsidR="009F1AE0" w:rsidRPr="00092FE3">
        <w:rPr>
          <w:rFonts w:ascii="Titillium" w:hAnsi="Titillium" w:cs="Calibri"/>
          <w:sz w:val="18"/>
          <w:szCs w:val="18"/>
        </w:rPr>
        <w:t xml:space="preserve">, c), d) </w:t>
      </w:r>
      <w:r w:rsidR="004E0358" w:rsidRPr="00092FE3">
        <w:rPr>
          <w:rFonts w:ascii="Titillium" w:hAnsi="Titillium" w:cs="Calibri"/>
          <w:sz w:val="18"/>
          <w:szCs w:val="18"/>
        </w:rPr>
        <w:t xml:space="preserve">del Codice, </w:t>
      </w:r>
      <w:r w:rsidR="00690F06" w:rsidRPr="00092FE3">
        <w:rPr>
          <w:rFonts w:ascii="Titillium" w:hAnsi="Titillium" w:cs="Calibri"/>
          <w:sz w:val="18"/>
          <w:szCs w:val="18"/>
        </w:rPr>
        <w:t>s</w:t>
      </w:r>
      <w:r w:rsidR="00690F06" w:rsidRPr="00092FE3">
        <w:rPr>
          <w:rFonts w:ascii="Titillium" w:hAnsi="Titillium" w:cs="Calibri"/>
          <w:bCs/>
          <w:sz w:val="18"/>
          <w:szCs w:val="18"/>
        </w:rPr>
        <w:t>e il Consorzio ha dichiarato in fase di offerta che intende eseguire con risorse proprie, sol</w:t>
      </w:r>
      <w:r w:rsidR="00FE4368" w:rsidRPr="00092FE3">
        <w:rPr>
          <w:rFonts w:ascii="Titillium" w:hAnsi="Titillium" w:cs="Calibri"/>
          <w:bCs/>
          <w:sz w:val="18"/>
          <w:szCs w:val="18"/>
        </w:rPr>
        <w:t xml:space="preserve">o </w:t>
      </w:r>
      <w:r w:rsidR="00690F06" w:rsidRPr="00092FE3">
        <w:rPr>
          <w:rFonts w:ascii="Titillium" w:hAnsi="Titillium" w:cs="Calibri"/>
          <w:bCs/>
          <w:sz w:val="18"/>
          <w:szCs w:val="18"/>
        </w:rPr>
        <w:t>se il Consorzio possiede la predetta certificazione;  se  il Consorzio ha indicato in fase di offerta che intende assegnare</w:t>
      </w:r>
      <w:r w:rsidR="00690F06" w:rsidRPr="00092FE3">
        <w:rPr>
          <w:rFonts w:ascii="Titillium" w:hAnsi="Titillium" w:cs="Calibri"/>
          <w:sz w:val="18"/>
          <w:szCs w:val="18"/>
        </w:rPr>
        <w:t xml:space="preserve"> parte delle prestazioni a una o più consorziate individuate nell’offerta</w:t>
      </w:r>
      <w:r w:rsidR="00766861" w:rsidRPr="00092FE3">
        <w:rPr>
          <w:rFonts w:ascii="Titillium" w:hAnsi="Titillium" w:cs="Calibri"/>
          <w:sz w:val="18"/>
          <w:szCs w:val="18"/>
        </w:rPr>
        <w:t xml:space="preserve">, solo se sia </w:t>
      </w:r>
      <w:r w:rsidR="00690F06" w:rsidRPr="00092FE3">
        <w:rPr>
          <w:rFonts w:ascii="Titillium" w:hAnsi="Titillium" w:cs="Calibri"/>
          <w:sz w:val="18"/>
          <w:szCs w:val="18"/>
        </w:rPr>
        <w:t xml:space="preserve">il Consorzio </w:t>
      </w:r>
      <w:r w:rsidR="00766861" w:rsidRPr="00092FE3">
        <w:rPr>
          <w:rFonts w:ascii="Titillium" w:hAnsi="Titillium" w:cs="Calibri"/>
          <w:sz w:val="18"/>
          <w:szCs w:val="18"/>
        </w:rPr>
        <w:t>sia la consorziata designata posseggono la predetta certificazione</w:t>
      </w:r>
      <w:r w:rsidR="00445C59" w:rsidRPr="00092FE3">
        <w:rPr>
          <w:rFonts w:ascii="Titillium" w:hAnsi="Titillium" w:cs="Calibri"/>
          <w:sz w:val="18"/>
          <w:szCs w:val="18"/>
        </w:rPr>
        <w:t xml:space="preserve">, </w:t>
      </w:r>
      <w:r w:rsidR="00766861" w:rsidRPr="00092FE3">
        <w:rPr>
          <w:rFonts w:ascii="Titillium" w:hAnsi="Titillium" w:cs="Calibri"/>
          <w:sz w:val="18"/>
          <w:szCs w:val="18"/>
        </w:rPr>
        <w:t>o in alternativa</w:t>
      </w:r>
      <w:r w:rsidR="00260794">
        <w:rPr>
          <w:rFonts w:ascii="Titillium" w:hAnsi="Titillium" w:cs="Calibri"/>
          <w:sz w:val="18"/>
          <w:szCs w:val="18"/>
        </w:rPr>
        <w:t>,</w:t>
      </w:r>
      <w:r w:rsidR="00766861" w:rsidRPr="00092FE3">
        <w:rPr>
          <w:rFonts w:ascii="Titillium" w:hAnsi="Titillium" w:cs="Calibri"/>
          <w:i/>
          <w:sz w:val="18"/>
          <w:szCs w:val="18"/>
        </w:rPr>
        <w:t xml:space="preserve"> </w:t>
      </w:r>
      <w:r w:rsidR="00EC088D" w:rsidRPr="00092FE3">
        <w:rPr>
          <w:rFonts w:ascii="Titillium" w:hAnsi="Titillium" w:cs="Calibri"/>
          <w:sz w:val="18"/>
          <w:szCs w:val="18"/>
        </w:rPr>
        <w:t>se il solo</w:t>
      </w:r>
      <w:r w:rsidR="00690F06" w:rsidRPr="00092FE3">
        <w:rPr>
          <w:rFonts w:ascii="Titillium" w:hAnsi="Titillium" w:cs="Calibri"/>
          <w:sz w:val="18"/>
          <w:szCs w:val="18"/>
        </w:rPr>
        <w:t xml:space="preserve"> Consorzio possiede l</w:t>
      </w:r>
      <w:r w:rsidR="00766861" w:rsidRPr="00092FE3">
        <w:rPr>
          <w:rFonts w:ascii="Titillium" w:hAnsi="Titillium" w:cs="Calibri"/>
          <w:sz w:val="18"/>
          <w:szCs w:val="18"/>
        </w:rPr>
        <w:t xml:space="preserve">a predetta certificazione e l’ambito di certificazione del suo sistema </w:t>
      </w:r>
      <w:r w:rsidR="00766861" w:rsidRPr="00092FE3">
        <w:rPr>
          <w:rFonts w:ascii="Titillium" w:hAnsi="Titillium" w:cs="Calibri"/>
          <w:sz w:val="18"/>
          <w:szCs w:val="18"/>
        </w:rPr>
        <w:lastRenderedPageBreak/>
        <w:t>gestionale include la verifica che l’erogazione della prestazione da parte della consorziata rispetti gli standard fissati dalla certificazione</w:t>
      </w:r>
      <w:r w:rsidR="006A4C81" w:rsidRPr="00092FE3">
        <w:rPr>
          <w:rFonts w:ascii="Titillium" w:hAnsi="Titillium" w:cs="Calibri"/>
          <w:sz w:val="18"/>
          <w:szCs w:val="18"/>
        </w:rPr>
        <w:t>.</w:t>
      </w:r>
      <w:r w:rsidR="00766861" w:rsidRPr="00092FE3">
        <w:rPr>
          <w:rFonts w:ascii="Titillium" w:hAnsi="Titillium" w:cs="Calibri"/>
          <w:sz w:val="18"/>
          <w:szCs w:val="18"/>
        </w:rPr>
        <w:t xml:space="preserve"> </w:t>
      </w:r>
    </w:p>
    <w:p w14:paraId="29D20139" w14:textId="77777777" w:rsidR="00AA4E06" w:rsidRDefault="00B95FCA" w:rsidP="00DC299E">
      <w:pPr>
        <w:pStyle w:val="Paragrafoelenco"/>
        <w:numPr>
          <w:ilvl w:val="1"/>
          <w:numId w:val="79"/>
        </w:numPr>
        <w:spacing w:before="60" w:after="60"/>
        <w:ind w:left="284"/>
        <w:rPr>
          <w:rFonts w:ascii="Titillium" w:hAnsi="Titillium" w:cs="Calibri"/>
          <w:sz w:val="18"/>
          <w:szCs w:val="18"/>
        </w:rPr>
      </w:pPr>
      <w:r w:rsidRPr="00AA4E06">
        <w:rPr>
          <w:rFonts w:ascii="Titillium" w:hAnsi="Titillium" w:cs="Calibri"/>
          <w:sz w:val="18"/>
          <w:szCs w:val="18"/>
        </w:rPr>
        <w:t>Riduzione del 50% in caso di partecipazione di micro, piccole e medie imprese e di raggruppamenti di operatori economici o consorzi ordinari costituiti esclusivamente da micro, piccole e medie imprese. Tale riduzione non è cumulabile con quell</w:t>
      </w:r>
      <w:r w:rsidR="00AA4E06" w:rsidRPr="00AA4E06">
        <w:rPr>
          <w:rFonts w:ascii="Titillium" w:hAnsi="Titillium" w:cs="Calibri"/>
          <w:sz w:val="18"/>
          <w:szCs w:val="18"/>
        </w:rPr>
        <w:t>a</w:t>
      </w:r>
      <w:r w:rsidRPr="00AA4E06">
        <w:rPr>
          <w:rFonts w:ascii="Titillium" w:hAnsi="Titillium" w:cs="Calibri"/>
          <w:sz w:val="18"/>
          <w:szCs w:val="18"/>
        </w:rPr>
        <w:t xml:space="preserve"> indicata alla </w:t>
      </w:r>
      <w:proofErr w:type="spellStart"/>
      <w:r w:rsidRPr="00AA4E06">
        <w:rPr>
          <w:rFonts w:ascii="Titillium" w:hAnsi="Titillium" w:cs="Calibri"/>
          <w:sz w:val="18"/>
          <w:szCs w:val="18"/>
        </w:rPr>
        <w:t>lett</w:t>
      </w:r>
      <w:proofErr w:type="spellEnd"/>
      <w:r w:rsidR="00AA4E06" w:rsidRPr="00AA4E06">
        <w:rPr>
          <w:rFonts w:ascii="Titillium" w:hAnsi="Titillium" w:cs="Calibri"/>
          <w:sz w:val="18"/>
          <w:szCs w:val="18"/>
        </w:rPr>
        <w:t>.</w:t>
      </w:r>
      <w:r w:rsidRPr="00AA4E06">
        <w:rPr>
          <w:rFonts w:ascii="Titillium" w:hAnsi="Titillium" w:cs="Calibri"/>
          <w:sz w:val="18"/>
          <w:szCs w:val="18"/>
        </w:rPr>
        <w:t xml:space="preserve"> a).</w:t>
      </w:r>
    </w:p>
    <w:p w14:paraId="1BE21EA2" w14:textId="72ADDFFD" w:rsidR="00EF4DF6" w:rsidRDefault="00500DB0" w:rsidP="00DC299E">
      <w:pPr>
        <w:pStyle w:val="Paragrafoelenco"/>
        <w:numPr>
          <w:ilvl w:val="1"/>
          <w:numId w:val="79"/>
        </w:numPr>
        <w:spacing w:before="60" w:after="60"/>
        <w:ind w:left="284"/>
        <w:rPr>
          <w:rFonts w:ascii="Titillium" w:hAnsi="Titillium" w:cs="Calibri"/>
          <w:sz w:val="18"/>
          <w:szCs w:val="18"/>
        </w:rPr>
      </w:pPr>
      <w:r w:rsidRPr="001A646D">
        <w:rPr>
          <w:i/>
          <w:iCs/>
        </w:rPr>
        <w:t>[</w:t>
      </w:r>
      <w:r w:rsidRPr="001A646D">
        <w:rPr>
          <w:rFonts w:ascii="Titillium" w:hAnsi="Titillium" w:cs="Calibri"/>
          <w:i/>
          <w:iCs/>
          <w:sz w:val="18"/>
          <w:szCs w:val="18"/>
        </w:rPr>
        <w:t>Nel caso in cui la stazione appaltante sia abilitata ad effettuare le verifiche di veridicità sulle garanzie fideiussorie gestite tramite ricorso a piattaforme telematiche]</w:t>
      </w:r>
      <w:r>
        <w:rPr>
          <w:rFonts w:ascii="Titillium" w:hAnsi="Titillium" w:cs="Calibri"/>
          <w:sz w:val="18"/>
          <w:szCs w:val="18"/>
        </w:rPr>
        <w:t xml:space="preserve"> </w:t>
      </w:r>
      <w:r w:rsidR="00EF4DF6">
        <w:rPr>
          <w:rFonts w:ascii="Titillium" w:hAnsi="Titillium" w:cs="Calibri"/>
          <w:sz w:val="18"/>
          <w:szCs w:val="18"/>
        </w:rPr>
        <w:t>Riduzione del 10% cumulabile con quelle di cui alle precedenti lettere a) e b) in caso di presentazione di garanzi</w:t>
      </w:r>
      <w:r w:rsidR="00127FE8">
        <w:rPr>
          <w:rFonts w:ascii="Titillium" w:hAnsi="Titillium" w:cs="Calibri"/>
          <w:sz w:val="18"/>
          <w:szCs w:val="18"/>
        </w:rPr>
        <w:t>e</w:t>
      </w:r>
      <w:r w:rsidR="00EF4DF6">
        <w:rPr>
          <w:rFonts w:ascii="Titillium" w:hAnsi="Titillium" w:cs="Calibri"/>
          <w:sz w:val="18"/>
          <w:szCs w:val="18"/>
        </w:rPr>
        <w:t xml:space="preserve"> fideiussori</w:t>
      </w:r>
      <w:r w:rsidR="00127FE8">
        <w:rPr>
          <w:rFonts w:ascii="Titillium" w:hAnsi="Titillium" w:cs="Calibri"/>
          <w:sz w:val="18"/>
          <w:szCs w:val="18"/>
        </w:rPr>
        <w:t>e</w:t>
      </w:r>
      <w:r w:rsidR="00EF4DF6">
        <w:rPr>
          <w:rFonts w:ascii="Titillium" w:hAnsi="Titillium" w:cs="Calibri"/>
          <w:sz w:val="18"/>
          <w:szCs w:val="18"/>
        </w:rPr>
        <w:t xml:space="preserve"> </w:t>
      </w:r>
      <w:r w:rsidR="00127FE8">
        <w:rPr>
          <w:rFonts w:ascii="Titillium" w:hAnsi="Titillium" w:cs="Calibri"/>
          <w:sz w:val="18"/>
          <w:szCs w:val="18"/>
        </w:rPr>
        <w:t>gestite mediante ricorso a piattaforme telematiche</w:t>
      </w:r>
      <w:r>
        <w:rPr>
          <w:rFonts w:ascii="Titillium" w:hAnsi="Titillium" w:cs="Calibri"/>
          <w:sz w:val="18"/>
          <w:szCs w:val="18"/>
        </w:rPr>
        <w:t>;</w:t>
      </w:r>
    </w:p>
    <w:p w14:paraId="4EE93E30" w14:textId="04B481BF" w:rsidR="00AA65BA" w:rsidRDefault="00B95FCA" w:rsidP="00DC299E">
      <w:pPr>
        <w:pStyle w:val="Paragrafoelenco"/>
        <w:numPr>
          <w:ilvl w:val="1"/>
          <w:numId w:val="79"/>
        </w:numPr>
        <w:spacing w:before="60" w:after="60"/>
        <w:ind w:left="284"/>
        <w:rPr>
          <w:rFonts w:ascii="Titillium" w:hAnsi="Titillium" w:cs="Calibri"/>
          <w:sz w:val="18"/>
          <w:szCs w:val="18"/>
        </w:rPr>
      </w:pPr>
      <w:r w:rsidRPr="00AA65BA">
        <w:rPr>
          <w:rFonts w:ascii="Titillium" w:hAnsi="Titillium" w:cs="Calibri"/>
          <w:sz w:val="18"/>
          <w:szCs w:val="18"/>
        </w:rPr>
        <w:t>Riduzione</w:t>
      </w:r>
      <w:r w:rsidR="00AA4E06" w:rsidRPr="00AA65BA">
        <w:rPr>
          <w:rFonts w:ascii="Titillium" w:hAnsi="Titillium" w:cs="Calibri"/>
          <w:sz w:val="18"/>
          <w:szCs w:val="18"/>
        </w:rPr>
        <w:t xml:space="preserve"> del …. % </w:t>
      </w:r>
      <w:r w:rsidR="00AA4E06" w:rsidRPr="00AA65BA">
        <w:rPr>
          <w:rFonts w:ascii="Titillium" w:hAnsi="Titillium" w:cs="Calibri"/>
          <w:i/>
          <w:iCs/>
          <w:sz w:val="18"/>
          <w:szCs w:val="18"/>
        </w:rPr>
        <w:t>[la stazione appaltante indica una percentuale di riduzione fino ad un massimo del 20%]</w:t>
      </w:r>
      <w:r w:rsidR="00AA4E06" w:rsidRPr="00AA65BA">
        <w:rPr>
          <w:rFonts w:ascii="Titillium" w:hAnsi="Titillium" w:cs="Calibri"/>
          <w:sz w:val="18"/>
          <w:szCs w:val="18"/>
        </w:rPr>
        <w:t xml:space="preserve"> in caso di possesso di una o più delle seguenti certificazioni/marchi: …… </w:t>
      </w:r>
      <w:r w:rsidR="00AA4E06" w:rsidRPr="00AA65BA">
        <w:rPr>
          <w:rFonts w:ascii="Titillium" w:hAnsi="Titillium" w:cs="Calibri"/>
          <w:i/>
          <w:iCs/>
          <w:sz w:val="18"/>
          <w:szCs w:val="18"/>
        </w:rPr>
        <w:t>[la stazione appaltante individua le certificazioni che danno diritto alla riduzione tra quelle indicate all’allegato II.13 del codice]</w:t>
      </w:r>
      <w:r w:rsidR="00AA4E06" w:rsidRPr="00AA65BA">
        <w:rPr>
          <w:rFonts w:ascii="Titillium" w:hAnsi="Titillium" w:cs="Calibri"/>
          <w:sz w:val="18"/>
          <w:szCs w:val="18"/>
        </w:rPr>
        <w:t xml:space="preserve">. Tale riduzione è cumulabile con quelle indicate alle </w:t>
      </w:r>
      <w:proofErr w:type="spellStart"/>
      <w:r w:rsidR="00AA4E06" w:rsidRPr="00AA65BA">
        <w:rPr>
          <w:rFonts w:ascii="Titillium" w:hAnsi="Titillium" w:cs="Calibri"/>
          <w:sz w:val="18"/>
          <w:szCs w:val="18"/>
        </w:rPr>
        <w:t>lett</w:t>
      </w:r>
      <w:proofErr w:type="spellEnd"/>
      <w:r w:rsidR="00AA4E06" w:rsidRPr="00AA65BA">
        <w:rPr>
          <w:rFonts w:ascii="Titillium" w:hAnsi="Titillium" w:cs="Calibri"/>
          <w:sz w:val="18"/>
          <w:szCs w:val="18"/>
        </w:rPr>
        <w:t>. a) e b).</w:t>
      </w:r>
      <w:r w:rsidR="00AA65BA" w:rsidRPr="00AA65BA">
        <w:rPr>
          <w:rFonts w:ascii="Titillium" w:hAnsi="Titillium" w:cs="Calibri"/>
          <w:sz w:val="18"/>
          <w:szCs w:val="18"/>
        </w:rPr>
        <w:t xml:space="preserve"> </w:t>
      </w:r>
      <w:r w:rsidR="00AA4E06" w:rsidRPr="00AA65BA">
        <w:rPr>
          <w:rFonts w:ascii="Titillium" w:hAnsi="Titillium" w:cs="Calibri"/>
          <w:sz w:val="18"/>
          <w:szCs w:val="18"/>
        </w:rPr>
        <w:t xml:space="preserve">In caso di partecipazione in forma associata la riduzione </w:t>
      </w:r>
      <w:r w:rsidR="00AA65BA" w:rsidRPr="00AA65BA">
        <w:rPr>
          <w:rFonts w:ascii="Titillium" w:hAnsi="Titillium" w:cs="Calibri"/>
          <w:sz w:val="18"/>
          <w:szCs w:val="18"/>
        </w:rPr>
        <w:t>si ottiene</w:t>
      </w:r>
      <w:r w:rsidR="00AA65BA">
        <w:rPr>
          <w:rFonts w:ascii="Titillium" w:hAnsi="Titillium" w:cs="Calibri"/>
          <w:sz w:val="18"/>
          <w:szCs w:val="18"/>
        </w:rPr>
        <w:t>:</w:t>
      </w:r>
    </w:p>
    <w:p w14:paraId="41DE4374" w14:textId="571C4692" w:rsidR="00AA65BA" w:rsidRDefault="00AA65BA" w:rsidP="00AA65BA">
      <w:pPr>
        <w:pStyle w:val="Paragrafoelenco"/>
        <w:numPr>
          <w:ilvl w:val="1"/>
          <w:numId w:val="40"/>
        </w:numPr>
        <w:spacing w:before="60" w:after="60"/>
        <w:ind w:left="567" w:hanging="284"/>
        <w:rPr>
          <w:rFonts w:ascii="Titillium" w:hAnsi="Titillium" w:cs="Calibri"/>
          <w:sz w:val="18"/>
          <w:szCs w:val="18"/>
        </w:rPr>
      </w:pPr>
      <w:r w:rsidRPr="00AA65BA">
        <w:rPr>
          <w:rFonts w:ascii="Titillium" w:hAnsi="Titillium" w:cs="Calibri"/>
          <w:sz w:val="18"/>
          <w:szCs w:val="18"/>
        </w:rPr>
        <w:t xml:space="preserve">per i soggetti di cui all’articolo 65, comma 2, lettere e), f), g), h) del Codice </w:t>
      </w:r>
      <w:r>
        <w:rPr>
          <w:rFonts w:ascii="Titillium" w:hAnsi="Titillium" w:cs="Calibri"/>
          <w:sz w:val="18"/>
          <w:szCs w:val="18"/>
        </w:rPr>
        <w:t xml:space="preserve">se uno dei soggetti </w:t>
      </w:r>
      <w:r w:rsidRPr="00605270">
        <w:rPr>
          <w:rFonts w:ascii="Titillium" w:hAnsi="Titillium" w:cs="Calibri"/>
          <w:sz w:val="18"/>
          <w:szCs w:val="18"/>
        </w:rPr>
        <w:t>che costituiscono il raggruppamento, consorzio ordinario o GEIE, o</w:t>
      </w:r>
      <w:r>
        <w:rPr>
          <w:rFonts w:ascii="Titillium" w:hAnsi="Titillium" w:cs="Calibri"/>
          <w:sz w:val="18"/>
          <w:szCs w:val="18"/>
        </w:rPr>
        <w:t xml:space="preserve"> una delle</w:t>
      </w:r>
      <w:r w:rsidRPr="00605270">
        <w:rPr>
          <w:rFonts w:ascii="Titillium" w:hAnsi="Titillium" w:cs="Calibri"/>
          <w:sz w:val="18"/>
          <w:szCs w:val="18"/>
        </w:rPr>
        <w:t xml:space="preserve"> imprese retiste che partecipano alla gara sia in possesso della certificazione</w:t>
      </w:r>
      <w:r w:rsidRPr="00AA65BA">
        <w:rPr>
          <w:rFonts w:ascii="Titillium" w:hAnsi="Titillium" w:cs="Calibri"/>
          <w:sz w:val="18"/>
          <w:szCs w:val="18"/>
        </w:rPr>
        <w:t>;</w:t>
      </w:r>
    </w:p>
    <w:p w14:paraId="015F5025" w14:textId="06F4EB05" w:rsidR="00AA65BA" w:rsidRPr="00092FE3" w:rsidRDefault="00AA65BA" w:rsidP="00AA65BA">
      <w:pPr>
        <w:pStyle w:val="Paragrafoelenco"/>
        <w:numPr>
          <w:ilvl w:val="1"/>
          <w:numId w:val="40"/>
        </w:numPr>
        <w:spacing w:before="60" w:after="60"/>
        <w:ind w:left="567" w:hanging="284"/>
        <w:rPr>
          <w:rFonts w:ascii="Titillium" w:hAnsi="Titillium" w:cs="Calibri"/>
          <w:sz w:val="18"/>
          <w:szCs w:val="18"/>
        </w:rPr>
      </w:pPr>
      <w:r w:rsidRPr="00092FE3">
        <w:rPr>
          <w:rFonts w:ascii="Titillium" w:hAnsi="Titillium" w:cs="Calibri"/>
          <w:sz w:val="18"/>
          <w:szCs w:val="18"/>
        </w:rPr>
        <w:t xml:space="preserve">per i consorzi di cui all’articolo 65, comma 2, lettere b), c), d) del Codice se il consorzio o una delle consorziate sia in possesso della certificazione; </w:t>
      </w:r>
    </w:p>
    <w:p w14:paraId="66C72A4B" w14:textId="0B3C9E4D" w:rsidR="00F37AB2" w:rsidRDefault="00F37AB2" w:rsidP="00533FCD">
      <w:pPr>
        <w:spacing w:before="60" w:after="60"/>
        <w:rPr>
          <w:rFonts w:ascii="Titillium" w:hAnsi="Titillium" w:cs="Calibri"/>
          <w:sz w:val="18"/>
          <w:szCs w:val="18"/>
        </w:rPr>
      </w:pPr>
    </w:p>
    <w:p w14:paraId="5B4B85D0" w14:textId="53B9C592" w:rsidR="004B4C8D" w:rsidRDefault="004B4C8D" w:rsidP="004B4C8D">
      <w:pPr>
        <w:spacing w:before="60" w:after="60"/>
      </w:pPr>
      <w:r w:rsidRPr="00690F06">
        <w:rPr>
          <w:rFonts w:ascii="Titillium" w:hAnsi="Titillium" w:cs="Calibri"/>
          <w:sz w:val="18"/>
          <w:szCs w:val="18"/>
        </w:rPr>
        <w:t xml:space="preserve">Per fruire delle riduzioni di cui all’articolo </w:t>
      </w:r>
      <w:r>
        <w:rPr>
          <w:rFonts w:ascii="Titillium" w:hAnsi="Titillium" w:cs="Calibri"/>
          <w:sz w:val="18"/>
          <w:szCs w:val="18"/>
        </w:rPr>
        <w:t>106</w:t>
      </w:r>
      <w:r w:rsidRPr="00690F06">
        <w:rPr>
          <w:rFonts w:ascii="Titillium" w:hAnsi="Titillium" w:cs="Calibri"/>
          <w:sz w:val="18"/>
          <w:szCs w:val="18"/>
        </w:rPr>
        <w:t xml:space="preserve">, comma </w:t>
      </w:r>
      <w:r>
        <w:rPr>
          <w:rFonts w:ascii="Titillium" w:hAnsi="Titillium" w:cs="Calibri"/>
          <w:sz w:val="18"/>
          <w:szCs w:val="18"/>
        </w:rPr>
        <w:t>8</w:t>
      </w:r>
      <w:r w:rsidRPr="00690F06">
        <w:rPr>
          <w:rFonts w:ascii="Titillium" w:hAnsi="Titillium" w:cs="Calibri"/>
          <w:sz w:val="18"/>
          <w:szCs w:val="18"/>
        </w:rPr>
        <w:t xml:space="preserve"> del Codice, il concorrente dichiara nella domanda di partecipazione </w:t>
      </w:r>
      <w:r w:rsidRPr="00092FE3">
        <w:rPr>
          <w:rFonts w:ascii="Titillium" w:hAnsi="Titillium" w:cs="Calibri"/>
          <w:sz w:val="18"/>
          <w:szCs w:val="18"/>
        </w:rPr>
        <w:t xml:space="preserve">il possesso delle certificazioni </w:t>
      </w:r>
      <w:r w:rsidR="00092FE3">
        <w:rPr>
          <w:rFonts w:ascii="Titillium" w:hAnsi="Titillium" w:cs="Calibri"/>
          <w:sz w:val="18"/>
          <w:szCs w:val="18"/>
        </w:rPr>
        <w:t>e</w:t>
      </w:r>
      <w:r w:rsidR="00092FE3" w:rsidRPr="00092FE3">
        <w:rPr>
          <w:rFonts w:ascii="Titillium" w:hAnsi="Titillium" w:cs="Calibri"/>
          <w:sz w:val="18"/>
          <w:szCs w:val="18"/>
        </w:rPr>
        <w:t xml:space="preserve"> inserisce copia delle certificazioni possedute</w:t>
      </w:r>
      <w:r w:rsidR="00092FE3">
        <w:rPr>
          <w:rFonts w:ascii="Titillium" w:hAnsi="Titillium" w:cs="Calibri"/>
          <w:sz w:val="18"/>
          <w:szCs w:val="18"/>
        </w:rPr>
        <w:t xml:space="preserve"> qualora non già presenti nel fascicolo virtuale</w:t>
      </w:r>
      <w:r w:rsidR="00FC513F" w:rsidRPr="00092FE3">
        <w:rPr>
          <w:rFonts w:ascii="Titillium" w:hAnsi="Titillium" w:cs="Calibri"/>
          <w:sz w:val="18"/>
          <w:szCs w:val="18"/>
        </w:rPr>
        <w:t>.</w:t>
      </w:r>
    </w:p>
    <w:p w14:paraId="5D612FB2" w14:textId="14D101FF" w:rsidR="004C53A8" w:rsidRPr="00CB2EA8" w:rsidRDefault="00870286" w:rsidP="00533FCD">
      <w:pPr>
        <w:spacing w:before="60" w:after="60"/>
      </w:pPr>
      <w:r w:rsidRPr="00CB2EA8">
        <w:rPr>
          <w:rFonts w:ascii="Titillium" w:hAnsi="Titillium" w:cs="Calibri"/>
          <w:sz w:val="18"/>
          <w:szCs w:val="18"/>
        </w:rPr>
        <w:t>È sanabile, mediante soccorso istruttorio, la mancata presentazione della garanzia provvisoria solo a condizione che sia stat</w:t>
      </w:r>
      <w:r w:rsidR="00CB2EA8" w:rsidRPr="00CB2EA8">
        <w:rPr>
          <w:rFonts w:ascii="Titillium" w:hAnsi="Titillium" w:cs="Calibri"/>
          <w:sz w:val="18"/>
          <w:szCs w:val="18"/>
        </w:rPr>
        <w:t>a</w:t>
      </w:r>
      <w:r w:rsidRPr="00CB2EA8">
        <w:rPr>
          <w:rFonts w:ascii="Titillium" w:hAnsi="Titillium" w:cs="Calibri"/>
          <w:sz w:val="18"/>
          <w:szCs w:val="18"/>
        </w:rPr>
        <w:t xml:space="preserve"> già costituit</w:t>
      </w:r>
      <w:r w:rsidR="00CB2EA8" w:rsidRPr="00CB2EA8">
        <w:rPr>
          <w:rFonts w:ascii="Titillium" w:hAnsi="Titillium" w:cs="Calibri"/>
          <w:sz w:val="18"/>
          <w:szCs w:val="18"/>
        </w:rPr>
        <w:t>a</w:t>
      </w:r>
      <w:r w:rsidRPr="00CB2EA8">
        <w:rPr>
          <w:rFonts w:ascii="Titillium" w:hAnsi="Titillium" w:cs="Calibri"/>
          <w:sz w:val="18"/>
          <w:szCs w:val="18"/>
        </w:rPr>
        <w:t xml:space="preserve"> prima della presentazione dell’offerta. </w:t>
      </w:r>
      <w:r w:rsidRPr="00CB2EA8">
        <w:rPr>
          <w:rFonts w:ascii="Calibri" w:hAnsi="Calibri" w:cs="Calibri"/>
          <w:sz w:val="20"/>
          <w:szCs w:val="20"/>
        </w:rPr>
        <w:t xml:space="preserve"> </w:t>
      </w:r>
    </w:p>
    <w:p w14:paraId="7BCA9437" w14:textId="77777777" w:rsidR="004C53A8" w:rsidRDefault="00870286" w:rsidP="00533FCD">
      <w:pPr>
        <w:spacing w:before="60" w:after="60"/>
      </w:pPr>
      <w:r w:rsidRPr="00CB2EA8">
        <w:rPr>
          <w:rFonts w:ascii="Titillium" w:hAnsi="Titillium" w:cs="Calibri"/>
          <w:bCs/>
          <w:sz w:val="18"/>
          <w:szCs w:val="18"/>
        </w:rPr>
        <w:t xml:space="preserve">Non </w:t>
      </w:r>
      <w:r w:rsidRPr="00CB2EA8">
        <w:rPr>
          <w:rFonts w:ascii="Titillium" w:hAnsi="Titillium" w:cs="Calibri" w:hint="eastAsia"/>
          <w:bCs/>
          <w:sz w:val="18"/>
          <w:szCs w:val="18"/>
        </w:rPr>
        <w:t>è</w:t>
      </w:r>
      <w:r w:rsidRPr="00CB2EA8">
        <w:rPr>
          <w:rFonts w:ascii="Titillium" w:hAnsi="Titillium" w:cs="Calibri"/>
          <w:bCs/>
          <w:sz w:val="18"/>
          <w:szCs w:val="18"/>
        </w:rPr>
        <w:t xml:space="preserve"> sanabile</w:t>
      </w:r>
      <w:r w:rsidRPr="00CB2EA8">
        <w:rPr>
          <w:rFonts w:ascii="Titillium" w:hAnsi="Titillium" w:cs="Calibri"/>
          <w:sz w:val="18"/>
          <w:szCs w:val="18"/>
        </w:rPr>
        <w:t xml:space="preserve"> - e quindi è causa di esclusione - la sottoscrizione della garanzia provvisoria da parte di un soggetto non legittimato a rilasciare la garanzia o non autorizzato ad impegnare il garante.</w:t>
      </w:r>
      <w:r>
        <w:rPr>
          <w:rFonts w:ascii="Titillium" w:hAnsi="Titillium" w:cs="Calibri"/>
          <w:sz w:val="18"/>
          <w:szCs w:val="18"/>
        </w:rPr>
        <w:t xml:space="preserve"> </w:t>
      </w:r>
    </w:p>
    <w:p w14:paraId="25A50F13" w14:textId="4C760D1D" w:rsidR="004C53A8" w:rsidRDefault="00870286" w:rsidP="00084AD6">
      <w:pPr>
        <w:pStyle w:val="Titolo2"/>
        <w:numPr>
          <w:ilvl w:val="0"/>
          <w:numId w:val="4"/>
        </w:numPr>
        <w:ind w:left="357" w:hanging="357"/>
      </w:pPr>
      <w:r>
        <w:rPr>
          <w:rFonts w:ascii="Titillium" w:hAnsi="Titillium"/>
          <w:i/>
          <w:sz w:val="18"/>
          <w:szCs w:val="18"/>
          <w:lang w:val="it-IT"/>
        </w:rPr>
        <w:t xml:space="preserve"> </w:t>
      </w:r>
      <w:bookmarkStart w:id="1770" w:name="_Toc139549433"/>
      <w:r>
        <w:rPr>
          <w:rFonts w:ascii="Titillium" w:hAnsi="Titillium"/>
          <w:i/>
          <w:sz w:val="18"/>
          <w:szCs w:val="18"/>
          <w:lang w:val="it-IT"/>
        </w:rPr>
        <w:t>[</w:t>
      </w:r>
      <w:r w:rsidR="006F7F3E">
        <w:rPr>
          <w:rFonts w:ascii="Titillium" w:hAnsi="Titillium"/>
          <w:i/>
          <w:sz w:val="18"/>
          <w:szCs w:val="18"/>
          <w:lang w:val="it-IT"/>
        </w:rPr>
        <w:t>F</w:t>
      </w:r>
      <w:r w:rsidR="005423E5">
        <w:rPr>
          <w:rFonts w:ascii="Titillium" w:hAnsi="Titillium"/>
          <w:i/>
          <w:sz w:val="18"/>
          <w:szCs w:val="18"/>
          <w:lang w:val="it-IT"/>
        </w:rPr>
        <w:t>ACOLTATIVO</w:t>
      </w:r>
      <w:r>
        <w:rPr>
          <w:rFonts w:ascii="Titillium" w:hAnsi="Titillium"/>
          <w:i/>
          <w:caps w:val="0"/>
          <w:sz w:val="18"/>
          <w:szCs w:val="18"/>
          <w:lang w:val="it-IT"/>
        </w:rPr>
        <w:t>]</w:t>
      </w:r>
      <w:r w:rsidR="00EC088D">
        <w:rPr>
          <w:rFonts w:ascii="Titillium" w:hAnsi="Titillium"/>
          <w:sz w:val="18"/>
          <w:szCs w:val="18"/>
          <w:lang w:val="it-IT"/>
        </w:rPr>
        <w:t xml:space="preserve"> </w:t>
      </w:r>
      <w:r>
        <w:rPr>
          <w:rFonts w:ascii="Titillium" w:hAnsi="Titillium"/>
          <w:sz w:val="18"/>
          <w:szCs w:val="18"/>
        </w:rPr>
        <w:t>SOPRALLUOGO</w:t>
      </w:r>
      <w:bookmarkEnd w:id="1770"/>
    </w:p>
    <w:p w14:paraId="48400094" w14:textId="16CC0BB9" w:rsidR="004C53A8" w:rsidRDefault="00870286">
      <w:pPr>
        <w:spacing w:before="60" w:after="60"/>
      </w:pPr>
      <w:r>
        <w:rPr>
          <w:rFonts w:ascii="Titillium" w:hAnsi="Titillium" w:cs="Calibri"/>
          <w:sz w:val="18"/>
          <w:szCs w:val="18"/>
        </w:rPr>
        <w:t xml:space="preserve">Il sopralluogo su ... </w:t>
      </w:r>
      <w:r>
        <w:rPr>
          <w:rFonts w:ascii="Titillium" w:hAnsi="Titillium" w:cs="Calibri"/>
          <w:i/>
          <w:sz w:val="18"/>
          <w:szCs w:val="18"/>
        </w:rPr>
        <w:t>[indicare eventuali aree/locali/ oggetto di sopralluogo interessati ai</w:t>
      </w:r>
      <w:r>
        <w:rPr>
          <w:rFonts w:ascii="Titillium" w:hAnsi="Titillium" w:cs="Calibri"/>
          <w:sz w:val="18"/>
          <w:szCs w:val="18"/>
        </w:rPr>
        <w:t xml:space="preserve"> </w:t>
      </w:r>
      <w:r>
        <w:rPr>
          <w:rFonts w:ascii="Titillium" w:hAnsi="Titillium" w:cs="Calibri"/>
          <w:i/>
          <w:sz w:val="18"/>
          <w:szCs w:val="18"/>
        </w:rPr>
        <w:t>servizi/forniture]</w:t>
      </w:r>
      <w:r>
        <w:rPr>
          <w:rFonts w:ascii="Titillium" w:hAnsi="Titillium" w:cs="Calibri"/>
          <w:sz w:val="18"/>
          <w:szCs w:val="18"/>
        </w:rPr>
        <w:t xml:space="preserve"> </w:t>
      </w:r>
      <w:r w:rsidRPr="00EC088D">
        <w:rPr>
          <w:rFonts w:ascii="Titillium" w:hAnsi="Titillium" w:cs="Calibri"/>
          <w:sz w:val="18"/>
          <w:szCs w:val="18"/>
        </w:rPr>
        <w:t>è obbligatorio</w:t>
      </w:r>
      <w:r>
        <w:rPr>
          <w:rFonts w:ascii="Titillium" w:hAnsi="Titillium" w:cs="Calibri"/>
          <w:sz w:val="18"/>
          <w:szCs w:val="18"/>
        </w:rPr>
        <w:t xml:space="preserve">. Il sopralluogo si rende necessario per le seguenti ragioni … </w:t>
      </w:r>
      <w:r>
        <w:rPr>
          <w:rFonts w:ascii="Titillium" w:hAnsi="Titillium" w:cs="Calibri"/>
          <w:i/>
          <w:sz w:val="18"/>
          <w:szCs w:val="18"/>
        </w:rPr>
        <w:t>[fornire la motivazione].</w:t>
      </w:r>
      <w:r>
        <w:rPr>
          <w:rFonts w:ascii="Titillium" w:hAnsi="Titillium" w:cs="Calibri"/>
          <w:sz w:val="18"/>
          <w:szCs w:val="18"/>
        </w:rPr>
        <w:t xml:space="preserve"> La mancata effettuazione del sopralluogo </w:t>
      </w:r>
      <w:r w:rsidRPr="00EC088D">
        <w:rPr>
          <w:rFonts w:ascii="Titillium" w:hAnsi="Titillium" w:cs="Calibri"/>
          <w:sz w:val="18"/>
          <w:szCs w:val="18"/>
        </w:rPr>
        <w:t>è causa di esclusione dalla</w:t>
      </w:r>
      <w:r>
        <w:rPr>
          <w:rFonts w:ascii="Titillium" w:hAnsi="Titillium" w:cs="Calibri"/>
          <w:sz w:val="18"/>
          <w:szCs w:val="18"/>
        </w:rPr>
        <w:t xml:space="preserve"> procedura di gara.</w:t>
      </w:r>
    </w:p>
    <w:p w14:paraId="22644B49" w14:textId="0AD03C81" w:rsidR="004C53A8" w:rsidRDefault="00870286">
      <w:pPr>
        <w:spacing w:before="60" w:after="60"/>
      </w:pPr>
      <w:r>
        <w:rPr>
          <w:rFonts w:ascii="Titillium" w:hAnsi="Titillium" w:cs="Calibri"/>
          <w:sz w:val="18"/>
          <w:szCs w:val="18"/>
        </w:rPr>
        <w:t xml:space="preserve">Il sopralluogo è effettuato </w:t>
      </w:r>
      <w:r w:rsidR="004412F8">
        <w:rPr>
          <w:rFonts w:ascii="Titillium" w:hAnsi="Titillium" w:cs="Calibri"/>
          <w:sz w:val="18"/>
          <w:szCs w:val="18"/>
        </w:rPr>
        <w:t>accedendo di persona nelle aree oggetto di sopralluogo o a distanza.</w:t>
      </w:r>
    </w:p>
    <w:p w14:paraId="7B0149CA" w14:textId="2A97D5E8" w:rsidR="004C53A8" w:rsidRDefault="00870286">
      <w:pPr>
        <w:spacing w:before="60" w:after="60"/>
      </w:pPr>
      <w:r>
        <w:rPr>
          <w:rFonts w:ascii="Titillium" w:hAnsi="Titillium" w:cs="Calibri"/>
          <w:sz w:val="18"/>
          <w:szCs w:val="18"/>
        </w:rPr>
        <w:t xml:space="preserve">Il sopralluogo può essere effettuato </w:t>
      </w:r>
      <w:r w:rsidR="004412F8" w:rsidRPr="004C6FBF">
        <w:rPr>
          <w:rFonts w:ascii="Titillium" w:hAnsi="Titillium" w:cs="Calibri"/>
          <w:i/>
          <w:sz w:val="18"/>
          <w:szCs w:val="18"/>
        </w:rPr>
        <w:t>… [indicare o i giorni prestabiliti dalla stazione appaltante e/o la possibilità di concordare i giorni in cui svolgerlo</w:t>
      </w:r>
      <w:r w:rsidR="004C6FBF" w:rsidRPr="004C6FBF">
        <w:rPr>
          <w:rFonts w:ascii="Titillium" w:hAnsi="Titillium" w:cs="Calibri"/>
          <w:i/>
          <w:sz w:val="18"/>
          <w:szCs w:val="18"/>
        </w:rPr>
        <w:t xml:space="preserve"> di persona o</w:t>
      </w:r>
      <w:r w:rsidR="004C6FBF" w:rsidRPr="00955636">
        <w:rPr>
          <w:rFonts w:ascii="Titillium" w:hAnsi="Titillium" w:cs="Calibri"/>
          <w:i/>
          <w:sz w:val="18"/>
          <w:szCs w:val="18"/>
        </w:rPr>
        <w:t xml:space="preserve"> indicare come effettuare il sopralluogo a distanza, ad esempio collegandosi ad un link </w:t>
      </w:r>
      <w:r w:rsidR="00955636">
        <w:rPr>
          <w:rFonts w:ascii="Titillium" w:hAnsi="Titillium" w:cs="Calibri"/>
          <w:i/>
          <w:sz w:val="18"/>
          <w:szCs w:val="18"/>
        </w:rPr>
        <w:t>inserito nella Piattaforma</w:t>
      </w:r>
      <w:r w:rsidR="004412F8" w:rsidRPr="004C6FBF">
        <w:rPr>
          <w:rFonts w:ascii="Titillium" w:hAnsi="Titillium" w:cs="Calibri"/>
          <w:i/>
          <w:sz w:val="18"/>
          <w:szCs w:val="18"/>
        </w:rPr>
        <w:t>]</w:t>
      </w:r>
      <w:r w:rsidR="004412F8">
        <w:rPr>
          <w:rFonts w:ascii="Titillium" w:hAnsi="Titillium" w:cs="Calibri"/>
          <w:sz w:val="18"/>
          <w:szCs w:val="18"/>
        </w:rPr>
        <w:t xml:space="preserve">. </w:t>
      </w:r>
    </w:p>
    <w:p w14:paraId="6445AB22" w14:textId="66BEF7D2" w:rsidR="004C53A8" w:rsidRDefault="00870286">
      <w:pPr>
        <w:spacing w:before="60" w:after="60"/>
      </w:pPr>
      <w:r>
        <w:rPr>
          <w:rFonts w:ascii="Titillium" w:hAnsi="Titillium" w:cs="Calibri"/>
          <w:sz w:val="18"/>
          <w:szCs w:val="18"/>
        </w:rPr>
        <w:t xml:space="preserve">La richiesta di sopralluogo deve essere presentata </w:t>
      </w:r>
      <w:r w:rsidR="00CF3AD8">
        <w:rPr>
          <w:rFonts w:ascii="Titillium" w:hAnsi="Titillium" w:cs="Calibri"/>
          <w:sz w:val="18"/>
          <w:szCs w:val="18"/>
        </w:rPr>
        <w:t xml:space="preserve">entro le ore </w:t>
      </w:r>
      <w:r w:rsidR="00CF3AD8" w:rsidRPr="004C6FBF">
        <w:rPr>
          <w:rFonts w:ascii="Titillium" w:hAnsi="Titillium" w:cs="Calibri"/>
          <w:i/>
          <w:sz w:val="18"/>
          <w:szCs w:val="18"/>
        </w:rPr>
        <w:t>... [indicare]</w:t>
      </w:r>
      <w:r w:rsidR="00CF3AD8">
        <w:rPr>
          <w:rFonts w:ascii="Titillium" w:hAnsi="Titillium" w:cs="Calibri"/>
          <w:sz w:val="18"/>
          <w:szCs w:val="18"/>
        </w:rPr>
        <w:t xml:space="preserve"> del giorno …</w:t>
      </w:r>
      <w:r w:rsidR="00CF3AD8">
        <w:rPr>
          <w:rFonts w:ascii="Titillium" w:hAnsi="Titillium" w:cs="Calibri"/>
          <w:i/>
          <w:sz w:val="18"/>
          <w:szCs w:val="18"/>
        </w:rPr>
        <w:t xml:space="preserve"> </w:t>
      </w:r>
      <w:r w:rsidR="00CF3AD8" w:rsidRPr="004C6FBF">
        <w:rPr>
          <w:rFonts w:ascii="Titillium" w:hAnsi="Titillium" w:cs="Calibri"/>
          <w:i/>
          <w:sz w:val="18"/>
          <w:szCs w:val="18"/>
        </w:rPr>
        <w:t xml:space="preserve">[indicare], </w:t>
      </w:r>
      <w:r>
        <w:rPr>
          <w:rFonts w:ascii="Titillium" w:hAnsi="Titillium" w:cs="Calibri"/>
          <w:sz w:val="18"/>
          <w:szCs w:val="18"/>
        </w:rPr>
        <w:t>tramite la Piattaforma alla</w:t>
      </w:r>
      <w:r>
        <w:rPr>
          <w:rFonts w:ascii="Titillium" w:hAnsi="Titillium" w:cs="Calibri"/>
          <w:i/>
          <w:sz w:val="18"/>
          <w:szCs w:val="18"/>
        </w:rPr>
        <w:t xml:space="preserve"> </w:t>
      </w:r>
      <w:r>
        <w:rPr>
          <w:rFonts w:ascii="Titillium" w:hAnsi="Titillium" w:cs="Calibri"/>
          <w:sz w:val="18"/>
          <w:szCs w:val="18"/>
        </w:rPr>
        <w:t>Sezione</w:t>
      </w:r>
      <w:r>
        <w:rPr>
          <w:rFonts w:ascii="Titillium" w:hAnsi="Titillium" w:cs="Calibri"/>
          <w:i/>
          <w:sz w:val="18"/>
          <w:szCs w:val="18"/>
        </w:rPr>
        <w:t xml:space="preserve"> </w:t>
      </w:r>
      <w:r w:rsidR="00CF3AD8">
        <w:rPr>
          <w:rFonts w:ascii="Titillium" w:hAnsi="Titillium" w:cs="Calibri"/>
          <w:sz w:val="18"/>
          <w:szCs w:val="18"/>
        </w:rPr>
        <w:t>…</w:t>
      </w:r>
      <w:r>
        <w:rPr>
          <w:rFonts w:ascii="Titillium" w:hAnsi="Titillium" w:cs="Calibri"/>
          <w:sz w:val="18"/>
          <w:szCs w:val="18"/>
        </w:rPr>
        <w:t xml:space="preserve"> </w:t>
      </w:r>
      <w:r w:rsidRPr="004C6FBF">
        <w:rPr>
          <w:rFonts w:ascii="Titillium" w:hAnsi="Titillium" w:cs="Calibri"/>
          <w:i/>
          <w:sz w:val="18"/>
          <w:szCs w:val="18"/>
        </w:rPr>
        <w:t>[indicare]</w:t>
      </w:r>
      <w:r>
        <w:rPr>
          <w:rFonts w:ascii="Titillium" w:hAnsi="Titillium" w:cs="Calibri"/>
          <w:sz w:val="18"/>
          <w:szCs w:val="18"/>
        </w:rPr>
        <w:t xml:space="preserve"> e deve riportare il nominativo e la qualifica della persona incaricata di effettuare il sopralluogo. </w:t>
      </w:r>
    </w:p>
    <w:p w14:paraId="45DAF81C" w14:textId="731864D2" w:rsidR="004C53A8" w:rsidRPr="007F7B02" w:rsidRDefault="00870286" w:rsidP="007F7B02">
      <w:pPr>
        <w:spacing w:before="60" w:after="60"/>
        <w:rPr>
          <w:rFonts w:ascii="Titillium" w:hAnsi="Titillium" w:cs="Calibri"/>
          <w:sz w:val="18"/>
          <w:szCs w:val="18"/>
        </w:rPr>
      </w:pPr>
      <w:r>
        <w:rPr>
          <w:rFonts w:ascii="Titillium" w:hAnsi="Titillium" w:cs="Calibri"/>
          <w:sz w:val="18"/>
          <w:szCs w:val="18"/>
        </w:rPr>
        <w:t xml:space="preserve">Data, ora e luogo </w:t>
      </w:r>
      <w:r w:rsidR="00955636" w:rsidRPr="00955636">
        <w:rPr>
          <w:rFonts w:ascii="Titillium" w:hAnsi="Titillium" w:cs="Calibri"/>
          <w:i/>
          <w:sz w:val="18"/>
          <w:szCs w:val="18"/>
        </w:rPr>
        <w:t xml:space="preserve">[fisico in caso di sopralluogo effettuato di persona o </w:t>
      </w:r>
      <w:r w:rsidR="00B33BC1">
        <w:rPr>
          <w:rFonts w:ascii="Titillium" w:hAnsi="Titillium" w:cs="Calibri"/>
          <w:i/>
          <w:sz w:val="18"/>
          <w:szCs w:val="18"/>
        </w:rPr>
        <w:t>link o area della Piattaforma</w:t>
      </w:r>
      <w:r w:rsidR="00955636" w:rsidRPr="00955636">
        <w:rPr>
          <w:rFonts w:ascii="Titillium" w:hAnsi="Titillium" w:cs="Calibri"/>
          <w:i/>
          <w:sz w:val="18"/>
          <w:szCs w:val="18"/>
        </w:rPr>
        <w:t xml:space="preserve"> in caso di sopralluogo virtuale]</w:t>
      </w:r>
      <w:r w:rsidR="00955636">
        <w:rPr>
          <w:rFonts w:ascii="Titillium" w:hAnsi="Titillium" w:cs="Calibri"/>
          <w:sz w:val="18"/>
          <w:szCs w:val="18"/>
        </w:rPr>
        <w:t xml:space="preserve"> </w:t>
      </w:r>
      <w:r>
        <w:rPr>
          <w:rFonts w:ascii="Titillium" w:hAnsi="Titillium" w:cs="Calibri"/>
          <w:sz w:val="18"/>
          <w:szCs w:val="18"/>
        </w:rPr>
        <w:t xml:space="preserve">del sopralluogo sono comunicati ai concorrenti con almeno ... </w:t>
      </w:r>
      <w:r w:rsidRPr="00955636">
        <w:rPr>
          <w:rFonts w:ascii="Titillium" w:hAnsi="Titillium" w:cs="Calibri"/>
          <w:i/>
          <w:sz w:val="18"/>
          <w:szCs w:val="18"/>
        </w:rPr>
        <w:t>[indicare]</w:t>
      </w:r>
      <w:r>
        <w:rPr>
          <w:rFonts w:ascii="Titillium" w:hAnsi="Titillium" w:cs="Calibri"/>
          <w:sz w:val="18"/>
          <w:szCs w:val="18"/>
        </w:rPr>
        <w:t xml:space="preserve"> giorni di anticipo. </w:t>
      </w:r>
      <w:r w:rsidR="007F7B02" w:rsidRPr="007F7B02">
        <w:rPr>
          <w:rFonts w:ascii="Titillium" w:hAnsi="Titillium" w:cs="Calibri"/>
          <w:sz w:val="18"/>
          <w:szCs w:val="18"/>
        </w:rPr>
        <w:t xml:space="preserve">Viene rilasciata </w:t>
      </w:r>
      <w:r w:rsidR="00260794">
        <w:rPr>
          <w:rFonts w:ascii="Titillium" w:hAnsi="Titillium" w:cs="Calibri"/>
          <w:sz w:val="18"/>
          <w:szCs w:val="18"/>
        </w:rPr>
        <w:t>l’</w:t>
      </w:r>
      <w:r w:rsidR="007F7B02" w:rsidRPr="007F7B02">
        <w:rPr>
          <w:rFonts w:ascii="Titillium" w:hAnsi="Titillium" w:cs="Calibri"/>
          <w:sz w:val="18"/>
          <w:szCs w:val="18"/>
        </w:rPr>
        <w:t>attestazione di avvenuto svolgimento del sopralluogo.</w:t>
      </w:r>
    </w:p>
    <w:p w14:paraId="0B3209C2" w14:textId="6696ACE8" w:rsidR="00CC69B5" w:rsidRDefault="00CC69B5">
      <w:pPr>
        <w:spacing w:before="60" w:after="60"/>
        <w:rPr>
          <w:rFonts w:ascii="Titillium" w:hAnsi="Titillium" w:cs="Calibri"/>
          <w:sz w:val="18"/>
          <w:szCs w:val="18"/>
        </w:rPr>
      </w:pPr>
      <w:r w:rsidRPr="00CC69B5">
        <w:rPr>
          <w:rFonts w:ascii="Titillium" w:hAnsi="Titillium" w:cs="Calibri"/>
          <w:sz w:val="18"/>
          <w:szCs w:val="18"/>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r w:rsidR="00C33490">
        <w:rPr>
          <w:rFonts w:ascii="Titillium" w:hAnsi="Titillium" w:cs="Calibri"/>
          <w:sz w:val="18"/>
          <w:szCs w:val="18"/>
        </w:rPr>
        <w:t>.</w:t>
      </w:r>
    </w:p>
    <w:p w14:paraId="7C6D1732" w14:textId="258BDFE0" w:rsidR="004C53A8" w:rsidRDefault="00870286">
      <w:pPr>
        <w:spacing w:before="60" w:after="60"/>
        <w:rPr>
          <w:rFonts w:ascii="Titillium" w:hAnsi="Titillium" w:cs="Calibri"/>
          <w:sz w:val="18"/>
          <w:szCs w:val="18"/>
        </w:rPr>
      </w:pPr>
      <w:r>
        <w:rPr>
          <w:rFonts w:ascii="Titillium" w:hAnsi="Titillium" w:cs="Calibri"/>
          <w:sz w:val="18"/>
          <w:szCs w:val="18"/>
        </w:rPr>
        <w:t xml:space="preserve">Il soggetto delegato ad effettuare il sopralluogo non può ricevere l’incarico da più concorrenti. </w:t>
      </w:r>
      <w:r w:rsidRPr="007F7B02">
        <w:rPr>
          <w:rFonts w:ascii="Titillium" w:hAnsi="Titillium" w:cs="Calibri"/>
          <w:sz w:val="18"/>
          <w:szCs w:val="18"/>
        </w:rPr>
        <w:t>In tal caso la stazione appaltante non rilasc</w:t>
      </w:r>
      <w:r w:rsidR="00955636" w:rsidRPr="007F7B02">
        <w:rPr>
          <w:rFonts w:ascii="Titillium" w:hAnsi="Titillium" w:cs="Calibri"/>
          <w:sz w:val="18"/>
          <w:szCs w:val="18"/>
        </w:rPr>
        <w:t>ia</w:t>
      </w:r>
      <w:r w:rsidRPr="007F7B02">
        <w:rPr>
          <w:rFonts w:ascii="Titillium" w:hAnsi="Titillium" w:cs="Calibri"/>
          <w:sz w:val="18"/>
          <w:szCs w:val="18"/>
        </w:rPr>
        <w:t xml:space="preserve"> la relativa attestazione ad alcuno dei soggetti deleganti</w:t>
      </w:r>
      <w:r>
        <w:rPr>
          <w:rFonts w:ascii="Titillium" w:hAnsi="Titillium" w:cs="Calibri"/>
          <w:sz w:val="18"/>
          <w:szCs w:val="18"/>
        </w:rPr>
        <w:t>.</w:t>
      </w:r>
    </w:p>
    <w:p w14:paraId="001FCEE1" w14:textId="23A2DA28" w:rsidR="004C53A8" w:rsidRDefault="00870286">
      <w:pPr>
        <w:spacing w:before="60" w:after="60"/>
      </w:pPr>
      <w:r>
        <w:rPr>
          <w:rFonts w:ascii="Titillium" w:hAnsi="Titillium" w:cs="Calibri"/>
          <w:sz w:val="18"/>
          <w:szCs w:val="18"/>
        </w:rPr>
        <w:t xml:space="preserve">In caso </w:t>
      </w:r>
      <w:r w:rsidRPr="003D7007">
        <w:rPr>
          <w:rFonts w:ascii="Titillium" w:hAnsi="Titillium" w:cs="Calibri"/>
          <w:sz w:val="18"/>
          <w:szCs w:val="18"/>
        </w:rPr>
        <w:t>di raggruppamento temporaneo o consorzio ordinario già costituiti, GEIE, aggregazione di retisti, il sopralluogo può essere</w:t>
      </w:r>
      <w:r>
        <w:rPr>
          <w:rFonts w:ascii="Titillium" w:hAnsi="Titillium" w:cs="Calibri"/>
          <w:sz w:val="18"/>
          <w:szCs w:val="18"/>
        </w:rPr>
        <w:t xml:space="preserve"> effettuato da un rappresentante degli operatori economici raggruppati, aggregati in rete o consorziati. </w:t>
      </w:r>
    </w:p>
    <w:p w14:paraId="5F504F00" w14:textId="5E9EB8A2" w:rsidR="004C53A8" w:rsidRPr="003D7007" w:rsidRDefault="00870286">
      <w:pPr>
        <w:spacing w:before="60" w:after="60"/>
      </w:pPr>
      <w:r w:rsidRPr="003D7007">
        <w:rPr>
          <w:rFonts w:ascii="Titillium" w:hAnsi="Titillium" w:cs="Calibri"/>
          <w:sz w:val="18"/>
          <w:szCs w:val="18"/>
        </w:rPr>
        <w:lastRenderedPageBreak/>
        <w:t>In caso di raggruppamento temporaneo o consorzio ordinario</w:t>
      </w:r>
      <w:r w:rsidR="00AC045C">
        <w:rPr>
          <w:rFonts w:ascii="Titillium" w:hAnsi="Titillium" w:cs="Calibri"/>
          <w:sz w:val="18"/>
          <w:szCs w:val="18"/>
        </w:rPr>
        <w:t xml:space="preserve">, </w:t>
      </w:r>
      <w:r w:rsidRPr="003D7007">
        <w:rPr>
          <w:rFonts w:ascii="Titillium" w:hAnsi="Titillium" w:cs="Calibri"/>
          <w:sz w:val="18"/>
          <w:szCs w:val="18"/>
        </w:rPr>
        <w:t xml:space="preserve">aggregazione di retisti </w:t>
      </w:r>
      <w:r w:rsidR="005423E5" w:rsidRPr="005423E5">
        <w:rPr>
          <w:rFonts w:ascii="Titillium" w:hAnsi="Titillium" w:cs="Calibri"/>
          <w:sz w:val="18"/>
          <w:szCs w:val="18"/>
        </w:rPr>
        <w:t>non ancora costituiti</w:t>
      </w:r>
      <w:r w:rsidRPr="003D7007">
        <w:rPr>
          <w:rFonts w:ascii="Titillium" w:hAnsi="Titillium" w:cs="Calibri"/>
          <w:sz w:val="18"/>
          <w:szCs w:val="18"/>
        </w:rPr>
        <w:t xml:space="preserve">, il sopralluogo è effettuato da un rappresentante </w:t>
      </w:r>
      <w:r w:rsidR="005423E5">
        <w:rPr>
          <w:rFonts w:ascii="Titillium" w:hAnsi="Titillium" w:cs="Calibri"/>
          <w:sz w:val="18"/>
          <w:szCs w:val="18"/>
        </w:rPr>
        <w:t xml:space="preserve">di uno </w:t>
      </w:r>
      <w:r w:rsidRPr="003D7007">
        <w:rPr>
          <w:rFonts w:ascii="Titillium" w:hAnsi="Titillium" w:cs="Calibri"/>
          <w:sz w:val="18"/>
          <w:szCs w:val="18"/>
        </w:rPr>
        <w:t xml:space="preserve">degli operatori economici </w:t>
      </w:r>
      <w:r w:rsidR="006D3FC5">
        <w:rPr>
          <w:rFonts w:ascii="Titillium" w:hAnsi="Titillium" w:cs="Calibri"/>
          <w:sz w:val="18"/>
          <w:szCs w:val="18"/>
        </w:rPr>
        <w:t xml:space="preserve">che costituiranno il </w:t>
      </w:r>
      <w:r w:rsidRPr="003D7007">
        <w:rPr>
          <w:rFonts w:ascii="Titillium" w:hAnsi="Titillium" w:cs="Calibri"/>
          <w:sz w:val="18"/>
          <w:szCs w:val="18"/>
        </w:rPr>
        <w:t>raggruppa</w:t>
      </w:r>
      <w:r w:rsidR="006D3FC5">
        <w:rPr>
          <w:rFonts w:ascii="Titillium" w:hAnsi="Titillium" w:cs="Calibri"/>
          <w:sz w:val="18"/>
          <w:szCs w:val="18"/>
        </w:rPr>
        <w:t>mento</w:t>
      </w:r>
      <w:r w:rsidR="00803687">
        <w:rPr>
          <w:rFonts w:ascii="Titillium" w:hAnsi="Titillium" w:cs="Calibri"/>
          <w:sz w:val="18"/>
          <w:szCs w:val="18"/>
        </w:rPr>
        <w:t xml:space="preserve"> o</w:t>
      </w:r>
      <w:r w:rsidRPr="003D7007">
        <w:rPr>
          <w:rFonts w:ascii="Titillium" w:hAnsi="Titillium" w:cs="Calibri"/>
          <w:sz w:val="18"/>
          <w:szCs w:val="18"/>
        </w:rPr>
        <w:t xml:space="preserve"> </w:t>
      </w:r>
      <w:r w:rsidR="00125A3E">
        <w:rPr>
          <w:rFonts w:ascii="Titillium" w:hAnsi="Titillium" w:cs="Calibri"/>
          <w:sz w:val="18"/>
          <w:szCs w:val="18"/>
        </w:rPr>
        <w:t>l’</w:t>
      </w:r>
      <w:r w:rsidR="00125A3E" w:rsidRPr="003D7007">
        <w:rPr>
          <w:rFonts w:ascii="Titillium" w:hAnsi="Titillium" w:cs="Calibri"/>
          <w:sz w:val="18"/>
          <w:szCs w:val="18"/>
        </w:rPr>
        <w:t>aggrega</w:t>
      </w:r>
      <w:r w:rsidR="00125A3E">
        <w:rPr>
          <w:rFonts w:ascii="Titillium" w:hAnsi="Titillium" w:cs="Calibri"/>
          <w:sz w:val="18"/>
          <w:szCs w:val="18"/>
        </w:rPr>
        <w:t xml:space="preserve">zione </w:t>
      </w:r>
      <w:r w:rsidR="00125A3E" w:rsidRPr="003D7007">
        <w:rPr>
          <w:rFonts w:ascii="Titillium" w:hAnsi="Titillium" w:cs="Calibri"/>
          <w:sz w:val="18"/>
          <w:szCs w:val="18"/>
        </w:rPr>
        <w:t>in</w:t>
      </w:r>
      <w:r w:rsidRPr="003D7007">
        <w:rPr>
          <w:rFonts w:ascii="Titillium" w:hAnsi="Titillium" w:cs="Calibri"/>
          <w:sz w:val="18"/>
          <w:szCs w:val="18"/>
        </w:rPr>
        <w:t xml:space="preserve"> rete o </w:t>
      </w:r>
      <w:r w:rsidR="006D3FC5">
        <w:rPr>
          <w:rFonts w:ascii="Titillium" w:hAnsi="Titillium" w:cs="Calibri"/>
          <w:sz w:val="18"/>
          <w:szCs w:val="18"/>
        </w:rPr>
        <w:t xml:space="preserve">il </w:t>
      </w:r>
      <w:r w:rsidRPr="003D7007">
        <w:rPr>
          <w:rFonts w:ascii="Titillium" w:hAnsi="Titillium" w:cs="Calibri"/>
          <w:sz w:val="18"/>
          <w:szCs w:val="18"/>
        </w:rPr>
        <w:t>consorzi</w:t>
      </w:r>
      <w:r w:rsidR="006D3FC5">
        <w:rPr>
          <w:rFonts w:ascii="Titillium" w:hAnsi="Titillium" w:cs="Calibri"/>
          <w:sz w:val="18"/>
          <w:szCs w:val="18"/>
        </w:rPr>
        <w:t>o</w:t>
      </w:r>
      <w:r w:rsidRPr="003D7007">
        <w:rPr>
          <w:rFonts w:ascii="Titillium" w:hAnsi="Titillium" w:cs="Calibri"/>
          <w:sz w:val="18"/>
          <w:szCs w:val="18"/>
        </w:rPr>
        <w:t xml:space="preserve">. </w:t>
      </w:r>
    </w:p>
    <w:p w14:paraId="26F394DC" w14:textId="362BE9AF" w:rsidR="004C53A8" w:rsidRDefault="00870286">
      <w:pPr>
        <w:spacing w:before="60" w:after="60"/>
        <w:rPr>
          <w:rFonts w:ascii="Titillium" w:hAnsi="Titillium" w:cs="Calibri"/>
          <w:sz w:val="18"/>
          <w:szCs w:val="18"/>
        </w:rPr>
      </w:pPr>
      <w:r w:rsidRPr="003D7007">
        <w:rPr>
          <w:rFonts w:ascii="Titillium" w:hAnsi="Titillium" w:cs="Calibri"/>
          <w:sz w:val="18"/>
          <w:szCs w:val="18"/>
        </w:rPr>
        <w:t xml:space="preserve">In caso di consorzio di cui all’articolo </w:t>
      </w:r>
      <w:r w:rsidR="009906FB">
        <w:rPr>
          <w:rFonts w:ascii="Titillium" w:hAnsi="Titillium" w:cs="Calibri"/>
          <w:sz w:val="18"/>
          <w:szCs w:val="18"/>
        </w:rPr>
        <w:t xml:space="preserve">65 </w:t>
      </w:r>
      <w:r w:rsidRPr="003D7007">
        <w:rPr>
          <w:rFonts w:ascii="Titillium" w:hAnsi="Titillium" w:cs="Calibri"/>
          <w:sz w:val="18"/>
          <w:szCs w:val="18"/>
        </w:rPr>
        <w:t>comma 2, lettera b)</w:t>
      </w:r>
      <w:r w:rsidR="009906FB">
        <w:rPr>
          <w:rFonts w:ascii="Titillium" w:hAnsi="Titillium" w:cs="Calibri"/>
          <w:sz w:val="18"/>
          <w:szCs w:val="18"/>
        </w:rPr>
        <w:t>, c), d)</w:t>
      </w:r>
      <w:r w:rsidRPr="003D7007">
        <w:rPr>
          <w:rFonts w:ascii="Titillium" w:hAnsi="Titillium" w:cs="Calibri"/>
          <w:sz w:val="18"/>
          <w:szCs w:val="18"/>
        </w:rPr>
        <w:t xml:space="preserve"> del Codice il sopralluogo deve essere effettuato da soggetto munito di delega conferita dal consorzio oppure dall’operatore economico consorziato indicato come esecutore</w:t>
      </w:r>
      <w:r>
        <w:rPr>
          <w:rFonts w:ascii="Titillium" w:hAnsi="Titillium" w:cs="Calibri"/>
          <w:sz w:val="18"/>
          <w:szCs w:val="18"/>
        </w:rPr>
        <w:t>.</w:t>
      </w:r>
    </w:p>
    <w:p w14:paraId="4DB0B484" w14:textId="0161C40E" w:rsidR="00BD7D5F" w:rsidRDefault="00BD7D5F" w:rsidP="00BD7D5F">
      <w:pPr>
        <w:pBdr>
          <w:top w:val="single" w:sz="4" w:space="1" w:color="auto"/>
          <w:left w:val="single" w:sz="4" w:space="4" w:color="auto"/>
          <w:bottom w:val="single" w:sz="4" w:space="1" w:color="auto"/>
          <w:right w:val="single" w:sz="4" w:space="4" w:color="auto"/>
        </w:pBdr>
        <w:spacing w:before="60" w:after="60"/>
        <w:rPr>
          <w:rFonts w:ascii="Titillium" w:hAnsi="Titillium" w:cs="Calibri"/>
          <w:sz w:val="18"/>
          <w:szCs w:val="18"/>
        </w:rPr>
      </w:pPr>
      <w:r w:rsidRPr="008B37AD">
        <w:rPr>
          <w:rFonts w:ascii="Titillium" w:hAnsi="Titillium" w:cs="Calibri"/>
          <w:i/>
          <w:sz w:val="18"/>
          <w:szCs w:val="18"/>
        </w:rPr>
        <w:t>N.B.: i sopralluoghi devono essere fissati in date tali da consentire agli operatori economici di poter effettuare eventuali richieste di chiarimenti ovvero di regola almeno tre giorni prima della scadenza del termine per la richiesta dei chiarimenti.</w:t>
      </w:r>
    </w:p>
    <w:p w14:paraId="4506D22D" w14:textId="34AFB9C6" w:rsidR="004C53A8" w:rsidRDefault="00870286" w:rsidP="00084AD6">
      <w:pPr>
        <w:pStyle w:val="Titolo2"/>
        <w:numPr>
          <w:ilvl w:val="0"/>
          <w:numId w:val="4"/>
        </w:numPr>
        <w:ind w:left="357" w:hanging="357"/>
      </w:pPr>
      <w:bookmarkStart w:id="1771" w:name="_Toc139549434"/>
      <w:r>
        <w:rPr>
          <w:rFonts w:ascii="Titillium" w:hAnsi="Titillium"/>
          <w:sz w:val="18"/>
          <w:szCs w:val="18"/>
          <w:lang w:val="it-IT"/>
        </w:rPr>
        <w:t>PAGAMENTO DEL CONTRIBUTO A FAVORE DELL’</w:t>
      </w:r>
      <w:r>
        <w:rPr>
          <w:rFonts w:ascii="Titillium" w:hAnsi="Titillium" w:cs="Calibri"/>
          <w:sz w:val="18"/>
          <w:szCs w:val="18"/>
        </w:rPr>
        <w:t>ANAC</w:t>
      </w:r>
      <w:bookmarkStart w:id="1772" w:name="_Toc416423364"/>
      <w:bookmarkStart w:id="1773" w:name="_Toc406754179"/>
      <w:bookmarkStart w:id="1774" w:name="_Toc406058378"/>
      <w:bookmarkStart w:id="1775" w:name="_Toc403471272"/>
      <w:bookmarkStart w:id="1776" w:name="_Toc397422865"/>
      <w:bookmarkStart w:id="1777" w:name="_Toc397346824"/>
      <w:bookmarkStart w:id="1778" w:name="_Toc393706909"/>
      <w:bookmarkStart w:id="1779" w:name="_Toc393700836"/>
      <w:bookmarkStart w:id="1780" w:name="_Toc393283177"/>
      <w:bookmarkStart w:id="1781" w:name="_Toc393272661"/>
      <w:bookmarkStart w:id="1782" w:name="_Toc393272603"/>
      <w:bookmarkStart w:id="1783" w:name="_Toc393187847"/>
      <w:bookmarkStart w:id="1784" w:name="_Toc393112130"/>
      <w:bookmarkStart w:id="1785" w:name="_Toc393110566"/>
      <w:bookmarkStart w:id="1786" w:name="_Toc392577499"/>
      <w:bookmarkStart w:id="1787" w:name="_Toc391036058"/>
      <w:bookmarkStart w:id="1788" w:name="_Toc391035985"/>
      <w:bookmarkStart w:id="1789" w:name="_Toc380501872"/>
      <w:bookmarkStart w:id="1790" w:name="_Toc354038185"/>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71"/>
    </w:p>
    <w:p w14:paraId="13A17C7D" w14:textId="27ADDCC2" w:rsidR="004E396B" w:rsidRPr="000D756B" w:rsidRDefault="00870286">
      <w:pPr>
        <w:spacing w:before="60" w:after="60"/>
        <w:rPr>
          <w:rFonts w:ascii="Titillium" w:hAnsi="Titillium"/>
          <w:iCs/>
          <w:sz w:val="18"/>
          <w:szCs w:val="18"/>
        </w:rPr>
      </w:pPr>
      <w:r w:rsidRPr="003D1CFD">
        <w:rPr>
          <w:rFonts w:ascii="Titillium" w:hAnsi="Titillium" w:cs="Calibri"/>
          <w:b/>
          <w:i/>
          <w:sz w:val="18"/>
          <w:szCs w:val="18"/>
        </w:rPr>
        <w:t xml:space="preserve">[In caso di lotto unico] </w:t>
      </w:r>
      <w:r w:rsidRPr="003D1CFD">
        <w:rPr>
          <w:rFonts w:ascii="Titillium" w:hAnsi="Titillium" w:cs="Calibri"/>
          <w:sz w:val="18"/>
          <w:szCs w:val="18"/>
        </w:rPr>
        <w:t>I concorrenti effettuano</w:t>
      </w:r>
      <w:r w:rsidR="000D756B">
        <w:rPr>
          <w:rFonts w:ascii="Titillium" w:hAnsi="Titillium" w:cs="Calibri"/>
          <w:sz w:val="18"/>
          <w:szCs w:val="18"/>
        </w:rPr>
        <w:t xml:space="preserve"> </w:t>
      </w:r>
      <w:r w:rsidRPr="00D2751A">
        <w:rPr>
          <w:rFonts w:ascii="Titillium" w:hAnsi="Titillium" w:cs="Calibri"/>
          <w:sz w:val="18"/>
          <w:szCs w:val="18"/>
        </w:rPr>
        <w:t>il</w:t>
      </w:r>
      <w:r w:rsidRPr="003D1CFD">
        <w:rPr>
          <w:rFonts w:ascii="Titillium" w:hAnsi="Titillium" w:cs="Calibri"/>
          <w:sz w:val="18"/>
          <w:szCs w:val="18"/>
        </w:rPr>
        <w:t xml:space="preserve"> pagamento del contributo previsto dalla legge in favore dell’Autorità Nazionale Anticorruzione per un importo pari a € … </w:t>
      </w:r>
      <w:r w:rsidRPr="003D1CFD">
        <w:rPr>
          <w:rFonts w:ascii="Titillium" w:hAnsi="Titillium" w:cs="Calibri"/>
          <w:i/>
          <w:iCs/>
          <w:sz w:val="18"/>
          <w:szCs w:val="18"/>
        </w:rPr>
        <w:t>[inserire]</w:t>
      </w:r>
      <w:r w:rsidRPr="003D1CFD">
        <w:rPr>
          <w:rFonts w:ascii="Titillium" w:hAnsi="Titillium" w:cs="Calibri"/>
          <w:sz w:val="18"/>
          <w:szCs w:val="18"/>
        </w:rPr>
        <w:t xml:space="preserve"> secondo le modalità di cui alla delibera ANAC n. … del … </w:t>
      </w:r>
      <w:r w:rsidRPr="003D1CFD">
        <w:rPr>
          <w:rFonts w:ascii="Titillium" w:hAnsi="Titillium" w:cs="Calibri"/>
          <w:i/>
          <w:sz w:val="18"/>
          <w:szCs w:val="18"/>
        </w:rPr>
        <w:t>[</w:t>
      </w:r>
      <w:r w:rsidR="00D91357" w:rsidRPr="00D91357">
        <w:rPr>
          <w:rFonts w:ascii="Titillium" w:hAnsi="Titillium" w:cs="Calibri"/>
          <w:i/>
          <w:sz w:val="18"/>
          <w:szCs w:val="18"/>
        </w:rPr>
        <w:t xml:space="preserve">ad esempio Delibera numero 621 del 20 dicembre 2022 </w:t>
      </w:r>
      <w:r w:rsidR="00AE4667" w:rsidRPr="00D91357">
        <w:rPr>
          <w:rFonts w:ascii="Titillium" w:hAnsi="Titillium"/>
          <w:i/>
          <w:sz w:val="18"/>
          <w:szCs w:val="18"/>
        </w:rPr>
        <w:t xml:space="preserve">o successiva delibera </w:t>
      </w:r>
      <w:r w:rsidR="00D91357" w:rsidRPr="00D91357">
        <w:rPr>
          <w:rFonts w:ascii="Titillium" w:hAnsi="Titillium"/>
          <w:i/>
          <w:sz w:val="18"/>
          <w:szCs w:val="18"/>
        </w:rPr>
        <w:t xml:space="preserve">pubblicata al seguente </w:t>
      </w:r>
      <w:hyperlink r:id="rId13" w:history="1">
        <w:r w:rsidR="00D91357" w:rsidRPr="00D91357">
          <w:rPr>
            <w:rStyle w:val="Collegamentoipertestuale"/>
            <w:rFonts w:ascii="Titillium" w:hAnsi="Titillium"/>
            <w:i/>
            <w:sz w:val="18"/>
            <w:szCs w:val="18"/>
          </w:rPr>
          <w:t>https://www.anticorruzione.it/-/gestione-contributi-gara</w:t>
        </w:r>
      </w:hyperlink>
      <w:r w:rsidR="000D756B">
        <w:rPr>
          <w:rFonts w:ascii="Titillium" w:hAnsi="Titillium"/>
          <w:i/>
          <w:sz w:val="18"/>
          <w:szCs w:val="18"/>
        </w:rPr>
        <w:t>].</w:t>
      </w:r>
      <w:r w:rsidR="00E408AB">
        <w:rPr>
          <w:rFonts w:ascii="Titillium" w:hAnsi="Titillium"/>
          <w:i/>
          <w:sz w:val="18"/>
          <w:szCs w:val="18"/>
        </w:rPr>
        <w:t xml:space="preserve"> </w:t>
      </w:r>
      <w:r w:rsidR="00E408AB" w:rsidRPr="000D756B">
        <w:rPr>
          <w:rFonts w:ascii="Titillium" w:hAnsi="Titillium"/>
          <w:iCs/>
          <w:sz w:val="18"/>
          <w:szCs w:val="18"/>
        </w:rPr>
        <w:t xml:space="preserve">Il pagamento del contributo è condizione di ammissibilità dell’offerta. </w:t>
      </w:r>
      <w:r w:rsidR="00724D82" w:rsidRPr="000D756B">
        <w:rPr>
          <w:rFonts w:ascii="Titillium" w:hAnsi="Titillium"/>
          <w:iCs/>
          <w:sz w:val="18"/>
          <w:szCs w:val="18"/>
        </w:rPr>
        <w:t>Il</w:t>
      </w:r>
      <w:r w:rsidR="0034789A" w:rsidRPr="000D756B">
        <w:rPr>
          <w:rFonts w:ascii="Titillium" w:hAnsi="Titillium"/>
          <w:iCs/>
          <w:sz w:val="18"/>
          <w:szCs w:val="18"/>
        </w:rPr>
        <w:t xml:space="preserve"> pagamento </w:t>
      </w:r>
      <w:r w:rsidR="00724D82" w:rsidRPr="000D756B">
        <w:rPr>
          <w:rFonts w:ascii="Titillium" w:hAnsi="Titillium"/>
          <w:iCs/>
          <w:sz w:val="18"/>
          <w:szCs w:val="18"/>
        </w:rPr>
        <w:t xml:space="preserve">è verificato </w:t>
      </w:r>
      <w:r w:rsidR="0034789A" w:rsidRPr="000D756B">
        <w:rPr>
          <w:rFonts w:ascii="Titillium" w:hAnsi="Titillium"/>
          <w:iCs/>
          <w:sz w:val="18"/>
          <w:szCs w:val="18"/>
        </w:rPr>
        <w:t>mediante il FVOE. In caso di esito negativo della verifica, è attivata la procedura di soccorso istruttorio. In caso di mancata regolarizzazione nel termine</w:t>
      </w:r>
      <w:r w:rsidR="00A03BE2" w:rsidRPr="000D756B">
        <w:rPr>
          <w:rFonts w:ascii="Titillium" w:hAnsi="Titillium"/>
          <w:iCs/>
          <w:sz w:val="18"/>
          <w:szCs w:val="18"/>
        </w:rPr>
        <w:t xml:space="preserve"> assegnato</w:t>
      </w:r>
      <w:r w:rsidR="0034789A" w:rsidRPr="000D756B">
        <w:rPr>
          <w:rFonts w:ascii="Titillium" w:hAnsi="Titillium"/>
          <w:iCs/>
          <w:sz w:val="18"/>
          <w:szCs w:val="18"/>
        </w:rPr>
        <w:t xml:space="preserve">, l’offerta è dichiarata inammissibile. </w:t>
      </w:r>
      <w:r w:rsidR="00E408AB" w:rsidRPr="000D756B">
        <w:rPr>
          <w:rFonts w:ascii="Titillium" w:hAnsi="Titillium"/>
          <w:iCs/>
          <w:sz w:val="18"/>
          <w:szCs w:val="18"/>
        </w:rPr>
        <w:t xml:space="preserve"> </w:t>
      </w:r>
    </w:p>
    <w:p w14:paraId="31B9EE07" w14:textId="1E310526" w:rsidR="004C53A8" w:rsidRDefault="004C53A8">
      <w:pPr>
        <w:spacing w:before="60" w:after="60"/>
      </w:pPr>
    </w:p>
    <w:p w14:paraId="44ED48AD" w14:textId="705F7343" w:rsidR="004C53A8" w:rsidRDefault="00870286">
      <w:pPr>
        <w:spacing w:before="60" w:after="60"/>
        <w:rPr>
          <w:rFonts w:ascii="Titillium" w:hAnsi="Titillium" w:cs="Calibri"/>
          <w:sz w:val="18"/>
          <w:szCs w:val="18"/>
        </w:rPr>
      </w:pPr>
      <w:r>
        <w:rPr>
          <w:rFonts w:ascii="Titillium" w:hAnsi="Titillium" w:cs="Calibri"/>
          <w:b/>
          <w:i/>
          <w:sz w:val="18"/>
          <w:szCs w:val="18"/>
        </w:rPr>
        <w:t>[In caso di suddivisione in lotti]</w:t>
      </w:r>
      <w:r>
        <w:rPr>
          <w:rFonts w:ascii="Titillium" w:hAnsi="Titillium" w:cs="Calibri"/>
          <w:sz w:val="18"/>
          <w:szCs w:val="18"/>
        </w:rPr>
        <w:t xml:space="preserve"> I concorrenti </w:t>
      </w:r>
      <w:r w:rsidRPr="00D2751A">
        <w:rPr>
          <w:rFonts w:ascii="Titillium" w:hAnsi="Titillium" w:cs="Calibri"/>
          <w:sz w:val="18"/>
          <w:szCs w:val="18"/>
        </w:rPr>
        <w:t>effettuano</w:t>
      </w:r>
      <w:r>
        <w:rPr>
          <w:rFonts w:ascii="Titillium" w:hAnsi="Titillium" w:cs="Calibri"/>
          <w:sz w:val="18"/>
          <w:szCs w:val="18"/>
        </w:rPr>
        <w:t xml:space="preserve"> </w:t>
      </w:r>
      <w:r w:rsidR="003D7007">
        <w:rPr>
          <w:rFonts w:ascii="Titillium" w:hAnsi="Titillium" w:cs="Calibri"/>
          <w:sz w:val="18"/>
          <w:szCs w:val="18"/>
        </w:rPr>
        <w:t xml:space="preserve">il </w:t>
      </w:r>
      <w:r>
        <w:rPr>
          <w:rFonts w:ascii="Titillium" w:hAnsi="Titillium" w:cs="Calibri"/>
          <w:sz w:val="18"/>
          <w:szCs w:val="18"/>
        </w:rPr>
        <w:t>pagamento del contributo previsto dalla legge in favore dell’Autorità Nazionale Ant</w:t>
      </w:r>
      <w:r w:rsidR="003D7007">
        <w:rPr>
          <w:rFonts w:ascii="Titillium" w:hAnsi="Titillium" w:cs="Calibri"/>
          <w:sz w:val="18"/>
          <w:szCs w:val="18"/>
        </w:rPr>
        <w:t>icorruzione per un importo pari</w:t>
      </w:r>
      <w:r>
        <w:rPr>
          <w:rFonts w:ascii="Titillium" w:hAnsi="Titillium" w:cs="Calibri"/>
          <w:sz w:val="18"/>
          <w:szCs w:val="18"/>
        </w:rPr>
        <w:t xml:space="preserve"> a € …</w:t>
      </w:r>
      <w:r>
        <w:rPr>
          <w:rFonts w:ascii="Titillium" w:hAnsi="Titillium" w:cs="Calibri"/>
          <w:i/>
          <w:iCs/>
          <w:sz w:val="18"/>
          <w:szCs w:val="18"/>
        </w:rPr>
        <w:t xml:space="preserve">[inserire] </w:t>
      </w:r>
      <w:r>
        <w:rPr>
          <w:rFonts w:ascii="Titillium" w:hAnsi="Titillium" w:cs="Calibri"/>
          <w:sz w:val="18"/>
          <w:szCs w:val="18"/>
        </w:rPr>
        <w:t xml:space="preserve">secondo le modalità di cui alla delibera ANAC n. … del … </w:t>
      </w:r>
      <w:r>
        <w:rPr>
          <w:rFonts w:ascii="Titillium" w:hAnsi="Titillium" w:cs="Calibri"/>
          <w:i/>
          <w:sz w:val="18"/>
          <w:szCs w:val="18"/>
        </w:rPr>
        <w:t>[</w:t>
      </w:r>
      <w:r w:rsidR="00D91357" w:rsidRPr="00D91357">
        <w:rPr>
          <w:rFonts w:ascii="Titillium" w:hAnsi="Titillium" w:cs="Calibri"/>
          <w:i/>
          <w:sz w:val="18"/>
          <w:szCs w:val="18"/>
        </w:rPr>
        <w:t xml:space="preserve">ad esempio Delibera numero 621 del 20 dicembre 2022 </w:t>
      </w:r>
      <w:r w:rsidR="00AE4667" w:rsidRPr="00D91357">
        <w:rPr>
          <w:rFonts w:ascii="Titillium" w:hAnsi="Titillium"/>
          <w:i/>
          <w:sz w:val="18"/>
          <w:szCs w:val="18"/>
        </w:rPr>
        <w:t xml:space="preserve">o successiva delibera </w:t>
      </w:r>
      <w:r w:rsidR="00D91357" w:rsidRPr="00D91357">
        <w:rPr>
          <w:rFonts w:ascii="Titillium" w:hAnsi="Titillium"/>
          <w:i/>
          <w:sz w:val="18"/>
          <w:szCs w:val="18"/>
        </w:rPr>
        <w:t xml:space="preserve">pubblicata al seguente </w:t>
      </w:r>
      <w:hyperlink r:id="rId14" w:history="1">
        <w:r w:rsidR="00D91357" w:rsidRPr="00D91357">
          <w:rPr>
            <w:rStyle w:val="Collegamentoipertestuale"/>
            <w:rFonts w:ascii="Titillium" w:hAnsi="Titillium"/>
            <w:i/>
            <w:sz w:val="18"/>
            <w:szCs w:val="18"/>
          </w:rPr>
          <w:t>https://www.anticorruzione.it/-/gestione-contributi-gara</w:t>
        </w:r>
      </w:hyperlink>
      <w:r w:rsidR="007C2E4A">
        <w:rPr>
          <w:rFonts w:ascii="Titillium" w:hAnsi="Titillium" w:cs="Calibri"/>
          <w:i/>
          <w:sz w:val="18"/>
          <w:szCs w:val="18"/>
        </w:rPr>
        <w:t>]</w:t>
      </w:r>
      <w:r>
        <w:rPr>
          <w:rFonts w:ascii="Titillium" w:hAnsi="Titillium" w:cs="Arial"/>
          <w:sz w:val="18"/>
          <w:szCs w:val="18"/>
        </w:rPr>
        <w:t xml:space="preserve">. </w:t>
      </w:r>
      <w:r w:rsidR="00260794" w:rsidRPr="00260794">
        <w:rPr>
          <w:rFonts w:ascii="Titillium" w:hAnsi="Titillium" w:cs="Arial"/>
          <w:sz w:val="18"/>
          <w:szCs w:val="18"/>
        </w:rPr>
        <w:t xml:space="preserve">Il pagamento del contributo è condizione di ammissibilità dell’offerta. </w:t>
      </w:r>
      <w:r w:rsidR="00724D82">
        <w:rPr>
          <w:rFonts w:ascii="Titillium" w:hAnsi="Titillium" w:cs="Arial"/>
          <w:sz w:val="18"/>
          <w:szCs w:val="18"/>
        </w:rPr>
        <w:t xml:space="preserve">il pagamento è </w:t>
      </w:r>
      <w:r w:rsidR="00260794" w:rsidRPr="00260794">
        <w:rPr>
          <w:rFonts w:ascii="Titillium" w:hAnsi="Titillium" w:cs="Arial"/>
          <w:sz w:val="18"/>
          <w:szCs w:val="18"/>
        </w:rPr>
        <w:t>verifica</w:t>
      </w:r>
      <w:r w:rsidR="00724D82">
        <w:rPr>
          <w:rFonts w:ascii="Titillium" w:hAnsi="Titillium" w:cs="Arial"/>
          <w:sz w:val="18"/>
          <w:szCs w:val="18"/>
        </w:rPr>
        <w:t>to</w:t>
      </w:r>
      <w:r w:rsidR="00260794" w:rsidRPr="00260794">
        <w:rPr>
          <w:rFonts w:ascii="Titillium" w:hAnsi="Titillium" w:cs="Arial"/>
          <w:sz w:val="18"/>
          <w:szCs w:val="18"/>
        </w:rPr>
        <w:t xml:space="preserve"> mediante il FVOE. In caso di esito negativo della verifica, è attivata la procedura di soccorso istruttorio. In caso di mancata regolarizzazione nel termine assegnato, l’offerta è dichiarata inammissibile.</w:t>
      </w:r>
      <w:r w:rsidR="00260794">
        <w:rPr>
          <w:rFonts w:ascii="Titillium" w:hAnsi="Titillium" w:cs="Arial"/>
          <w:sz w:val="18"/>
          <w:szCs w:val="18"/>
        </w:rPr>
        <w:t xml:space="preserve"> </w:t>
      </w:r>
      <w:r>
        <w:rPr>
          <w:rFonts w:ascii="Titillium" w:hAnsi="Titillium" w:cs="Calibri"/>
          <w:sz w:val="18"/>
          <w:szCs w:val="18"/>
        </w:rPr>
        <w:t>Il contributo è dovuto per ciascun lotto per il quale si presenta offerta secondo gli importi descritti nella sottostante tabella:</w:t>
      </w:r>
    </w:p>
    <w:p w14:paraId="3BB8347E" w14:textId="77777777" w:rsidR="000D756B" w:rsidRDefault="000D756B">
      <w:pPr>
        <w:spacing w:before="60" w:after="60"/>
      </w:pPr>
    </w:p>
    <w:tbl>
      <w:tblPr>
        <w:tblW w:w="9210" w:type="dxa"/>
        <w:tblInd w:w="-108" w:type="dxa"/>
        <w:tblLook w:val="04A0" w:firstRow="1" w:lastRow="0" w:firstColumn="1" w:lastColumn="0" w:noHBand="0" w:noVBand="1"/>
      </w:tblPr>
      <w:tblGrid>
        <w:gridCol w:w="3070"/>
        <w:gridCol w:w="3070"/>
        <w:gridCol w:w="3070"/>
      </w:tblGrid>
      <w:tr w:rsidR="004C53A8" w14:paraId="044AE6AA"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9EF49"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Numero lotto</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DA693"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CIG</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C342F"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Importo contributo ANAC</w:t>
            </w:r>
          </w:p>
        </w:tc>
      </w:tr>
      <w:tr w:rsidR="004C53A8" w14:paraId="01E6793B" w14:textId="77777777">
        <w:tc>
          <w:tcPr>
            <w:tcW w:w="3070" w:type="dxa"/>
            <w:tcBorders>
              <w:top w:val="single" w:sz="4" w:space="0" w:color="000000"/>
              <w:left w:val="single" w:sz="4" w:space="0" w:color="000000"/>
              <w:bottom w:val="single" w:sz="4" w:space="0" w:color="000000"/>
              <w:right w:val="single" w:sz="4" w:space="0" w:color="000000"/>
            </w:tcBorders>
          </w:tcPr>
          <w:p w14:paraId="487FB756"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66A94531"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06D058AC" w14:textId="77777777" w:rsidR="004C53A8" w:rsidRDefault="004C53A8">
            <w:pPr>
              <w:spacing w:before="60" w:after="60"/>
              <w:rPr>
                <w:rFonts w:ascii="Titillium" w:hAnsi="Titillium" w:cs="Calibri"/>
                <w:sz w:val="18"/>
                <w:szCs w:val="18"/>
              </w:rPr>
            </w:pPr>
          </w:p>
        </w:tc>
      </w:tr>
      <w:tr w:rsidR="004C53A8" w14:paraId="357537A3" w14:textId="77777777">
        <w:tc>
          <w:tcPr>
            <w:tcW w:w="3070" w:type="dxa"/>
            <w:tcBorders>
              <w:top w:val="single" w:sz="4" w:space="0" w:color="000000"/>
              <w:left w:val="single" w:sz="4" w:space="0" w:color="000000"/>
              <w:bottom w:val="single" w:sz="4" w:space="0" w:color="000000"/>
              <w:right w:val="single" w:sz="4" w:space="0" w:color="000000"/>
            </w:tcBorders>
          </w:tcPr>
          <w:p w14:paraId="01C58F80"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31EC46C"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E622013" w14:textId="77777777" w:rsidR="004C53A8" w:rsidRDefault="004C53A8">
            <w:pPr>
              <w:spacing w:before="60" w:after="60"/>
              <w:rPr>
                <w:rFonts w:ascii="Titillium" w:hAnsi="Titillium" w:cs="Calibri"/>
                <w:sz w:val="18"/>
                <w:szCs w:val="18"/>
              </w:rPr>
            </w:pPr>
          </w:p>
        </w:tc>
      </w:tr>
    </w:tbl>
    <w:p w14:paraId="6CE43B75" w14:textId="77777777" w:rsidR="004C53A8" w:rsidRDefault="004C53A8">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4191A3C6" w14:textId="77777777">
        <w:tc>
          <w:tcPr>
            <w:tcW w:w="9210" w:type="dxa"/>
            <w:tcBorders>
              <w:top w:val="single" w:sz="4" w:space="0" w:color="000000"/>
              <w:left w:val="single" w:sz="4" w:space="0" w:color="000000"/>
              <w:bottom w:val="single" w:sz="4" w:space="0" w:color="000000"/>
              <w:right w:val="single" w:sz="4" w:space="0" w:color="000000"/>
            </w:tcBorders>
          </w:tcPr>
          <w:p w14:paraId="1297EC78" w14:textId="47884AA6" w:rsidR="004C53A8" w:rsidRDefault="00870286" w:rsidP="00751755">
            <w:pPr>
              <w:spacing w:before="60" w:after="60"/>
              <w:rPr>
                <w:rFonts w:ascii="Titillium" w:hAnsi="Titillium"/>
                <w:i/>
                <w:sz w:val="18"/>
                <w:szCs w:val="18"/>
              </w:rPr>
            </w:pPr>
            <w:r w:rsidRPr="00472411">
              <w:rPr>
                <w:rFonts w:ascii="Titillium" w:hAnsi="Titillium" w:cs="Calibri"/>
                <w:i/>
                <w:sz w:val="18"/>
                <w:szCs w:val="18"/>
              </w:rPr>
              <w:t>N.B. Indicazioni operative sulle modalità di pagamento del contributo sono disponibili sul sito dell’Autorità Nazionale Anticorruzione al seguente link:</w:t>
            </w:r>
            <w:r w:rsidR="00751755" w:rsidRPr="00472411">
              <w:rPr>
                <w:rFonts w:ascii="Titillium" w:hAnsi="Titillium" w:cs="Calibri"/>
                <w:i/>
                <w:sz w:val="18"/>
                <w:szCs w:val="18"/>
              </w:rPr>
              <w:t xml:space="preserve"> </w:t>
            </w:r>
            <w:hyperlink r:id="rId15" w:history="1">
              <w:r w:rsidR="00780944" w:rsidRPr="00472411">
                <w:rPr>
                  <w:rStyle w:val="Collegamentoipertestuale"/>
                  <w:rFonts w:ascii="Titillium" w:hAnsi="Titillium"/>
                  <w:i/>
                  <w:sz w:val="18"/>
                  <w:szCs w:val="18"/>
                </w:rPr>
                <w:t>https://www.anticorruzione.it/-/portale-dei-pagamenti-di-anac</w:t>
              </w:r>
            </w:hyperlink>
            <w:r w:rsidR="00780944" w:rsidRPr="00472411">
              <w:rPr>
                <w:rFonts w:ascii="Titillium" w:hAnsi="Titillium"/>
                <w:i/>
                <w:sz w:val="18"/>
                <w:szCs w:val="18"/>
              </w:rPr>
              <w:t xml:space="preserve"> </w:t>
            </w:r>
          </w:p>
          <w:p w14:paraId="000E59A4" w14:textId="2D0B31D2" w:rsidR="0018777F" w:rsidRPr="00472411" w:rsidRDefault="0018777F" w:rsidP="009A2063">
            <w:pPr>
              <w:spacing w:before="60" w:after="60"/>
              <w:rPr>
                <w:rFonts w:ascii="Titillium" w:hAnsi="Titillium" w:cs="Calibri"/>
                <w:i/>
                <w:sz w:val="18"/>
                <w:szCs w:val="18"/>
              </w:rPr>
            </w:pPr>
            <w:r>
              <w:rPr>
                <w:rFonts w:ascii="Titillium" w:hAnsi="Titillium" w:cs="Calibri"/>
                <w:i/>
                <w:sz w:val="18"/>
                <w:szCs w:val="18"/>
              </w:rPr>
              <w:t>L</w:t>
            </w:r>
            <w:r w:rsidRPr="0018777F">
              <w:rPr>
                <w:rFonts w:ascii="Titillium" w:hAnsi="Titillium" w:cs="Calibri"/>
                <w:i/>
                <w:sz w:val="18"/>
                <w:szCs w:val="18"/>
              </w:rPr>
              <w:t xml:space="preserve">'importo del contributo è calcolato sul valore stimato d'appalto comprensivo delle </w:t>
            </w:r>
            <w:r w:rsidR="009A2063">
              <w:rPr>
                <w:rFonts w:ascii="Titillium" w:hAnsi="Titillium" w:cs="Calibri"/>
                <w:i/>
                <w:sz w:val="18"/>
                <w:szCs w:val="18"/>
              </w:rPr>
              <w:t xml:space="preserve">eventuali </w:t>
            </w:r>
            <w:r w:rsidRPr="0018777F">
              <w:rPr>
                <w:rFonts w:ascii="Titillium" w:hAnsi="Titillium" w:cs="Calibri"/>
                <w:i/>
                <w:sz w:val="18"/>
                <w:szCs w:val="18"/>
              </w:rPr>
              <w:t>opzioni contrattuali</w:t>
            </w:r>
            <w:r w:rsidR="009A2063">
              <w:rPr>
                <w:rFonts w:ascii="Titillium" w:hAnsi="Titillium" w:cs="Calibri"/>
                <w:i/>
                <w:sz w:val="18"/>
                <w:szCs w:val="18"/>
              </w:rPr>
              <w:t xml:space="preserve"> previste nella documentazione di gara</w:t>
            </w:r>
            <w:r w:rsidR="00803687">
              <w:rPr>
                <w:rFonts w:ascii="Titillium" w:hAnsi="Titillium" w:cs="Calibri"/>
                <w:i/>
                <w:sz w:val="18"/>
                <w:szCs w:val="18"/>
              </w:rPr>
              <w:t>.</w:t>
            </w:r>
          </w:p>
        </w:tc>
      </w:tr>
    </w:tbl>
    <w:p w14:paraId="0B44A971" w14:textId="77777777" w:rsidR="004C53A8" w:rsidRDefault="004C53A8">
      <w:pPr>
        <w:spacing w:before="60" w:after="60"/>
        <w:ind w:left="425"/>
        <w:rPr>
          <w:rFonts w:ascii="Titillium" w:hAnsi="Titillium" w:cs="Calibri"/>
          <w:szCs w:val="24"/>
        </w:rPr>
      </w:pPr>
    </w:p>
    <w:p w14:paraId="7D39A538" w14:textId="151A3B89" w:rsidR="004C53A8" w:rsidRDefault="00780944">
      <w:pPr>
        <w:spacing w:before="60" w:after="60"/>
      </w:pPr>
      <w:r w:rsidRPr="008B37AD">
        <w:rPr>
          <w:rFonts w:ascii="Titillium" w:hAnsi="Titillium" w:cs="Calibri"/>
          <w:sz w:val="18"/>
          <w:szCs w:val="18"/>
        </w:rPr>
        <w:t>L</w:t>
      </w:r>
      <w:r w:rsidR="00870286" w:rsidRPr="008B37AD">
        <w:rPr>
          <w:rFonts w:ascii="Titillium" w:hAnsi="Titillium" w:cs="Calibri"/>
          <w:sz w:val="18"/>
          <w:szCs w:val="18"/>
        </w:rPr>
        <w:t xml:space="preserve">a stazione appaltante accerta il pagamento </w:t>
      </w:r>
      <w:r w:rsidR="008062A2" w:rsidRPr="008B37AD">
        <w:rPr>
          <w:rFonts w:ascii="Titillium" w:hAnsi="Titillium" w:cs="Calibri"/>
          <w:sz w:val="18"/>
          <w:szCs w:val="18"/>
        </w:rPr>
        <w:t xml:space="preserve">del contributo </w:t>
      </w:r>
      <w:r w:rsidR="00870286" w:rsidRPr="008B37AD">
        <w:rPr>
          <w:rFonts w:ascii="Titillium" w:hAnsi="Titillium" w:cs="Calibri"/>
          <w:sz w:val="18"/>
          <w:szCs w:val="18"/>
        </w:rPr>
        <w:t xml:space="preserve">mediante consultazione del </w:t>
      </w:r>
      <w:r w:rsidR="002D3A79" w:rsidRPr="008B37AD">
        <w:rPr>
          <w:rFonts w:ascii="Titillium" w:hAnsi="Titillium" w:cs="Calibri"/>
          <w:sz w:val="18"/>
          <w:szCs w:val="18"/>
        </w:rPr>
        <w:t>F</w:t>
      </w:r>
      <w:r w:rsidR="000D756B">
        <w:rPr>
          <w:rFonts w:ascii="Titillium" w:hAnsi="Titillium" w:cs="Calibri"/>
          <w:sz w:val="18"/>
          <w:szCs w:val="18"/>
        </w:rPr>
        <w:t>VOE</w:t>
      </w:r>
      <w:r w:rsidR="006456D3" w:rsidRPr="008B37AD">
        <w:rPr>
          <w:rFonts w:ascii="Titillium" w:hAnsi="Titillium" w:cs="Calibri"/>
          <w:sz w:val="18"/>
          <w:szCs w:val="18"/>
        </w:rPr>
        <w:t xml:space="preserve"> ai fini dell’ammissione alla gara</w:t>
      </w:r>
      <w:r w:rsidR="00870286" w:rsidRPr="008B37AD">
        <w:rPr>
          <w:rFonts w:ascii="Titillium" w:hAnsi="Titillium" w:cs="Calibri"/>
          <w:sz w:val="18"/>
          <w:szCs w:val="18"/>
        </w:rPr>
        <w:t>.</w:t>
      </w:r>
      <w:r w:rsidR="00870286">
        <w:rPr>
          <w:rFonts w:ascii="Titillium" w:hAnsi="Titillium" w:cs="Calibri"/>
          <w:sz w:val="18"/>
          <w:szCs w:val="18"/>
        </w:rPr>
        <w:t xml:space="preserve"> </w:t>
      </w:r>
    </w:p>
    <w:p w14:paraId="2784473D" w14:textId="78A6E36A" w:rsidR="004C53A8" w:rsidRDefault="00870286">
      <w:pPr>
        <w:spacing w:before="60" w:after="60"/>
        <w:rPr>
          <w:rFonts w:ascii="Titillium" w:hAnsi="Titillium" w:cs="Calibri"/>
          <w:sz w:val="18"/>
          <w:szCs w:val="18"/>
        </w:rPr>
      </w:pPr>
      <w:r>
        <w:rPr>
          <w:rFonts w:ascii="Titillium" w:hAnsi="Titillium" w:cs="Calibri"/>
          <w:sz w:val="18"/>
          <w:szCs w:val="18"/>
        </w:rPr>
        <w:t xml:space="preserve">Qualora il pagamento non risulti registrato nel sistema, </w:t>
      </w:r>
      <w:r w:rsidR="008062A2">
        <w:rPr>
          <w:rFonts w:ascii="Titillium" w:hAnsi="Titillium" w:cs="Calibri"/>
          <w:sz w:val="18"/>
          <w:szCs w:val="18"/>
        </w:rPr>
        <w:t>la stazione appaltante</w:t>
      </w:r>
      <w:r w:rsidR="00D91357">
        <w:rPr>
          <w:rFonts w:ascii="Titillium" w:hAnsi="Titillium" w:cs="Calibri"/>
          <w:sz w:val="18"/>
          <w:szCs w:val="18"/>
        </w:rPr>
        <w:t xml:space="preserve"> </w:t>
      </w:r>
      <w:r w:rsidR="008062A2">
        <w:rPr>
          <w:rFonts w:ascii="Titillium" w:hAnsi="Titillium" w:cs="Calibri"/>
          <w:sz w:val="18"/>
          <w:szCs w:val="18"/>
        </w:rPr>
        <w:t>richiede</w:t>
      </w:r>
      <w:r w:rsidR="00D91357">
        <w:rPr>
          <w:rFonts w:ascii="Titillium" w:hAnsi="Titillium" w:cs="Calibri"/>
          <w:sz w:val="18"/>
          <w:szCs w:val="18"/>
        </w:rPr>
        <w:t>,</w:t>
      </w:r>
      <w:r w:rsidR="00D91357" w:rsidRPr="00D91357">
        <w:rPr>
          <w:rFonts w:ascii="Titillium" w:hAnsi="Titillium" w:cs="Calibri"/>
          <w:sz w:val="18"/>
          <w:szCs w:val="18"/>
        </w:rPr>
        <w:t xml:space="preserve"> </w:t>
      </w:r>
      <w:r w:rsidR="00D91357">
        <w:rPr>
          <w:rFonts w:ascii="Titillium" w:hAnsi="Titillium" w:cs="Calibri"/>
          <w:sz w:val="18"/>
          <w:szCs w:val="18"/>
        </w:rPr>
        <w:t>mediante soccorso istruttorio</w:t>
      </w:r>
      <w:r w:rsidR="00260794">
        <w:rPr>
          <w:rFonts w:ascii="Titillium" w:hAnsi="Titillium" w:cs="Calibri"/>
          <w:sz w:val="18"/>
          <w:szCs w:val="18"/>
        </w:rPr>
        <w:t>,</w:t>
      </w:r>
      <w:r w:rsidR="008062A2">
        <w:rPr>
          <w:rFonts w:ascii="Titillium" w:hAnsi="Titillium" w:cs="Calibri"/>
          <w:sz w:val="18"/>
          <w:szCs w:val="18"/>
        </w:rPr>
        <w:t xml:space="preserve"> </w:t>
      </w:r>
      <w:r>
        <w:rPr>
          <w:rFonts w:ascii="Titillium" w:hAnsi="Titillium" w:cs="Calibri"/>
          <w:sz w:val="18"/>
          <w:szCs w:val="18"/>
        </w:rPr>
        <w:t>la presentazione della ricevuta di avvenuto pagamento</w:t>
      </w:r>
      <w:r w:rsidR="009E47EE">
        <w:rPr>
          <w:rFonts w:ascii="Titillium" w:hAnsi="Titillium" w:cs="Calibri"/>
          <w:sz w:val="18"/>
          <w:szCs w:val="18"/>
        </w:rPr>
        <w:t xml:space="preserve">. </w:t>
      </w:r>
      <w:r w:rsidR="000F2975">
        <w:rPr>
          <w:rFonts w:ascii="Titillium" w:hAnsi="Titillium" w:cs="Calibri"/>
          <w:sz w:val="18"/>
          <w:szCs w:val="18"/>
        </w:rPr>
        <w:t xml:space="preserve">L’operatore economico </w:t>
      </w:r>
      <w:r w:rsidR="00D91357">
        <w:rPr>
          <w:rFonts w:ascii="Titillium" w:hAnsi="Titillium" w:cs="Calibri"/>
          <w:sz w:val="18"/>
          <w:szCs w:val="18"/>
        </w:rPr>
        <w:t>che non adempia alla richiesta nel termine stabilito dalla stazione appaltante</w:t>
      </w:r>
      <w:r w:rsidR="000F2975">
        <w:rPr>
          <w:rFonts w:ascii="Titillium" w:hAnsi="Titillium" w:cs="Calibri"/>
          <w:sz w:val="18"/>
          <w:szCs w:val="18"/>
        </w:rPr>
        <w:t xml:space="preserve"> è escluso dalla procedura di gara</w:t>
      </w:r>
      <w:r w:rsidR="009E47EE">
        <w:rPr>
          <w:rFonts w:ascii="Titillium" w:hAnsi="Titillium" w:cs="Calibri"/>
          <w:sz w:val="18"/>
          <w:szCs w:val="18"/>
        </w:rPr>
        <w:t xml:space="preserve"> per inammissibilità dell’offerta</w:t>
      </w:r>
      <w:r w:rsidR="000F2975">
        <w:rPr>
          <w:rFonts w:ascii="Titillium" w:hAnsi="Titillium" w:cs="Calibri"/>
          <w:sz w:val="18"/>
          <w:szCs w:val="18"/>
        </w:rPr>
        <w:t>.</w:t>
      </w:r>
    </w:p>
    <w:p w14:paraId="3A81C56B" w14:textId="77777777" w:rsidR="004C53A8" w:rsidRDefault="00870286">
      <w:pPr>
        <w:pStyle w:val="Paragrafoelenco"/>
        <w:spacing w:before="60" w:after="60"/>
        <w:ind w:left="0"/>
      </w:pPr>
      <w:r>
        <w:rPr>
          <w:rFonts w:ascii="Titillium" w:hAnsi="Titillium" w:cs="Calibri"/>
          <w:b/>
          <w:i/>
          <w:sz w:val="18"/>
          <w:szCs w:val="18"/>
        </w:rPr>
        <w:t>[o, in alternativa, se il pagamento del contributo non è dovuto]</w:t>
      </w:r>
    </w:p>
    <w:p w14:paraId="1F7F6194" w14:textId="0F3DD22B" w:rsidR="004C53A8" w:rsidRDefault="00870286">
      <w:pPr>
        <w:rPr>
          <w:rFonts w:ascii="Titillium" w:hAnsi="Titillium" w:cs="Calibri"/>
          <w:sz w:val="18"/>
          <w:szCs w:val="18"/>
        </w:rPr>
      </w:pPr>
      <w:r>
        <w:rPr>
          <w:rFonts w:ascii="Titillium" w:hAnsi="Titillium" w:cs="Calibri"/>
          <w:sz w:val="18"/>
          <w:szCs w:val="18"/>
        </w:rPr>
        <w:t xml:space="preserve">Ai sensi dell’articolo 1, punto 2, della delibera ANAC n. </w:t>
      </w:r>
      <w:r w:rsidR="006B1E07">
        <w:rPr>
          <w:rFonts w:ascii="Titillium" w:hAnsi="Titillium" w:cs="Calibri"/>
          <w:sz w:val="18"/>
          <w:szCs w:val="18"/>
        </w:rPr>
        <w:t xml:space="preserve"> … del … </w:t>
      </w:r>
      <w:r w:rsidR="006B1E07" w:rsidRPr="00472411">
        <w:rPr>
          <w:rFonts w:ascii="Titillium" w:hAnsi="Titillium" w:cs="Calibri"/>
          <w:i/>
          <w:sz w:val="18"/>
          <w:szCs w:val="18"/>
        </w:rPr>
        <w:t>[</w:t>
      </w:r>
      <w:r w:rsidR="006B1E07" w:rsidRPr="00D91357">
        <w:rPr>
          <w:rFonts w:ascii="Titillium" w:hAnsi="Titillium" w:cs="Calibri"/>
          <w:i/>
          <w:sz w:val="18"/>
          <w:szCs w:val="18"/>
        </w:rPr>
        <w:t xml:space="preserve">ad esempio </w:t>
      </w:r>
      <w:r w:rsidR="00D91357" w:rsidRPr="00D91357">
        <w:rPr>
          <w:rFonts w:ascii="Titillium" w:hAnsi="Titillium" w:cs="Calibri"/>
          <w:i/>
          <w:sz w:val="18"/>
          <w:szCs w:val="18"/>
        </w:rPr>
        <w:t xml:space="preserve">Delibera numero 621 del 20 dicembre 2022 </w:t>
      </w:r>
      <w:r w:rsidR="00AE4667" w:rsidRPr="00D91357">
        <w:rPr>
          <w:rFonts w:ascii="Titillium" w:hAnsi="Titillium"/>
          <w:i/>
          <w:sz w:val="18"/>
          <w:szCs w:val="18"/>
        </w:rPr>
        <w:t xml:space="preserve">o successiva delibera </w:t>
      </w:r>
      <w:r w:rsidR="00D91357" w:rsidRPr="00D91357">
        <w:rPr>
          <w:rFonts w:ascii="Titillium" w:hAnsi="Titillium"/>
          <w:i/>
          <w:sz w:val="18"/>
          <w:szCs w:val="18"/>
        </w:rPr>
        <w:t xml:space="preserve">pubblicata al seguente </w:t>
      </w:r>
      <w:hyperlink r:id="rId16" w:history="1">
        <w:r w:rsidR="00D91357" w:rsidRPr="00D91357">
          <w:rPr>
            <w:rStyle w:val="Collegamentoipertestuale"/>
            <w:rFonts w:ascii="Titillium" w:hAnsi="Titillium"/>
            <w:i/>
            <w:sz w:val="18"/>
            <w:szCs w:val="18"/>
          </w:rPr>
          <w:t>https://www.anticorruzione.it/-/gestione-contributi-gara</w:t>
        </w:r>
      </w:hyperlink>
      <w:r w:rsidR="00AE4667">
        <w:rPr>
          <w:rFonts w:ascii="Titillium" w:hAnsi="Titillium"/>
          <w:i/>
          <w:sz w:val="18"/>
          <w:szCs w:val="18"/>
        </w:rPr>
        <w:t xml:space="preserve">] </w:t>
      </w:r>
      <w:r>
        <w:rPr>
          <w:rFonts w:ascii="Titillium" w:hAnsi="Titillium" w:cs="Calibri"/>
          <w:sz w:val="18"/>
          <w:szCs w:val="18"/>
        </w:rPr>
        <w:t>sono esentati dal pagamento del contributo in favore dell’Autorità Nazionale Anticorruzione.</w:t>
      </w:r>
    </w:p>
    <w:p w14:paraId="74CF3E15" w14:textId="53395717" w:rsidR="004C53A8" w:rsidRDefault="00870286" w:rsidP="00084AD6">
      <w:pPr>
        <w:pStyle w:val="Titolo2"/>
        <w:numPr>
          <w:ilvl w:val="0"/>
          <w:numId w:val="4"/>
        </w:numPr>
        <w:ind w:left="357" w:hanging="357"/>
      </w:pPr>
      <w:bookmarkStart w:id="1791" w:name="_Ref498595281"/>
      <w:bookmarkStart w:id="1792" w:name="_Toc139549435"/>
      <w:r>
        <w:rPr>
          <w:rFonts w:ascii="Titillium" w:hAnsi="Titillium"/>
          <w:sz w:val="18"/>
          <w:szCs w:val="18"/>
        </w:rPr>
        <w:lastRenderedPageBreak/>
        <w:t>MODALIT</w:t>
      </w:r>
      <w:r>
        <w:rPr>
          <w:rFonts w:ascii="Titillium" w:hAnsi="Titillium"/>
          <w:caps w:val="0"/>
          <w:sz w:val="18"/>
          <w:szCs w:val="18"/>
          <w:lang w:val="it-IT"/>
        </w:rPr>
        <w:t>À</w:t>
      </w:r>
      <w:r>
        <w:rPr>
          <w:rFonts w:ascii="Titillium" w:hAnsi="Titillium"/>
          <w:sz w:val="18"/>
          <w:szCs w:val="18"/>
        </w:rPr>
        <w:t xml:space="preserve"> DI </w:t>
      </w:r>
      <w:r>
        <w:rPr>
          <w:rFonts w:ascii="Titillium" w:hAnsi="Titillium"/>
          <w:caps w:val="0"/>
          <w:sz w:val="18"/>
          <w:szCs w:val="18"/>
        </w:rPr>
        <w:t>PRESENTAZIONE</w:t>
      </w:r>
      <w:r>
        <w:rPr>
          <w:rFonts w:ascii="Titillium" w:hAnsi="Titillium"/>
          <w:caps w:val="0"/>
          <w:sz w:val="18"/>
          <w:szCs w:val="18"/>
          <w:lang w:val="it-IT"/>
        </w:rPr>
        <w:t xml:space="preserve"> DELL’OFFERTA E SOTTOSCRIZIONE DEI DOCUMENTI DI GARA</w:t>
      </w:r>
      <w:bookmarkEnd w:id="1791"/>
      <w:bookmarkEnd w:id="1792"/>
      <w:r>
        <w:rPr>
          <w:rFonts w:ascii="Titillium" w:hAnsi="Titillium"/>
          <w:caps w:val="0"/>
          <w:sz w:val="18"/>
          <w:szCs w:val="18"/>
          <w:lang w:val="it-IT"/>
        </w:rPr>
        <w:t xml:space="preserve"> </w:t>
      </w:r>
    </w:p>
    <w:p w14:paraId="4D8DAB3B" w14:textId="1BED82E3" w:rsidR="004C53A8" w:rsidRPr="003D7007" w:rsidRDefault="00870286">
      <w:pPr>
        <w:tabs>
          <w:tab w:val="left" w:pos="360"/>
        </w:tabs>
        <w:spacing w:before="60" w:after="60"/>
        <w:rPr>
          <w:rFonts w:ascii="Titillium" w:hAnsi="Titillium"/>
          <w:sz w:val="18"/>
          <w:szCs w:val="18"/>
        </w:rPr>
      </w:pPr>
      <w:r w:rsidRPr="002A5164">
        <w:rPr>
          <w:rFonts w:ascii="Titillium" w:hAnsi="Titillium" w:cs="Calibri"/>
          <w:bCs/>
          <w:iCs/>
          <w:sz w:val="18"/>
          <w:szCs w:val="18"/>
        </w:rPr>
        <w:t xml:space="preserve">L’offerta e la documentazione relativa alla procedura devono essere </w:t>
      </w:r>
      <w:r w:rsidRPr="003D7007">
        <w:rPr>
          <w:rFonts w:ascii="Titillium" w:hAnsi="Titillium" w:cs="Calibri"/>
          <w:bCs/>
          <w:iCs/>
          <w:sz w:val="18"/>
          <w:szCs w:val="18"/>
        </w:rPr>
        <w:t xml:space="preserve">presentate </w:t>
      </w:r>
      <w:r w:rsidRPr="003D7007">
        <w:rPr>
          <w:rFonts w:ascii="Titillium" w:hAnsi="Titillium" w:cs="Calibri"/>
          <w:sz w:val="18"/>
          <w:szCs w:val="18"/>
        </w:rPr>
        <w:t>esclusivamente</w:t>
      </w:r>
      <w:r w:rsidR="003D7007">
        <w:rPr>
          <w:rFonts w:ascii="Titillium" w:hAnsi="Titillium" w:cs="Calibri"/>
          <w:sz w:val="18"/>
          <w:szCs w:val="18"/>
        </w:rPr>
        <w:t xml:space="preserve"> attraverso la Piattaforma</w:t>
      </w:r>
      <w:r w:rsidR="00F011D7">
        <w:rPr>
          <w:rFonts w:ascii="Titillium" w:hAnsi="Titillium" w:cs="Calibri"/>
          <w:sz w:val="18"/>
          <w:szCs w:val="18"/>
        </w:rPr>
        <w:t xml:space="preserve">. </w:t>
      </w:r>
      <w:r w:rsidR="00F011D7" w:rsidRPr="00F011D7">
        <w:rPr>
          <w:rFonts w:ascii="Titillium" w:hAnsi="Titillium" w:cs="Calibri"/>
          <w:sz w:val="18"/>
          <w:szCs w:val="18"/>
        </w:rPr>
        <w:t>Non sono considerate valide le offerte presentate attraverso modalità diverse da quelle previste nel presente disciplinare</w:t>
      </w:r>
      <w:r w:rsidR="00260794">
        <w:rPr>
          <w:rFonts w:ascii="Titillium" w:hAnsi="Titillium" w:cs="Calibri"/>
          <w:sz w:val="18"/>
          <w:szCs w:val="18"/>
        </w:rPr>
        <w:t>.</w:t>
      </w:r>
      <w:r w:rsidR="003D7007">
        <w:rPr>
          <w:rFonts w:ascii="Titillium" w:hAnsi="Titillium" w:cs="Calibri"/>
          <w:sz w:val="18"/>
          <w:szCs w:val="18"/>
        </w:rPr>
        <w:t xml:space="preserve"> </w:t>
      </w:r>
      <w:r w:rsidR="00F011D7">
        <w:rPr>
          <w:rFonts w:ascii="Titillium" w:hAnsi="Titillium" w:cs="Calibri"/>
          <w:sz w:val="18"/>
          <w:szCs w:val="18"/>
        </w:rPr>
        <w:t xml:space="preserve">L’offerta </w:t>
      </w:r>
      <w:r w:rsidR="009B3AFC" w:rsidRPr="00AE4667">
        <w:rPr>
          <w:rFonts w:ascii="Titillium" w:hAnsi="Titillium" w:cs="Calibri"/>
          <w:i/>
          <w:iCs/>
          <w:sz w:val="18"/>
          <w:szCs w:val="18"/>
        </w:rPr>
        <w:t>[</w:t>
      </w:r>
      <w:r w:rsidR="00F011D7" w:rsidRPr="00AE4667">
        <w:rPr>
          <w:rFonts w:ascii="Titillium" w:hAnsi="Titillium" w:cs="Calibri"/>
          <w:i/>
          <w:iCs/>
          <w:sz w:val="18"/>
          <w:szCs w:val="18"/>
        </w:rPr>
        <w:t>ove richiesto</w:t>
      </w:r>
      <w:r w:rsidR="000D756B">
        <w:rPr>
          <w:rFonts w:ascii="Titillium" w:hAnsi="Titillium" w:cs="Calibri"/>
          <w:i/>
          <w:iCs/>
          <w:sz w:val="18"/>
          <w:szCs w:val="18"/>
        </w:rPr>
        <w:t>,</w:t>
      </w:r>
      <w:r w:rsidR="009B3AFC" w:rsidRPr="00AE4667">
        <w:rPr>
          <w:rFonts w:ascii="Titillium" w:hAnsi="Titillium" w:cs="Calibri"/>
          <w:i/>
          <w:iCs/>
          <w:sz w:val="18"/>
          <w:szCs w:val="18"/>
        </w:rPr>
        <w:t xml:space="preserve"> aggiungere </w:t>
      </w:r>
      <w:r w:rsidR="00AE4667" w:rsidRPr="00AE4667">
        <w:rPr>
          <w:rFonts w:ascii="Titillium" w:hAnsi="Titillium" w:cs="Calibri"/>
          <w:i/>
          <w:iCs/>
          <w:sz w:val="18"/>
          <w:szCs w:val="18"/>
        </w:rPr>
        <w:t>“</w:t>
      </w:r>
      <w:r w:rsidR="009B3AFC" w:rsidRPr="00AE4667">
        <w:rPr>
          <w:rFonts w:ascii="Titillium" w:hAnsi="Titillium" w:cs="Calibri"/>
          <w:sz w:val="18"/>
          <w:szCs w:val="18"/>
        </w:rPr>
        <w:t>e</w:t>
      </w:r>
      <w:r w:rsidR="00F011D7" w:rsidRPr="00AE4667">
        <w:rPr>
          <w:rFonts w:ascii="Titillium" w:hAnsi="Titillium" w:cs="Calibri"/>
          <w:sz w:val="18"/>
          <w:szCs w:val="18"/>
        </w:rPr>
        <w:t xml:space="preserve"> la documentazione</w:t>
      </w:r>
      <w:r w:rsidR="00AE4667" w:rsidRPr="00AE4667">
        <w:rPr>
          <w:rFonts w:ascii="Titillium" w:hAnsi="Titillium" w:cs="Calibri"/>
          <w:i/>
          <w:iCs/>
          <w:sz w:val="18"/>
          <w:szCs w:val="18"/>
        </w:rPr>
        <w:t>”</w:t>
      </w:r>
      <w:r w:rsidR="009B3AFC" w:rsidRPr="00AE4667">
        <w:rPr>
          <w:rFonts w:ascii="Titillium" w:hAnsi="Titillium" w:cs="Calibri"/>
          <w:i/>
          <w:iCs/>
          <w:sz w:val="18"/>
          <w:szCs w:val="18"/>
        </w:rPr>
        <w:t>]</w:t>
      </w:r>
      <w:r w:rsidR="00F011D7">
        <w:rPr>
          <w:rFonts w:ascii="Titillium" w:hAnsi="Titillium" w:cs="Calibri"/>
          <w:sz w:val="18"/>
          <w:szCs w:val="18"/>
        </w:rPr>
        <w:t xml:space="preserve"> </w:t>
      </w:r>
      <w:r w:rsidR="00F011D7">
        <w:rPr>
          <w:rFonts w:ascii="Titillium" w:hAnsi="Titillium" w:cs="Calibri"/>
          <w:bCs/>
          <w:iCs/>
          <w:sz w:val="18"/>
          <w:szCs w:val="18"/>
        </w:rPr>
        <w:t>dev</w:t>
      </w:r>
      <w:r w:rsidR="009B3AFC">
        <w:rPr>
          <w:rFonts w:ascii="Titillium" w:hAnsi="Titillium" w:cs="Calibri"/>
          <w:bCs/>
          <w:iCs/>
          <w:sz w:val="18"/>
          <w:szCs w:val="18"/>
        </w:rPr>
        <w:t>e</w:t>
      </w:r>
      <w:r w:rsidR="00F011D7">
        <w:rPr>
          <w:rFonts w:ascii="Titillium" w:hAnsi="Titillium" w:cs="Calibri"/>
          <w:bCs/>
          <w:iCs/>
          <w:sz w:val="18"/>
          <w:szCs w:val="18"/>
        </w:rPr>
        <w:t xml:space="preserve"> </w:t>
      </w:r>
      <w:r w:rsidRPr="003D7007">
        <w:rPr>
          <w:rFonts w:ascii="Titillium" w:hAnsi="Titillium" w:cs="Calibri"/>
          <w:bCs/>
          <w:iCs/>
          <w:sz w:val="18"/>
          <w:szCs w:val="18"/>
        </w:rPr>
        <w:t>essere sottoscritt</w:t>
      </w:r>
      <w:r w:rsidR="009B3AFC">
        <w:rPr>
          <w:rFonts w:ascii="Titillium" w:hAnsi="Titillium" w:cs="Calibri"/>
          <w:bCs/>
          <w:iCs/>
          <w:sz w:val="18"/>
          <w:szCs w:val="18"/>
        </w:rPr>
        <w:t>a</w:t>
      </w:r>
      <w:r w:rsidRPr="003D7007">
        <w:rPr>
          <w:rFonts w:ascii="Titillium" w:hAnsi="Titillium" w:cs="Calibri"/>
          <w:bCs/>
          <w:iCs/>
          <w:sz w:val="18"/>
          <w:szCs w:val="18"/>
        </w:rPr>
        <w:t xml:space="preserve"> con firma digitale o altra firma elettronica qualificata o firma elettronica avanzata</w:t>
      </w:r>
      <w:r w:rsidR="00E277EE" w:rsidRPr="003D7007">
        <w:rPr>
          <w:rFonts w:ascii="Titillium" w:hAnsi="Titillium" w:cs="Calibri"/>
          <w:bCs/>
          <w:iCs/>
          <w:sz w:val="18"/>
          <w:szCs w:val="18"/>
        </w:rPr>
        <w:t>.</w:t>
      </w:r>
    </w:p>
    <w:p w14:paraId="65C85160" w14:textId="77777777" w:rsidR="00C40996" w:rsidRDefault="003B0F6C" w:rsidP="00972304">
      <w:pPr>
        <w:spacing w:before="60" w:after="60"/>
        <w:rPr>
          <w:rFonts w:ascii="Titillium" w:hAnsi="Titillium" w:cs="Calibri"/>
          <w:sz w:val="18"/>
          <w:szCs w:val="18"/>
        </w:rPr>
      </w:pPr>
      <w:r w:rsidRPr="003D7007">
        <w:rPr>
          <w:rFonts w:ascii="Titillium" w:hAnsi="Titillium" w:cs="Calibri"/>
          <w:sz w:val="18"/>
          <w:szCs w:val="18"/>
        </w:rPr>
        <w:t>L</w:t>
      </w:r>
      <w:r w:rsidR="00870286" w:rsidRPr="003D7007">
        <w:rPr>
          <w:rFonts w:ascii="Titillium" w:hAnsi="Titillium" w:cs="Calibri"/>
          <w:sz w:val="18"/>
          <w:szCs w:val="18"/>
        </w:rPr>
        <w:t xml:space="preserve">e dichiarazioni sostitutive si redigono ai sensi degli articoli </w:t>
      </w:r>
      <w:r w:rsidR="00F635E0">
        <w:rPr>
          <w:rFonts w:ascii="Titillium" w:hAnsi="Titillium" w:cs="Calibri"/>
          <w:sz w:val="18"/>
          <w:szCs w:val="18"/>
        </w:rPr>
        <w:t xml:space="preserve">19, </w:t>
      </w:r>
      <w:r w:rsidR="00870286" w:rsidRPr="003D7007">
        <w:rPr>
          <w:rFonts w:ascii="Titillium" w:hAnsi="Titillium" w:cs="Calibri"/>
          <w:sz w:val="18"/>
          <w:szCs w:val="18"/>
        </w:rPr>
        <w:t>46 e 47 del decreto del Presidente della Repubblica n.  445/</w:t>
      </w:r>
      <w:r w:rsidR="00FB3112" w:rsidRPr="003D7007">
        <w:rPr>
          <w:rFonts w:ascii="Titillium" w:hAnsi="Titillium" w:cs="Calibri"/>
          <w:sz w:val="18"/>
          <w:szCs w:val="18"/>
        </w:rPr>
        <w:t>20</w:t>
      </w:r>
      <w:r w:rsidR="00870286" w:rsidRPr="003D7007">
        <w:rPr>
          <w:rFonts w:ascii="Titillium" w:hAnsi="Titillium" w:cs="Calibri"/>
          <w:sz w:val="18"/>
          <w:szCs w:val="18"/>
        </w:rPr>
        <w:t>00.</w:t>
      </w:r>
      <w:r w:rsidR="00972304" w:rsidRPr="003D7007">
        <w:rPr>
          <w:rFonts w:ascii="Titillium" w:hAnsi="Titillium" w:cs="Calibri"/>
          <w:sz w:val="18"/>
          <w:szCs w:val="18"/>
        </w:rPr>
        <w:t xml:space="preserve"> </w:t>
      </w:r>
    </w:p>
    <w:p w14:paraId="4EEEDD29" w14:textId="0B29DC2E" w:rsidR="004C53A8" w:rsidRPr="003D7007" w:rsidRDefault="00972304" w:rsidP="00972304">
      <w:pPr>
        <w:spacing w:before="60" w:after="60"/>
      </w:pPr>
      <w:r w:rsidRPr="009023A4">
        <w:rPr>
          <w:rFonts w:ascii="Titillium" w:hAnsi="Titillium" w:cs="Calibri"/>
          <w:sz w:val="18"/>
          <w:szCs w:val="18"/>
        </w:rPr>
        <w:t xml:space="preserve">La documentazione presentata in copia </w:t>
      </w:r>
      <w:r w:rsidR="009023A4" w:rsidRPr="009023A4">
        <w:rPr>
          <w:rFonts w:ascii="Titillium" w:hAnsi="Titillium" w:cs="Calibri"/>
          <w:sz w:val="18"/>
          <w:szCs w:val="18"/>
        </w:rPr>
        <w:t>viene prodotta</w:t>
      </w:r>
      <w:r w:rsidRPr="009023A4">
        <w:rPr>
          <w:rFonts w:ascii="Titillium" w:hAnsi="Titillium" w:cs="Calibri"/>
          <w:sz w:val="18"/>
          <w:szCs w:val="18"/>
        </w:rPr>
        <w:t xml:space="preserve"> ai sensi del decreto legislativo n.</w:t>
      </w:r>
      <w:r w:rsidR="003D7007" w:rsidRPr="009023A4">
        <w:rPr>
          <w:rFonts w:ascii="Titillium" w:hAnsi="Titillium" w:cs="Calibri"/>
          <w:sz w:val="18"/>
          <w:szCs w:val="18"/>
        </w:rPr>
        <w:t xml:space="preserve"> </w:t>
      </w:r>
      <w:r w:rsidRPr="009023A4">
        <w:rPr>
          <w:rFonts w:ascii="Titillium" w:hAnsi="Titillium" w:cs="Calibri"/>
          <w:sz w:val="18"/>
          <w:szCs w:val="18"/>
        </w:rPr>
        <w:t>82/05.</w:t>
      </w:r>
      <w:r w:rsidR="00870286" w:rsidRPr="003D7007">
        <w:rPr>
          <w:rFonts w:ascii="Titillium" w:hAnsi="Titillium" w:cs="Calibri"/>
          <w:sz w:val="18"/>
          <w:szCs w:val="18"/>
        </w:rPr>
        <w:t xml:space="preserve"> </w:t>
      </w:r>
    </w:p>
    <w:p w14:paraId="78A2E707" w14:textId="767C01FD" w:rsidR="004C53A8" w:rsidRPr="003D7007" w:rsidRDefault="00870286">
      <w:pPr>
        <w:tabs>
          <w:tab w:val="left" w:pos="360"/>
        </w:tabs>
        <w:spacing w:before="60" w:after="60"/>
      </w:pPr>
      <w:r w:rsidRPr="006B0128">
        <w:rPr>
          <w:rFonts w:ascii="Titillium" w:hAnsi="Titillium" w:cs="Calibri"/>
          <w:b/>
          <w:i/>
          <w:sz w:val="18"/>
          <w:szCs w:val="18"/>
        </w:rPr>
        <w:t>[</w:t>
      </w:r>
      <w:r w:rsidR="00614DC3">
        <w:rPr>
          <w:rFonts w:ascii="Titillium" w:hAnsi="Titillium" w:cs="Calibri"/>
          <w:b/>
          <w:bCs/>
          <w:i/>
          <w:sz w:val="18"/>
          <w:szCs w:val="18"/>
        </w:rPr>
        <w:t>In caso di richiesta di campioni o altri documenti cartacei non altrimenti acquisibili</w:t>
      </w:r>
      <w:r w:rsidRPr="006B0128">
        <w:rPr>
          <w:rFonts w:ascii="Titillium" w:hAnsi="Titillium" w:cs="Calibri"/>
          <w:b/>
          <w:i/>
          <w:sz w:val="18"/>
          <w:szCs w:val="18"/>
        </w:rPr>
        <w:t xml:space="preserve">] </w:t>
      </w:r>
      <w:r w:rsidRPr="006B0128">
        <w:rPr>
          <w:rFonts w:ascii="Titillium" w:hAnsi="Titillium" w:cs="Calibri"/>
          <w:sz w:val="18"/>
          <w:szCs w:val="18"/>
        </w:rPr>
        <w:t xml:space="preserve">I </w:t>
      </w:r>
      <w:r w:rsidRPr="003D7007">
        <w:rPr>
          <w:rFonts w:ascii="Titillium" w:hAnsi="Titillium" w:cs="Calibri"/>
          <w:sz w:val="18"/>
          <w:szCs w:val="18"/>
        </w:rPr>
        <w:t xml:space="preserve">campioni </w:t>
      </w:r>
      <w:r w:rsidR="0001616C" w:rsidRPr="003D7007">
        <w:rPr>
          <w:rFonts w:ascii="Titillium" w:hAnsi="Titillium" w:cs="Calibri"/>
          <w:i/>
          <w:sz w:val="18"/>
          <w:szCs w:val="18"/>
        </w:rPr>
        <w:t xml:space="preserve">[e </w:t>
      </w:r>
      <w:r w:rsidRPr="003D7007">
        <w:rPr>
          <w:rFonts w:ascii="Titillium" w:hAnsi="Titillium" w:cs="Calibri"/>
          <w:i/>
          <w:sz w:val="18"/>
          <w:szCs w:val="18"/>
        </w:rPr>
        <w:t>i documenti cartacei non altrimenti acquisibili</w:t>
      </w:r>
      <w:r w:rsidR="0001616C" w:rsidRPr="003D7007">
        <w:rPr>
          <w:rFonts w:ascii="Titillium" w:hAnsi="Titillium" w:cs="Calibri"/>
          <w:i/>
          <w:sz w:val="18"/>
          <w:szCs w:val="18"/>
        </w:rPr>
        <w:t>, specifica quali]</w:t>
      </w:r>
      <w:r w:rsidRPr="003D7007">
        <w:rPr>
          <w:rFonts w:ascii="Titillium" w:hAnsi="Titillium" w:cs="Calibri"/>
          <w:sz w:val="18"/>
          <w:szCs w:val="18"/>
        </w:rPr>
        <w:t xml:space="preserve"> devono essere trasmessi al seguente indirizzo: … </w:t>
      </w:r>
      <w:r w:rsidRPr="003D7007">
        <w:rPr>
          <w:rFonts w:ascii="Titillium" w:hAnsi="Titillium" w:cs="Calibri"/>
          <w:i/>
          <w:sz w:val="18"/>
          <w:szCs w:val="18"/>
        </w:rPr>
        <w:t xml:space="preserve">[indicare l’indirizzo]. </w:t>
      </w:r>
    </w:p>
    <w:p w14:paraId="1C85DFD8" w14:textId="10743E09" w:rsidR="004C53A8" w:rsidRPr="003D7007" w:rsidRDefault="00870286">
      <w:pPr>
        <w:tabs>
          <w:tab w:val="left" w:pos="360"/>
        </w:tabs>
        <w:spacing w:before="60" w:after="60"/>
        <w:rPr>
          <w:rFonts w:ascii="Titillium" w:hAnsi="Titillium" w:cs="Calibri"/>
          <w:sz w:val="18"/>
          <w:szCs w:val="18"/>
        </w:rPr>
      </w:pPr>
      <w:r w:rsidRPr="003D7007">
        <w:rPr>
          <w:rFonts w:ascii="Titillium" w:hAnsi="Titillium" w:cs="Calibri"/>
          <w:bCs/>
          <w:iCs/>
          <w:sz w:val="18"/>
          <w:szCs w:val="18"/>
        </w:rPr>
        <w:t>L’offerta d</w:t>
      </w:r>
      <w:r w:rsidR="0001616C" w:rsidRPr="003D7007">
        <w:rPr>
          <w:rFonts w:ascii="Titillium" w:hAnsi="Titillium" w:cs="Calibri"/>
          <w:bCs/>
          <w:iCs/>
          <w:sz w:val="18"/>
          <w:szCs w:val="18"/>
        </w:rPr>
        <w:t>eve</w:t>
      </w:r>
      <w:r w:rsidRPr="003D7007">
        <w:rPr>
          <w:rFonts w:ascii="Titillium" w:hAnsi="Titillium" w:cs="Calibri"/>
          <w:bCs/>
          <w:iCs/>
          <w:sz w:val="18"/>
          <w:szCs w:val="18"/>
        </w:rPr>
        <w:t xml:space="preserve"> pervenire</w:t>
      </w:r>
      <w:r w:rsidRPr="003D7007">
        <w:rPr>
          <w:rFonts w:ascii="Titillium" w:hAnsi="Titillium" w:cs="Calibri"/>
          <w:sz w:val="18"/>
          <w:szCs w:val="18"/>
        </w:rPr>
        <w:t xml:space="preserve"> entro e non oltre le ore … </w:t>
      </w:r>
      <w:r w:rsidR="009D0354" w:rsidRPr="003D7007">
        <w:rPr>
          <w:rFonts w:ascii="Titillium" w:hAnsi="Titillium" w:cs="Calibri"/>
          <w:i/>
          <w:sz w:val="18"/>
          <w:szCs w:val="18"/>
        </w:rPr>
        <w:t xml:space="preserve">[indicare] </w:t>
      </w:r>
      <w:r w:rsidRPr="003D7007">
        <w:rPr>
          <w:rFonts w:ascii="Titillium" w:hAnsi="Titillium" w:cs="Calibri"/>
          <w:sz w:val="18"/>
          <w:szCs w:val="18"/>
        </w:rPr>
        <w:t xml:space="preserve">del giorno … </w:t>
      </w:r>
      <w:r w:rsidR="0030134B" w:rsidRPr="003D7007">
        <w:rPr>
          <w:rFonts w:ascii="Titillium" w:hAnsi="Titillium" w:cs="Calibri"/>
          <w:i/>
          <w:sz w:val="18"/>
          <w:szCs w:val="18"/>
        </w:rPr>
        <w:t xml:space="preserve">[indicare] </w:t>
      </w:r>
      <w:r w:rsidRPr="003D7007">
        <w:rPr>
          <w:rFonts w:ascii="Titillium" w:hAnsi="Titillium" w:cs="Calibri"/>
          <w:sz w:val="18"/>
          <w:szCs w:val="18"/>
        </w:rPr>
        <w:t>a pena di irricevibilità</w:t>
      </w:r>
      <w:r w:rsidRPr="003D7007">
        <w:rPr>
          <w:rFonts w:ascii="Titillium" w:hAnsi="Titillium"/>
          <w:sz w:val="18"/>
          <w:szCs w:val="18"/>
        </w:rPr>
        <w:t>.</w:t>
      </w:r>
      <w:r w:rsidRPr="003D7007">
        <w:rPr>
          <w:rFonts w:ascii="Titillium" w:hAnsi="Titillium" w:cs="Calibri"/>
          <w:sz w:val="18"/>
          <w:szCs w:val="18"/>
        </w:rPr>
        <w:t xml:space="preserve"> La Piattaforma non accetta offerte presentate dopo la data e l’orario stabiliti come termine ultimo di presentazione dell’offerta. </w:t>
      </w:r>
    </w:p>
    <w:p w14:paraId="56E93550" w14:textId="2832E664" w:rsidR="004C53A8" w:rsidRDefault="00B02226">
      <w:pPr>
        <w:spacing w:before="60" w:after="60"/>
      </w:pPr>
      <w:r w:rsidRPr="00B02226">
        <w:rPr>
          <w:rFonts w:ascii="Titillium" w:hAnsi="Titillium"/>
          <w:iCs/>
          <w:sz w:val="18"/>
          <w:szCs w:val="18"/>
        </w:rPr>
        <w:t>Per l’individuazione d</w:t>
      </w:r>
      <w:r>
        <w:rPr>
          <w:rFonts w:ascii="Titillium" w:hAnsi="Titillium"/>
          <w:iCs/>
          <w:sz w:val="18"/>
          <w:szCs w:val="18"/>
        </w:rPr>
        <w:t>i</w:t>
      </w:r>
      <w:r w:rsidR="00870286">
        <w:rPr>
          <w:rFonts w:ascii="Titillium" w:hAnsi="Titillium" w:cs="Calibri"/>
          <w:bCs/>
          <w:iCs/>
          <w:sz w:val="18"/>
          <w:szCs w:val="18"/>
        </w:rPr>
        <w:t xml:space="preserve"> data e</w:t>
      </w:r>
      <w:r>
        <w:rPr>
          <w:rFonts w:ascii="Titillium" w:hAnsi="Titillium" w:cs="Calibri"/>
          <w:bCs/>
          <w:iCs/>
          <w:sz w:val="18"/>
          <w:szCs w:val="18"/>
        </w:rPr>
        <w:t xml:space="preserve"> ora </w:t>
      </w:r>
      <w:r w:rsidR="00870286">
        <w:rPr>
          <w:rFonts w:ascii="Titillium" w:hAnsi="Titillium" w:cs="Calibri"/>
          <w:bCs/>
          <w:iCs/>
          <w:sz w:val="18"/>
          <w:szCs w:val="18"/>
        </w:rPr>
        <w:t>di arrivo dell’offerta fa fede l’orario registrato dalla Piattaforma</w:t>
      </w:r>
      <w:r w:rsidR="0001616C">
        <w:rPr>
          <w:rFonts w:ascii="Titillium" w:hAnsi="Titillium" w:cs="Calibri"/>
          <w:bCs/>
          <w:iCs/>
          <w:sz w:val="18"/>
          <w:szCs w:val="18"/>
        </w:rPr>
        <w:t>.</w:t>
      </w:r>
    </w:p>
    <w:p w14:paraId="4BAF21B7" w14:textId="6B4D393E" w:rsidR="004C53A8" w:rsidRDefault="00870286">
      <w:pPr>
        <w:widowControl w:val="0"/>
        <w:spacing w:before="60" w:after="60" w:line="280" w:lineRule="exact"/>
      </w:pPr>
      <w:r>
        <w:rPr>
          <w:rFonts w:ascii="Titillium" w:hAnsi="Titillium" w:cs="Calibri"/>
          <w:color w:val="000000"/>
          <w:sz w:val="18"/>
          <w:szCs w:val="18"/>
        </w:rPr>
        <w:t>Le operazioni di inserimento sulla Piattaforma di tutta la documentazione richiesta</w:t>
      </w:r>
      <w:r w:rsidR="00C40996">
        <w:rPr>
          <w:rFonts w:ascii="Titillium" w:hAnsi="Titillium" w:cs="Calibri"/>
          <w:color w:val="000000"/>
          <w:sz w:val="18"/>
          <w:szCs w:val="18"/>
        </w:rPr>
        <w:t xml:space="preserve"> </w:t>
      </w:r>
      <w:r>
        <w:rPr>
          <w:rFonts w:ascii="Titillium" w:hAnsi="Titillium" w:cs="Calibri"/>
          <w:color w:val="000000"/>
          <w:sz w:val="18"/>
          <w:szCs w:val="18"/>
        </w:rPr>
        <w:t>rimangono ad esclusivo rischio del concorrente. Si invitano pertanto i concorrenti ad avviare tali attività con congruo anticipo rispetto alla scadenza prevista onde evitare la non completa e quindi mancata trasmissione dell’offerta entro il termine previsto.</w:t>
      </w:r>
      <w:r>
        <w:rPr>
          <w:rFonts w:ascii="Titillium" w:hAnsi="Titillium" w:cs="Calibri"/>
          <w:bCs/>
          <w:iCs/>
          <w:sz w:val="18"/>
          <w:szCs w:val="18"/>
        </w:rPr>
        <w:t xml:space="preserve"> </w:t>
      </w:r>
    </w:p>
    <w:p w14:paraId="18AD59A7" w14:textId="33DAA76D" w:rsidR="004C53A8" w:rsidRDefault="00870286">
      <w:pPr>
        <w:widowControl w:val="0"/>
        <w:spacing w:before="60" w:after="60" w:line="280" w:lineRule="exact"/>
      </w:pPr>
      <w:r>
        <w:rPr>
          <w:rFonts w:ascii="Titillium" w:hAnsi="Titillium" w:cs="Calibri"/>
          <w:bCs/>
          <w:iCs/>
          <w:sz w:val="18"/>
          <w:szCs w:val="18"/>
        </w:rPr>
        <w:t>Qualora si verifichi un mancato funzionamento o un malfunzionamento della Piattaforma si applica quanto pre</w:t>
      </w:r>
      <w:r w:rsidR="0001616C">
        <w:rPr>
          <w:rFonts w:ascii="Titillium" w:hAnsi="Titillium" w:cs="Calibri"/>
          <w:bCs/>
          <w:iCs/>
          <w:sz w:val="18"/>
          <w:szCs w:val="18"/>
        </w:rPr>
        <w:t>v</w:t>
      </w:r>
      <w:r>
        <w:rPr>
          <w:rFonts w:ascii="Titillium" w:hAnsi="Titillium" w:cs="Calibri"/>
          <w:bCs/>
          <w:iCs/>
          <w:sz w:val="18"/>
          <w:szCs w:val="18"/>
        </w:rPr>
        <w:t xml:space="preserve">isto al </w:t>
      </w:r>
      <w:r w:rsidR="00991D53">
        <w:rPr>
          <w:rFonts w:ascii="Titillium" w:hAnsi="Titillium" w:cs="Calibri"/>
          <w:bCs/>
          <w:iCs/>
          <w:sz w:val="18"/>
          <w:szCs w:val="18"/>
        </w:rPr>
        <w:t>punto</w:t>
      </w:r>
      <w:r>
        <w:rPr>
          <w:rFonts w:ascii="Titillium" w:hAnsi="Titillium" w:cs="Calibri"/>
          <w:bCs/>
          <w:iCs/>
          <w:sz w:val="18"/>
          <w:szCs w:val="18"/>
        </w:rPr>
        <w:t xml:space="preserve"> </w:t>
      </w:r>
      <w:r w:rsidR="00AA77D1">
        <w:rPr>
          <w:rFonts w:ascii="Titillium" w:hAnsi="Titillium" w:cs="Calibri"/>
          <w:bCs/>
          <w:iCs/>
          <w:sz w:val="18"/>
          <w:szCs w:val="18"/>
        </w:rPr>
        <w:fldChar w:fldCharType="begin"/>
      </w:r>
      <w:r w:rsidR="00AA77D1">
        <w:rPr>
          <w:rFonts w:ascii="Titillium" w:hAnsi="Titillium" w:cs="Calibri"/>
          <w:bCs/>
          <w:iCs/>
          <w:sz w:val="18"/>
          <w:szCs w:val="18"/>
        </w:rPr>
        <w:instrText xml:space="preserve"> REF _Ref132303729 \r \h </w:instrText>
      </w:r>
      <w:r w:rsidR="00AA77D1">
        <w:rPr>
          <w:rFonts w:ascii="Titillium" w:hAnsi="Titillium" w:cs="Calibri"/>
          <w:bCs/>
          <w:iCs/>
          <w:sz w:val="18"/>
          <w:szCs w:val="18"/>
        </w:rPr>
      </w:r>
      <w:r w:rsidR="00AA77D1">
        <w:rPr>
          <w:rFonts w:ascii="Titillium" w:hAnsi="Titillium" w:cs="Calibri"/>
          <w:bCs/>
          <w:iCs/>
          <w:sz w:val="18"/>
          <w:szCs w:val="18"/>
        </w:rPr>
        <w:fldChar w:fldCharType="separate"/>
      </w:r>
      <w:r w:rsidR="00AA77D1">
        <w:rPr>
          <w:rFonts w:ascii="Titillium" w:hAnsi="Titillium" w:cs="Calibri"/>
          <w:bCs/>
          <w:iCs/>
          <w:sz w:val="18"/>
          <w:szCs w:val="18"/>
        </w:rPr>
        <w:t>1.1</w:t>
      </w:r>
      <w:r w:rsidR="00AA77D1">
        <w:rPr>
          <w:rFonts w:ascii="Titillium" w:hAnsi="Titillium" w:cs="Calibri"/>
          <w:bCs/>
          <w:iCs/>
          <w:sz w:val="18"/>
          <w:szCs w:val="18"/>
        </w:rPr>
        <w:fldChar w:fldCharType="end"/>
      </w:r>
      <w:r>
        <w:rPr>
          <w:rFonts w:ascii="Titillium" w:hAnsi="Titillium" w:cs="Calibri"/>
          <w:bCs/>
          <w:iCs/>
          <w:sz w:val="18"/>
          <w:szCs w:val="18"/>
        </w:rPr>
        <w:t>.</w:t>
      </w:r>
    </w:p>
    <w:p w14:paraId="4D550BEC" w14:textId="5CFA1D12" w:rsidR="004C53A8" w:rsidRPr="006B0128" w:rsidRDefault="00870286">
      <w:pPr>
        <w:tabs>
          <w:tab w:val="left" w:pos="360"/>
        </w:tabs>
        <w:spacing w:before="60" w:after="60"/>
        <w:rPr>
          <w:i/>
        </w:rPr>
      </w:pPr>
      <w:r>
        <w:rPr>
          <w:rFonts w:ascii="Titillium" w:hAnsi="Titillium" w:cs="Calibri"/>
          <w:bCs/>
          <w:iCs/>
          <w:sz w:val="18"/>
          <w:szCs w:val="18"/>
        </w:rPr>
        <w:t xml:space="preserve">Ogni operatore economico per la presentazione dell’offerta ha a disposizione una capacità pari alla dimensione massima di </w:t>
      </w:r>
      <w:r w:rsidRPr="006B0128">
        <w:rPr>
          <w:rFonts w:ascii="Titillium" w:hAnsi="Titillium" w:cs="Calibri"/>
          <w:bCs/>
          <w:i/>
          <w:iCs/>
          <w:sz w:val="18"/>
          <w:szCs w:val="18"/>
        </w:rPr>
        <w:t>… [indicare il numero</w:t>
      </w:r>
      <w:r w:rsidR="0030134B" w:rsidRPr="006B0128">
        <w:rPr>
          <w:rFonts w:ascii="Titillium" w:hAnsi="Titillium" w:cs="Calibri"/>
          <w:bCs/>
          <w:i/>
          <w:iCs/>
          <w:sz w:val="18"/>
          <w:szCs w:val="18"/>
        </w:rPr>
        <w:t xml:space="preserve"> e l’unità di misura</w:t>
      </w:r>
      <w:r w:rsidRPr="006B0128">
        <w:rPr>
          <w:rFonts w:ascii="Titillium" w:hAnsi="Titillium" w:cs="Calibri"/>
          <w:bCs/>
          <w:i/>
          <w:iCs/>
          <w:sz w:val="18"/>
          <w:szCs w:val="18"/>
        </w:rPr>
        <w:t>]</w:t>
      </w:r>
      <w:r>
        <w:rPr>
          <w:rFonts w:ascii="Titillium" w:hAnsi="Titillium" w:cs="Calibri"/>
          <w:bCs/>
          <w:iCs/>
          <w:sz w:val="18"/>
          <w:szCs w:val="18"/>
        </w:rPr>
        <w:t xml:space="preserve"> per singolo file. La Piattaforma accetta esclusivamente file con i seguenti formati </w:t>
      </w:r>
      <w:r w:rsidRPr="006B0128">
        <w:rPr>
          <w:rFonts w:ascii="Titillium" w:hAnsi="Titillium" w:cs="Calibri"/>
          <w:bCs/>
          <w:i/>
          <w:iCs/>
          <w:sz w:val="18"/>
          <w:szCs w:val="18"/>
        </w:rPr>
        <w:t>… [indicare i formati dei file che possono essere caricati nella Piattaforma]</w:t>
      </w:r>
    </w:p>
    <w:p w14:paraId="7658F69A" w14:textId="26C91FFA" w:rsidR="004C53A8" w:rsidRDefault="00870286">
      <w:pPr>
        <w:spacing w:before="60" w:after="60"/>
        <w:rPr>
          <w:rFonts w:ascii="Titillium" w:hAnsi="Titillium" w:cs="Calibri"/>
          <w:b/>
          <w:sz w:val="18"/>
          <w:szCs w:val="18"/>
        </w:rPr>
      </w:pPr>
      <w:r>
        <w:rPr>
          <w:rFonts w:ascii="Titillium" w:hAnsi="Titillium" w:cs="Calibri"/>
          <w:b/>
          <w:sz w:val="18"/>
          <w:szCs w:val="18"/>
        </w:rPr>
        <w:t>1</w:t>
      </w:r>
      <w:r w:rsidR="00FB3112">
        <w:rPr>
          <w:rFonts w:ascii="Titillium" w:hAnsi="Titillium" w:cs="Calibri"/>
          <w:b/>
          <w:sz w:val="18"/>
          <w:szCs w:val="18"/>
        </w:rPr>
        <w:t>2</w:t>
      </w:r>
      <w:r>
        <w:rPr>
          <w:rFonts w:ascii="Titillium" w:hAnsi="Titillium" w:cs="Calibri"/>
          <w:b/>
          <w:sz w:val="18"/>
          <w:szCs w:val="18"/>
        </w:rPr>
        <w:t>.1 Regole per la presentazione dell’offerta</w:t>
      </w:r>
    </w:p>
    <w:p w14:paraId="4DF9620A" w14:textId="63D04F77" w:rsidR="004C53A8" w:rsidRPr="0097523D" w:rsidRDefault="00340EA3">
      <w:pPr>
        <w:spacing w:before="60" w:after="60"/>
      </w:pPr>
      <w:r w:rsidRPr="006B0128">
        <w:rPr>
          <w:rFonts w:ascii="Titillium" w:hAnsi="Titillium" w:cs="Calibri"/>
          <w:b/>
          <w:i/>
          <w:sz w:val="18"/>
          <w:szCs w:val="18"/>
        </w:rPr>
        <w:t>[</w:t>
      </w:r>
      <w:r w:rsidR="00B02226">
        <w:rPr>
          <w:rFonts w:ascii="Titillium" w:hAnsi="Titillium" w:cs="Calibri"/>
          <w:b/>
          <w:bCs/>
          <w:i/>
          <w:sz w:val="18"/>
          <w:szCs w:val="18"/>
        </w:rPr>
        <w:t>F</w:t>
      </w:r>
      <w:r w:rsidR="00614DC3">
        <w:rPr>
          <w:rFonts w:ascii="Titillium" w:hAnsi="Titillium" w:cs="Calibri"/>
          <w:b/>
          <w:bCs/>
          <w:i/>
          <w:sz w:val="18"/>
          <w:szCs w:val="18"/>
        </w:rPr>
        <w:t>a</w:t>
      </w:r>
      <w:r w:rsidR="00B02226">
        <w:rPr>
          <w:rFonts w:ascii="Titillium" w:hAnsi="Titillium" w:cs="Calibri"/>
          <w:b/>
          <w:bCs/>
          <w:i/>
          <w:sz w:val="18"/>
          <w:szCs w:val="18"/>
        </w:rPr>
        <w:t>coltativo</w:t>
      </w:r>
      <w:r w:rsidRPr="006B0128">
        <w:rPr>
          <w:rFonts w:ascii="Titillium" w:hAnsi="Titillium" w:cs="Calibri"/>
          <w:b/>
          <w:i/>
          <w:sz w:val="18"/>
          <w:szCs w:val="18"/>
        </w:rPr>
        <w:t>]</w:t>
      </w:r>
      <w:r>
        <w:rPr>
          <w:rFonts w:ascii="Titillium" w:hAnsi="Titillium" w:cs="Calibri"/>
          <w:sz w:val="18"/>
          <w:szCs w:val="18"/>
        </w:rPr>
        <w:t xml:space="preserve"> </w:t>
      </w:r>
      <w:r w:rsidR="00870286">
        <w:rPr>
          <w:rFonts w:ascii="Titillium" w:hAnsi="Titillium" w:cs="Calibri"/>
          <w:sz w:val="18"/>
          <w:szCs w:val="18"/>
        </w:rPr>
        <w:t xml:space="preserve">Fermo restando le </w:t>
      </w:r>
      <w:r w:rsidR="008866EE">
        <w:rPr>
          <w:rFonts w:ascii="Titillium" w:hAnsi="Titillium" w:cs="Calibri"/>
          <w:sz w:val="18"/>
          <w:szCs w:val="18"/>
        </w:rPr>
        <w:t xml:space="preserve">indicazioni </w:t>
      </w:r>
      <w:r w:rsidR="00870286">
        <w:rPr>
          <w:rFonts w:ascii="Titillium" w:hAnsi="Titillium" w:cs="Calibri"/>
          <w:sz w:val="18"/>
          <w:szCs w:val="18"/>
        </w:rPr>
        <w:t xml:space="preserve">tecniche </w:t>
      </w:r>
      <w:r w:rsidR="008866EE">
        <w:rPr>
          <w:rFonts w:ascii="Titillium" w:hAnsi="Titillium" w:cs="Calibri"/>
          <w:sz w:val="18"/>
          <w:szCs w:val="18"/>
        </w:rPr>
        <w:t xml:space="preserve">riportate all’articolo </w:t>
      </w:r>
      <w:r w:rsidR="00AA77D1">
        <w:rPr>
          <w:rFonts w:ascii="Titillium" w:hAnsi="Titillium" w:cs="Calibri"/>
          <w:sz w:val="18"/>
          <w:szCs w:val="18"/>
        </w:rPr>
        <w:fldChar w:fldCharType="begin"/>
      </w:r>
      <w:r w:rsidR="00AA77D1">
        <w:rPr>
          <w:rFonts w:ascii="Titillium" w:hAnsi="Titillium" w:cs="Calibri"/>
          <w:sz w:val="18"/>
          <w:szCs w:val="18"/>
        </w:rPr>
        <w:instrText xml:space="preserve"> REF _Ref132303744 \r \h </w:instrText>
      </w:r>
      <w:r w:rsidR="00AA77D1">
        <w:rPr>
          <w:rFonts w:ascii="Titillium" w:hAnsi="Titillium" w:cs="Calibri"/>
          <w:sz w:val="18"/>
          <w:szCs w:val="18"/>
        </w:rPr>
      </w:r>
      <w:r w:rsidR="00AA77D1">
        <w:rPr>
          <w:rFonts w:ascii="Titillium" w:hAnsi="Titillium" w:cs="Calibri"/>
          <w:sz w:val="18"/>
          <w:szCs w:val="18"/>
        </w:rPr>
        <w:fldChar w:fldCharType="separate"/>
      </w:r>
      <w:r w:rsidR="00AA77D1">
        <w:rPr>
          <w:rFonts w:ascii="Titillium" w:hAnsi="Titillium" w:cs="Calibri"/>
          <w:sz w:val="18"/>
          <w:szCs w:val="18"/>
        </w:rPr>
        <w:t>1</w:t>
      </w:r>
      <w:r w:rsidR="00AA77D1">
        <w:rPr>
          <w:rFonts w:ascii="Titillium" w:hAnsi="Titillium" w:cs="Calibri"/>
          <w:sz w:val="18"/>
          <w:szCs w:val="18"/>
        </w:rPr>
        <w:fldChar w:fldCharType="end"/>
      </w:r>
      <w:r w:rsidR="008866EE">
        <w:rPr>
          <w:rFonts w:ascii="Titillium" w:hAnsi="Titillium" w:cs="Calibri"/>
          <w:sz w:val="18"/>
          <w:szCs w:val="18"/>
        </w:rPr>
        <w:t xml:space="preserve"> </w:t>
      </w:r>
      <w:r w:rsidR="00870286">
        <w:rPr>
          <w:rFonts w:ascii="Titillium" w:hAnsi="Titillium" w:cs="Calibri"/>
          <w:sz w:val="18"/>
          <w:szCs w:val="18"/>
        </w:rPr>
        <w:t>e nel … [</w:t>
      </w:r>
      <w:r w:rsidR="00870286" w:rsidRPr="0097523D">
        <w:rPr>
          <w:rFonts w:ascii="Titillium" w:hAnsi="Titillium" w:cs="Calibri"/>
          <w:i/>
          <w:sz w:val="18"/>
          <w:szCs w:val="18"/>
        </w:rPr>
        <w:t xml:space="preserve">la SA indica il disciplinare telematico o altro documento tecnico] </w:t>
      </w:r>
      <w:r w:rsidR="00870286" w:rsidRPr="0097523D">
        <w:rPr>
          <w:rFonts w:ascii="Titillium" w:hAnsi="Titillium" w:cs="Calibri"/>
          <w:sz w:val="18"/>
          <w:szCs w:val="18"/>
        </w:rPr>
        <w:t xml:space="preserve">di seguito sono </w:t>
      </w:r>
      <w:r w:rsidRPr="0097523D">
        <w:rPr>
          <w:rFonts w:ascii="Titillium" w:hAnsi="Titillium" w:cs="Calibri"/>
          <w:sz w:val="18"/>
          <w:szCs w:val="18"/>
        </w:rPr>
        <w:t>indicate le modalità di</w:t>
      </w:r>
      <w:r w:rsidR="00870286" w:rsidRPr="0097523D">
        <w:rPr>
          <w:rFonts w:ascii="Titillium" w:hAnsi="Titillium" w:cs="Calibri"/>
          <w:sz w:val="18"/>
          <w:szCs w:val="18"/>
        </w:rPr>
        <w:t xml:space="preserve"> caricamento dell’offerta nella Piattaforma.</w:t>
      </w:r>
    </w:p>
    <w:p w14:paraId="7332E947" w14:textId="023A2232" w:rsidR="004C53A8" w:rsidRDefault="00870286">
      <w:pPr>
        <w:spacing w:before="60" w:after="60"/>
      </w:pPr>
      <w:r w:rsidRPr="0097523D">
        <w:rPr>
          <w:rFonts w:ascii="Titillium" w:hAnsi="Titillium" w:cs="Calibri"/>
          <w:i/>
          <w:sz w:val="18"/>
          <w:szCs w:val="18"/>
        </w:rPr>
        <w:t xml:space="preserve">[La </w:t>
      </w:r>
      <w:r w:rsidR="00260794">
        <w:rPr>
          <w:rFonts w:ascii="Titillium" w:hAnsi="Titillium" w:cs="Calibri"/>
          <w:i/>
          <w:sz w:val="18"/>
          <w:szCs w:val="18"/>
        </w:rPr>
        <w:t>stazione appaltante</w:t>
      </w:r>
      <w:r w:rsidRPr="0097523D">
        <w:rPr>
          <w:rFonts w:ascii="Titillium" w:hAnsi="Titillium" w:cs="Calibri"/>
          <w:i/>
          <w:sz w:val="18"/>
          <w:szCs w:val="18"/>
        </w:rPr>
        <w:t xml:space="preserve"> indica le regole di utilizzo della Piattaforma che non sono indicate nel disciplinare telematico di</w:t>
      </w:r>
      <w:r>
        <w:rPr>
          <w:rFonts w:ascii="Titillium" w:hAnsi="Titillium" w:cs="Calibri"/>
          <w:i/>
          <w:sz w:val="18"/>
          <w:szCs w:val="18"/>
        </w:rPr>
        <w:t xml:space="preserve"> cui di seguito si fornisce un esempio:</w:t>
      </w:r>
      <w:r>
        <w:rPr>
          <w:rFonts w:ascii="Titillium" w:hAnsi="Titillium" w:cs="Calibri"/>
          <w:sz w:val="18"/>
          <w:szCs w:val="18"/>
        </w:rPr>
        <w:t xml:space="preserve"> …</w:t>
      </w:r>
      <w:r>
        <w:rPr>
          <w:rFonts w:ascii="Titillium" w:hAnsi="Titillium" w:cs="Calibri"/>
          <w:i/>
          <w:sz w:val="18"/>
          <w:szCs w:val="18"/>
        </w:rPr>
        <w:t>]</w:t>
      </w:r>
    </w:p>
    <w:p w14:paraId="032C4C39" w14:textId="77777777" w:rsidR="004C53A8" w:rsidRDefault="00870286">
      <w:pPr>
        <w:pStyle w:val="usoboll1"/>
        <w:spacing w:line="300" w:lineRule="exact"/>
      </w:pPr>
      <w:r>
        <w:rPr>
          <w:rFonts w:ascii="Titillium" w:hAnsi="Titillium" w:cs="Trebuchet MS"/>
          <w:sz w:val="18"/>
          <w:szCs w:val="18"/>
        </w:rPr>
        <w:t>L’“</w:t>
      </w:r>
      <w:r>
        <w:rPr>
          <w:rFonts w:ascii="Titillium" w:hAnsi="Titillium" w:cs="Trebuchet MS"/>
          <w:b/>
          <w:i/>
          <w:sz w:val="18"/>
          <w:szCs w:val="18"/>
        </w:rPr>
        <w:t>OFFERTA</w:t>
      </w:r>
      <w:r>
        <w:rPr>
          <w:rFonts w:ascii="Titillium" w:hAnsi="Titillium" w:cs="Trebuchet MS"/>
          <w:sz w:val="18"/>
          <w:szCs w:val="18"/>
        </w:rPr>
        <w:t xml:space="preserve">” è composta da: </w:t>
      </w:r>
    </w:p>
    <w:p w14:paraId="5574CAE5" w14:textId="77777777" w:rsidR="004C53A8" w:rsidRDefault="00870286">
      <w:pPr>
        <w:pStyle w:val="usoboll1"/>
        <w:spacing w:line="300" w:lineRule="exact"/>
        <w:ind w:left="567"/>
      </w:pPr>
      <w:r>
        <w:rPr>
          <w:rFonts w:ascii="Titillium" w:hAnsi="Titillium" w:cs="Trebuchet MS"/>
          <w:sz w:val="18"/>
          <w:szCs w:val="18"/>
        </w:rPr>
        <w:t xml:space="preserve">A – </w:t>
      </w:r>
      <w:r>
        <w:rPr>
          <w:rFonts w:ascii="Titillium" w:hAnsi="Titillium" w:cs="Trebuchet MS"/>
          <w:b/>
          <w:sz w:val="18"/>
          <w:szCs w:val="18"/>
        </w:rPr>
        <w:t>Documentazione amministrativa</w:t>
      </w:r>
      <w:r>
        <w:rPr>
          <w:rFonts w:ascii="Titillium" w:hAnsi="Titillium" w:cs="Trebuchet MS"/>
          <w:sz w:val="18"/>
          <w:szCs w:val="18"/>
        </w:rPr>
        <w:t xml:space="preserve">; </w:t>
      </w:r>
    </w:p>
    <w:p w14:paraId="7C98A921" w14:textId="6D0846BD" w:rsidR="004C53A8" w:rsidRDefault="00870286">
      <w:pPr>
        <w:pStyle w:val="usoboll1"/>
        <w:spacing w:line="300" w:lineRule="exact"/>
        <w:ind w:left="567"/>
      </w:pPr>
      <w:r>
        <w:rPr>
          <w:rFonts w:ascii="Titillium" w:hAnsi="Titillium" w:cs="Trebuchet MS"/>
          <w:sz w:val="18"/>
          <w:szCs w:val="18"/>
        </w:rPr>
        <w:t xml:space="preserve">B – </w:t>
      </w:r>
      <w:r>
        <w:rPr>
          <w:rFonts w:ascii="Titillium" w:hAnsi="Titillium" w:cs="Trebuchet MS"/>
          <w:b/>
          <w:bCs/>
          <w:sz w:val="18"/>
          <w:szCs w:val="18"/>
        </w:rPr>
        <w:t xml:space="preserve">Offerta tecnica </w:t>
      </w:r>
      <w:r>
        <w:rPr>
          <w:rFonts w:ascii="Titillium" w:hAnsi="Titillium" w:cs="Calibri"/>
          <w:bCs/>
          <w:i/>
          <w:sz w:val="18"/>
          <w:szCs w:val="18"/>
        </w:rPr>
        <w:t>[</w:t>
      </w:r>
      <w:r>
        <w:rPr>
          <w:rFonts w:ascii="Titillium" w:hAnsi="Titillium" w:cs="Trebuchet MS"/>
          <w:i/>
          <w:color w:val="000000"/>
          <w:sz w:val="18"/>
          <w:szCs w:val="18"/>
        </w:rPr>
        <w:t>in caso 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079D4416" w14:textId="75BFD71E" w:rsidR="004C53A8" w:rsidRDefault="00870286">
      <w:pPr>
        <w:pStyle w:val="usoboll1"/>
        <w:spacing w:line="300" w:lineRule="exact"/>
        <w:ind w:left="567"/>
      </w:pPr>
      <w:r>
        <w:rPr>
          <w:rFonts w:ascii="Titillium" w:hAnsi="Titillium" w:cs="Trebuchet MS"/>
          <w:color w:val="000000"/>
          <w:sz w:val="18"/>
          <w:szCs w:val="18"/>
        </w:rPr>
        <w:t xml:space="preserve">C – </w:t>
      </w:r>
      <w:r>
        <w:rPr>
          <w:rFonts w:ascii="Titillium" w:hAnsi="Titillium" w:cs="Trebuchet MS"/>
          <w:b/>
          <w:bCs/>
          <w:color w:val="000000"/>
          <w:sz w:val="18"/>
          <w:szCs w:val="18"/>
        </w:rPr>
        <w:t>Offerta economica</w:t>
      </w:r>
      <w:r>
        <w:rPr>
          <w:rFonts w:ascii="Titillium" w:hAnsi="Titillium" w:cs="Trebuchet MS"/>
          <w:i/>
          <w:color w:val="000000"/>
          <w:sz w:val="18"/>
          <w:szCs w:val="18"/>
        </w:rPr>
        <w:t xml:space="preserve"> </w:t>
      </w:r>
      <w:r>
        <w:rPr>
          <w:rFonts w:ascii="Titillium" w:hAnsi="Titillium" w:cs="Calibri"/>
          <w:i/>
          <w:color w:val="000000"/>
          <w:sz w:val="18"/>
          <w:szCs w:val="18"/>
        </w:rPr>
        <w:t>[</w:t>
      </w:r>
      <w:r>
        <w:rPr>
          <w:rFonts w:ascii="Titillium" w:hAnsi="Titillium" w:cs="Trebuchet MS"/>
          <w:i/>
          <w:color w:val="000000"/>
          <w:sz w:val="18"/>
          <w:szCs w:val="18"/>
        </w:rPr>
        <w:t xml:space="preserve">in caso </w:t>
      </w:r>
      <w:r>
        <w:rPr>
          <w:rFonts w:ascii="Titillium" w:hAnsi="Titillium" w:cs="Trebuchet MS"/>
          <w:i/>
          <w:iCs/>
          <w:color w:val="000000"/>
          <w:sz w:val="18"/>
          <w:szCs w:val="18"/>
        </w:rPr>
        <w:t>di divisione in Lotti: una per ogni Lotto per il quale si intende partecipare</w:t>
      </w:r>
      <w:r>
        <w:rPr>
          <w:rFonts w:ascii="Titillium" w:hAnsi="Titillium" w:cs="Calibri"/>
          <w:i/>
          <w:color w:val="000000"/>
          <w:sz w:val="18"/>
          <w:szCs w:val="18"/>
        </w:rPr>
        <w:t>]</w:t>
      </w:r>
      <w:r w:rsidR="00340EA3">
        <w:rPr>
          <w:rFonts w:ascii="Titillium" w:hAnsi="Titillium" w:cs="Trebuchet MS"/>
          <w:color w:val="000000"/>
          <w:sz w:val="18"/>
          <w:szCs w:val="18"/>
        </w:rPr>
        <w:t>.</w:t>
      </w:r>
      <w:r>
        <w:rPr>
          <w:rFonts w:ascii="Titillium" w:hAnsi="Titillium" w:cs="Trebuchet MS"/>
          <w:color w:val="000000"/>
          <w:sz w:val="18"/>
          <w:szCs w:val="18"/>
        </w:rPr>
        <w:t xml:space="preserve"> </w:t>
      </w:r>
    </w:p>
    <w:p w14:paraId="2428B53B" w14:textId="77777777" w:rsidR="004C53A8" w:rsidRDefault="004C53A8">
      <w:pPr>
        <w:pStyle w:val="usoboll1"/>
        <w:spacing w:line="300" w:lineRule="exact"/>
        <w:rPr>
          <w:rFonts w:ascii="Titillium" w:hAnsi="Titillium" w:cs="Trebuchet MS"/>
          <w:sz w:val="20"/>
        </w:rPr>
      </w:pPr>
    </w:p>
    <w:p w14:paraId="456E4499" w14:textId="7F47E417" w:rsidR="00CF1CE2" w:rsidRDefault="00870286">
      <w:pPr>
        <w:spacing w:before="60" w:after="60"/>
        <w:rPr>
          <w:rFonts w:ascii="Titillium" w:hAnsi="Titillium" w:cs="Calibri"/>
          <w:sz w:val="18"/>
          <w:szCs w:val="18"/>
        </w:rPr>
      </w:pPr>
      <w:r w:rsidRPr="000D756B">
        <w:rPr>
          <w:rFonts w:ascii="Titillium" w:hAnsi="Titillium" w:cs="Calibri"/>
          <w:sz w:val="18"/>
          <w:szCs w:val="18"/>
        </w:rPr>
        <w:t>L’operatore</w:t>
      </w:r>
      <w:r>
        <w:rPr>
          <w:rFonts w:ascii="Titillium" w:hAnsi="Titillium" w:cs="Calibri"/>
          <w:sz w:val="18"/>
          <w:szCs w:val="18"/>
        </w:rPr>
        <w:t xml:space="preserve"> economico ha facoltà di inserire nella Piattaforma</w:t>
      </w:r>
      <w:r w:rsidR="00C40996">
        <w:rPr>
          <w:rFonts w:ascii="Titillium" w:hAnsi="Titillium" w:cs="Calibri"/>
          <w:sz w:val="18"/>
          <w:szCs w:val="18"/>
        </w:rPr>
        <w:t xml:space="preserve"> </w:t>
      </w:r>
      <w:r>
        <w:rPr>
          <w:rFonts w:ascii="Titillium" w:hAnsi="Titillium" w:cs="Calibri"/>
          <w:sz w:val="18"/>
          <w:szCs w:val="18"/>
        </w:rPr>
        <w:t xml:space="preserve">offerte successive che sostituiscono la precedente, ovvero ritirare l’offerta presentata, nel </w:t>
      </w:r>
      <w:r w:rsidRPr="00FB3112">
        <w:rPr>
          <w:rFonts w:ascii="Titillium" w:hAnsi="Titillium" w:cs="Calibri"/>
          <w:sz w:val="18"/>
          <w:szCs w:val="18"/>
        </w:rPr>
        <w:t xml:space="preserve">periodo di tempo compreso tra la data e ora di inizio e la data e ora di chiusura della fase di presentazione delle offerte. </w:t>
      </w:r>
      <w:r w:rsidRPr="00FB3112">
        <w:rPr>
          <w:rFonts w:ascii="Titillium" w:hAnsi="Titillium" w:cs="Calibri"/>
          <w:bCs/>
          <w:color w:val="000000"/>
          <w:sz w:val="18"/>
          <w:szCs w:val="18"/>
        </w:rPr>
        <w:t>La stazione appaltante considera esclusivamente l’ultima offerta presentata.</w:t>
      </w:r>
      <w:r w:rsidRPr="00FB3112">
        <w:rPr>
          <w:rFonts w:ascii="Titillium" w:hAnsi="Titillium" w:cs="Calibri"/>
          <w:sz w:val="18"/>
          <w:szCs w:val="18"/>
        </w:rPr>
        <w:t xml:space="preserve"> </w:t>
      </w:r>
    </w:p>
    <w:p w14:paraId="0C7F043B" w14:textId="77777777" w:rsidR="004C53A8" w:rsidRDefault="00870286">
      <w:pPr>
        <w:pStyle w:val="Default"/>
        <w:rPr>
          <w:rFonts w:ascii="Titillium" w:hAnsi="Titillium"/>
          <w:sz w:val="18"/>
          <w:szCs w:val="18"/>
        </w:rPr>
      </w:pPr>
      <w:r>
        <w:rPr>
          <w:rFonts w:ascii="Titillium" w:hAnsi="Titillium"/>
          <w:sz w:val="18"/>
          <w:szCs w:val="18"/>
        </w:rPr>
        <w:t xml:space="preserve">Si precisa inoltre che: </w:t>
      </w:r>
    </w:p>
    <w:p w14:paraId="7FD1F4A4" w14:textId="28354875" w:rsidR="004C53A8" w:rsidRDefault="00870286" w:rsidP="00B44957">
      <w:pPr>
        <w:pStyle w:val="Default"/>
        <w:numPr>
          <w:ilvl w:val="0"/>
          <w:numId w:val="22"/>
        </w:numPr>
        <w:spacing w:after="70" w:line="240" w:lineRule="auto"/>
        <w:ind w:left="709" w:hanging="357"/>
        <w:rPr>
          <w:rFonts w:ascii="Titillium" w:hAnsi="Titillium"/>
          <w:sz w:val="18"/>
          <w:szCs w:val="18"/>
        </w:rPr>
      </w:pPr>
      <w:r>
        <w:rPr>
          <w:rFonts w:ascii="Titillium" w:hAnsi="Titillium"/>
          <w:sz w:val="18"/>
          <w:szCs w:val="18"/>
        </w:rPr>
        <w:t>l’offerta è vincolante per il concorrente;</w:t>
      </w:r>
    </w:p>
    <w:p w14:paraId="34A33409" w14:textId="20E68BEF" w:rsidR="004C53A8" w:rsidRDefault="00870286" w:rsidP="00B44957">
      <w:pPr>
        <w:pStyle w:val="Default"/>
        <w:numPr>
          <w:ilvl w:val="0"/>
          <w:numId w:val="22"/>
        </w:numPr>
        <w:spacing w:line="240" w:lineRule="auto"/>
        <w:ind w:left="709" w:hanging="357"/>
        <w:rPr>
          <w:rFonts w:ascii="Titillium" w:hAnsi="Titillium" w:cs="Calibri"/>
          <w:sz w:val="18"/>
          <w:szCs w:val="18"/>
        </w:rPr>
      </w:pPr>
      <w:r>
        <w:rPr>
          <w:rFonts w:ascii="Titillium" w:hAnsi="Titillium" w:cs="Calibri"/>
          <w:sz w:val="18"/>
          <w:szCs w:val="18"/>
        </w:rPr>
        <w:t>con la trasmissione dell’offerta, il concorrente accetta tutta la documentazione di gara, allegati e chiarimenti inclusi.</w:t>
      </w:r>
    </w:p>
    <w:p w14:paraId="74100BDE" w14:textId="32B8E442" w:rsidR="004C53A8" w:rsidRDefault="00870286">
      <w:pPr>
        <w:spacing w:before="60" w:after="60"/>
      </w:pPr>
      <w:r>
        <w:rPr>
          <w:rFonts w:ascii="Titillium" w:hAnsi="Titillium" w:cs="Calibri"/>
          <w:sz w:val="18"/>
          <w:szCs w:val="18"/>
        </w:rPr>
        <w:t>Al momento della ricezione delle offerte, ciascun concorrente riceve not</w:t>
      </w:r>
      <w:r w:rsidR="00450DD4">
        <w:rPr>
          <w:rFonts w:ascii="Titillium" w:hAnsi="Titillium" w:cs="Calibri"/>
          <w:sz w:val="18"/>
          <w:szCs w:val="18"/>
        </w:rPr>
        <w:t>i</w:t>
      </w:r>
      <w:r>
        <w:rPr>
          <w:rFonts w:ascii="Titillium" w:hAnsi="Titillium" w:cs="Calibri"/>
          <w:sz w:val="18"/>
          <w:szCs w:val="18"/>
        </w:rPr>
        <w:t>fica del corretto recepimento della documentazione inviata</w:t>
      </w:r>
      <w:r w:rsidR="00450DD4">
        <w:rPr>
          <w:rFonts w:ascii="Titillium" w:hAnsi="Titillium" w:cs="Calibri"/>
          <w:sz w:val="18"/>
          <w:szCs w:val="18"/>
        </w:rPr>
        <w:t xml:space="preserve"> </w:t>
      </w:r>
      <w:r w:rsidR="00450DD4" w:rsidRPr="00450DD4">
        <w:rPr>
          <w:rFonts w:ascii="Titillium" w:hAnsi="Titillium" w:cs="Calibri"/>
          <w:i/>
          <w:sz w:val="18"/>
          <w:szCs w:val="18"/>
        </w:rPr>
        <w:t>[eventuale, mediante … specificare in che modo]</w:t>
      </w:r>
      <w:r>
        <w:rPr>
          <w:rFonts w:ascii="Titillium" w:hAnsi="Titillium" w:cs="Calibri"/>
          <w:sz w:val="18"/>
          <w:szCs w:val="18"/>
        </w:rPr>
        <w:t xml:space="preserve">. </w:t>
      </w:r>
    </w:p>
    <w:p w14:paraId="26A4323F" w14:textId="6787ABBA" w:rsidR="004C53A8" w:rsidRDefault="00E6791D">
      <w:pPr>
        <w:pStyle w:val="Default"/>
        <w:spacing w:before="60" w:after="60"/>
      </w:pPr>
      <w:r>
        <w:rPr>
          <w:rFonts w:ascii="Titillium" w:hAnsi="Titillium" w:cs="Calibri"/>
          <w:sz w:val="18"/>
          <w:szCs w:val="18"/>
        </w:rPr>
        <w:t xml:space="preserve">La Piattaforma consente al </w:t>
      </w:r>
      <w:r w:rsidR="00870286">
        <w:rPr>
          <w:rFonts w:ascii="Titillium" w:hAnsi="Titillium" w:cs="Calibri"/>
          <w:sz w:val="18"/>
          <w:szCs w:val="18"/>
        </w:rPr>
        <w:t xml:space="preserve">concorrente </w:t>
      </w:r>
      <w:r>
        <w:rPr>
          <w:rFonts w:ascii="Titillium" w:hAnsi="Titillium" w:cs="Calibri"/>
          <w:sz w:val="18"/>
          <w:szCs w:val="18"/>
        </w:rPr>
        <w:t xml:space="preserve">di </w:t>
      </w:r>
      <w:r w:rsidR="00870286">
        <w:rPr>
          <w:rFonts w:ascii="Titillium" w:hAnsi="Titillium" w:cs="Calibri"/>
          <w:sz w:val="18"/>
          <w:szCs w:val="18"/>
        </w:rPr>
        <w:t xml:space="preserve">visualizzare l’avvenuta trasmissione della domanda. </w:t>
      </w:r>
    </w:p>
    <w:p w14:paraId="04285243" w14:textId="77777777" w:rsidR="004C53A8" w:rsidRDefault="00870286">
      <w:pPr>
        <w:spacing w:before="60" w:after="60"/>
      </w:pPr>
      <w:r>
        <w:rPr>
          <w:rFonts w:ascii="Titillium" w:hAnsi="Titillium"/>
          <w:sz w:val="18"/>
          <w:szCs w:val="18"/>
        </w:rPr>
        <w:t xml:space="preserve">Il concorrente che intenda </w:t>
      </w:r>
      <w:r w:rsidRPr="001C08AC">
        <w:rPr>
          <w:rFonts w:ascii="Titillium" w:hAnsi="Titillium"/>
          <w:sz w:val="18"/>
          <w:szCs w:val="18"/>
        </w:rPr>
        <w:t>partecipare in forma associata</w:t>
      </w:r>
      <w:r>
        <w:rPr>
          <w:rFonts w:ascii="Titillium" w:hAnsi="Titillium"/>
          <w:sz w:val="18"/>
          <w:szCs w:val="18"/>
        </w:rPr>
        <w:t xml:space="preserve"> (per esempio raggruppamento temporaneo di imprese/Consorzi, sia costituiti che costituendi) in sede di presentazione dell’offerta indica la forma di partecipazione e indica gli operatori economici riuniti o consorziati. </w:t>
      </w:r>
    </w:p>
    <w:p w14:paraId="19E890BC" w14:textId="779AB264" w:rsidR="004C53A8" w:rsidRDefault="00870286">
      <w:pPr>
        <w:spacing w:before="60" w:after="60"/>
      </w:pPr>
      <w:r>
        <w:rPr>
          <w:rFonts w:ascii="Titillium" w:hAnsi="Titillium"/>
          <w:b/>
          <w:i/>
          <w:sz w:val="18"/>
          <w:szCs w:val="18"/>
        </w:rPr>
        <w:lastRenderedPageBreak/>
        <w:t>[Facoltativo]</w:t>
      </w:r>
      <w:r>
        <w:rPr>
          <w:rFonts w:ascii="Titillium" w:hAnsi="Titillium"/>
          <w:sz w:val="18"/>
          <w:szCs w:val="18"/>
        </w:rPr>
        <w:t xml:space="preserve"> Le dichiarazioni </w:t>
      </w:r>
      <w:r>
        <w:rPr>
          <w:rFonts w:ascii="Titillium" w:hAnsi="Titillium"/>
          <w:i/>
          <w:sz w:val="18"/>
          <w:szCs w:val="18"/>
        </w:rPr>
        <w:t>... [specificare quali]</w:t>
      </w:r>
      <w:r>
        <w:rPr>
          <w:rFonts w:ascii="Titillium" w:hAnsi="Titillium"/>
          <w:sz w:val="18"/>
          <w:szCs w:val="18"/>
        </w:rPr>
        <w:t xml:space="preserve"> sono redatte sui modelli predisposti e messi a disposizione nella Piattaforma </w:t>
      </w:r>
      <w:r>
        <w:rPr>
          <w:rFonts w:ascii="Titillium" w:hAnsi="Titillium"/>
          <w:i/>
          <w:sz w:val="18"/>
          <w:szCs w:val="18"/>
        </w:rPr>
        <w:t xml:space="preserve">[eventualmente indicare </w:t>
      </w:r>
      <w:r w:rsidR="00BA57CB">
        <w:rPr>
          <w:rFonts w:ascii="Titillium" w:hAnsi="Titillium"/>
          <w:i/>
          <w:sz w:val="18"/>
          <w:szCs w:val="18"/>
        </w:rPr>
        <w:t>il link</w:t>
      </w:r>
      <w:r>
        <w:rPr>
          <w:rFonts w:ascii="Titillium" w:hAnsi="Titillium"/>
          <w:i/>
          <w:sz w:val="18"/>
          <w:szCs w:val="18"/>
        </w:rPr>
        <w:t xml:space="preserve"> dove si può prendere visione delle dichiarazioni</w:t>
      </w:r>
      <w:r w:rsidR="00BA57CB">
        <w:rPr>
          <w:rFonts w:ascii="Titillium" w:hAnsi="Titillium"/>
          <w:i/>
          <w:sz w:val="18"/>
          <w:szCs w:val="18"/>
        </w:rPr>
        <w:t>. I</w:t>
      </w:r>
      <w:r w:rsidR="0047257E">
        <w:rPr>
          <w:rFonts w:ascii="Titillium" w:hAnsi="Titillium"/>
          <w:i/>
          <w:sz w:val="18"/>
          <w:szCs w:val="18"/>
        </w:rPr>
        <w:t xml:space="preserve">n alternativa: </w:t>
      </w:r>
      <w:r w:rsidR="00BA57CB">
        <w:rPr>
          <w:rFonts w:ascii="Titillium" w:hAnsi="Titillium"/>
          <w:i/>
          <w:sz w:val="18"/>
          <w:szCs w:val="18"/>
        </w:rPr>
        <w:t>indicare “</w:t>
      </w:r>
      <w:r w:rsidR="0012169D" w:rsidRPr="0012169D">
        <w:rPr>
          <w:rFonts w:ascii="Titillium" w:hAnsi="Titillium"/>
          <w:sz w:val="18"/>
          <w:szCs w:val="18"/>
        </w:rPr>
        <w:t>sono compilate online</w:t>
      </w:r>
      <w:r w:rsidR="00BA57CB">
        <w:rPr>
          <w:rFonts w:ascii="Titillium" w:hAnsi="Titillium"/>
          <w:sz w:val="18"/>
          <w:szCs w:val="18"/>
        </w:rPr>
        <w:t>”</w:t>
      </w:r>
      <w:r>
        <w:rPr>
          <w:rFonts w:ascii="Titillium" w:hAnsi="Titillium"/>
          <w:i/>
          <w:sz w:val="18"/>
          <w:szCs w:val="18"/>
        </w:rPr>
        <w:t>]</w:t>
      </w:r>
      <w:r>
        <w:rPr>
          <w:rFonts w:ascii="Titillium" w:hAnsi="Titillium"/>
          <w:sz w:val="18"/>
          <w:szCs w:val="18"/>
        </w:rPr>
        <w:t xml:space="preserve">. </w:t>
      </w:r>
    </w:p>
    <w:p w14:paraId="68FFA0D4" w14:textId="77777777" w:rsidR="00963AC7" w:rsidRDefault="00870286">
      <w:pPr>
        <w:spacing w:before="60" w:after="60"/>
        <w:rPr>
          <w:rFonts w:ascii="Titillium" w:hAnsi="Titillium"/>
          <w:sz w:val="18"/>
          <w:szCs w:val="18"/>
        </w:rPr>
      </w:pPr>
      <w:r w:rsidRPr="00450DD4">
        <w:rPr>
          <w:rFonts w:ascii="Titillium" w:hAnsi="Titillium"/>
          <w:sz w:val="18"/>
          <w:szCs w:val="18"/>
        </w:rPr>
        <w:t>Tutta la documentazione da produrre deve essere in lingua italiana</w:t>
      </w:r>
      <w:r w:rsidR="00331E4A">
        <w:rPr>
          <w:rFonts w:ascii="Titillium" w:hAnsi="Titillium"/>
          <w:sz w:val="18"/>
          <w:szCs w:val="18"/>
        </w:rPr>
        <w:t>.</w:t>
      </w:r>
      <w:r w:rsidR="00B44957">
        <w:rPr>
          <w:rFonts w:ascii="Titillium" w:hAnsi="Titillium"/>
          <w:sz w:val="18"/>
          <w:szCs w:val="18"/>
        </w:rPr>
        <w:t xml:space="preserve"> </w:t>
      </w:r>
      <w:r w:rsidRPr="00331E4A">
        <w:rPr>
          <w:rFonts w:ascii="Titillium" w:hAnsi="Titillium"/>
          <w:b/>
          <w:i/>
          <w:sz w:val="18"/>
          <w:szCs w:val="18"/>
        </w:rPr>
        <w:t>[</w:t>
      </w:r>
      <w:r w:rsidR="00C40996">
        <w:rPr>
          <w:rFonts w:ascii="Titillium" w:hAnsi="Titillium"/>
          <w:b/>
          <w:bCs/>
          <w:i/>
          <w:sz w:val="18"/>
          <w:szCs w:val="18"/>
        </w:rPr>
        <w:t>I</w:t>
      </w:r>
      <w:r w:rsidRPr="00472411">
        <w:rPr>
          <w:rFonts w:ascii="Titillium" w:hAnsi="Titillium"/>
          <w:b/>
          <w:bCs/>
          <w:i/>
          <w:sz w:val="18"/>
          <w:szCs w:val="18"/>
        </w:rPr>
        <w:t xml:space="preserve">n </w:t>
      </w:r>
      <w:r w:rsidRPr="00331E4A">
        <w:rPr>
          <w:rFonts w:ascii="Titillium" w:hAnsi="Titillium"/>
          <w:b/>
          <w:bCs/>
          <w:i/>
          <w:sz w:val="18"/>
          <w:szCs w:val="18"/>
        </w:rPr>
        <w:t>alternativa</w:t>
      </w:r>
      <w:r w:rsidRPr="00331E4A">
        <w:rPr>
          <w:rFonts w:ascii="Titillium" w:hAnsi="Titillium"/>
          <w:i/>
          <w:sz w:val="18"/>
          <w:szCs w:val="18"/>
        </w:rPr>
        <w:t xml:space="preserve"> in caso di</w:t>
      </w:r>
      <w:r w:rsidR="00331E4A" w:rsidRPr="00331E4A">
        <w:rPr>
          <w:rFonts w:ascii="Titillium" w:hAnsi="Titillium"/>
          <w:i/>
          <w:sz w:val="18"/>
          <w:szCs w:val="18"/>
        </w:rPr>
        <w:t xml:space="preserve"> bilinguismo</w:t>
      </w:r>
      <w:r w:rsidRPr="00472411">
        <w:rPr>
          <w:rFonts w:ascii="Titillium" w:hAnsi="Titillium"/>
          <w:b/>
          <w:i/>
          <w:sz w:val="18"/>
          <w:szCs w:val="18"/>
        </w:rPr>
        <w:t>]</w:t>
      </w:r>
      <w:r>
        <w:rPr>
          <w:rFonts w:ascii="Titillium" w:hAnsi="Titillium"/>
          <w:sz w:val="18"/>
          <w:szCs w:val="18"/>
        </w:rPr>
        <w:t xml:space="preserve"> Tutta la documentazione da produrre deve essere in lingua italiana </w:t>
      </w:r>
      <w:r w:rsidR="00065688">
        <w:rPr>
          <w:rFonts w:ascii="Titillium" w:hAnsi="Titillium"/>
          <w:sz w:val="18"/>
          <w:szCs w:val="18"/>
        </w:rPr>
        <w:t>[</w:t>
      </w:r>
      <w:r w:rsidR="00331E4A" w:rsidRPr="00065688">
        <w:rPr>
          <w:rFonts w:ascii="Titillium" w:hAnsi="Titillium"/>
          <w:i/>
          <w:sz w:val="18"/>
          <w:szCs w:val="18"/>
        </w:rPr>
        <w:t>e</w:t>
      </w:r>
      <w:r w:rsidR="00065688" w:rsidRPr="00065688">
        <w:rPr>
          <w:rFonts w:ascii="Titillium" w:hAnsi="Titillium"/>
          <w:i/>
          <w:sz w:val="18"/>
          <w:szCs w:val="18"/>
        </w:rPr>
        <w:t>, o</w:t>
      </w:r>
      <w:r w:rsidR="00065688">
        <w:rPr>
          <w:rFonts w:ascii="Titillium" w:hAnsi="Titillium"/>
          <w:i/>
          <w:sz w:val="18"/>
          <w:szCs w:val="18"/>
        </w:rPr>
        <w:t xml:space="preserve"> specificare</w:t>
      </w:r>
      <w:r w:rsidR="00065688">
        <w:rPr>
          <w:rFonts w:ascii="Titillium" w:hAnsi="Titillium"/>
          <w:sz w:val="18"/>
          <w:szCs w:val="18"/>
        </w:rPr>
        <w:t>]</w:t>
      </w:r>
      <w:r>
        <w:rPr>
          <w:rFonts w:ascii="Titillium" w:hAnsi="Titillium"/>
          <w:sz w:val="18"/>
          <w:szCs w:val="18"/>
        </w:rPr>
        <w:t xml:space="preserve"> </w:t>
      </w:r>
      <w:r w:rsidR="00331E4A" w:rsidRPr="00472411">
        <w:rPr>
          <w:rFonts w:ascii="Titillium" w:hAnsi="Titillium"/>
          <w:i/>
          <w:sz w:val="18"/>
          <w:szCs w:val="18"/>
        </w:rPr>
        <w:t>… [indicare l’altra lingua].</w:t>
      </w:r>
      <w:r>
        <w:rPr>
          <w:rFonts w:ascii="Titillium" w:hAnsi="Titillium"/>
          <w:sz w:val="18"/>
          <w:szCs w:val="18"/>
        </w:rPr>
        <w:t xml:space="preserve"> </w:t>
      </w:r>
    </w:p>
    <w:p w14:paraId="342D98A5" w14:textId="3508B3AE" w:rsidR="00EA3352" w:rsidRDefault="00870286">
      <w:pPr>
        <w:spacing w:before="60" w:after="60"/>
      </w:pPr>
      <w:r w:rsidRPr="001B5A3D">
        <w:rPr>
          <w:rFonts w:ascii="Titillium" w:hAnsi="Titillium"/>
          <w:b/>
          <w:i/>
          <w:sz w:val="18"/>
          <w:szCs w:val="18"/>
        </w:rPr>
        <w:t>[</w:t>
      </w:r>
      <w:r w:rsidR="00963AC7">
        <w:rPr>
          <w:rFonts w:ascii="Titillium" w:hAnsi="Titillium"/>
          <w:b/>
          <w:bCs/>
          <w:i/>
          <w:sz w:val="18"/>
          <w:szCs w:val="18"/>
        </w:rPr>
        <w:t>In alternativa</w:t>
      </w:r>
      <w:r w:rsidRPr="001B5A3D">
        <w:rPr>
          <w:rFonts w:ascii="Titillium" w:hAnsi="Titillium"/>
          <w:b/>
          <w:i/>
          <w:sz w:val="18"/>
          <w:szCs w:val="18"/>
        </w:rPr>
        <w:t>]</w:t>
      </w:r>
      <w:r w:rsidRPr="001B5A3D">
        <w:rPr>
          <w:rFonts w:ascii="Titillium" w:hAnsi="Titillium"/>
          <w:sz w:val="18"/>
          <w:szCs w:val="18"/>
        </w:rPr>
        <w:t xml:space="preserve"> </w:t>
      </w:r>
      <w:r w:rsidR="00963AC7">
        <w:rPr>
          <w:rFonts w:ascii="Titillium" w:hAnsi="Titillium"/>
          <w:sz w:val="18"/>
          <w:szCs w:val="18"/>
        </w:rPr>
        <w:t xml:space="preserve">La documentazione </w:t>
      </w:r>
      <w:r w:rsidR="00963AC7" w:rsidRPr="00450DD4">
        <w:rPr>
          <w:rFonts w:ascii="Titillium" w:hAnsi="Titillium"/>
          <w:sz w:val="18"/>
          <w:szCs w:val="18"/>
        </w:rPr>
        <w:t>da produrre</w:t>
      </w:r>
      <w:r w:rsidR="00963AC7">
        <w:rPr>
          <w:rFonts w:ascii="Titillium" w:hAnsi="Titillium"/>
          <w:sz w:val="18"/>
          <w:szCs w:val="18"/>
        </w:rPr>
        <w:t xml:space="preserve">, </w:t>
      </w:r>
      <w:r>
        <w:rPr>
          <w:rFonts w:ascii="Titillium" w:hAnsi="Titillium"/>
          <w:sz w:val="18"/>
          <w:szCs w:val="18"/>
        </w:rPr>
        <w:t>se redatt</w:t>
      </w:r>
      <w:r w:rsidR="00963AC7">
        <w:rPr>
          <w:rFonts w:ascii="Titillium" w:hAnsi="Titillium"/>
          <w:sz w:val="18"/>
          <w:szCs w:val="18"/>
        </w:rPr>
        <w:t>a</w:t>
      </w:r>
      <w:r>
        <w:rPr>
          <w:rFonts w:ascii="Titillium" w:hAnsi="Titillium"/>
          <w:sz w:val="18"/>
          <w:szCs w:val="18"/>
        </w:rPr>
        <w:t xml:space="preserve"> in inglese, francese, spagnolo [</w:t>
      </w:r>
      <w:r>
        <w:rPr>
          <w:rFonts w:ascii="Titillium" w:hAnsi="Titillium"/>
          <w:i/>
          <w:iCs/>
          <w:sz w:val="18"/>
          <w:szCs w:val="18"/>
        </w:rPr>
        <w:t>specificare eventuali altre lingue conosciute dalla stazione appaltante</w:t>
      </w:r>
      <w:r w:rsidR="00450DD4">
        <w:rPr>
          <w:rFonts w:ascii="Titillium" w:hAnsi="Titillium"/>
          <w:i/>
          <w:iCs/>
          <w:sz w:val="18"/>
          <w:szCs w:val="18"/>
        </w:rPr>
        <w:t>]</w:t>
      </w:r>
      <w:r>
        <w:rPr>
          <w:rFonts w:ascii="Titillium" w:hAnsi="Titillium"/>
          <w:sz w:val="18"/>
          <w:szCs w:val="18"/>
        </w:rPr>
        <w:t xml:space="preserve"> </w:t>
      </w:r>
      <w:r w:rsidR="00963AC7">
        <w:rPr>
          <w:rFonts w:ascii="Titillium" w:hAnsi="Titillium"/>
          <w:sz w:val="18"/>
          <w:szCs w:val="18"/>
        </w:rPr>
        <w:t>può essere presentata senza bisogno di traduzione. I</w:t>
      </w:r>
      <w:r>
        <w:rPr>
          <w:rFonts w:ascii="Titillium" w:hAnsi="Titillium"/>
          <w:sz w:val="18"/>
          <w:szCs w:val="18"/>
        </w:rPr>
        <w:t>n tutti gli altri casi i documenti devono essere corredati da traduzione giurata in lingua italiana.</w:t>
      </w:r>
      <w:r w:rsidR="00450DD4">
        <w:t xml:space="preserve"> </w:t>
      </w:r>
    </w:p>
    <w:p w14:paraId="6534643C" w14:textId="4AB8F220" w:rsidR="004C53A8" w:rsidRPr="00450DD4" w:rsidRDefault="00870286">
      <w:pPr>
        <w:spacing w:before="60" w:after="60"/>
      </w:pPr>
      <w:r>
        <w:rPr>
          <w:rFonts w:ascii="Titillium" w:hAnsi="Titillium"/>
          <w:sz w:val="18"/>
          <w:szCs w:val="18"/>
        </w:rPr>
        <w:t xml:space="preserve">In caso di mancanza, incompletezza o irregolarità della traduzione </w:t>
      </w:r>
      <w:r w:rsidR="00A1476D">
        <w:rPr>
          <w:rFonts w:ascii="Titillium" w:hAnsi="Titillium"/>
          <w:sz w:val="18"/>
          <w:szCs w:val="18"/>
        </w:rPr>
        <w:t>della</w:t>
      </w:r>
      <w:r>
        <w:rPr>
          <w:rFonts w:ascii="Titillium" w:hAnsi="Titillium"/>
          <w:sz w:val="18"/>
          <w:szCs w:val="18"/>
        </w:rPr>
        <w:t xml:space="preserve"> documentazione amministrativa, si applica </w:t>
      </w:r>
      <w:r w:rsidR="00614DC3">
        <w:rPr>
          <w:rFonts w:ascii="Titillium" w:hAnsi="Titillium"/>
          <w:sz w:val="18"/>
          <w:szCs w:val="18"/>
        </w:rPr>
        <w:t>il soccorso istruttorio</w:t>
      </w:r>
      <w:r w:rsidRPr="00614DC3">
        <w:rPr>
          <w:rFonts w:ascii="Titillium" w:hAnsi="Titillium"/>
          <w:sz w:val="18"/>
          <w:szCs w:val="18"/>
        </w:rPr>
        <w:t>.</w:t>
      </w:r>
    </w:p>
    <w:p w14:paraId="25F6475C" w14:textId="4E67A32D" w:rsidR="004C53A8" w:rsidRDefault="00870286">
      <w:pPr>
        <w:spacing w:before="60" w:after="60"/>
      </w:pPr>
      <w:r>
        <w:rPr>
          <w:rFonts w:ascii="Titillium" w:hAnsi="Titillium" w:cs="Calibri"/>
          <w:sz w:val="18"/>
          <w:szCs w:val="18"/>
        </w:rPr>
        <w:t>L’offerta vincola il concorrente per</w:t>
      </w:r>
      <w:r>
        <w:rPr>
          <w:rFonts w:ascii="Titillium" w:hAnsi="Titillium" w:cs="Calibri"/>
          <w:i/>
          <w:sz w:val="18"/>
          <w:szCs w:val="18"/>
        </w:rPr>
        <w:t xml:space="preserve"> … [indicare il numero dei giorni pari ad almeno 180 giorni] </w:t>
      </w:r>
      <w:r>
        <w:rPr>
          <w:rFonts w:ascii="Titillium" w:hAnsi="Titillium" w:cs="Calibri"/>
          <w:sz w:val="18"/>
          <w:szCs w:val="18"/>
        </w:rPr>
        <w:t>dalla scadenza</w:t>
      </w:r>
      <w:r>
        <w:rPr>
          <w:rFonts w:ascii="Titillium" w:hAnsi="Titillium" w:cs="Calibri"/>
          <w:i/>
          <w:sz w:val="18"/>
          <w:szCs w:val="18"/>
        </w:rPr>
        <w:t xml:space="preserve"> </w:t>
      </w:r>
      <w:r>
        <w:rPr>
          <w:rFonts w:ascii="Titillium" w:hAnsi="Titillium" w:cs="Calibri"/>
          <w:sz w:val="18"/>
          <w:szCs w:val="18"/>
        </w:rPr>
        <w:t xml:space="preserve">del termine indicato per la presentazione dell’offerta. </w:t>
      </w:r>
    </w:p>
    <w:p w14:paraId="741C6E09" w14:textId="29B5512C" w:rsidR="004C53A8" w:rsidRDefault="00870286">
      <w:pPr>
        <w:spacing w:before="60" w:after="60"/>
        <w:rPr>
          <w:rFonts w:ascii="Titillium" w:hAnsi="Titillium" w:cs="Calibri"/>
          <w:sz w:val="18"/>
          <w:szCs w:val="18"/>
        </w:rPr>
      </w:pPr>
      <w:r>
        <w:rPr>
          <w:rFonts w:ascii="Titillium" w:hAnsi="Titillium" w:cs="Calibri"/>
          <w:sz w:val="18"/>
          <w:szCs w:val="18"/>
        </w:rPr>
        <w:t xml:space="preserve">Nel caso in cui alla data di scadenza della validità delle offerte le operazioni di gara siano ancora in corso, </w:t>
      </w:r>
      <w:r w:rsidR="00874EC4">
        <w:rPr>
          <w:rFonts w:ascii="Titillium" w:hAnsi="Titillium" w:cs="Calibri"/>
          <w:sz w:val="18"/>
          <w:szCs w:val="18"/>
        </w:rPr>
        <w:t xml:space="preserve">sarà richiesto </w:t>
      </w:r>
      <w:r>
        <w:rPr>
          <w:rFonts w:ascii="Titillium" w:hAnsi="Titillium" w:cs="Calibri"/>
          <w:sz w:val="18"/>
          <w:szCs w:val="18"/>
        </w:rPr>
        <w:t xml:space="preserve">agli offerenti di confermare la validità dell’offerta sino alla data indicata e di produrre un apposito documento attestante la validità della garanzia prestata in sede di gara fino alla medesima data. </w:t>
      </w:r>
    </w:p>
    <w:p w14:paraId="682B432E" w14:textId="06396E8E" w:rsidR="004C53A8" w:rsidRPr="003B49E3" w:rsidRDefault="00870286">
      <w:pPr>
        <w:spacing w:before="60" w:after="60"/>
        <w:rPr>
          <w:rFonts w:ascii="Titillium" w:hAnsi="Titillium" w:cs="Calibri"/>
          <w:sz w:val="18"/>
          <w:szCs w:val="18"/>
        </w:rPr>
      </w:pPr>
      <w:r w:rsidRPr="00EA3352">
        <w:rPr>
          <w:rFonts w:ascii="Titillium" w:hAnsi="Titillium" w:cs="Calibri"/>
          <w:sz w:val="18"/>
          <w:szCs w:val="18"/>
        </w:rPr>
        <w:t xml:space="preserve">Il mancato riscontro alla richiesta della stazione appaltante entro il termine fissato da quest’ultima </w:t>
      </w:r>
      <w:r w:rsidR="00FB5253" w:rsidRPr="00EA3352">
        <w:rPr>
          <w:rFonts w:ascii="Titillium" w:hAnsi="Titillium" w:cs="Calibri"/>
          <w:sz w:val="18"/>
          <w:szCs w:val="18"/>
        </w:rPr>
        <w:t xml:space="preserve">o comunque in tempo </w:t>
      </w:r>
      <w:r w:rsidR="00FB5253" w:rsidRPr="003B49E3">
        <w:rPr>
          <w:rFonts w:ascii="Titillium" w:hAnsi="Titillium" w:cs="Calibri"/>
          <w:sz w:val="18"/>
          <w:szCs w:val="18"/>
        </w:rPr>
        <w:t xml:space="preserve">utile alla celere prosecuzione della procedura </w:t>
      </w:r>
      <w:r w:rsidR="001C08AC" w:rsidRPr="003B49E3">
        <w:rPr>
          <w:rFonts w:ascii="Titillium" w:hAnsi="Titillium" w:cs="Calibri"/>
          <w:sz w:val="18"/>
          <w:szCs w:val="18"/>
        </w:rPr>
        <w:t>è</w:t>
      </w:r>
      <w:r w:rsidR="006B1E07" w:rsidRPr="003B49E3">
        <w:rPr>
          <w:rFonts w:ascii="Titillium" w:hAnsi="Titillium" w:cs="Calibri"/>
          <w:sz w:val="18"/>
          <w:szCs w:val="18"/>
        </w:rPr>
        <w:t xml:space="preserve"> </w:t>
      </w:r>
      <w:r w:rsidRPr="003B49E3">
        <w:rPr>
          <w:rFonts w:ascii="Titillium" w:hAnsi="Titillium" w:cs="Calibri"/>
          <w:sz w:val="18"/>
          <w:szCs w:val="18"/>
        </w:rPr>
        <w:t>considerato come rinuncia del concorrente alla partecipazione alla gara.</w:t>
      </w:r>
    </w:p>
    <w:p w14:paraId="3503C5B0" w14:textId="5FB00C7B" w:rsidR="00070045" w:rsidRPr="003B49E3" w:rsidRDefault="00963AC7" w:rsidP="00BA57CB">
      <w:pPr>
        <w:spacing w:before="60" w:after="60"/>
        <w:rPr>
          <w:rFonts w:ascii="Titillium" w:hAnsi="Titillium" w:cs="Calibri"/>
          <w:sz w:val="18"/>
          <w:szCs w:val="18"/>
        </w:rPr>
      </w:pPr>
      <w:r w:rsidRPr="003B49E3">
        <w:rPr>
          <w:rFonts w:ascii="Titillium" w:hAnsi="Titillium" w:cs="Calibri"/>
          <w:sz w:val="18"/>
          <w:szCs w:val="18"/>
        </w:rPr>
        <w:t>Fino</w:t>
      </w:r>
      <w:r w:rsidR="00BA57CB" w:rsidRPr="003B49E3">
        <w:rPr>
          <w:rFonts w:ascii="Titillium" w:hAnsi="Titillium" w:cs="Calibri"/>
          <w:sz w:val="18"/>
          <w:szCs w:val="18"/>
        </w:rPr>
        <w:t xml:space="preserve"> al giorno fissato per </w:t>
      </w:r>
      <w:r w:rsidR="00070045" w:rsidRPr="003B49E3">
        <w:rPr>
          <w:rFonts w:ascii="Titillium" w:hAnsi="Titillium" w:cs="Calibri"/>
          <w:sz w:val="18"/>
          <w:szCs w:val="18"/>
        </w:rPr>
        <w:t>l</w:t>
      </w:r>
      <w:r w:rsidR="00724D82" w:rsidRPr="003B49E3">
        <w:rPr>
          <w:rFonts w:ascii="Titillium" w:hAnsi="Titillium" w:cs="Calibri"/>
          <w:sz w:val="18"/>
          <w:szCs w:val="18"/>
        </w:rPr>
        <w:t>’a</w:t>
      </w:r>
      <w:r w:rsidR="00BA57CB" w:rsidRPr="003B49E3">
        <w:rPr>
          <w:rFonts w:ascii="Titillium" w:hAnsi="Titillium" w:cs="Calibri"/>
          <w:sz w:val="18"/>
          <w:szCs w:val="18"/>
        </w:rPr>
        <w:t xml:space="preserve">pertura, l’operatore economico può effettuare, tramite la Piattaforma, </w:t>
      </w:r>
      <w:r w:rsidR="00542492" w:rsidRPr="003B49E3">
        <w:rPr>
          <w:rFonts w:ascii="Titillium" w:hAnsi="Titillium" w:cs="Calibri"/>
          <w:sz w:val="18"/>
          <w:szCs w:val="18"/>
        </w:rPr>
        <w:t xml:space="preserve">la </w:t>
      </w:r>
      <w:r w:rsidR="00BA57CB" w:rsidRPr="003B49E3">
        <w:rPr>
          <w:rFonts w:ascii="Titillium" w:hAnsi="Titillium" w:cs="Calibri"/>
          <w:sz w:val="18"/>
          <w:szCs w:val="18"/>
        </w:rPr>
        <w:t xml:space="preserve">richiesta di rettifica di un errore materiale contenuto nell’offerta tecnica o nell’offerta economica, di cui si sia avveduto dopo la scadenza del termine per la loro presentazione. A tal fine, richiede di potersi avvalere di tale facoltà.  </w:t>
      </w:r>
    </w:p>
    <w:p w14:paraId="5A43452F" w14:textId="0F197B51" w:rsidR="00BA57CB" w:rsidRPr="003B49E3" w:rsidRDefault="00181707" w:rsidP="00BA57CB">
      <w:pPr>
        <w:spacing w:before="60" w:after="60"/>
        <w:rPr>
          <w:rFonts w:ascii="Titillium" w:hAnsi="Titillium" w:cs="Calibri"/>
          <w:sz w:val="18"/>
          <w:szCs w:val="18"/>
        </w:rPr>
      </w:pPr>
      <w:r w:rsidRPr="003B49E3">
        <w:rPr>
          <w:rFonts w:ascii="Titillium" w:hAnsi="Titillium" w:cs="Calibri"/>
          <w:sz w:val="18"/>
          <w:szCs w:val="18"/>
        </w:rPr>
        <w:t>A seguito della richiesta</w:t>
      </w:r>
      <w:r w:rsidR="0019010B" w:rsidRPr="003B49E3">
        <w:rPr>
          <w:rFonts w:ascii="Titillium" w:hAnsi="Titillium" w:cs="Calibri"/>
          <w:sz w:val="18"/>
          <w:szCs w:val="18"/>
        </w:rPr>
        <w:t>,</w:t>
      </w:r>
      <w:r w:rsidRPr="003B49E3">
        <w:rPr>
          <w:rFonts w:ascii="Titillium" w:hAnsi="Titillium" w:cs="Calibri"/>
          <w:sz w:val="18"/>
          <w:szCs w:val="18"/>
        </w:rPr>
        <w:t xml:space="preserve"> </w:t>
      </w:r>
      <w:r w:rsidR="00724D82" w:rsidRPr="003B49E3">
        <w:rPr>
          <w:rFonts w:ascii="Titillium" w:hAnsi="Titillium" w:cs="Calibri"/>
          <w:sz w:val="18"/>
          <w:szCs w:val="18"/>
        </w:rPr>
        <w:t>sono</w:t>
      </w:r>
      <w:r w:rsidRPr="003B49E3">
        <w:rPr>
          <w:rFonts w:ascii="Titillium" w:hAnsi="Titillium" w:cs="Calibri"/>
          <w:sz w:val="18"/>
          <w:szCs w:val="18"/>
        </w:rPr>
        <w:t xml:space="preserve"> </w:t>
      </w:r>
      <w:r w:rsidR="001D23DD" w:rsidRPr="003B49E3">
        <w:rPr>
          <w:rFonts w:ascii="Titillium" w:hAnsi="Titillium" w:cs="Calibri"/>
          <w:sz w:val="18"/>
          <w:szCs w:val="18"/>
        </w:rPr>
        <w:t>comunicate</w:t>
      </w:r>
      <w:r w:rsidR="00542492" w:rsidRPr="003B49E3">
        <w:rPr>
          <w:rFonts w:ascii="Titillium" w:hAnsi="Titillium" w:cs="Calibri"/>
          <w:sz w:val="18"/>
          <w:szCs w:val="18"/>
        </w:rPr>
        <w:t xml:space="preserve"> all’operatore economico</w:t>
      </w:r>
      <w:r w:rsidR="001D23DD" w:rsidRPr="003B49E3">
        <w:rPr>
          <w:rFonts w:ascii="Titillium" w:hAnsi="Titillium" w:cs="Calibri"/>
          <w:sz w:val="18"/>
          <w:szCs w:val="18"/>
        </w:rPr>
        <w:t xml:space="preserve"> </w:t>
      </w:r>
      <w:r w:rsidR="0025160B" w:rsidRPr="003B49E3">
        <w:rPr>
          <w:rFonts w:ascii="Titillium" w:hAnsi="Titillium" w:cs="Calibri"/>
          <w:sz w:val="18"/>
          <w:szCs w:val="18"/>
        </w:rPr>
        <w:t xml:space="preserve">le modalità e i tempi con cui </w:t>
      </w:r>
      <w:r w:rsidR="00542492" w:rsidRPr="003B49E3">
        <w:rPr>
          <w:rFonts w:ascii="Titillium" w:hAnsi="Titillium" w:cs="Calibri"/>
          <w:sz w:val="18"/>
          <w:szCs w:val="18"/>
        </w:rPr>
        <w:t>procedere all’indicazione de</w:t>
      </w:r>
      <w:r w:rsidR="001D23DD" w:rsidRPr="003B49E3">
        <w:rPr>
          <w:rFonts w:ascii="Titillium" w:hAnsi="Titillium" w:cs="Calibri"/>
          <w:sz w:val="18"/>
          <w:szCs w:val="18"/>
        </w:rPr>
        <w:t>gli elementi che consentono l’individuazione dell’errore materiale e la sua correzione</w:t>
      </w:r>
      <w:r w:rsidR="00BA57CB" w:rsidRPr="003B49E3">
        <w:rPr>
          <w:rFonts w:ascii="Titillium" w:hAnsi="Titillium" w:cs="Calibri"/>
          <w:sz w:val="18"/>
          <w:szCs w:val="18"/>
        </w:rPr>
        <w:t>. La rettifica</w:t>
      </w:r>
      <w:r w:rsidR="001D23DD" w:rsidRPr="003B49E3">
        <w:rPr>
          <w:rFonts w:ascii="Titillium" w:hAnsi="Titillium" w:cs="Calibri"/>
          <w:sz w:val="18"/>
          <w:szCs w:val="18"/>
        </w:rPr>
        <w:t xml:space="preserve"> è operata</w:t>
      </w:r>
      <w:r w:rsidR="00BA57CB" w:rsidRPr="003B49E3">
        <w:rPr>
          <w:rFonts w:ascii="Titillium" w:hAnsi="Titillium" w:cs="Calibri"/>
          <w:sz w:val="18"/>
          <w:szCs w:val="18"/>
        </w:rPr>
        <w:t xml:space="preserve"> </w:t>
      </w:r>
      <w:r w:rsidR="001D23DD" w:rsidRPr="003B49E3">
        <w:rPr>
          <w:rFonts w:ascii="Titillium" w:hAnsi="Titillium" w:cs="Calibri"/>
          <w:sz w:val="18"/>
          <w:szCs w:val="18"/>
        </w:rPr>
        <w:t>nel rispetto della segretezza dell’offerta</w:t>
      </w:r>
      <w:r w:rsidR="001D23DD" w:rsidRPr="003B49E3" w:rsidDel="001D23DD">
        <w:rPr>
          <w:rFonts w:ascii="Titillium" w:hAnsi="Titillium" w:cs="Calibri"/>
          <w:sz w:val="18"/>
          <w:szCs w:val="18"/>
        </w:rPr>
        <w:t xml:space="preserve"> </w:t>
      </w:r>
      <w:r w:rsidR="0019010B" w:rsidRPr="003B49E3">
        <w:rPr>
          <w:rFonts w:ascii="Titillium" w:hAnsi="Titillium" w:cs="Calibri"/>
          <w:sz w:val="18"/>
          <w:szCs w:val="18"/>
        </w:rPr>
        <w:t xml:space="preserve">e </w:t>
      </w:r>
      <w:r w:rsidR="00BA57CB" w:rsidRPr="003B49E3">
        <w:rPr>
          <w:rFonts w:ascii="Titillium" w:hAnsi="Titillium" w:cs="Calibri"/>
          <w:sz w:val="18"/>
          <w:szCs w:val="18"/>
        </w:rPr>
        <w:t xml:space="preserve">non </w:t>
      </w:r>
      <w:r w:rsidR="001D23DD" w:rsidRPr="003B49E3">
        <w:rPr>
          <w:rFonts w:ascii="Titillium" w:hAnsi="Titillium" w:cs="Calibri"/>
          <w:sz w:val="18"/>
          <w:szCs w:val="18"/>
        </w:rPr>
        <w:t xml:space="preserve">può </w:t>
      </w:r>
      <w:r w:rsidR="00BA57CB" w:rsidRPr="003B49E3">
        <w:rPr>
          <w:rFonts w:ascii="Titillium" w:hAnsi="Titillium" w:cs="Calibri"/>
          <w:sz w:val="18"/>
          <w:szCs w:val="18"/>
        </w:rPr>
        <w:t>comporta</w:t>
      </w:r>
      <w:r w:rsidR="001D23DD" w:rsidRPr="003B49E3">
        <w:rPr>
          <w:rFonts w:ascii="Titillium" w:hAnsi="Titillium" w:cs="Calibri"/>
          <w:sz w:val="18"/>
          <w:szCs w:val="18"/>
        </w:rPr>
        <w:t>re</w:t>
      </w:r>
      <w:r w:rsidR="00BA57CB" w:rsidRPr="003B49E3">
        <w:rPr>
          <w:rFonts w:ascii="Titillium" w:hAnsi="Titillium" w:cs="Calibri"/>
          <w:sz w:val="18"/>
          <w:szCs w:val="18"/>
        </w:rPr>
        <w:t xml:space="preserve"> la presentazione di una nuova offerta, né la sua modifica sostanziale.</w:t>
      </w:r>
    </w:p>
    <w:p w14:paraId="2825627A" w14:textId="272B6792" w:rsidR="0025160B" w:rsidRPr="00FB3112" w:rsidRDefault="0019010B" w:rsidP="00BA57CB">
      <w:pPr>
        <w:spacing w:before="60" w:after="60"/>
      </w:pPr>
      <w:r w:rsidRPr="003B49E3">
        <w:rPr>
          <w:rFonts w:ascii="Titillium" w:hAnsi="Titillium" w:cs="Calibri"/>
          <w:sz w:val="18"/>
          <w:szCs w:val="18"/>
        </w:rPr>
        <w:t>Se</w:t>
      </w:r>
      <w:r w:rsidR="00534604" w:rsidRPr="003B49E3">
        <w:rPr>
          <w:rFonts w:ascii="Titillium" w:hAnsi="Titillium" w:cs="Calibri"/>
          <w:sz w:val="18"/>
          <w:szCs w:val="18"/>
        </w:rPr>
        <w:t xml:space="preserve"> </w:t>
      </w:r>
      <w:r w:rsidR="0025160B" w:rsidRPr="003B49E3">
        <w:rPr>
          <w:rFonts w:ascii="Titillium" w:hAnsi="Titillium" w:cs="Calibri"/>
          <w:sz w:val="18"/>
          <w:szCs w:val="18"/>
        </w:rPr>
        <w:t>la rettifica</w:t>
      </w:r>
      <w:r w:rsidR="00534604" w:rsidRPr="003B49E3">
        <w:rPr>
          <w:rFonts w:ascii="Titillium" w:hAnsi="Titillium" w:cs="Calibri"/>
          <w:sz w:val="18"/>
          <w:szCs w:val="18"/>
        </w:rPr>
        <w:t xml:space="preserve"> è ritenuta</w:t>
      </w:r>
      <w:r w:rsidRPr="003B49E3">
        <w:rPr>
          <w:rFonts w:ascii="Titillium" w:hAnsi="Titillium" w:cs="Calibri"/>
          <w:sz w:val="18"/>
          <w:szCs w:val="18"/>
        </w:rPr>
        <w:t xml:space="preserve"> </w:t>
      </w:r>
      <w:r w:rsidR="00C97DDD" w:rsidRPr="003B49E3">
        <w:rPr>
          <w:rFonts w:ascii="Titillium" w:hAnsi="Titillium" w:cs="Calibri"/>
          <w:sz w:val="18"/>
          <w:szCs w:val="18"/>
        </w:rPr>
        <w:t xml:space="preserve">non </w:t>
      </w:r>
      <w:proofErr w:type="spellStart"/>
      <w:r w:rsidRPr="003B49E3">
        <w:rPr>
          <w:rFonts w:ascii="Titillium" w:hAnsi="Titillium" w:cs="Calibri"/>
          <w:sz w:val="18"/>
          <w:szCs w:val="18"/>
        </w:rPr>
        <w:t>accoglibile</w:t>
      </w:r>
      <w:proofErr w:type="spellEnd"/>
      <w:r w:rsidR="0025160B" w:rsidRPr="003B49E3">
        <w:rPr>
          <w:rFonts w:ascii="Titillium" w:hAnsi="Titillium" w:cs="Calibri"/>
          <w:sz w:val="18"/>
          <w:szCs w:val="18"/>
        </w:rPr>
        <w:t xml:space="preserve"> perché sostanziale, </w:t>
      </w:r>
      <w:r w:rsidRPr="003B49E3">
        <w:rPr>
          <w:rFonts w:ascii="Titillium" w:hAnsi="Titillium" w:cs="Calibri"/>
          <w:sz w:val="18"/>
          <w:szCs w:val="18"/>
        </w:rPr>
        <w:t xml:space="preserve">è </w:t>
      </w:r>
      <w:r w:rsidR="00534604" w:rsidRPr="003B49E3">
        <w:rPr>
          <w:rFonts w:ascii="Titillium" w:hAnsi="Titillium" w:cs="Calibri"/>
          <w:sz w:val="18"/>
          <w:szCs w:val="18"/>
        </w:rPr>
        <w:t xml:space="preserve">valutata la possibilità di </w:t>
      </w:r>
      <w:r w:rsidRPr="003B49E3">
        <w:rPr>
          <w:rFonts w:ascii="Titillium" w:hAnsi="Titillium" w:cs="Calibri"/>
          <w:sz w:val="18"/>
          <w:szCs w:val="18"/>
        </w:rPr>
        <w:t>dichiarare</w:t>
      </w:r>
      <w:r w:rsidR="00534604" w:rsidRPr="003B49E3">
        <w:rPr>
          <w:rFonts w:ascii="Titillium" w:hAnsi="Titillium" w:cs="Calibri"/>
          <w:sz w:val="18"/>
          <w:szCs w:val="18"/>
        </w:rPr>
        <w:t xml:space="preserve"> </w:t>
      </w:r>
      <w:r w:rsidR="0025160B" w:rsidRPr="003B49E3">
        <w:rPr>
          <w:rFonts w:ascii="Titillium" w:hAnsi="Titillium" w:cs="Calibri"/>
          <w:sz w:val="18"/>
          <w:szCs w:val="18"/>
        </w:rPr>
        <w:t>l’offerta inammissibile.</w:t>
      </w:r>
    </w:p>
    <w:p w14:paraId="12636785" w14:textId="77777777" w:rsidR="004C53A8" w:rsidRDefault="00870286" w:rsidP="00084AD6">
      <w:pPr>
        <w:pStyle w:val="Titolo2"/>
        <w:numPr>
          <w:ilvl w:val="0"/>
          <w:numId w:val="4"/>
        </w:numPr>
        <w:ind w:left="357" w:hanging="357"/>
        <w:rPr>
          <w:rFonts w:ascii="Titillium" w:hAnsi="Titillium"/>
          <w:sz w:val="18"/>
          <w:szCs w:val="18"/>
          <w:lang w:val="it-IT"/>
        </w:rPr>
      </w:pPr>
      <w:bookmarkStart w:id="1793" w:name="_Ref129796272"/>
      <w:bookmarkStart w:id="1794" w:name="_Toc139549436"/>
      <w:r>
        <w:rPr>
          <w:rFonts w:ascii="Titillium" w:hAnsi="Titillium"/>
          <w:sz w:val="18"/>
          <w:szCs w:val="18"/>
          <w:lang w:val="it-IT"/>
        </w:rPr>
        <w:t>SOCCORSO ISTRUTTORIO</w:t>
      </w:r>
      <w:bookmarkEnd w:id="1793"/>
      <w:bookmarkEnd w:id="1794"/>
    </w:p>
    <w:p w14:paraId="44789CA4" w14:textId="0C91337C" w:rsidR="00D566A1" w:rsidRDefault="00EA3352" w:rsidP="00622A3A">
      <w:pPr>
        <w:spacing w:before="60" w:after="60"/>
        <w:rPr>
          <w:rFonts w:ascii="Titillium" w:hAnsi="Titillium"/>
          <w:sz w:val="18"/>
          <w:szCs w:val="18"/>
        </w:rPr>
      </w:pPr>
      <w:r>
        <w:rPr>
          <w:rFonts w:ascii="Titillium" w:hAnsi="Titillium"/>
          <w:sz w:val="18"/>
          <w:szCs w:val="18"/>
        </w:rPr>
        <w:t xml:space="preserve">Con la procedura di soccorso istruttorio di cui all’articolo 101 del </w:t>
      </w:r>
      <w:r w:rsidR="00AA77D1">
        <w:rPr>
          <w:rFonts w:ascii="Titillium" w:hAnsi="Titillium"/>
          <w:sz w:val="18"/>
          <w:szCs w:val="18"/>
        </w:rPr>
        <w:t>C</w:t>
      </w:r>
      <w:r>
        <w:rPr>
          <w:rFonts w:ascii="Titillium" w:hAnsi="Titillium"/>
          <w:sz w:val="18"/>
          <w:szCs w:val="18"/>
        </w:rPr>
        <w:t xml:space="preserve">odice, possono essere </w:t>
      </w:r>
      <w:r w:rsidR="00022B58">
        <w:rPr>
          <w:rFonts w:ascii="Titillium" w:hAnsi="Titillium"/>
          <w:sz w:val="18"/>
          <w:szCs w:val="18"/>
        </w:rPr>
        <w:t xml:space="preserve">sanate </w:t>
      </w:r>
      <w:r>
        <w:rPr>
          <w:rFonts w:ascii="Titillium" w:hAnsi="Titillium"/>
          <w:sz w:val="18"/>
          <w:szCs w:val="18"/>
        </w:rPr>
        <w:t>le</w:t>
      </w:r>
      <w:r w:rsidR="00622A3A">
        <w:rPr>
          <w:rFonts w:ascii="Titillium" w:hAnsi="Titillium"/>
          <w:sz w:val="18"/>
          <w:szCs w:val="18"/>
        </w:rPr>
        <w:t xml:space="preserve"> carenze </w:t>
      </w:r>
      <w:r w:rsidR="00980704">
        <w:rPr>
          <w:rFonts w:ascii="Titillium" w:hAnsi="Titillium"/>
          <w:sz w:val="18"/>
          <w:szCs w:val="18"/>
        </w:rPr>
        <w:t>della documentazione trasmessa con la domanda di partecipazione</w:t>
      </w:r>
      <w:r>
        <w:rPr>
          <w:rFonts w:ascii="Titillium" w:hAnsi="Titillium"/>
          <w:sz w:val="18"/>
          <w:szCs w:val="18"/>
        </w:rPr>
        <w:t xml:space="preserve"> ma non quelle </w:t>
      </w:r>
      <w:r w:rsidR="00980704">
        <w:rPr>
          <w:rFonts w:ascii="Titillium" w:hAnsi="Titillium"/>
          <w:sz w:val="18"/>
          <w:szCs w:val="18"/>
        </w:rPr>
        <w:t>della documentazione che compone l’offerta tecnica e l’offerta economica.</w:t>
      </w:r>
    </w:p>
    <w:p w14:paraId="7E985191" w14:textId="220EF689" w:rsidR="00980704" w:rsidRDefault="00980704" w:rsidP="00622A3A">
      <w:pPr>
        <w:spacing w:before="60" w:after="60"/>
        <w:rPr>
          <w:rFonts w:ascii="Titillium" w:hAnsi="Titillium"/>
          <w:sz w:val="18"/>
          <w:szCs w:val="18"/>
        </w:rPr>
      </w:pPr>
      <w:r>
        <w:rPr>
          <w:rFonts w:ascii="Titillium" w:hAnsi="Titillium"/>
          <w:sz w:val="18"/>
          <w:szCs w:val="18"/>
        </w:rPr>
        <w:t>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w:t>
      </w:r>
      <w:r w:rsidR="00022B58">
        <w:rPr>
          <w:rFonts w:ascii="Titillium" w:hAnsi="Titillium"/>
          <w:sz w:val="18"/>
          <w:szCs w:val="18"/>
        </w:rPr>
        <w:t xml:space="preserve"> </w:t>
      </w:r>
      <w:r w:rsidR="00582A6D">
        <w:rPr>
          <w:rFonts w:ascii="Titillium" w:hAnsi="Titillium"/>
          <w:sz w:val="18"/>
          <w:szCs w:val="18"/>
        </w:rPr>
        <w:t xml:space="preserve">A titolo esemplificativo, </w:t>
      </w:r>
      <w:r w:rsidR="0055172F">
        <w:rPr>
          <w:rFonts w:ascii="Titillium" w:hAnsi="Titillium"/>
          <w:sz w:val="18"/>
          <w:szCs w:val="18"/>
        </w:rPr>
        <w:t xml:space="preserve">si </w:t>
      </w:r>
      <w:r w:rsidR="00582A6D">
        <w:rPr>
          <w:rFonts w:ascii="Titillium" w:hAnsi="Titillium"/>
          <w:sz w:val="18"/>
          <w:szCs w:val="18"/>
        </w:rPr>
        <w:t xml:space="preserve">chiarisce </w:t>
      </w:r>
      <w:r w:rsidR="0055172F">
        <w:rPr>
          <w:rFonts w:ascii="Titillium" w:hAnsi="Titillium"/>
          <w:sz w:val="18"/>
          <w:szCs w:val="18"/>
        </w:rPr>
        <w:t>che</w:t>
      </w:r>
      <w:r w:rsidR="00BA57CB">
        <w:rPr>
          <w:rFonts w:ascii="Titillium" w:hAnsi="Titillium"/>
          <w:sz w:val="18"/>
          <w:szCs w:val="18"/>
        </w:rPr>
        <w:t xml:space="preserve">: </w:t>
      </w:r>
    </w:p>
    <w:p w14:paraId="33502854" w14:textId="77777777" w:rsidR="00622A3A" w:rsidRPr="00711F6B" w:rsidRDefault="00622A3A" w:rsidP="00622A3A">
      <w:pPr>
        <w:pStyle w:val="Paragrafoelenco"/>
        <w:numPr>
          <w:ilvl w:val="0"/>
          <w:numId w:val="11"/>
        </w:numPr>
      </w:pPr>
      <w:r w:rsidRPr="00711F6B">
        <w:rPr>
          <w:rFonts w:ascii="Titillium" w:hAnsi="Titillium"/>
          <w:sz w:val="18"/>
          <w:szCs w:val="18"/>
        </w:rPr>
        <w:t>il mancato possesso dei prescritti requisiti di partecipazione non è sanabile mediante soccorso istruttorio ed è causa di esclusione dalla procedura di gara;</w:t>
      </w:r>
    </w:p>
    <w:p w14:paraId="2527EF24" w14:textId="4CE1DB88" w:rsidR="00622A3A" w:rsidRPr="000D49E9" w:rsidRDefault="00622A3A" w:rsidP="00622A3A">
      <w:pPr>
        <w:pStyle w:val="Paragrafoelenco"/>
        <w:numPr>
          <w:ilvl w:val="0"/>
          <w:numId w:val="11"/>
        </w:numPr>
        <w:spacing w:before="60" w:after="60"/>
        <w:rPr>
          <w:rFonts w:ascii="Titillium" w:hAnsi="Titillium"/>
          <w:sz w:val="18"/>
          <w:szCs w:val="18"/>
        </w:rPr>
      </w:pPr>
      <w:r w:rsidRPr="000D49E9">
        <w:rPr>
          <w:rFonts w:ascii="Titillium" w:hAnsi="Titillium"/>
          <w:sz w:val="18"/>
          <w:szCs w:val="18"/>
        </w:rPr>
        <w:t>l’omessa o incompleta nonché irregolare presentazione delle dichiarazioni sul possesso dei requisiti di partecipazione e ogni altra mancanza, incompletezza o irregolarità della domanda, sono sanabili, ad eccezione delle false dichiarazioni;</w:t>
      </w:r>
    </w:p>
    <w:p w14:paraId="080DFCA4" w14:textId="102FA055" w:rsidR="00622A3A" w:rsidRDefault="00622A3A" w:rsidP="00622A3A">
      <w:pPr>
        <w:pStyle w:val="Paragrafoelenco"/>
        <w:numPr>
          <w:ilvl w:val="0"/>
          <w:numId w:val="11"/>
        </w:numPr>
        <w:spacing w:before="60" w:after="60"/>
      </w:pPr>
      <w:r>
        <w:rPr>
          <w:rFonts w:ascii="Titillium" w:hAnsi="Titillium"/>
          <w:sz w:val="18"/>
          <w:szCs w:val="18"/>
        </w:rPr>
        <w:t xml:space="preserve">la mancata produzione del contratto di avvalimento, </w:t>
      </w:r>
      <w:r w:rsidR="003C3EAE">
        <w:rPr>
          <w:rFonts w:ascii="Titillium" w:hAnsi="Titillium"/>
          <w:sz w:val="18"/>
          <w:szCs w:val="18"/>
        </w:rPr>
        <w:t xml:space="preserve">della </w:t>
      </w:r>
      <w:r w:rsidR="003C3EAE" w:rsidRPr="009F1861">
        <w:rPr>
          <w:rFonts w:ascii="Titillium" w:hAnsi="Titillium"/>
          <w:sz w:val="18"/>
          <w:szCs w:val="18"/>
        </w:rPr>
        <w:t>garanzia provvisoria</w:t>
      </w:r>
      <w:r w:rsidR="003C3EAE">
        <w:rPr>
          <w:rFonts w:ascii="Titillium" w:hAnsi="Titillium"/>
          <w:sz w:val="18"/>
          <w:szCs w:val="18"/>
        </w:rPr>
        <w:t>, del</w:t>
      </w:r>
      <w:r w:rsidR="003C3EAE" w:rsidRPr="009F1861">
        <w:rPr>
          <w:rFonts w:ascii="Titillium" w:hAnsi="Titillium"/>
          <w:sz w:val="18"/>
          <w:szCs w:val="18"/>
        </w:rPr>
        <w:t xml:space="preserve"> mandato collettivo speciale o </w:t>
      </w:r>
      <w:r w:rsidR="003C3EAE">
        <w:rPr>
          <w:rFonts w:ascii="Titillium" w:hAnsi="Titillium"/>
          <w:sz w:val="18"/>
          <w:szCs w:val="18"/>
        </w:rPr>
        <w:t>dell’</w:t>
      </w:r>
      <w:r w:rsidR="003C3EAE" w:rsidRPr="009F1861">
        <w:rPr>
          <w:rFonts w:ascii="Titillium" w:hAnsi="Titillium"/>
          <w:sz w:val="18"/>
          <w:szCs w:val="18"/>
        </w:rPr>
        <w:t>impegno a conferire mandato collettivo</w:t>
      </w:r>
      <w:r w:rsidR="003C3EAE">
        <w:rPr>
          <w:rFonts w:ascii="Titillium" w:hAnsi="Titillium"/>
          <w:sz w:val="18"/>
          <w:szCs w:val="18"/>
        </w:rPr>
        <w:t xml:space="preserve"> </w:t>
      </w:r>
      <w:r w:rsidR="00BA57CB">
        <w:rPr>
          <w:rFonts w:ascii="Titillium" w:hAnsi="Titillium"/>
          <w:sz w:val="18"/>
          <w:szCs w:val="18"/>
        </w:rPr>
        <w:t>può</w:t>
      </w:r>
      <w:r>
        <w:rPr>
          <w:rFonts w:ascii="Titillium" w:hAnsi="Titillium"/>
          <w:sz w:val="18"/>
          <w:szCs w:val="18"/>
        </w:rPr>
        <w:t xml:space="preserve"> essere oggetto di soccorso istruttorio solo se i citati documenti sono preesistenti e comprovabili </w:t>
      </w:r>
      <w:r w:rsidR="00BA57CB">
        <w:rPr>
          <w:rFonts w:ascii="Titillium" w:hAnsi="Titillium"/>
          <w:sz w:val="18"/>
          <w:szCs w:val="18"/>
        </w:rPr>
        <w:t>con</w:t>
      </w:r>
      <w:r>
        <w:rPr>
          <w:rFonts w:ascii="Titillium" w:hAnsi="Titillium"/>
          <w:sz w:val="18"/>
          <w:szCs w:val="18"/>
        </w:rPr>
        <w:t xml:space="preserve"> data certa anteriore al termine di presentazione dell’offerta;</w:t>
      </w:r>
    </w:p>
    <w:p w14:paraId="2B52A470" w14:textId="2EA1B79E" w:rsidR="00622A3A" w:rsidRPr="00B50FE7" w:rsidRDefault="00622A3A" w:rsidP="00622A3A">
      <w:pPr>
        <w:pStyle w:val="Paragrafoelenco"/>
        <w:numPr>
          <w:ilvl w:val="0"/>
          <w:numId w:val="11"/>
        </w:numPr>
        <w:spacing w:before="60" w:after="120"/>
        <w:rPr>
          <w:rFonts w:ascii="Titillium" w:hAnsi="Titillium" w:cs="Arial"/>
          <w:b/>
          <w:bCs/>
          <w:i/>
          <w:sz w:val="18"/>
          <w:szCs w:val="18"/>
        </w:rPr>
      </w:pPr>
      <w:r w:rsidRPr="00B50FE7">
        <w:rPr>
          <w:rFonts w:ascii="Titillium" w:hAnsi="Titillium"/>
          <w:sz w:val="18"/>
          <w:szCs w:val="18"/>
        </w:rPr>
        <w:t>il difetto di sottoscrizione della domanda di partecipazione, delle dichiarazioni richieste e dell’offerta è sanabile</w:t>
      </w:r>
      <w:r w:rsidR="00833FB4" w:rsidRPr="00B50FE7">
        <w:rPr>
          <w:rFonts w:ascii="Titillium" w:hAnsi="Titillium"/>
          <w:sz w:val="18"/>
          <w:szCs w:val="18"/>
        </w:rPr>
        <w:t>;</w:t>
      </w:r>
    </w:p>
    <w:p w14:paraId="28D4C8E4" w14:textId="201BD601" w:rsidR="0097523D" w:rsidRPr="000D2516" w:rsidRDefault="00FF68FC" w:rsidP="000D2516">
      <w:pPr>
        <w:pStyle w:val="Paragrafoelenco"/>
        <w:numPr>
          <w:ilvl w:val="0"/>
          <w:numId w:val="11"/>
        </w:numPr>
        <w:spacing w:before="60" w:after="120"/>
        <w:rPr>
          <w:rFonts w:ascii="Titillium" w:hAnsi="Titillium" w:cs="Arial"/>
          <w:b/>
          <w:bCs/>
          <w:i/>
          <w:sz w:val="18"/>
          <w:szCs w:val="18"/>
        </w:rPr>
      </w:pPr>
      <w:r w:rsidRPr="00B50FE7">
        <w:rPr>
          <w:rFonts w:ascii="Titillium" w:hAnsi="Titillium"/>
          <w:sz w:val="18"/>
          <w:szCs w:val="18"/>
        </w:rPr>
        <w:t xml:space="preserve">non è sanabile mediante soccorso istruttorio </w:t>
      </w:r>
      <w:r w:rsidR="009C5604" w:rsidRPr="009C5604">
        <w:rPr>
          <w:rFonts w:ascii="Titillium" w:hAnsi="Titillium"/>
          <w:sz w:val="18"/>
          <w:szCs w:val="18"/>
        </w:rPr>
        <w:t xml:space="preserve">l’omessa indicazione, delle modalità con le quali l’operatore intende assicurare, in caso di aggiudicazione del contratto, </w:t>
      </w:r>
      <w:r w:rsidRPr="00B50FE7">
        <w:rPr>
          <w:rFonts w:ascii="Titillium" w:hAnsi="Titillium"/>
          <w:sz w:val="18"/>
          <w:szCs w:val="18"/>
        </w:rPr>
        <w:t xml:space="preserve">il rispetto delle condizioni di </w:t>
      </w:r>
      <w:r w:rsidR="0079511F" w:rsidRPr="00B50FE7">
        <w:rPr>
          <w:rFonts w:ascii="Titillium" w:hAnsi="Titillium"/>
          <w:sz w:val="18"/>
          <w:szCs w:val="18"/>
        </w:rPr>
        <w:t xml:space="preserve">partecipazione e di </w:t>
      </w:r>
      <w:r w:rsidRPr="00B50FE7">
        <w:rPr>
          <w:rFonts w:ascii="Titillium" w:hAnsi="Titillium"/>
          <w:sz w:val="18"/>
          <w:szCs w:val="18"/>
        </w:rPr>
        <w:t>esecuzione di cui all’articolo</w:t>
      </w:r>
      <w:r w:rsidR="005D5335" w:rsidRPr="00B50FE7">
        <w:rPr>
          <w:rFonts w:ascii="Titillium" w:hAnsi="Titillium"/>
          <w:sz w:val="18"/>
          <w:szCs w:val="18"/>
        </w:rPr>
        <w:t xml:space="preserve"> </w:t>
      </w:r>
      <w:r w:rsidR="00AA77D1">
        <w:rPr>
          <w:rFonts w:ascii="Titillium" w:hAnsi="Titillium"/>
          <w:sz w:val="18"/>
          <w:szCs w:val="18"/>
        </w:rPr>
        <w:fldChar w:fldCharType="begin"/>
      </w:r>
      <w:r w:rsidR="00AA77D1">
        <w:rPr>
          <w:rFonts w:ascii="Titillium" w:hAnsi="Titillium"/>
          <w:sz w:val="18"/>
          <w:szCs w:val="18"/>
        </w:rPr>
        <w:instrText xml:space="preserve"> REF _Ref132050689 \r \h </w:instrText>
      </w:r>
      <w:r w:rsidR="00AA77D1">
        <w:rPr>
          <w:rFonts w:ascii="Titillium" w:hAnsi="Titillium"/>
          <w:sz w:val="18"/>
          <w:szCs w:val="18"/>
        </w:rPr>
      </w:r>
      <w:r w:rsidR="00AA77D1">
        <w:rPr>
          <w:rFonts w:ascii="Titillium" w:hAnsi="Titillium"/>
          <w:sz w:val="18"/>
          <w:szCs w:val="18"/>
        </w:rPr>
        <w:fldChar w:fldCharType="separate"/>
      </w:r>
      <w:r w:rsidR="00AA77D1">
        <w:rPr>
          <w:rFonts w:ascii="Titillium" w:hAnsi="Titillium"/>
          <w:sz w:val="18"/>
          <w:szCs w:val="18"/>
        </w:rPr>
        <w:t>9</w:t>
      </w:r>
      <w:r w:rsidR="00AA77D1">
        <w:rPr>
          <w:rFonts w:ascii="Titillium" w:hAnsi="Titillium"/>
          <w:sz w:val="18"/>
          <w:szCs w:val="18"/>
        </w:rPr>
        <w:fldChar w:fldCharType="end"/>
      </w:r>
      <w:r w:rsidR="00AA77D1">
        <w:rPr>
          <w:rFonts w:ascii="Titillium" w:hAnsi="Titillium"/>
          <w:sz w:val="18"/>
          <w:szCs w:val="18"/>
        </w:rPr>
        <w:t xml:space="preserve"> </w:t>
      </w:r>
      <w:r w:rsidRPr="00B50FE7">
        <w:rPr>
          <w:rFonts w:ascii="Titillium" w:hAnsi="Titillium"/>
          <w:sz w:val="18"/>
          <w:szCs w:val="18"/>
        </w:rPr>
        <w:t>del presente bando</w:t>
      </w:r>
      <w:r w:rsidR="003C3EAE" w:rsidRPr="000D2516">
        <w:rPr>
          <w:rFonts w:ascii="Titillium" w:hAnsi="Titillium"/>
          <w:sz w:val="18"/>
          <w:szCs w:val="18"/>
        </w:rPr>
        <w:t xml:space="preserve">. </w:t>
      </w:r>
    </w:p>
    <w:p w14:paraId="1C7B339B" w14:textId="502E40CF" w:rsidR="00622A3A" w:rsidRPr="0097523D" w:rsidRDefault="00BA57CB" w:rsidP="0097523D">
      <w:pPr>
        <w:pStyle w:val="Paragrafoelenco"/>
        <w:spacing w:before="60" w:after="120"/>
        <w:rPr>
          <w:rFonts w:ascii="Titillium" w:hAnsi="Titillium" w:cs="Arial"/>
          <w:b/>
          <w:bCs/>
          <w:i/>
          <w:sz w:val="18"/>
          <w:szCs w:val="18"/>
          <w:highlight w:val="yellow"/>
        </w:rPr>
      </w:pPr>
      <w:r w:rsidRPr="0097523D">
        <w:rPr>
          <w:rFonts w:ascii="Titillium" w:hAnsi="Titillium" w:cs="Arial"/>
          <w:b/>
          <w:i/>
          <w:sz w:val="18"/>
          <w:szCs w:val="18"/>
        </w:rPr>
        <w:lastRenderedPageBreak/>
        <w:t>[</w:t>
      </w:r>
      <w:r w:rsidR="00622A3A" w:rsidRPr="0097523D">
        <w:rPr>
          <w:rFonts w:ascii="Titillium" w:hAnsi="Titillium" w:cs="Arial"/>
          <w:b/>
          <w:bCs/>
          <w:i/>
          <w:sz w:val="18"/>
          <w:szCs w:val="18"/>
        </w:rPr>
        <w:t xml:space="preserve">in caso di procedure </w:t>
      </w:r>
      <w:r w:rsidR="00922227" w:rsidRPr="00922227">
        <w:rPr>
          <w:rFonts w:ascii="Titillium" w:hAnsi="Titillium" w:cs="Arial"/>
          <w:b/>
          <w:bCs/>
          <w:i/>
          <w:sz w:val="18"/>
          <w:szCs w:val="18"/>
        </w:rPr>
        <w:t>riservate ai sensi dell’articolo 61 del codice e</w:t>
      </w:r>
      <w:r w:rsidR="00582A6D">
        <w:rPr>
          <w:rFonts w:ascii="Titillium" w:hAnsi="Titillium" w:cs="Arial"/>
          <w:b/>
          <w:bCs/>
          <w:i/>
          <w:sz w:val="18"/>
          <w:szCs w:val="18"/>
        </w:rPr>
        <w:t>/o</w:t>
      </w:r>
      <w:r w:rsidR="00922227" w:rsidRPr="00922227">
        <w:rPr>
          <w:rFonts w:ascii="Titillium" w:hAnsi="Titillium" w:cs="Arial"/>
          <w:b/>
          <w:bCs/>
          <w:i/>
          <w:sz w:val="18"/>
          <w:szCs w:val="18"/>
        </w:rPr>
        <w:t xml:space="preserve"> </w:t>
      </w:r>
      <w:r w:rsidR="00922227">
        <w:rPr>
          <w:rFonts w:ascii="Titillium" w:hAnsi="Titillium" w:cs="Arial"/>
          <w:b/>
          <w:bCs/>
          <w:i/>
          <w:sz w:val="18"/>
          <w:szCs w:val="18"/>
        </w:rPr>
        <w:t>di procedure</w:t>
      </w:r>
      <w:r w:rsidR="00922227" w:rsidRPr="00922227">
        <w:rPr>
          <w:rFonts w:ascii="Titillium" w:hAnsi="Titillium" w:cs="Arial"/>
          <w:b/>
          <w:bCs/>
          <w:i/>
          <w:sz w:val="18"/>
          <w:szCs w:val="18"/>
        </w:rPr>
        <w:t xml:space="preserve"> </w:t>
      </w:r>
      <w:r w:rsidR="00622A3A" w:rsidRPr="0097523D">
        <w:rPr>
          <w:rFonts w:ascii="Titillium" w:hAnsi="Titillium" w:cs="Arial"/>
          <w:b/>
          <w:bCs/>
          <w:i/>
          <w:sz w:val="18"/>
          <w:szCs w:val="18"/>
        </w:rPr>
        <w:t xml:space="preserve">afferenti </w:t>
      </w:r>
      <w:r w:rsidR="00116F1A">
        <w:rPr>
          <w:rFonts w:ascii="Titillium" w:hAnsi="Titillium" w:cs="Arial"/>
          <w:b/>
          <w:bCs/>
          <w:i/>
          <w:sz w:val="18"/>
          <w:szCs w:val="18"/>
        </w:rPr>
        <w:t>a</w:t>
      </w:r>
      <w:r w:rsidR="00622A3A" w:rsidRPr="0097523D">
        <w:rPr>
          <w:rFonts w:ascii="Titillium" w:hAnsi="Titillium" w:cs="Arial"/>
          <w:b/>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00622A3A" w:rsidRPr="0097523D">
        <w:rPr>
          <w:rFonts w:ascii="Titillium" w:hAnsi="Titillium" w:cs="Courier New"/>
          <w:b/>
          <w:i/>
          <w:sz w:val="18"/>
          <w:szCs w:val="18"/>
        </w:rPr>
        <w:t>decreto legge 31 maggio 2021, n. 77, convertito, con modificazioni, dalla legge 29 luglio 2021, n. 108</w:t>
      </w:r>
      <w:r w:rsidR="00622A3A" w:rsidRPr="0097523D">
        <w:rPr>
          <w:rFonts w:ascii="Titillium" w:hAnsi="Titillium" w:cs="Arial"/>
          <w:b/>
          <w:bCs/>
          <w:i/>
          <w:sz w:val="18"/>
          <w:szCs w:val="18"/>
        </w:rPr>
        <w:t xml:space="preserve">] </w:t>
      </w:r>
    </w:p>
    <w:p w14:paraId="783D20C0" w14:textId="192E90F3" w:rsidR="004F2FC5" w:rsidRPr="00F810E5" w:rsidRDefault="004F2FC5" w:rsidP="00CE61E8">
      <w:pPr>
        <w:pStyle w:val="Paragrafoelenco"/>
        <w:numPr>
          <w:ilvl w:val="0"/>
          <w:numId w:val="11"/>
        </w:numPr>
        <w:spacing w:before="60" w:after="60"/>
        <w:rPr>
          <w:rFonts w:ascii="Titillium" w:hAnsi="Titillium"/>
          <w:sz w:val="18"/>
          <w:szCs w:val="18"/>
        </w:rPr>
      </w:pPr>
      <w:r w:rsidRPr="00243A6C">
        <w:rPr>
          <w:rFonts w:ascii="Titillium" w:hAnsi="Titillium"/>
          <w:sz w:val="18"/>
          <w:szCs w:val="18"/>
        </w:rPr>
        <w:t>s</w:t>
      </w:r>
      <w:r w:rsidR="00833FB4" w:rsidRPr="00243A6C">
        <w:rPr>
          <w:rFonts w:ascii="Titillium" w:hAnsi="Titillium"/>
          <w:sz w:val="18"/>
          <w:szCs w:val="18"/>
        </w:rPr>
        <w:t xml:space="preserve">ono sanabili </w:t>
      </w:r>
      <w:r w:rsidR="00622A3A" w:rsidRPr="00243A6C">
        <w:rPr>
          <w:rFonts w:ascii="Titillium" w:hAnsi="Titillium"/>
          <w:sz w:val="18"/>
          <w:szCs w:val="18"/>
        </w:rPr>
        <w:t>l’omessa dichiarazion</w:t>
      </w:r>
      <w:r w:rsidR="000D49E9" w:rsidRPr="00243A6C">
        <w:rPr>
          <w:rFonts w:ascii="Titillium" w:hAnsi="Titillium"/>
          <w:sz w:val="18"/>
          <w:szCs w:val="18"/>
        </w:rPr>
        <w:t>e</w:t>
      </w:r>
      <w:r w:rsidR="00833FB4" w:rsidRPr="00243A6C">
        <w:rPr>
          <w:rFonts w:ascii="Titillium" w:hAnsi="Titillium"/>
          <w:sz w:val="18"/>
          <w:szCs w:val="18"/>
        </w:rPr>
        <w:t xml:space="preserve"> </w:t>
      </w:r>
      <w:r w:rsidR="000D49E9" w:rsidRPr="00243A6C">
        <w:rPr>
          <w:rFonts w:ascii="Titillium" w:hAnsi="Titillium"/>
          <w:sz w:val="18"/>
          <w:szCs w:val="18"/>
        </w:rPr>
        <w:t>sull’aver assolto agli obblighi di cui alla legge 68/1999</w:t>
      </w:r>
      <w:r w:rsidR="00E145A4" w:rsidRPr="00243A6C">
        <w:rPr>
          <w:rFonts w:ascii="Titillium" w:hAnsi="Titillium"/>
          <w:sz w:val="18"/>
          <w:szCs w:val="18"/>
        </w:rPr>
        <w:t xml:space="preserve"> </w:t>
      </w:r>
      <w:r w:rsidR="000B4A42" w:rsidRPr="00243A6C">
        <w:rPr>
          <w:rFonts w:ascii="Titillium" w:hAnsi="Titillium"/>
          <w:sz w:val="18"/>
          <w:szCs w:val="18"/>
        </w:rPr>
        <w:t>e,</w:t>
      </w:r>
      <w:r w:rsidR="00E145A4" w:rsidRPr="00243A6C">
        <w:rPr>
          <w:rFonts w:ascii="Titillium" w:hAnsi="Titillium"/>
          <w:sz w:val="18"/>
          <w:szCs w:val="18"/>
        </w:rPr>
        <w:t xml:space="preserve"> per i concorrenti che occupano oltre </w:t>
      </w:r>
      <w:r w:rsidRPr="00243A6C">
        <w:rPr>
          <w:rFonts w:ascii="Titillium" w:hAnsi="Titillium"/>
          <w:sz w:val="18"/>
          <w:szCs w:val="18"/>
        </w:rPr>
        <w:t>cinquanta</w:t>
      </w:r>
      <w:r w:rsidR="00E145A4" w:rsidRPr="00243A6C">
        <w:rPr>
          <w:rFonts w:ascii="Titillium" w:hAnsi="Titillium"/>
          <w:sz w:val="18"/>
          <w:szCs w:val="18"/>
        </w:rPr>
        <w:t xml:space="preserve"> dipendenti</w:t>
      </w:r>
      <w:r w:rsidR="005C15ED" w:rsidRPr="00243A6C">
        <w:rPr>
          <w:rFonts w:ascii="Titillium" w:hAnsi="Titillium"/>
          <w:sz w:val="18"/>
          <w:szCs w:val="18"/>
        </w:rPr>
        <w:t>,</w:t>
      </w:r>
      <w:r w:rsidR="00E145A4" w:rsidRPr="00243A6C">
        <w:rPr>
          <w:rFonts w:ascii="Titillium" w:hAnsi="Titillium"/>
          <w:sz w:val="18"/>
          <w:szCs w:val="18"/>
        </w:rPr>
        <w:t xml:space="preserve"> </w:t>
      </w:r>
      <w:r w:rsidR="00D203BA" w:rsidRPr="00243A6C">
        <w:rPr>
          <w:rFonts w:ascii="Titillium" w:hAnsi="Titillium"/>
          <w:sz w:val="18"/>
          <w:szCs w:val="18"/>
        </w:rPr>
        <w:t>l’omess</w:t>
      </w:r>
      <w:r w:rsidR="00E145A4" w:rsidRPr="00243A6C">
        <w:rPr>
          <w:rFonts w:ascii="Titillium" w:hAnsi="Titillium"/>
          <w:sz w:val="18"/>
          <w:szCs w:val="18"/>
        </w:rPr>
        <w:t xml:space="preserve">a presentazione di copia </w:t>
      </w:r>
      <w:r w:rsidR="00E145A4" w:rsidRPr="00243A6C">
        <w:rPr>
          <w:rFonts w:ascii="Titillium" w:hAnsi="Titillium" w:cs="Courier New"/>
          <w:sz w:val="18"/>
          <w:szCs w:val="18"/>
        </w:rPr>
        <w:t>dell’ultimo rapporto periodico sulla situazione del personale maschile e femminile</w:t>
      </w:r>
      <w:r w:rsidR="000B4A42" w:rsidRPr="00243A6C">
        <w:rPr>
          <w:rFonts w:ascii="Titillium" w:hAnsi="Titillium" w:cs="Courier New"/>
          <w:sz w:val="18"/>
          <w:szCs w:val="18"/>
        </w:rPr>
        <w:t>,</w:t>
      </w:r>
      <w:r w:rsidR="00E145A4" w:rsidRPr="00243A6C">
        <w:rPr>
          <w:rFonts w:ascii="Titillium" w:hAnsi="Titillium" w:cs="Courier New"/>
          <w:sz w:val="18"/>
          <w:szCs w:val="18"/>
        </w:rPr>
        <w:t xml:space="preserve"> redatto ai sensi dell’articolo 46 decr</w:t>
      </w:r>
      <w:r w:rsidR="000B4A42" w:rsidRPr="00243A6C">
        <w:rPr>
          <w:rFonts w:ascii="Titillium" w:hAnsi="Titillium" w:cs="Courier New"/>
          <w:sz w:val="18"/>
          <w:szCs w:val="18"/>
        </w:rPr>
        <w:t>eto legislativo n. 198 del 2006, e la trasmissione dello stesso alle rappresentanze sindacali e ai consiglieri regionali di parità</w:t>
      </w:r>
      <w:r w:rsidR="000947B7">
        <w:rPr>
          <w:rFonts w:ascii="Titillium" w:hAnsi="Titillium" w:cs="Courier New"/>
          <w:sz w:val="18"/>
          <w:szCs w:val="18"/>
        </w:rPr>
        <w:t xml:space="preserve">, </w:t>
      </w:r>
      <w:r w:rsidR="000947B7" w:rsidRPr="00771B26">
        <w:rPr>
          <w:rFonts w:ascii="Titillium" w:hAnsi="Titillium" w:cs="Courier New"/>
          <w:sz w:val="18"/>
          <w:szCs w:val="18"/>
        </w:rPr>
        <w:t xml:space="preserve">purché </w:t>
      </w:r>
      <w:r w:rsidR="00D71B72" w:rsidRPr="00F810E5">
        <w:rPr>
          <w:rFonts w:ascii="Titillium" w:hAnsi="Titillium" w:cs="Courier New"/>
          <w:sz w:val="18"/>
          <w:szCs w:val="18"/>
        </w:rPr>
        <w:t>redatt</w:t>
      </w:r>
      <w:r w:rsidR="00CB3C28" w:rsidRPr="00F810E5">
        <w:rPr>
          <w:rFonts w:ascii="Titillium" w:hAnsi="Titillium" w:cs="Courier New"/>
          <w:sz w:val="18"/>
          <w:szCs w:val="18"/>
        </w:rPr>
        <w:t>o e trasmesso</w:t>
      </w:r>
      <w:r w:rsidR="00D71B72" w:rsidRPr="00F810E5">
        <w:rPr>
          <w:rFonts w:ascii="Titillium" w:hAnsi="Titillium" w:cs="Courier New"/>
          <w:sz w:val="18"/>
          <w:szCs w:val="18"/>
        </w:rPr>
        <w:t xml:space="preserve"> in data anteriore al termine per la presentazione delle offerte</w:t>
      </w:r>
      <w:r w:rsidR="000B4A42" w:rsidRPr="00F810E5">
        <w:rPr>
          <w:rFonts w:ascii="Titillium" w:hAnsi="Titillium" w:cs="Courier New"/>
          <w:sz w:val="18"/>
          <w:szCs w:val="18"/>
        </w:rPr>
        <w:t xml:space="preserve">; </w:t>
      </w:r>
    </w:p>
    <w:p w14:paraId="565EEB8B" w14:textId="23E86F4D" w:rsidR="009F1861" w:rsidRPr="00F810E5" w:rsidRDefault="004F2FC5" w:rsidP="00CE61E8">
      <w:pPr>
        <w:pStyle w:val="Paragrafoelenco"/>
        <w:numPr>
          <w:ilvl w:val="0"/>
          <w:numId w:val="11"/>
        </w:numPr>
        <w:spacing w:before="60" w:after="60"/>
        <w:rPr>
          <w:rFonts w:ascii="Titillium" w:hAnsi="Titillium"/>
          <w:sz w:val="18"/>
          <w:szCs w:val="18"/>
        </w:rPr>
      </w:pPr>
      <w:r w:rsidRPr="00B50FE7">
        <w:rPr>
          <w:rFonts w:ascii="Titillium" w:hAnsi="Titillium"/>
          <w:sz w:val="18"/>
          <w:szCs w:val="18"/>
        </w:rPr>
        <w:t>n</w:t>
      </w:r>
      <w:r w:rsidR="00833FB4" w:rsidRPr="00B50FE7">
        <w:rPr>
          <w:rFonts w:ascii="Titillium" w:hAnsi="Titillium"/>
          <w:sz w:val="18"/>
          <w:szCs w:val="18"/>
        </w:rPr>
        <w:t xml:space="preserve">on è sanabile mediante soccorso istruttorio </w:t>
      </w:r>
      <w:r w:rsidR="00F14085" w:rsidRPr="00B50FE7">
        <w:rPr>
          <w:rFonts w:ascii="Titillium" w:hAnsi="Titillium"/>
          <w:sz w:val="18"/>
          <w:szCs w:val="18"/>
        </w:rPr>
        <w:t>l’omesso impegno ad</w:t>
      </w:r>
      <w:r w:rsidR="009F1861" w:rsidRPr="00B50FE7">
        <w:rPr>
          <w:rFonts w:ascii="Titillium" w:hAnsi="Titillium"/>
          <w:sz w:val="18"/>
          <w:szCs w:val="18"/>
        </w:rPr>
        <w:t xml:space="preserve"> assicurare, in caso di aggiudicazione del contratto, </w:t>
      </w:r>
      <w:r w:rsidR="00833FB4" w:rsidRPr="00B50FE7">
        <w:rPr>
          <w:rFonts w:ascii="Titillium" w:hAnsi="Titillium"/>
          <w:sz w:val="18"/>
          <w:szCs w:val="18"/>
        </w:rPr>
        <w:t xml:space="preserve">l’assunzione di </w:t>
      </w:r>
      <w:r w:rsidR="009F1861" w:rsidRPr="00B50FE7">
        <w:rPr>
          <w:rFonts w:ascii="Titillium" w:hAnsi="Titillium"/>
          <w:sz w:val="18"/>
          <w:szCs w:val="18"/>
        </w:rPr>
        <w:t xml:space="preserve">una quota </w:t>
      </w:r>
      <w:r w:rsidR="00833FB4" w:rsidRPr="00B50FE7">
        <w:rPr>
          <w:rFonts w:ascii="Titillium" w:hAnsi="Titillium"/>
          <w:sz w:val="18"/>
          <w:szCs w:val="18"/>
        </w:rPr>
        <w:t xml:space="preserve">di </w:t>
      </w:r>
      <w:r w:rsidR="009F1861" w:rsidRPr="00B50FE7">
        <w:rPr>
          <w:rFonts w:ascii="Titillium" w:hAnsi="Titillium" w:cs="Arial"/>
          <w:sz w:val="18"/>
          <w:szCs w:val="18"/>
        </w:rPr>
        <w:t xml:space="preserve">occupazione giovanile </w:t>
      </w:r>
      <w:r w:rsidR="00833FB4" w:rsidRPr="00B50FE7">
        <w:rPr>
          <w:rFonts w:ascii="Titillium" w:hAnsi="Titillium" w:cs="Arial"/>
          <w:sz w:val="18"/>
          <w:szCs w:val="18"/>
        </w:rPr>
        <w:t>e</w:t>
      </w:r>
      <w:r w:rsidR="009F1861" w:rsidRPr="00B50FE7">
        <w:rPr>
          <w:rFonts w:ascii="Titillium" w:hAnsi="Titillium" w:cs="Arial"/>
          <w:sz w:val="18"/>
          <w:szCs w:val="18"/>
        </w:rPr>
        <w:t xml:space="preserve"> femminile</w:t>
      </w:r>
      <w:r w:rsidR="00833FB4" w:rsidRPr="00B50FE7">
        <w:rPr>
          <w:rFonts w:ascii="Titillium" w:hAnsi="Titillium" w:cs="Arial"/>
          <w:sz w:val="18"/>
          <w:szCs w:val="18"/>
        </w:rPr>
        <w:t xml:space="preserve"> di cui all’articolo </w:t>
      </w:r>
      <w:r w:rsidR="005252D0">
        <w:rPr>
          <w:rFonts w:ascii="Titillium" w:hAnsi="Titillium" w:cs="Arial"/>
          <w:sz w:val="18"/>
          <w:szCs w:val="18"/>
        </w:rPr>
        <w:fldChar w:fldCharType="begin"/>
      </w:r>
      <w:r w:rsidR="005252D0">
        <w:rPr>
          <w:rFonts w:ascii="Titillium" w:hAnsi="Titillium" w:cs="Arial"/>
          <w:sz w:val="18"/>
          <w:szCs w:val="18"/>
        </w:rPr>
        <w:instrText xml:space="preserve"> REF _Ref132050689 \r \h </w:instrText>
      </w:r>
      <w:r w:rsidR="005252D0">
        <w:rPr>
          <w:rFonts w:ascii="Titillium" w:hAnsi="Titillium" w:cs="Arial"/>
          <w:sz w:val="18"/>
          <w:szCs w:val="18"/>
        </w:rPr>
      </w:r>
      <w:r w:rsidR="005252D0">
        <w:rPr>
          <w:rFonts w:ascii="Titillium" w:hAnsi="Titillium" w:cs="Arial"/>
          <w:sz w:val="18"/>
          <w:szCs w:val="18"/>
        </w:rPr>
        <w:fldChar w:fldCharType="separate"/>
      </w:r>
      <w:r w:rsidR="005252D0">
        <w:rPr>
          <w:rFonts w:ascii="Titillium" w:hAnsi="Titillium" w:cs="Arial"/>
          <w:sz w:val="18"/>
          <w:szCs w:val="18"/>
        </w:rPr>
        <w:t>9</w:t>
      </w:r>
      <w:r w:rsidR="005252D0">
        <w:rPr>
          <w:rFonts w:ascii="Titillium" w:hAnsi="Titillium" w:cs="Arial"/>
          <w:sz w:val="18"/>
          <w:szCs w:val="18"/>
        </w:rPr>
        <w:fldChar w:fldCharType="end"/>
      </w:r>
      <w:r w:rsidR="00E96D65" w:rsidRPr="00B50FE7">
        <w:rPr>
          <w:rFonts w:ascii="Titillium" w:hAnsi="Titillium" w:cs="Arial"/>
          <w:sz w:val="18"/>
          <w:szCs w:val="18"/>
        </w:rPr>
        <w:t xml:space="preserve"> del presente bando</w:t>
      </w:r>
      <w:r w:rsidRPr="00F810E5">
        <w:rPr>
          <w:rFonts w:ascii="Titillium" w:hAnsi="Titillium"/>
          <w:sz w:val="18"/>
          <w:szCs w:val="18"/>
        </w:rPr>
        <w:t>.</w:t>
      </w:r>
    </w:p>
    <w:p w14:paraId="6BD38C54" w14:textId="56D452B6" w:rsidR="00622A3A" w:rsidRDefault="00622A3A" w:rsidP="00CE61E8">
      <w:pPr>
        <w:spacing w:before="60" w:after="60"/>
      </w:pPr>
      <w:r w:rsidRPr="00CE61E8">
        <w:rPr>
          <w:rFonts w:ascii="Titillium" w:hAnsi="Titillium"/>
          <w:sz w:val="18"/>
          <w:szCs w:val="18"/>
        </w:rPr>
        <w:t>Ai fini del soccorso istruttorio</w:t>
      </w:r>
      <w:r w:rsidR="000871A0">
        <w:rPr>
          <w:rFonts w:ascii="Titillium" w:hAnsi="Titillium"/>
          <w:sz w:val="18"/>
          <w:szCs w:val="18"/>
        </w:rPr>
        <w:t xml:space="preserve"> </w:t>
      </w:r>
      <w:r w:rsidR="00582A6D">
        <w:rPr>
          <w:rFonts w:ascii="Titillium" w:hAnsi="Titillium"/>
          <w:sz w:val="18"/>
          <w:szCs w:val="18"/>
        </w:rPr>
        <w:t xml:space="preserve">è </w:t>
      </w:r>
      <w:r w:rsidR="000871A0">
        <w:rPr>
          <w:rFonts w:ascii="Titillium" w:hAnsi="Titillium"/>
          <w:sz w:val="18"/>
          <w:szCs w:val="18"/>
        </w:rPr>
        <w:t>assegnato</w:t>
      </w:r>
      <w:r w:rsidRPr="00CE61E8">
        <w:rPr>
          <w:rFonts w:ascii="Titillium" w:hAnsi="Titillium"/>
          <w:sz w:val="18"/>
          <w:szCs w:val="18"/>
        </w:rPr>
        <w:t xml:space="preserve"> al concorrente un </w:t>
      </w:r>
      <w:r w:rsidR="00072450">
        <w:rPr>
          <w:rFonts w:ascii="Titillium" w:hAnsi="Titillium"/>
          <w:sz w:val="18"/>
          <w:szCs w:val="18"/>
        </w:rPr>
        <w:t xml:space="preserve">termine di …… </w:t>
      </w:r>
      <w:r w:rsidR="00072450" w:rsidRPr="00582A6D">
        <w:rPr>
          <w:rFonts w:ascii="Titillium" w:hAnsi="Titillium"/>
          <w:i/>
          <w:iCs/>
          <w:sz w:val="18"/>
          <w:szCs w:val="18"/>
        </w:rPr>
        <w:t>[indicare il termine</w:t>
      </w:r>
      <w:r w:rsidR="00072450" w:rsidRPr="00072450">
        <w:rPr>
          <w:rFonts w:ascii="Titillium" w:hAnsi="Titillium"/>
          <w:i/>
          <w:iCs/>
          <w:sz w:val="18"/>
          <w:szCs w:val="18"/>
        </w:rPr>
        <w:t xml:space="preserve"> </w:t>
      </w:r>
      <w:r w:rsidRPr="00582A6D">
        <w:rPr>
          <w:rFonts w:ascii="Titillium" w:hAnsi="Titillium"/>
          <w:i/>
          <w:iCs/>
          <w:sz w:val="18"/>
          <w:szCs w:val="18"/>
        </w:rPr>
        <w:t xml:space="preserve">non </w:t>
      </w:r>
      <w:r w:rsidR="001C67D4" w:rsidRPr="00582A6D">
        <w:rPr>
          <w:rFonts w:ascii="Titillium" w:hAnsi="Titillium"/>
          <w:i/>
          <w:iCs/>
          <w:sz w:val="18"/>
          <w:szCs w:val="18"/>
        </w:rPr>
        <w:t xml:space="preserve">inferiore a cinque e non </w:t>
      </w:r>
      <w:r w:rsidRPr="00582A6D">
        <w:rPr>
          <w:rFonts w:ascii="Titillium" w:hAnsi="Titillium"/>
          <w:i/>
          <w:iCs/>
          <w:sz w:val="18"/>
          <w:szCs w:val="18"/>
        </w:rPr>
        <w:t>superiore a dieci</w:t>
      </w:r>
      <w:r w:rsidRPr="00072450">
        <w:rPr>
          <w:rFonts w:ascii="Titillium" w:hAnsi="Titillium"/>
          <w:i/>
          <w:iCs/>
          <w:sz w:val="18"/>
          <w:szCs w:val="18"/>
        </w:rPr>
        <w:t xml:space="preserve"> </w:t>
      </w:r>
      <w:r w:rsidRPr="00582A6D">
        <w:rPr>
          <w:rFonts w:ascii="Titillium" w:hAnsi="Titillium"/>
          <w:i/>
          <w:iCs/>
          <w:sz w:val="18"/>
          <w:szCs w:val="18"/>
        </w:rPr>
        <w:t>giorni</w:t>
      </w:r>
      <w:r w:rsidR="00072450" w:rsidRPr="00582A6D">
        <w:rPr>
          <w:rFonts w:ascii="Titillium" w:hAnsi="Titillium"/>
          <w:i/>
          <w:iCs/>
          <w:sz w:val="18"/>
          <w:szCs w:val="18"/>
        </w:rPr>
        <w:t>]</w:t>
      </w:r>
      <w:r w:rsidRPr="00CE61E8">
        <w:rPr>
          <w:rFonts w:ascii="Titillium" w:hAnsi="Titillium"/>
          <w:sz w:val="18"/>
          <w:szCs w:val="18"/>
        </w:rPr>
        <w:t xml:space="preserve"> </w:t>
      </w:r>
      <w:r w:rsidR="005252D0">
        <w:rPr>
          <w:rFonts w:ascii="Titillium" w:hAnsi="Titillium"/>
          <w:sz w:val="18"/>
          <w:szCs w:val="18"/>
        </w:rPr>
        <w:t>affinché</w:t>
      </w:r>
      <w:r w:rsidRPr="00CE61E8">
        <w:rPr>
          <w:rFonts w:ascii="Titillium" w:hAnsi="Titillium"/>
          <w:sz w:val="18"/>
          <w:szCs w:val="18"/>
        </w:rPr>
        <w:t xml:space="preserve"> siano rese, integrate o regolarizzate le dichiarazioni necessarie, indicando il contenuto e i soggetti che le devono rendere nonché la sezione della Piattaforma dove deve essere inserita la documentazione richiesta. </w:t>
      </w:r>
    </w:p>
    <w:p w14:paraId="2DBB5486" w14:textId="77777777" w:rsidR="00622A3A" w:rsidRDefault="00622A3A" w:rsidP="00622A3A">
      <w:pPr>
        <w:spacing w:before="60" w:after="60"/>
      </w:pPr>
      <w:r>
        <w:rPr>
          <w:rFonts w:ascii="Titillium" w:hAnsi="Titillium"/>
          <w:sz w:val="18"/>
          <w:szCs w:val="18"/>
        </w:rPr>
        <w:t xml:space="preserve">In caso di inutile decorso del termine, la stazione appaltante </w:t>
      </w:r>
      <w:r w:rsidRPr="000C29CD">
        <w:rPr>
          <w:rFonts w:ascii="Titillium" w:hAnsi="Titillium"/>
          <w:sz w:val="18"/>
          <w:szCs w:val="18"/>
        </w:rPr>
        <w:t>procede all’esclusione del</w:t>
      </w:r>
      <w:r>
        <w:rPr>
          <w:rFonts w:ascii="Titillium" w:hAnsi="Titillium"/>
          <w:sz w:val="18"/>
          <w:szCs w:val="18"/>
        </w:rPr>
        <w:t xml:space="preserve"> concorrente dalla procedura.</w:t>
      </w:r>
    </w:p>
    <w:p w14:paraId="06A662A3" w14:textId="128BA002" w:rsidR="00622A3A" w:rsidRDefault="00622A3A" w:rsidP="00622A3A">
      <w:pPr>
        <w:spacing w:before="60" w:after="60"/>
        <w:rPr>
          <w:rFonts w:ascii="Titillium" w:hAnsi="Titillium"/>
          <w:sz w:val="18"/>
          <w:szCs w:val="18"/>
        </w:rPr>
      </w:pPr>
      <w:r>
        <w:rPr>
          <w:rFonts w:ascii="Titillium" w:hAnsi="Titillium"/>
          <w:sz w:val="18"/>
          <w:szCs w:val="18"/>
        </w:rPr>
        <w:t xml:space="preserve">Ove il concorrente produca dichiarazioni o documenti non perfettamente coerenti con la richiesta, la stazione appaltante può chiedere </w:t>
      </w:r>
      <w:r w:rsidRPr="001C08AC">
        <w:rPr>
          <w:rFonts w:ascii="Titillium" w:hAnsi="Titillium"/>
          <w:sz w:val="18"/>
          <w:szCs w:val="18"/>
        </w:rPr>
        <w:t>ulteriori precisazioni o chiarimenti, limitat</w:t>
      </w:r>
      <w:r w:rsidR="00116F1A">
        <w:rPr>
          <w:rFonts w:ascii="Titillium" w:hAnsi="Titillium"/>
          <w:sz w:val="18"/>
          <w:szCs w:val="18"/>
        </w:rPr>
        <w:t>i</w:t>
      </w:r>
      <w:r w:rsidRPr="001C08AC">
        <w:rPr>
          <w:rFonts w:ascii="Titillium" w:hAnsi="Titillium"/>
          <w:sz w:val="18"/>
          <w:szCs w:val="18"/>
        </w:rPr>
        <w:t xml:space="preserve"> alla documentazione presentata in fase di soccorso istruttorio, fissando un termine a pena di esclusione.</w:t>
      </w:r>
    </w:p>
    <w:p w14:paraId="64E2C880" w14:textId="118631D0" w:rsidR="00F101D6" w:rsidRDefault="00F101D6" w:rsidP="00622A3A">
      <w:pPr>
        <w:spacing w:before="60" w:after="60"/>
        <w:rPr>
          <w:rFonts w:ascii="Titillium" w:hAnsi="Titillium"/>
          <w:sz w:val="18"/>
          <w:szCs w:val="18"/>
        </w:rPr>
      </w:pPr>
      <w:r>
        <w:rPr>
          <w:rFonts w:ascii="Titillium" w:hAnsi="Titillium"/>
          <w:sz w:val="18"/>
          <w:szCs w:val="18"/>
        </w:rPr>
        <w:t xml:space="preserve">La stazione appaltante può sempre chiedere chiarimenti sui contenuti dell’offerta tecnica e dell’offerta economica e su ogni loro allegato. L’operatore economico è tenuto a fornire risposta nel termine </w:t>
      </w:r>
      <w:r w:rsidR="00072450">
        <w:rPr>
          <w:rFonts w:ascii="Titillium" w:hAnsi="Titillium"/>
          <w:sz w:val="18"/>
          <w:szCs w:val="18"/>
        </w:rPr>
        <w:t>di ………. [</w:t>
      </w:r>
      <w:r w:rsidR="00072450" w:rsidRPr="00582A6D">
        <w:rPr>
          <w:rFonts w:ascii="Titillium" w:hAnsi="Titillium"/>
          <w:i/>
          <w:iCs/>
          <w:sz w:val="18"/>
          <w:szCs w:val="18"/>
        </w:rPr>
        <w:t>indicare un termine</w:t>
      </w:r>
      <w:r w:rsidRPr="00582A6D">
        <w:rPr>
          <w:rFonts w:ascii="Titillium" w:hAnsi="Titillium"/>
          <w:i/>
          <w:iCs/>
          <w:sz w:val="18"/>
          <w:szCs w:val="18"/>
        </w:rPr>
        <w:t xml:space="preserve"> che non può essere inferiore a cinque giorni e superiore a dieci giorni</w:t>
      </w:r>
      <w:r w:rsidR="00072450" w:rsidRPr="00582A6D">
        <w:rPr>
          <w:rFonts w:ascii="Titillium" w:hAnsi="Titillium"/>
          <w:i/>
          <w:iCs/>
          <w:sz w:val="18"/>
          <w:szCs w:val="18"/>
        </w:rPr>
        <w:t>]</w:t>
      </w:r>
      <w:r>
        <w:rPr>
          <w:rFonts w:ascii="Titillium" w:hAnsi="Titillium"/>
          <w:sz w:val="18"/>
          <w:szCs w:val="18"/>
        </w:rPr>
        <w:t>. I chiarimenti resi dall’operatore economico non possono modificare il contenuto dell’offerta.</w:t>
      </w:r>
    </w:p>
    <w:p w14:paraId="5D5AA837" w14:textId="55D620A4" w:rsidR="004C53A8" w:rsidRDefault="008D4D05" w:rsidP="00084AD6">
      <w:pPr>
        <w:pStyle w:val="Titolo2"/>
        <w:numPr>
          <w:ilvl w:val="0"/>
          <w:numId w:val="4"/>
        </w:numPr>
        <w:ind w:left="357" w:hanging="357"/>
      </w:pPr>
      <w:bookmarkStart w:id="1795" w:name="_Toc139549437"/>
      <w:r>
        <w:rPr>
          <w:rFonts w:ascii="Titillium" w:hAnsi="Titillium"/>
          <w:sz w:val="18"/>
          <w:szCs w:val="18"/>
          <w:lang w:val="it-IT"/>
        </w:rPr>
        <w:t>DOMANDA DI PARTECIPAZION</w:t>
      </w:r>
      <w:r w:rsidR="00F810E5">
        <w:rPr>
          <w:rFonts w:ascii="Titillium" w:hAnsi="Titillium"/>
          <w:sz w:val="18"/>
          <w:szCs w:val="18"/>
          <w:lang w:val="it-IT"/>
        </w:rPr>
        <w:t xml:space="preserve">E </w:t>
      </w:r>
      <w:r>
        <w:rPr>
          <w:rFonts w:ascii="Titillium" w:hAnsi="Titillium"/>
          <w:sz w:val="18"/>
          <w:szCs w:val="18"/>
          <w:lang w:val="it-IT"/>
        </w:rPr>
        <w:t xml:space="preserve">E </w:t>
      </w:r>
      <w:r w:rsidR="00870286">
        <w:rPr>
          <w:rFonts w:ascii="Titillium" w:hAnsi="Titillium"/>
          <w:sz w:val="18"/>
          <w:szCs w:val="18"/>
          <w:lang w:val="it-IT"/>
        </w:rPr>
        <w:t>DOCUMENTAZIONE AMMINISTRATIVA</w:t>
      </w:r>
      <w:bookmarkStart w:id="1796" w:name="_Ref481767076"/>
      <w:bookmarkStart w:id="1797" w:name="_Ref481767068"/>
      <w:bookmarkStart w:id="1798" w:name="_Toc354038186"/>
      <w:bookmarkStart w:id="1799" w:name="_Toc416423365"/>
      <w:bookmarkStart w:id="1800" w:name="_Toc406754180"/>
      <w:bookmarkStart w:id="1801" w:name="_Toc406058379"/>
      <w:bookmarkStart w:id="1802" w:name="_Toc403471273"/>
      <w:bookmarkStart w:id="1803" w:name="_Toc397422866"/>
      <w:bookmarkStart w:id="1804" w:name="_Toc397346825"/>
      <w:bookmarkStart w:id="1805" w:name="_Toc393706910"/>
      <w:bookmarkStart w:id="1806" w:name="_Toc393700837"/>
      <w:bookmarkStart w:id="1807" w:name="_Toc393283178"/>
      <w:bookmarkStart w:id="1808" w:name="_Toc393272662"/>
      <w:bookmarkStart w:id="1809" w:name="_Toc393272604"/>
      <w:bookmarkStart w:id="1810" w:name="_Toc393187848"/>
      <w:bookmarkStart w:id="1811" w:name="_Toc393112131"/>
      <w:bookmarkStart w:id="1812" w:name="_Toc393110567"/>
      <w:bookmarkStart w:id="1813" w:name="_Toc392577500"/>
      <w:bookmarkStart w:id="1814" w:name="_Toc391036059"/>
      <w:bookmarkStart w:id="1815" w:name="_Toc391035986"/>
      <w:bookmarkStart w:id="1816" w:name="_Toc380501873"/>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795"/>
    </w:p>
    <w:p w14:paraId="0C208C71" w14:textId="63596E02" w:rsidR="00A2786D" w:rsidRDefault="00336095" w:rsidP="00A2786D">
      <w:pPr>
        <w:spacing w:before="60" w:after="60"/>
      </w:pPr>
      <w:r>
        <w:rPr>
          <w:rFonts w:ascii="Titillium" w:hAnsi="Titillium" w:cs="Calibri"/>
          <w:sz w:val="18"/>
          <w:szCs w:val="18"/>
        </w:rPr>
        <w:t xml:space="preserve">L’operatore economico utilizza a Piattaforma … </w:t>
      </w:r>
      <w:r>
        <w:rPr>
          <w:rFonts w:ascii="Titillium" w:hAnsi="Titillium" w:cs="Calibri"/>
          <w:i/>
          <w:sz w:val="18"/>
          <w:szCs w:val="18"/>
        </w:rPr>
        <w:t>[la SA indica la Sezione/Area della Piattaforma]</w:t>
      </w:r>
      <w:r>
        <w:rPr>
          <w:rFonts w:ascii="Titillium" w:hAnsi="Titillium" w:cs="Calibri"/>
          <w:sz w:val="18"/>
          <w:szCs w:val="18"/>
        </w:rPr>
        <w:t xml:space="preserve"> per compilare o allegare la seguente documentazione:</w:t>
      </w:r>
    </w:p>
    <w:p w14:paraId="56044809" w14:textId="77777777" w:rsidR="00371721" w:rsidRPr="00582A6D" w:rsidRDefault="00A2786D" w:rsidP="00A2786D">
      <w:pPr>
        <w:pStyle w:val="Paragrafoelenco"/>
        <w:numPr>
          <w:ilvl w:val="0"/>
          <w:numId w:val="16"/>
        </w:numPr>
        <w:spacing w:before="60" w:after="60"/>
      </w:pPr>
      <w:r>
        <w:rPr>
          <w:rFonts w:ascii="Titillium" w:hAnsi="Titillium" w:cs="Calibri"/>
          <w:sz w:val="18"/>
          <w:szCs w:val="18"/>
        </w:rPr>
        <w:t>domanda di partecipazione</w:t>
      </w:r>
    </w:p>
    <w:p w14:paraId="2E0C67E9" w14:textId="506518CA" w:rsidR="00432F75" w:rsidRPr="00432F75" w:rsidRDefault="0058531F" w:rsidP="00A2786D">
      <w:pPr>
        <w:pStyle w:val="Paragrafoelenco"/>
        <w:numPr>
          <w:ilvl w:val="0"/>
          <w:numId w:val="16"/>
        </w:numPr>
        <w:spacing w:before="60" w:after="60"/>
      </w:pPr>
      <w:r>
        <w:rPr>
          <w:rFonts w:ascii="Titillium" w:hAnsi="Titillium" w:cs="Calibri"/>
          <w:sz w:val="18"/>
          <w:szCs w:val="18"/>
        </w:rPr>
        <w:t>DGUE</w:t>
      </w:r>
    </w:p>
    <w:p w14:paraId="57B88259" w14:textId="39BAD21A" w:rsidR="00A2786D" w:rsidRDefault="00A2786D" w:rsidP="00A2786D">
      <w:pPr>
        <w:pStyle w:val="Paragrafoelenco"/>
        <w:numPr>
          <w:ilvl w:val="0"/>
          <w:numId w:val="16"/>
        </w:numPr>
        <w:spacing w:before="60" w:after="60"/>
      </w:pPr>
      <w:r>
        <w:rPr>
          <w:rFonts w:ascii="Titillium" w:hAnsi="Titillium" w:cs="Calibri"/>
          <w:sz w:val="18"/>
          <w:szCs w:val="18"/>
        </w:rPr>
        <w:t>eventuale procura;</w:t>
      </w:r>
    </w:p>
    <w:p w14:paraId="751A2693" w14:textId="76582EC9" w:rsidR="00A2786D" w:rsidRDefault="00A2786D" w:rsidP="00A2786D">
      <w:pPr>
        <w:pStyle w:val="Paragrafoelenco"/>
        <w:numPr>
          <w:ilvl w:val="0"/>
          <w:numId w:val="16"/>
        </w:numPr>
        <w:spacing w:before="60" w:after="60"/>
      </w:pPr>
      <w:r>
        <w:rPr>
          <w:rFonts w:ascii="Titillium" w:hAnsi="Titillium"/>
          <w:sz w:val="18"/>
          <w:szCs w:val="18"/>
        </w:rPr>
        <w:t>garanzia provvisoria</w:t>
      </w:r>
      <w:r>
        <w:rPr>
          <w:rFonts w:ascii="Titillium" w:hAnsi="Titillium" w:cs="Calibri"/>
          <w:sz w:val="18"/>
          <w:szCs w:val="18"/>
        </w:rPr>
        <w:t>;</w:t>
      </w:r>
    </w:p>
    <w:p w14:paraId="43387029" w14:textId="1FC66708" w:rsidR="00A2786D" w:rsidRDefault="00A2786D" w:rsidP="00A2786D">
      <w:pPr>
        <w:pStyle w:val="Paragrafoelenco"/>
        <w:numPr>
          <w:ilvl w:val="0"/>
          <w:numId w:val="16"/>
        </w:numPr>
        <w:spacing w:before="60" w:after="60"/>
      </w:pPr>
      <w:proofErr w:type="spellStart"/>
      <w:r>
        <w:rPr>
          <w:rFonts w:ascii="Titillium" w:hAnsi="Titillium" w:cs="Calibri"/>
          <w:sz w:val="18"/>
          <w:szCs w:val="18"/>
        </w:rPr>
        <w:t>PASSoe</w:t>
      </w:r>
      <w:proofErr w:type="spellEnd"/>
      <w:r w:rsidR="00371721">
        <w:rPr>
          <w:rFonts w:ascii="Titillium" w:hAnsi="Titillium" w:cs="Calibri"/>
          <w:sz w:val="18"/>
          <w:szCs w:val="18"/>
        </w:rPr>
        <w:t xml:space="preserve"> </w:t>
      </w:r>
      <w:r w:rsidR="00371721" w:rsidRPr="00582A6D">
        <w:rPr>
          <w:rFonts w:ascii="Titillium" w:hAnsi="Titillium" w:cs="Calibri"/>
          <w:i/>
          <w:iCs/>
          <w:sz w:val="18"/>
          <w:szCs w:val="18"/>
        </w:rPr>
        <w:t>[fino al 31 dicembre 2023]</w:t>
      </w:r>
      <w:r w:rsidRPr="00582A6D">
        <w:rPr>
          <w:rFonts w:ascii="Titillium" w:hAnsi="Titillium" w:cs="Calibri"/>
          <w:i/>
          <w:iCs/>
          <w:sz w:val="18"/>
          <w:szCs w:val="18"/>
        </w:rPr>
        <w:t>,</w:t>
      </w:r>
      <w:r>
        <w:rPr>
          <w:rFonts w:ascii="Titillium" w:hAnsi="Titillium" w:cs="Calibri"/>
          <w:sz w:val="18"/>
          <w:szCs w:val="18"/>
        </w:rPr>
        <w:t xml:space="preserve"> </w:t>
      </w:r>
    </w:p>
    <w:p w14:paraId="6733A511" w14:textId="15024222" w:rsidR="00A2786D" w:rsidRDefault="00A2786D" w:rsidP="00A2786D">
      <w:pPr>
        <w:pStyle w:val="Paragrafoelenco"/>
        <w:numPr>
          <w:ilvl w:val="0"/>
          <w:numId w:val="16"/>
        </w:numPr>
        <w:spacing w:before="60" w:after="60"/>
        <w:rPr>
          <w:rFonts w:ascii="Titillium" w:hAnsi="Titillium" w:cs="Calibri"/>
          <w:sz w:val="18"/>
          <w:szCs w:val="18"/>
        </w:rPr>
      </w:pPr>
      <w:r>
        <w:rPr>
          <w:rFonts w:ascii="Titillium" w:hAnsi="Titillium" w:cs="Calibri"/>
          <w:sz w:val="18"/>
          <w:szCs w:val="18"/>
        </w:rPr>
        <w:t xml:space="preserve">documentazione in caso di avvalimento di cui al punto </w:t>
      </w:r>
      <w:r w:rsidR="00336095">
        <w:rPr>
          <w:rFonts w:ascii="Titillium" w:hAnsi="Titillium" w:cs="Calibri"/>
          <w:sz w:val="18"/>
          <w:szCs w:val="18"/>
        </w:rPr>
        <w:fldChar w:fldCharType="begin"/>
      </w:r>
      <w:r w:rsidR="00336095">
        <w:rPr>
          <w:rFonts w:ascii="Titillium" w:hAnsi="Titillium" w:cs="Calibri"/>
          <w:sz w:val="18"/>
          <w:szCs w:val="18"/>
        </w:rPr>
        <w:instrText xml:space="preserve"> REF _Ref132054207 \r \h </w:instrText>
      </w:r>
      <w:r w:rsidR="00336095">
        <w:rPr>
          <w:rFonts w:ascii="Titillium" w:hAnsi="Titillium" w:cs="Calibri"/>
          <w:sz w:val="18"/>
          <w:szCs w:val="18"/>
        </w:rPr>
      </w:r>
      <w:r w:rsidR="00336095">
        <w:rPr>
          <w:rFonts w:ascii="Titillium" w:hAnsi="Titillium" w:cs="Calibri"/>
          <w:sz w:val="18"/>
          <w:szCs w:val="18"/>
        </w:rPr>
        <w:fldChar w:fldCharType="separate"/>
      </w:r>
      <w:r w:rsidR="00527049">
        <w:rPr>
          <w:rFonts w:ascii="Titillium" w:hAnsi="Titillium" w:cs="Calibri"/>
          <w:sz w:val="18"/>
          <w:szCs w:val="18"/>
        </w:rPr>
        <w:t>15.3</w:t>
      </w:r>
      <w:r w:rsidR="00336095">
        <w:rPr>
          <w:rFonts w:ascii="Titillium" w:hAnsi="Titillium" w:cs="Calibri"/>
          <w:sz w:val="18"/>
          <w:szCs w:val="18"/>
        </w:rPr>
        <w:fldChar w:fldCharType="end"/>
      </w:r>
      <w:r>
        <w:rPr>
          <w:rFonts w:ascii="Titillium" w:hAnsi="Titillium" w:cs="Calibri"/>
          <w:sz w:val="18"/>
          <w:szCs w:val="18"/>
        </w:rPr>
        <w:t>;</w:t>
      </w:r>
    </w:p>
    <w:p w14:paraId="435064A7" w14:textId="7C9B63CE" w:rsidR="00A2786D" w:rsidRDefault="00A2786D" w:rsidP="00A2786D">
      <w:pPr>
        <w:pStyle w:val="Paragrafoelenco"/>
        <w:numPr>
          <w:ilvl w:val="0"/>
          <w:numId w:val="16"/>
        </w:numPr>
        <w:spacing w:before="60" w:after="60"/>
      </w:pPr>
      <w:r>
        <w:rPr>
          <w:rFonts w:ascii="Titillium" w:hAnsi="Titillium" w:cs="Calibri"/>
          <w:sz w:val="18"/>
          <w:szCs w:val="18"/>
        </w:rPr>
        <w:t xml:space="preserve">documentazione per i soggetti associati di cui al punto </w:t>
      </w:r>
      <w:r w:rsidR="00336095">
        <w:rPr>
          <w:rFonts w:ascii="Titillium" w:hAnsi="Titillium" w:cs="Calibri"/>
          <w:sz w:val="18"/>
          <w:szCs w:val="18"/>
        </w:rPr>
        <w:fldChar w:fldCharType="begin"/>
      </w:r>
      <w:r w:rsidR="00336095">
        <w:rPr>
          <w:rFonts w:ascii="Titillium" w:hAnsi="Titillium" w:cs="Calibri"/>
          <w:sz w:val="18"/>
          <w:szCs w:val="18"/>
        </w:rPr>
        <w:instrText xml:space="preserve"> REF _Ref498427979 \r \h </w:instrText>
      </w:r>
      <w:r w:rsidR="00336095">
        <w:rPr>
          <w:rFonts w:ascii="Titillium" w:hAnsi="Titillium" w:cs="Calibri"/>
          <w:sz w:val="18"/>
          <w:szCs w:val="18"/>
        </w:rPr>
      </w:r>
      <w:r w:rsidR="00336095">
        <w:rPr>
          <w:rFonts w:ascii="Titillium" w:hAnsi="Titillium" w:cs="Calibri"/>
          <w:sz w:val="18"/>
          <w:szCs w:val="18"/>
        </w:rPr>
        <w:fldChar w:fldCharType="separate"/>
      </w:r>
      <w:r w:rsidR="00527049">
        <w:rPr>
          <w:rFonts w:ascii="Titillium" w:hAnsi="Titillium" w:cs="Calibri"/>
          <w:sz w:val="18"/>
          <w:szCs w:val="18"/>
        </w:rPr>
        <w:t>15.4</w:t>
      </w:r>
      <w:r w:rsidR="00336095">
        <w:rPr>
          <w:rFonts w:ascii="Titillium" w:hAnsi="Titillium" w:cs="Calibri"/>
          <w:sz w:val="18"/>
          <w:szCs w:val="18"/>
        </w:rPr>
        <w:fldChar w:fldCharType="end"/>
      </w:r>
      <w:r>
        <w:rPr>
          <w:rFonts w:ascii="Titillium" w:hAnsi="Titillium" w:cs="Calibri"/>
          <w:sz w:val="18"/>
          <w:szCs w:val="18"/>
        </w:rPr>
        <w:t>;</w:t>
      </w:r>
    </w:p>
    <w:p w14:paraId="7E322E96" w14:textId="786518AE" w:rsidR="00A2786D" w:rsidRPr="00DA0D73" w:rsidRDefault="00A2786D" w:rsidP="00A2786D">
      <w:pPr>
        <w:pStyle w:val="Paragrafoelenco"/>
        <w:numPr>
          <w:ilvl w:val="0"/>
          <w:numId w:val="16"/>
        </w:numPr>
        <w:spacing w:before="60" w:after="60"/>
      </w:pPr>
      <w:r w:rsidRPr="00331144">
        <w:rPr>
          <w:rFonts w:ascii="Titillium" w:hAnsi="Titillium" w:cs="Calibri"/>
          <w:b/>
          <w:i/>
          <w:sz w:val="18"/>
          <w:szCs w:val="18"/>
        </w:rPr>
        <w:t>[</w:t>
      </w:r>
      <w:r w:rsidR="00DB7924">
        <w:rPr>
          <w:rFonts w:ascii="Titillium" w:hAnsi="Titillium" w:cs="Calibri"/>
          <w:b/>
          <w:bCs/>
          <w:i/>
          <w:iCs/>
          <w:sz w:val="18"/>
          <w:szCs w:val="18"/>
        </w:rPr>
        <w:t>Se previsti altri documenti</w:t>
      </w:r>
      <w:r w:rsidRPr="00331144">
        <w:rPr>
          <w:rFonts w:ascii="Titillium" w:hAnsi="Titillium" w:cs="Calibri"/>
          <w:b/>
          <w:i/>
          <w:sz w:val="18"/>
          <w:szCs w:val="18"/>
        </w:rPr>
        <w:t>]</w:t>
      </w:r>
      <w:r>
        <w:rPr>
          <w:rFonts w:ascii="Titillium" w:hAnsi="Titillium" w:cs="Calibri"/>
          <w:sz w:val="18"/>
          <w:szCs w:val="18"/>
        </w:rPr>
        <w:t xml:space="preserve"> </w:t>
      </w:r>
      <w:r w:rsidR="00DB7924">
        <w:rPr>
          <w:rFonts w:ascii="Titillium" w:hAnsi="Titillium" w:cs="Calibri"/>
          <w:sz w:val="18"/>
          <w:szCs w:val="18"/>
        </w:rPr>
        <w:t>…</w:t>
      </w:r>
      <w:r>
        <w:rPr>
          <w:rFonts w:ascii="Titillium" w:hAnsi="Titillium" w:cs="Calibri"/>
          <w:sz w:val="18"/>
          <w:szCs w:val="18"/>
        </w:rPr>
        <w:t xml:space="preserve"> [</w:t>
      </w:r>
      <w:r>
        <w:rPr>
          <w:rFonts w:ascii="Titillium" w:hAnsi="Titillium" w:cs="Calibri"/>
          <w:i/>
          <w:iCs/>
          <w:sz w:val="18"/>
          <w:szCs w:val="18"/>
        </w:rPr>
        <w:t>indicare gli altri documenti previsti in relazione alla specificità dell’affidamento</w:t>
      </w:r>
      <w:r w:rsidR="00DB7924">
        <w:rPr>
          <w:rFonts w:ascii="Titillium" w:hAnsi="Titillium" w:cs="Calibri"/>
          <w:i/>
          <w:iCs/>
          <w:sz w:val="18"/>
          <w:szCs w:val="18"/>
        </w:rPr>
        <w:t>, diversi da quelli già in possesso</w:t>
      </w:r>
      <w:r>
        <w:rPr>
          <w:rFonts w:ascii="Titillium" w:hAnsi="Titillium" w:cs="Calibri"/>
          <w:sz w:val="18"/>
          <w:szCs w:val="18"/>
        </w:rPr>
        <w:t>]</w:t>
      </w:r>
    </w:p>
    <w:p w14:paraId="609FC022" w14:textId="133E6A1C" w:rsidR="00DB7699" w:rsidRDefault="00DB7699" w:rsidP="00A2786D">
      <w:pPr>
        <w:spacing w:before="60" w:after="60" w:line="240" w:lineRule="auto"/>
        <w:ind w:left="360"/>
        <w:rPr>
          <w:rFonts w:ascii="Titillium" w:hAnsi="Titillium" w:cs="Arial"/>
          <w:b/>
          <w:bCs/>
          <w:i/>
          <w:sz w:val="18"/>
          <w:szCs w:val="18"/>
        </w:rPr>
      </w:pPr>
    </w:p>
    <w:p w14:paraId="66321B1D" w14:textId="6CF483F7" w:rsidR="00A2786D" w:rsidRPr="00243A6C" w:rsidRDefault="00A2786D" w:rsidP="00A2786D">
      <w:pPr>
        <w:spacing w:before="60" w:after="60" w:line="240" w:lineRule="auto"/>
        <w:ind w:left="360"/>
        <w:rPr>
          <w:rFonts w:ascii="Titillium" w:hAnsi="Titillium"/>
          <w:sz w:val="18"/>
          <w:szCs w:val="18"/>
          <w:shd w:val="clear" w:color="auto" w:fill="FFFFFF"/>
        </w:rPr>
      </w:pPr>
      <w:r w:rsidRPr="00243A6C">
        <w:rPr>
          <w:rFonts w:ascii="Titillium" w:hAnsi="Titillium" w:cs="Arial"/>
          <w:b/>
          <w:bCs/>
          <w:i/>
          <w:sz w:val="18"/>
          <w:szCs w:val="18"/>
        </w:rPr>
        <w:t>[</w:t>
      </w:r>
      <w:r w:rsidR="00DB7924">
        <w:rPr>
          <w:rFonts w:ascii="Titillium" w:hAnsi="Titillium" w:cs="Arial"/>
          <w:b/>
          <w:bCs/>
          <w:i/>
          <w:sz w:val="18"/>
          <w:szCs w:val="18"/>
        </w:rPr>
        <w:t>P</w:t>
      </w:r>
      <w:r w:rsidRPr="00243A6C">
        <w:rPr>
          <w:rFonts w:ascii="Titillium" w:hAnsi="Titillium" w:cs="Arial"/>
          <w:b/>
          <w:bCs/>
          <w:i/>
          <w:sz w:val="18"/>
          <w:szCs w:val="18"/>
        </w:rPr>
        <w:t xml:space="preserve">er le procedure di gara </w:t>
      </w:r>
      <w:r w:rsidR="00922227" w:rsidRPr="00922227">
        <w:rPr>
          <w:rFonts w:ascii="Titillium" w:hAnsi="Titillium" w:cs="Arial"/>
          <w:b/>
          <w:bCs/>
          <w:i/>
          <w:sz w:val="18"/>
          <w:szCs w:val="18"/>
        </w:rPr>
        <w:t>riservate ai sensi dell’articolo 61 del codice e</w:t>
      </w:r>
      <w:r w:rsidR="00582A6D">
        <w:rPr>
          <w:rFonts w:ascii="Titillium" w:hAnsi="Titillium" w:cs="Arial"/>
          <w:b/>
          <w:bCs/>
          <w:i/>
          <w:sz w:val="18"/>
          <w:szCs w:val="18"/>
        </w:rPr>
        <w:t>/o</w:t>
      </w:r>
      <w:r w:rsidR="00922227" w:rsidRPr="00922227">
        <w:rPr>
          <w:rFonts w:ascii="Titillium" w:hAnsi="Titillium" w:cs="Arial"/>
          <w:b/>
          <w:bCs/>
          <w:i/>
          <w:sz w:val="18"/>
          <w:szCs w:val="18"/>
        </w:rPr>
        <w:t xml:space="preserve"> per quelle </w:t>
      </w:r>
      <w:r w:rsidRPr="00243A6C">
        <w:rPr>
          <w:rFonts w:ascii="Titillium" w:hAnsi="Titillium" w:cs="Arial"/>
          <w:b/>
          <w:bCs/>
          <w:i/>
          <w:sz w:val="18"/>
          <w:szCs w:val="18"/>
        </w:rPr>
        <w:t xml:space="preserve">afferenti </w:t>
      </w:r>
      <w:r w:rsidR="00E510F1" w:rsidRPr="00243A6C">
        <w:rPr>
          <w:rFonts w:ascii="Titillium" w:hAnsi="Titillium" w:cs="Arial"/>
          <w:b/>
          <w:bCs/>
          <w:i/>
          <w:sz w:val="18"/>
          <w:szCs w:val="18"/>
        </w:rPr>
        <w:t>a</w:t>
      </w:r>
      <w:r w:rsidRPr="00243A6C">
        <w:rPr>
          <w:rFonts w:ascii="Titillium" w:hAnsi="Titillium" w:cs="Arial"/>
          <w:b/>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243A6C">
        <w:rPr>
          <w:rFonts w:ascii="Titillium" w:hAnsi="Titillium" w:cs="Courier New"/>
          <w:b/>
          <w:i/>
          <w:sz w:val="18"/>
          <w:szCs w:val="18"/>
        </w:rPr>
        <w:t>decreto legge 31 maggio 2021, n. 77, convertito, con modificazioni, dalla legge 29 luglio 2021, n. 108</w:t>
      </w:r>
      <w:r w:rsidRPr="00243A6C">
        <w:rPr>
          <w:rFonts w:ascii="Titillium" w:hAnsi="Titillium" w:cs="Arial"/>
          <w:b/>
          <w:bCs/>
          <w:i/>
          <w:sz w:val="18"/>
          <w:szCs w:val="18"/>
        </w:rPr>
        <w:t>]</w:t>
      </w:r>
    </w:p>
    <w:p w14:paraId="7AAF4D06" w14:textId="4A0C4C39" w:rsidR="00432F75" w:rsidRPr="00432F75" w:rsidRDefault="00432F75" w:rsidP="00DC299E">
      <w:pPr>
        <w:pStyle w:val="Paragrafoelenco"/>
        <w:numPr>
          <w:ilvl w:val="0"/>
          <w:numId w:val="16"/>
        </w:numPr>
        <w:rPr>
          <w:rFonts w:ascii="Titillium" w:hAnsi="Titillium"/>
          <w:sz w:val="18"/>
          <w:szCs w:val="18"/>
          <w:shd w:val="clear" w:color="auto" w:fill="FFFFFF"/>
        </w:rPr>
      </w:pPr>
      <w:r w:rsidRPr="00432F75">
        <w:rPr>
          <w:rFonts w:ascii="Titillium" w:hAnsi="Titillium" w:cs="Calibri"/>
          <w:sz w:val="18"/>
          <w:szCs w:val="18"/>
        </w:rPr>
        <w:t>Per gli</w:t>
      </w:r>
      <w:r w:rsidR="00E510F1" w:rsidRPr="00432F75">
        <w:rPr>
          <w:rFonts w:ascii="Titillium" w:hAnsi="Titillium" w:cs="Calibri"/>
          <w:sz w:val="18"/>
          <w:szCs w:val="18"/>
        </w:rPr>
        <w:t xml:space="preserve"> operatori economici che occupano oltre cinquanta dipendenti</w:t>
      </w:r>
      <w:r w:rsidRPr="00432F75">
        <w:rPr>
          <w:rFonts w:ascii="Titillium" w:hAnsi="Titillium" w:cs="Calibri"/>
          <w:sz w:val="18"/>
          <w:szCs w:val="18"/>
        </w:rPr>
        <w:t>:</w:t>
      </w:r>
      <w:r>
        <w:rPr>
          <w:rFonts w:ascii="Titillium" w:hAnsi="Titillium" w:cs="Calibri"/>
          <w:sz w:val="18"/>
          <w:szCs w:val="18"/>
        </w:rPr>
        <w:t xml:space="preserve"> </w:t>
      </w:r>
      <w:r w:rsidRPr="00432F75">
        <w:rPr>
          <w:rFonts w:ascii="Titillium" w:hAnsi="Titillium" w:cs="Calibri"/>
          <w:sz w:val="18"/>
          <w:szCs w:val="18"/>
        </w:rPr>
        <w:t xml:space="preserve">copia dell'ultimo rapporto periodico sulla situazione del personale </w:t>
      </w:r>
      <w:r w:rsidRPr="00432F75">
        <w:rPr>
          <w:rFonts w:ascii="Titillium" w:hAnsi="Titillium" w:cs="Courier New"/>
          <w:sz w:val="18"/>
          <w:szCs w:val="18"/>
        </w:rPr>
        <w:t xml:space="preserve">maschile e femminile redatto ai sensi dell’articolo 46 del </w:t>
      </w:r>
      <w:r w:rsidR="00DB7924">
        <w:rPr>
          <w:rFonts w:ascii="Titillium" w:hAnsi="Titillium" w:cs="Courier New"/>
          <w:sz w:val="18"/>
          <w:szCs w:val="18"/>
        </w:rPr>
        <w:t>decreto legislativo n.</w:t>
      </w:r>
      <w:r w:rsidRPr="00432F75">
        <w:rPr>
          <w:rFonts w:ascii="Titillium" w:hAnsi="Titillium" w:cs="Courier New"/>
          <w:sz w:val="18"/>
          <w:szCs w:val="18"/>
        </w:rPr>
        <w:t xml:space="preserve"> 198/2006,</w:t>
      </w:r>
      <w:r w:rsidRPr="00432F75">
        <w:rPr>
          <w:rFonts w:ascii="Titillium" w:hAnsi="Titillium" w:cs="Calibri"/>
          <w:sz w:val="18"/>
          <w:szCs w:val="18"/>
        </w:rPr>
        <w:t xml:space="preserve"> </w:t>
      </w:r>
      <w:r w:rsidRPr="00432F75">
        <w:rPr>
          <w:rFonts w:ascii="Titillium" w:hAnsi="Titillium" w:cs="Calibri"/>
          <w:sz w:val="18"/>
          <w:szCs w:val="18"/>
        </w:rPr>
        <w:lastRenderedPageBreak/>
        <w:t>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consigliere regionale di parità.</w:t>
      </w:r>
    </w:p>
    <w:p w14:paraId="113B8A6B" w14:textId="0BAB2710" w:rsidR="004C53A8" w:rsidRDefault="00870286" w:rsidP="00084AD6">
      <w:pPr>
        <w:pStyle w:val="Titolo3"/>
        <w:numPr>
          <w:ilvl w:val="1"/>
          <w:numId w:val="4"/>
        </w:numPr>
        <w:ind w:left="426" w:hanging="426"/>
      </w:pPr>
      <w:bookmarkStart w:id="1817" w:name="_Toc497728162"/>
      <w:bookmarkStart w:id="1818" w:name="_Toc497484964"/>
      <w:bookmarkStart w:id="1819" w:name="_Toc498419754"/>
      <w:bookmarkStart w:id="1820" w:name="_Toc497831556"/>
      <w:bookmarkStart w:id="1821" w:name="_Toc497728161"/>
      <w:bookmarkStart w:id="1822" w:name="_Toc497484963"/>
      <w:bookmarkStart w:id="1823" w:name="_Toc498419755"/>
      <w:bookmarkStart w:id="1824" w:name="_Toc497831557"/>
      <w:bookmarkEnd w:id="1817"/>
      <w:bookmarkEnd w:id="1818"/>
      <w:bookmarkEnd w:id="1819"/>
      <w:bookmarkEnd w:id="1820"/>
      <w:bookmarkEnd w:id="1821"/>
      <w:bookmarkEnd w:id="1822"/>
      <w:bookmarkEnd w:id="1823"/>
      <w:bookmarkEnd w:id="1824"/>
      <w:r>
        <w:rPr>
          <w:rFonts w:ascii="Titillium" w:hAnsi="Titillium"/>
          <w:sz w:val="18"/>
          <w:szCs w:val="18"/>
          <w:lang w:val="it-IT"/>
        </w:rPr>
        <w:t xml:space="preserve"> </w:t>
      </w:r>
      <w:bookmarkStart w:id="1825" w:name="_Ref129785861"/>
      <w:bookmarkStart w:id="1826" w:name="_Ref129789908"/>
      <w:bookmarkStart w:id="1827" w:name="_Toc139549438"/>
      <w:r w:rsidR="004C667D">
        <w:rPr>
          <w:rFonts w:ascii="Titillium" w:hAnsi="Titillium"/>
          <w:caps w:val="0"/>
          <w:sz w:val="18"/>
          <w:szCs w:val="18"/>
          <w:lang w:val="it-IT"/>
        </w:rPr>
        <w:t>DOMANDA DI PARTECIPAZIONE ED EVENTUALE PROCURA</w:t>
      </w:r>
      <w:bookmarkEnd w:id="1825"/>
      <w:bookmarkEnd w:id="1826"/>
      <w:bookmarkEnd w:id="1827"/>
      <w:r w:rsidR="004C667D">
        <w:rPr>
          <w:rFonts w:ascii="Titillium" w:hAnsi="Titillium"/>
          <w:caps w:val="0"/>
          <w:sz w:val="18"/>
          <w:szCs w:val="18"/>
          <w:lang w:val="it-IT"/>
        </w:rPr>
        <w:t xml:space="preserve"> </w:t>
      </w:r>
    </w:p>
    <w:p w14:paraId="1325AE0E" w14:textId="04E2FD58" w:rsidR="00DA0D73" w:rsidRPr="00DA0D73" w:rsidRDefault="00870286" w:rsidP="00740C13">
      <w:pPr>
        <w:spacing w:before="60" w:after="60"/>
        <w:rPr>
          <w:rFonts w:ascii="Titillium" w:hAnsi="Titillium" w:cs="Calibri"/>
          <w:iCs/>
          <w:sz w:val="18"/>
          <w:szCs w:val="18"/>
          <w:highlight w:val="cyan"/>
        </w:rPr>
      </w:pPr>
      <w:r>
        <w:rPr>
          <w:rFonts w:ascii="Titillium" w:hAnsi="Titillium" w:cs="Calibri"/>
          <w:sz w:val="18"/>
          <w:szCs w:val="18"/>
        </w:rPr>
        <w:t xml:space="preserve">La domanda di partecipazione </w:t>
      </w:r>
      <w:r w:rsidR="005A5710" w:rsidRPr="00480CC4">
        <w:rPr>
          <w:rFonts w:ascii="Titillium" w:hAnsi="Titillium" w:cs="Calibri"/>
          <w:sz w:val="18"/>
          <w:szCs w:val="18"/>
        </w:rPr>
        <w:t>è</w:t>
      </w:r>
      <w:r w:rsidRPr="00480CC4">
        <w:rPr>
          <w:rFonts w:ascii="Titillium" w:hAnsi="Titillium" w:cs="Calibri"/>
          <w:sz w:val="18"/>
          <w:szCs w:val="18"/>
        </w:rPr>
        <w:t xml:space="preserve"> redatta secondo il modello di cui all’allegato n. ….</w:t>
      </w:r>
      <w:r w:rsidR="00C7509A" w:rsidRPr="00480CC4">
        <w:rPr>
          <w:rFonts w:ascii="Titillium" w:hAnsi="Titillium" w:cs="Calibri"/>
          <w:i/>
          <w:sz w:val="18"/>
          <w:szCs w:val="18"/>
        </w:rPr>
        <w:t xml:space="preserve"> [inserire]</w:t>
      </w:r>
      <w:r w:rsidR="005A5710" w:rsidRPr="00480CC4">
        <w:rPr>
          <w:rFonts w:ascii="Titillium" w:hAnsi="Titillium" w:cs="Calibri"/>
          <w:i/>
          <w:sz w:val="18"/>
          <w:szCs w:val="18"/>
        </w:rPr>
        <w:t xml:space="preserve"> [</w:t>
      </w:r>
      <w:r w:rsidR="005A5710" w:rsidRPr="00480CC4">
        <w:rPr>
          <w:rFonts w:ascii="Titillium" w:hAnsi="Titillium" w:cs="Calibri"/>
          <w:b/>
          <w:i/>
          <w:sz w:val="18"/>
          <w:szCs w:val="18"/>
        </w:rPr>
        <w:t>o in alternativa</w:t>
      </w:r>
      <w:r w:rsidR="00E16A9E">
        <w:rPr>
          <w:rFonts w:ascii="Titillium" w:hAnsi="Titillium" w:cs="Calibri"/>
          <w:b/>
          <w:i/>
          <w:sz w:val="18"/>
          <w:szCs w:val="18"/>
        </w:rPr>
        <w:t>]</w:t>
      </w:r>
      <w:r w:rsidR="005A5710" w:rsidRPr="00480CC4">
        <w:rPr>
          <w:rFonts w:ascii="Titillium" w:hAnsi="Titillium" w:cs="Calibri"/>
          <w:i/>
          <w:sz w:val="18"/>
          <w:szCs w:val="18"/>
        </w:rPr>
        <w:t xml:space="preserve"> è </w:t>
      </w:r>
      <w:r w:rsidR="005A5710" w:rsidRPr="00DA0D73">
        <w:rPr>
          <w:rFonts w:ascii="Titillium" w:hAnsi="Titillium" w:cs="Calibri"/>
          <w:iCs/>
          <w:sz w:val="18"/>
          <w:szCs w:val="18"/>
        </w:rPr>
        <w:t>compilata online sulla Piattaforma</w:t>
      </w:r>
      <w:r w:rsidR="00C7509A" w:rsidRPr="00DA0D73">
        <w:rPr>
          <w:rFonts w:ascii="Titillium" w:hAnsi="Titillium" w:cs="Calibri"/>
          <w:iCs/>
          <w:sz w:val="18"/>
          <w:szCs w:val="18"/>
        </w:rPr>
        <w:t>.</w:t>
      </w:r>
    </w:p>
    <w:p w14:paraId="6C0A2E12" w14:textId="7849B7BB" w:rsidR="003A475A" w:rsidRPr="00CF5BC6" w:rsidRDefault="00CF5BC6" w:rsidP="00740C13">
      <w:pPr>
        <w:spacing w:before="60" w:after="60"/>
        <w:rPr>
          <w:rFonts w:ascii="Titillium" w:hAnsi="Titillium" w:cs="Calibri"/>
          <w:sz w:val="18"/>
          <w:szCs w:val="18"/>
        </w:rPr>
      </w:pPr>
      <w:r w:rsidRPr="00E16A9E">
        <w:rPr>
          <w:rFonts w:ascii="Titillium" w:hAnsi="Titillium" w:cs="Calibri"/>
          <w:sz w:val="18"/>
          <w:szCs w:val="18"/>
        </w:rPr>
        <w:t xml:space="preserve">Le </w:t>
      </w:r>
      <w:r w:rsidR="007849A4" w:rsidRPr="00E16A9E">
        <w:rPr>
          <w:rFonts w:ascii="Titillium" w:hAnsi="Titillium" w:cs="Calibri"/>
          <w:sz w:val="18"/>
          <w:szCs w:val="18"/>
        </w:rPr>
        <w:t>dichiarazioni in ordine al</w:t>
      </w:r>
      <w:r w:rsidR="00121CDF" w:rsidRPr="00E16A9E">
        <w:rPr>
          <w:rFonts w:ascii="Titillium" w:hAnsi="Titillium" w:cs="Calibri"/>
          <w:sz w:val="18"/>
          <w:szCs w:val="18"/>
        </w:rPr>
        <w:t>l’insussistenza</w:t>
      </w:r>
      <w:r w:rsidR="007849A4" w:rsidRPr="00E16A9E">
        <w:rPr>
          <w:rFonts w:ascii="Titillium" w:hAnsi="Titillium" w:cs="Calibri"/>
          <w:sz w:val="18"/>
          <w:szCs w:val="18"/>
        </w:rPr>
        <w:t xml:space="preserve"> de</w:t>
      </w:r>
      <w:r w:rsidR="00121CDF" w:rsidRPr="00E16A9E">
        <w:rPr>
          <w:rFonts w:ascii="Titillium" w:hAnsi="Titillium" w:cs="Calibri"/>
          <w:sz w:val="18"/>
          <w:szCs w:val="18"/>
        </w:rPr>
        <w:t>lle cause automatiche di esclusione di cui all’articolo 94</w:t>
      </w:r>
      <w:r w:rsidRPr="00E16A9E">
        <w:rPr>
          <w:rFonts w:ascii="Titillium" w:hAnsi="Titillium" w:cs="Calibri"/>
          <w:sz w:val="18"/>
          <w:szCs w:val="18"/>
        </w:rPr>
        <w:t xml:space="preserve"> commi 1 e 2 del</w:t>
      </w:r>
      <w:r w:rsidR="00121CDF" w:rsidRPr="00E16A9E">
        <w:rPr>
          <w:rFonts w:ascii="Titillium" w:hAnsi="Titillium" w:cs="Calibri"/>
          <w:sz w:val="18"/>
          <w:szCs w:val="18"/>
        </w:rPr>
        <w:t xml:space="preserve"> </w:t>
      </w:r>
      <w:r w:rsidR="00116F1A">
        <w:rPr>
          <w:rFonts w:ascii="Titillium" w:hAnsi="Titillium" w:cs="Calibri"/>
          <w:sz w:val="18"/>
          <w:szCs w:val="18"/>
        </w:rPr>
        <w:t>C</w:t>
      </w:r>
      <w:r w:rsidR="00121CDF" w:rsidRPr="00E16A9E">
        <w:rPr>
          <w:rFonts w:ascii="Titillium" w:hAnsi="Titillium" w:cs="Calibri"/>
          <w:sz w:val="18"/>
          <w:szCs w:val="18"/>
        </w:rPr>
        <w:t>odice</w:t>
      </w:r>
      <w:r w:rsidR="007849A4" w:rsidRPr="00CF5BC6">
        <w:rPr>
          <w:rFonts w:ascii="Titillium" w:hAnsi="Titillium" w:cs="Calibri"/>
          <w:sz w:val="18"/>
          <w:szCs w:val="18"/>
        </w:rPr>
        <w:t xml:space="preserve"> sono rese</w:t>
      </w:r>
      <w:r>
        <w:rPr>
          <w:rFonts w:ascii="Titillium" w:hAnsi="Titillium" w:cs="Calibri"/>
          <w:sz w:val="18"/>
          <w:szCs w:val="18"/>
        </w:rPr>
        <w:t xml:space="preserve"> dall’operatore economico</w:t>
      </w:r>
      <w:r w:rsidR="007849A4" w:rsidRPr="00CF5BC6">
        <w:rPr>
          <w:rFonts w:ascii="Titillium" w:hAnsi="Titillium" w:cs="Calibri"/>
          <w:sz w:val="18"/>
          <w:szCs w:val="18"/>
        </w:rPr>
        <w:t xml:space="preserve"> in relazione a tutti i soggetti indicati al comma 3</w:t>
      </w:r>
      <w:r w:rsidR="001E62AF" w:rsidRPr="00CF5BC6">
        <w:rPr>
          <w:rFonts w:ascii="Titillium" w:hAnsi="Titillium" w:cs="Calibri"/>
          <w:sz w:val="18"/>
          <w:szCs w:val="18"/>
        </w:rPr>
        <w:t xml:space="preserve">. </w:t>
      </w:r>
    </w:p>
    <w:p w14:paraId="0A621FEC" w14:textId="3F1A6629" w:rsidR="00121CDF" w:rsidRPr="00CF5BC6" w:rsidRDefault="00121CDF" w:rsidP="00740C13">
      <w:pPr>
        <w:spacing w:before="60" w:after="60"/>
        <w:rPr>
          <w:rFonts w:ascii="Titillium" w:hAnsi="Titillium" w:cs="Calibri"/>
          <w:sz w:val="18"/>
          <w:szCs w:val="18"/>
        </w:rPr>
      </w:pPr>
      <w:r w:rsidRPr="00CF5BC6">
        <w:rPr>
          <w:rFonts w:ascii="Titillium" w:hAnsi="Titillium" w:cs="Calibri"/>
          <w:sz w:val="18"/>
          <w:szCs w:val="18"/>
        </w:rPr>
        <w:t xml:space="preserve">Le dichiarazioni in ordine all’insussistenza delle cause non automatiche di esclusione di cui all’articolo 98, comma 4, lettere g) ed h) del </w:t>
      </w:r>
      <w:r w:rsidR="00116F1A">
        <w:rPr>
          <w:rFonts w:ascii="Titillium" w:hAnsi="Titillium" w:cs="Calibri"/>
          <w:sz w:val="18"/>
          <w:szCs w:val="18"/>
        </w:rPr>
        <w:t>C</w:t>
      </w:r>
      <w:r w:rsidRPr="00CF5BC6">
        <w:rPr>
          <w:rFonts w:ascii="Titillium" w:hAnsi="Titillium" w:cs="Calibri"/>
          <w:sz w:val="18"/>
          <w:szCs w:val="18"/>
        </w:rPr>
        <w:t xml:space="preserve">odice sono rese </w:t>
      </w:r>
      <w:r w:rsidR="00CF5BC6">
        <w:rPr>
          <w:rFonts w:ascii="Titillium" w:hAnsi="Titillium" w:cs="Calibri"/>
          <w:sz w:val="18"/>
          <w:szCs w:val="18"/>
        </w:rPr>
        <w:t xml:space="preserve">dall’operatore economico </w:t>
      </w:r>
      <w:r w:rsidRPr="00CF5BC6">
        <w:rPr>
          <w:rFonts w:ascii="Titillium" w:hAnsi="Titillium" w:cs="Calibri"/>
          <w:sz w:val="18"/>
          <w:szCs w:val="18"/>
        </w:rPr>
        <w:t>in relazione ai soggetti di cui al punto precedente.</w:t>
      </w:r>
    </w:p>
    <w:p w14:paraId="07660907" w14:textId="2CCEB51B" w:rsidR="00121CDF" w:rsidRPr="00CF5BC6" w:rsidRDefault="00121CDF" w:rsidP="00740C13">
      <w:pPr>
        <w:spacing w:before="60" w:after="60"/>
        <w:rPr>
          <w:rFonts w:ascii="Titillium" w:hAnsi="Titillium" w:cs="Calibri"/>
          <w:sz w:val="18"/>
          <w:szCs w:val="18"/>
        </w:rPr>
      </w:pPr>
      <w:r w:rsidRPr="00CF5BC6">
        <w:rPr>
          <w:rFonts w:ascii="Titillium" w:hAnsi="Titillium" w:cs="Calibri"/>
          <w:sz w:val="18"/>
          <w:szCs w:val="18"/>
        </w:rPr>
        <w:t>Le dichiarazioni in ordine all’insussistenza delle altre cause di esclusione sono rese in relazione all’operatore economico.</w:t>
      </w:r>
    </w:p>
    <w:p w14:paraId="1CA4872C" w14:textId="370D504D" w:rsidR="00740C13" w:rsidRPr="00CF5BC6" w:rsidRDefault="008173B5" w:rsidP="00740C13">
      <w:pPr>
        <w:spacing w:before="60" w:after="60"/>
        <w:rPr>
          <w:rFonts w:ascii="Titillium" w:hAnsi="Titillium" w:cs="Calibri"/>
          <w:sz w:val="18"/>
          <w:szCs w:val="18"/>
        </w:rPr>
      </w:pPr>
      <w:r w:rsidRPr="00CF5BC6">
        <w:rPr>
          <w:rFonts w:ascii="Titillium" w:hAnsi="Titillium" w:cs="Calibri"/>
          <w:sz w:val="18"/>
          <w:szCs w:val="18"/>
        </w:rPr>
        <w:t xml:space="preserve">Con riferimento alle cause </w:t>
      </w:r>
      <w:r w:rsidR="00CF5BC6">
        <w:rPr>
          <w:rFonts w:ascii="Titillium" w:hAnsi="Titillium" w:cs="Calibri"/>
          <w:sz w:val="18"/>
          <w:szCs w:val="18"/>
        </w:rPr>
        <w:t>di esclusione</w:t>
      </w:r>
      <w:r w:rsidRPr="00CF5BC6">
        <w:rPr>
          <w:rFonts w:ascii="Titillium" w:hAnsi="Titillium" w:cs="Calibri"/>
          <w:sz w:val="18"/>
          <w:szCs w:val="18"/>
        </w:rPr>
        <w:t xml:space="preserve"> di cui all’articolo 95</w:t>
      </w:r>
      <w:r w:rsidR="00116F1A">
        <w:rPr>
          <w:rFonts w:ascii="Titillium" w:hAnsi="Titillium" w:cs="Calibri"/>
          <w:sz w:val="18"/>
          <w:szCs w:val="18"/>
        </w:rPr>
        <w:t xml:space="preserve"> del Codice</w:t>
      </w:r>
      <w:r w:rsidRPr="00CF5BC6">
        <w:rPr>
          <w:rFonts w:ascii="Titillium" w:hAnsi="Titillium" w:cs="Calibri"/>
          <w:sz w:val="18"/>
          <w:szCs w:val="18"/>
        </w:rPr>
        <w:t>, i</w:t>
      </w:r>
      <w:r w:rsidR="00740C13" w:rsidRPr="00CF5BC6">
        <w:rPr>
          <w:rFonts w:ascii="Titillium" w:hAnsi="Titillium" w:cs="Calibri"/>
          <w:sz w:val="18"/>
          <w:szCs w:val="18"/>
        </w:rPr>
        <w:t>l concorrente dichiara:</w:t>
      </w:r>
    </w:p>
    <w:p w14:paraId="7D8263F4" w14:textId="712E09FA" w:rsidR="00740C13" w:rsidRDefault="003A475A" w:rsidP="008F4959">
      <w:pPr>
        <w:pStyle w:val="Paragrafoelenco"/>
        <w:numPr>
          <w:ilvl w:val="0"/>
          <w:numId w:val="11"/>
        </w:numPr>
        <w:spacing w:before="60" w:after="60"/>
        <w:rPr>
          <w:rFonts w:ascii="Titillium" w:hAnsi="Titillium" w:cs="Calibri"/>
          <w:sz w:val="18"/>
          <w:szCs w:val="18"/>
        </w:rPr>
      </w:pPr>
      <w:r w:rsidRPr="00CF5BC6">
        <w:rPr>
          <w:rFonts w:ascii="Titillium" w:hAnsi="Titillium" w:cs="Calibri"/>
          <w:sz w:val="18"/>
          <w:szCs w:val="18"/>
        </w:rPr>
        <w:t>le</w:t>
      </w:r>
      <w:r w:rsidR="008173B5" w:rsidRPr="00CF5BC6">
        <w:rPr>
          <w:rFonts w:ascii="Titillium" w:hAnsi="Titillium" w:cs="Calibri"/>
          <w:sz w:val="18"/>
          <w:szCs w:val="18"/>
        </w:rPr>
        <w:t xml:space="preserve"> gravi infrazioni di cui </w:t>
      </w:r>
      <w:r w:rsidR="00740C13" w:rsidRPr="00CF5BC6">
        <w:rPr>
          <w:rFonts w:ascii="Titillium" w:hAnsi="Titillium" w:cs="Calibri"/>
          <w:sz w:val="18"/>
          <w:szCs w:val="18"/>
        </w:rPr>
        <w:t>all’articolo 9</w:t>
      </w:r>
      <w:r w:rsidR="008173B5" w:rsidRPr="00CF5BC6">
        <w:rPr>
          <w:rFonts w:ascii="Titillium" w:hAnsi="Titillium" w:cs="Calibri"/>
          <w:sz w:val="18"/>
          <w:szCs w:val="18"/>
        </w:rPr>
        <w:t>5</w:t>
      </w:r>
      <w:r w:rsidR="00740C13" w:rsidRPr="00CF5BC6">
        <w:rPr>
          <w:rFonts w:ascii="Titillium" w:hAnsi="Titillium" w:cs="Calibri"/>
          <w:sz w:val="18"/>
          <w:szCs w:val="18"/>
        </w:rPr>
        <w:t>, comma 1</w:t>
      </w:r>
      <w:r w:rsidR="00116F1A">
        <w:rPr>
          <w:rFonts w:ascii="Titillium" w:hAnsi="Titillium" w:cs="Calibri"/>
          <w:sz w:val="18"/>
          <w:szCs w:val="18"/>
        </w:rPr>
        <w:t>,</w:t>
      </w:r>
      <w:r w:rsidR="00740C13" w:rsidRPr="00CF5BC6">
        <w:rPr>
          <w:rFonts w:ascii="Titillium" w:hAnsi="Titillium" w:cs="Calibri"/>
          <w:sz w:val="18"/>
          <w:szCs w:val="18"/>
        </w:rPr>
        <w:t xml:space="preserve"> lettera a) </w:t>
      </w:r>
      <w:r w:rsidR="00116F1A">
        <w:rPr>
          <w:rFonts w:ascii="Titillium" w:hAnsi="Titillium" w:cs="Calibri"/>
          <w:sz w:val="18"/>
          <w:szCs w:val="18"/>
        </w:rPr>
        <w:t xml:space="preserve">del Codice </w:t>
      </w:r>
      <w:r w:rsidR="008173B5" w:rsidRPr="00CF5BC6">
        <w:rPr>
          <w:rFonts w:ascii="Titillium" w:hAnsi="Titillium" w:cs="Calibri"/>
          <w:sz w:val="18"/>
          <w:szCs w:val="18"/>
        </w:rPr>
        <w:t xml:space="preserve">commesse </w:t>
      </w:r>
      <w:r w:rsidR="00740C13" w:rsidRPr="00CF5BC6">
        <w:rPr>
          <w:rFonts w:ascii="Titillium" w:hAnsi="Titillium" w:cs="Calibri"/>
          <w:sz w:val="18"/>
          <w:szCs w:val="18"/>
        </w:rPr>
        <w:t xml:space="preserve">nei tre anni antecedenti la data di pubblicazione del bando di gara; </w:t>
      </w:r>
    </w:p>
    <w:p w14:paraId="69B9FA39" w14:textId="4733BC54" w:rsidR="00D301B2" w:rsidRDefault="00D301B2" w:rsidP="008F4959">
      <w:pPr>
        <w:pStyle w:val="Paragrafoelenco"/>
        <w:numPr>
          <w:ilvl w:val="0"/>
          <w:numId w:val="11"/>
        </w:numPr>
        <w:spacing w:before="60" w:after="60"/>
        <w:rPr>
          <w:rFonts w:ascii="Titillium" w:hAnsi="Titillium" w:cs="Calibri"/>
          <w:sz w:val="18"/>
          <w:szCs w:val="18"/>
        </w:rPr>
      </w:pPr>
      <w:r>
        <w:rPr>
          <w:rFonts w:ascii="Titillium" w:hAnsi="Titillium" w:cs="Calibri"/>
          <w:sz w:val="18"/>
          <w:szCs w:val="18"/>
        </w:rPr>
        <w:t xml:space="preserve">gli atti e i provvedimenti indicati all’articolo 98 comma 6 del codice emessi </w:t>
      </w:r>
      <w:r w:rsidRPr="00CF5BC6">
        <w:rPr>
          <w:rFonts w:ascii="Titillium" w:hAnsi="Titillium" w:cs="Calibri"/>
          <w:sz w:val="18"/>
          <w:szCs w:val="18"/>
        </w:rPr>
        <w:t>nei tre anni antecedenti la data di pubblicazione del bando di gara</w:t>
      </w:r>
    </w:p>
    <w:p w14:paraId="193E534D" w14:textId="15EB827F" w:rsidR="003A475A" w:rsidRPr="00CF5BC6" w:rsidRDefault="009A6CEE" w:rsidP="008F4959">
      <w:pPr>
        <w:pStyle w:val="Paragrafoelenco"/>
        <w:numPr>
          <w:ilvl w:val="0"/>
          <w:numId w:val="11"/>
        </w:numPr>
        <w:spacing w:before="60" w:after="60"/>
        <w:rPr>
          <w:rFonts w:ascii="Titillium" w:hAnsi="Titillium" w:cs="Calibri"/>
          <w:sz w:val="18"/>
          <w:szCs w:val="18"/>
        </w:rPr>
      </w:pPr>
      <w:r w:rsidRPr="00CF5BC6">
        <w:rPr>
          <w:rFonts w:ascii="Titillium" w:hAnsi="Titillium" w:cs="Calibri"/>
          <w:sz w:val="18"/>
          <w:szCs w:val="18"/>
        </w:rPr>
        <w:t>t</w:t>
      </w:r>
      <w:r w:rsidR="003A475A" w:rsidRPr="00CF5BC6">
        <w:rPr>
          <w:rFonts w:ascii="Titillium" w:hAnsi="Titillium" w:cs="Calibri"/>
          <w:sz w:val="18"/>
          <w:szCs w:val="18"/>
        </w:rPr>
        <w:t>utti gli altri comportamenti di cui all’articolo 98</w:t>
      </w:r>
      <w:r w:rsidR="00116F1A">
        <w:rPr>
          <w:rFonts w:ascii="Titillium" w:hAnsi="Titillium" w:cs="Calibri"/>
          <w:sz w:val="18"/>
          <w:szCs w:val="18"/>
        </w:rPr>
        <w:t xml:space="preserve"> del Codice</w:t>
      </w:r>
      <w:r w:rsidR="003A475A" w:rsidRPr="00CF5BC6">
        <w:rPr>
          <w:rFonts w:ascii="Titillium" w:hAnsi="Titillium" w:cs="Calibri"/>
          <w:sz w:val="18"/>
          <w:szCs w:val="18"/>
        </w:rPr>
        <w:t xml:space="preserve">, commessi nei tre anni antecedenti la data di </w:t>
      </w:r>
      <w:r w:rsidRPr="00CF5BC6">
        <w:rPr>
          <w:rFonts w:ascii="Titillium" w:hAnsi="Titillium" w:cs="Calibri"/>
          <w:sz w:val="18"/>
          <w:szCs w:val="18"/>
        </w:rPr>
        <w:t>pubblicazione del bando di gara.</w:t>
      </w:r>
    </w:p>
    <w:p w14:paraId="50E1A3C3" w14:textId="67E41BA6" w:rsidR="00220822" w:rsidRPr="00CF5BC6" w:rsidRDefault="00220822" w:rsidP="00740C13">
      <w:pPr>
        <w:spacing w:before="60" w:after="60"/>
        <w:rPr>
          <w:rFonts w:ascii="Titillium" w:hAnsi="Titillium" w:cs="Calibri"/>
          <w:sz w:val="18"/>
          <w:szCs w:val="18"/>
        </w:rPr>
      </w:pPr>
      <w:r w:rsidRPr="00CF5BC6">
        <w:rPr>
          <w:rFonts w:ascii="Titillium" w:hAnsi="Titillium" w:cs="Calibri"/>
          <w:sz w:val="18"/>
          <w:szCs w:val="18"/>
        </w:rPr>
        <w:t>La dichiarazione di cui sopra deve essere resa anche nel caso di impugnazione in giudizio dei relativi provvedimenti.</w:t>
      </w:r>
    </w:p>
    <w:p w14:paraId="5BB9469B" w14:textId="77777777" w:rsidR="00220822" w:rsidRPr="00CF5BC6" w:rsidRDefault="00220822" w:rsidP="00740C13">
      <w:pPr>
        <w:spacing w:before="60" w:after="60"/>
        <w:rPr>
          <w:rFonts w:ascii="Titillium" w:hAnsi="Titillium" w:cs="Calibri"/>
          <w:sz w:val="18"/>
          <w:szCs w:val="18"/>
        </w:rPr>
      </w:pPr>
      <w:r w:rsidRPr="00CF5BC6">
        <w:rPr>
          <w:rFonts w:ascii="Titillium" w:hAnsi="Titillium" w:cs="Calibri"/>
          <w:sz w:val="18"/>
          <w:szCs w:val="18"/>
        </w:rPr>
        <w:t>L’operatore economico dichiara la sussistenza delle cause d</w:t>
      </w:r>
      <w:r w:rsidR="00740C13" w:rsidRPr="00CF5BC6">
        <w:rPr>
          <w:rFonts w:ascii="Titillium" w:hAnsi="Titillium" w:cs="Calibri"/>
          <w:sz w:val="18"/>
          <w:szCs w:val="18"/>
        </w:rPr>
        <w:t xml:space="preserve">i esclusione </w:t>
      </w:r>
      <w:r w:rsidRPr="00CF5BC6">
        <w:rPr>
          <w:rFonts w:ascii="Titillium" w:hAnsi="Titillium" w:cs="Calibri"/>
          <w:sz w:val="18"/>
          <w:szCs w:val="18"/>
        </w:rPr>
        <w:t xml:space="preserve">che si </w:t>
      </w:r>
      <w:r w:rsidR="00740C13" w:rsidRPr="00CF5BC6">
        <w:rPr>
          <w:rFonts w:ascii="Titillium" w:hAnsi="Titillium" w:cs="Calibri"/>
          <w:sz w:val="18"/>
          <w:szCs w:val="18"/>
        </w:rPr>
        <w:t>s</w:t>
      </w:r>
      <w:r w:rsidRPr="00CF5BC6">
        <w:rPr>
          <w:rFonts w:ascii="Titillium" w:hAnsi="Titillium" w:cs="Calibri"/>
          <w:sz w:val="18"/>
          <w:szCs w:val="18"/>
        </w:rPr>
        <w:t xml:space="preserve">ono verificate prima </w:t>
      </w:r>
      <w:r w:rsidR="00740C13" w:rsidRPr="00CF5BC6">
        <w:rPr>
          <w:rFonts w:ascii="Titillium" w:hAnsi="Titillium" w:cs="Calibri"/>
          <w:sz w:val="18"/>
          <w:szCs w:val="18"/>
        </w:rPr>
        <w:t>della presentazione dell’offerta</w:t>
      </w:r>
      <w:r w:rsidRPr="00CF5BC6">
        <w:rPr>
          <w:rFonts w:ascii="Titillium" w:hAnsi="Titillium" w:cs="Calibri"/>
          <w:sz w:val="18"/>
          <w:szCs w:val="18"/>
        </w:rPr>
        <w:t xml:space="preserve"> e indica le </w:t>
      </w:r>
      <w:r w:rsidR="00740C13" w:rsidRPr="00CF5BC6">
        <w:rPr>
          <w:rFonts w:ascii="Titillium" w:hAnsi="Titillium" w:cs="Calibri"/>
          <w:sz w:val="18"/>
          <w:szCs w:val="18"/>
        </w:rPr>
        <w:t>misure di self-</w:t>
      </w:r>
      <w:proofErr w:type="spellStart"/>
      <w:r w:rsidR="00740C13" w:rsidRPr="00CF5BC6">
        <w:rPr>
          <w:rFonts w:ascii="Titillium" w:hAnsi="Titillium" w:cs="Calibri"/>
          <w:sz w:val="18"/>
          <w:szCs w:val="18"/>
        </w:rPr>
        <w:t>cleaning</w:t>
      </w:r>
      <w:proofErr w:type="spellEnd"/>
      <w:r w:rsidR="00740C13" w:rsidRPr="00CF5BC6">
        <w:rPr>
          <w:rFonts w:ascii="Titillium" w:hAnsi="Titillium" w:cs="Calibri"/>
          <w:sz w:val="18"/>
          <w:szCs w:val="18"/>
        </w:rPr>
        <w:t xml:space="preserve"> </w:t>
      </w:r>
      <w:r w:rsidRPr="00CF5BC6">
        <w:rPr>
          <w:rFonts w:ascii="Titillium" w:hAnsi="Titillium" w:cs="Calibri"/>
          <w:sz w:val="18"/>
          <w:szCs w:val="18"/>
        </w:rPr>
        <w:t xml:space="preserve">adottate, </w:t>
      </w:r>
      <w:r w:rsidR="00740C13" w:rsidRPr="00CF5BC6">
        <w:rPr>
          <w:rFonts w:ascii="Titillium" w:hAnsi="Titillium" w:cs="Calibri"/>
          <w:sz w:val="18"/>
          <w:szCs w:val="18"/>
        </w:rPr>
        <w:t>oppure dimostra l’impossibilità di adottare tali misure prima della presentazione dell’offerta.</w:t>
      </w:r>
    </w:p>
    <w:p w14:paraId="200EB449" w14:textId="72CE1C04" w:rsidR="00220822" w:rsidRPr="00CF5BC6" w:rsidRDefault="00220822" w:rsidP="00740C13">
      <w:pPr>
        <w:spacing w:before="60" w:after="60"/>
        <w:rPr>
          <w:rFonts w:ascii="Titillium" w:hAnsi="Titillium" w:cs="Calibri"/>
          <w:sz w:val="18"/>
          <w:szCs w:val="18"/>
        </w:rPr>
      </w:pPr>
      <w:r w:rsidRPr="00CF5BC6">
        <w:rPr>
          <w:rFonts w:ascii="Titillium" w:hAnsi="Titillium" w:cs="Calibri"/>
          <w:sz w:val="18"/>
          <w:szCs w:val="18"/>
        </w:rPr>
        <w:t>L’operatore economico adotta le misure di self</w:t>
      </w:r>
      <w:r w:rsidR="00116F1A">
        <w:rPr>
          <w:rFonts w:ascii="Titillium" w:hAnsi="Titillium" w:cs="Calibri"/>
          <w:sz w:val="18"/>
          <w:szCs w:val="18"/>
        </w:rPr>
        <w:t>-</w:t>
      </w:r>
      <w:proofErr w:type="spellStart"/>
      <w:r w:rsidRPr="00CF5BC6">
        <w:rPr>
          <w:rFonts w:ascii="Titillium" w:hAnsi="Titillium" w:cs="Calibri"/>
          <w:sz w:val="18"/>
          <w:szCs w:val="18"/>
        </w:rPr>
        <w:t>cleaning</w:t>
      </w:r>
      <w:proofErr w:type="spellEnd"/>
      <w:r w:rsidRPr="00CF5BC6">
        <w:rPr>
          <w:rFonts w:ascii="Titillium" w:hAnsi="Titillium" w:cs="Calibri"/>
          <w:sz w:val="18"/>
          <w:szCs w:val="18"/>
        </w:rPr>
        <w:t xml:space="preserve"> che è stato impossibilitato ad adottare prima della presentazione dell’offerta e quelle relative a cause di esclusione che si sono verificate dopo tale momento.</w:t>
      </w:r>
    </w:p>
    <w:p w14:paraId="11EB6587" w14:textId="6815BF96" w:rsidR="00712E35" w:rsidRDefault="00712E35" w:rsidP="00740C13">
      <w:pPr>
        <w:spacing w:before="60" w:after="60"/>
        <w:rPr>
          <w:rFonts w:ascii="Titillium" w:hAnsi="Titillium" w:cs="Calibri"/>
          <w:sz w:val="18"/>
          <w:szCs w:val="18"/>
        </w:rPr>
      </w:pPr>
      <w:r w:rsidRPr="00CF5BC6">
        <w:rPr>
          <w:rFonts w:ascii="Titillium" w:hAnsi="Titillium" w:cs="Calibri"/>
          <w:sz w:val="18"/>
          <w:szCs w:val="18"/>
        </w:rPr>
        <w:t xml:space="preserve">Se l’operatore economico omette di comunicare alla stazione appaltante la sussistenza dei fatti e dei provvedimenti che possono costituire una causa di esclusione ai sensi degli articoli 94 e 95 del </w:t>
      </w:r>
      <w:r w:rsidR="00116F1A">
        <w:rPr>
          <w:rFonts w:ascii="Titillium" w:hAnsi="Titillium" w:cs="Calibri"/>
          <w:sz w:val="18"/>
          <w:szCs w:val="18"/>
        </w:rPr>
        <w:t>C</w:t>
      </w:r>
      <w:r w:rsidR="00BA4EEE" w:rsidRPr="00CF5BC6">
        <w:rPr>
          <w:rFonts w:ascii="Titillium" w:hAnsi="Titillium" w:cs="Calibri"/>
          <w:sz w:val="18"/>
          <w:szCs w:val="18"/>
        </w:rPr>
        <w:t>odice e detti fatti o provvedimenti non risult</w:t>
      </w:r>
      <w:r w:rsidR="00275003" w:rsidRPr="00CF5BC6">
        <w:rPr>
          <w:rFonts w:ascii="Titillium" w:hAnsi="Titillium" w:cs="Calibri"/>
          <w:sz w:val="18"/>
          <w:szCs w:val="18"/>
        </w:rPr>
        <w:t>i</w:t>
      </w:r>
      <w:r w:rsidR="00BA4EEE" w:rsidRPr="00CF5BC6">
        <w:rPr>
          <w:rFonts w:ascii="Titillium" w:hAnsi="Titillium" w:cs="Calibri"/>
          <w:sz w:val="18"/>
          <w:szCs w:val="18"/>
        </w:rPr>
        <w:t>no nel FVOE, il triennio inizia a decorrere dalla data in cui la stazione appaltante ha acquisito gli stessi, anziché dalla commissione del fatto o dall’adozione del provvedimento.</w:t>
      </w:r>
    </w:p>
    <w:p w14:paraId="569EF90C" w14:textId="4B662CE0" w:rsidR="00CF5BC6" w:rsidRPr="008E0F05" w:rsidRDefault="00CF5BC6" w:rsidP="00CF5BC6">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rPr>
      </w:pPr>
      <w:r w:rsidRPr="008E0F05">
        <w:rPr>
          <w:rFonts w:ascii="Titillium" w:hAnsi="Titillium" w:cs="Calibri"/>
          <w:i/>
          <w:iCs/>
          <w:sz w:val="18"/>
          <w:szCs w:val="18"/>
        </w:rPr>
        <w:t xml:space="preserve">NB. Le cause di esclusione di cui agli articoli 95, comma 1, lettere b), c) e d) e 98, comma 4, lettera b) </w:t>
      </w:r>
      <w:r w:rsidR="00116F1A">
        <w:rPr>
          <w:rFonts w:ascii="Titillium" w:hAnsi="Titillium" w:cs="Calibri"/>
          <w:i/>
          <w:iCs/>
          <w:sz w:val="18"/>
          <w:szCs w:val="18"/>
        </w:rPr>
        <w:t xml:space="preserve">del Codice </w:t>
      </w:r>
      <w:r w:rsidRPr="008E0F05">
        <w:rPr>
          <w:rFonts w:ascii="Titillium" w:hAnsi="Titillium" w:cs="Calibri"/>
          <w:i/>
          <w:iCs/>
          <w:sz w:val="18"/>
          <w:szCs w:val="18"/>
        </w:rPr>
        <w:t>rilevano per la sola gara cui la condotta di riferisce. Pertanto, tali circostanze non devono essere dichiarate in occasione della partecipazione a gare successive e i relativi provvedimenti non sono inseriti nel FVOE.</w:t>
      </w:r>
    </w:p>
    <w:p w14:paraId="4369686F" w14:textId="77777777" w:rsidR="00CF5BC6" w:rsidRPr="00CF5BC6" w:rsidRDefault="00CF5BC6" w:rsidP="00740C13">
      <w:pPr>
        <w:spacing w:before="60" w:after="60"/>
        <w:rPr>
          <w:rFonts w:ascii="Titillium" w:hAnsi="Titillium" w:cs="Calibri"/>
          <w:sz w:val="18"/>
          <w:szCs w:val="18"/>
        </w:rPr>
      </w:pPr>
    </w:p>
    <w:p w14:paraId="53D36E4A" w14:textId="5F931AA2" w:rsidR="004C53A8" w:rsidRPr="00FC2E92" w:rsidRDefault="00FC2E92" w:rsidP="00FC2E92">
      <w:pPr>
        <w:spacing w:before="60" w:after="60"/>
        <w:rPr>
          <w:rFonts w:ascii="Titillium" w:hAnsi="Titillium" w:cs="Calibri"/>
          <w:sz w:val="18"/>
          <w:szCs w:val="18"/>
        </w:rPr>
      </w:pPr>
      <w:r w:rsidRPr="00FC2E92">
        <w:rPr>
          <w:rFonts w:ascii="Titillium" w:hAnsi="Titillium" w:cs="Calibri"/>
          <w:b/>
          <w:i/>
          <w:sz w:val="18"/>
          <w:szCs w:val="18"/>
        </w:rPr>
        <w:t>[</w:t>
      </w:r>
      <w:bookmarkStart w:id="1828" w:name="_Hlk138144888"/>
      <w:r w:rsidR="000D2AC1">
        <w:rPr>
          <w:rFonts w:ascii="Titillium" w:hAnsi="Titillium" w:cs="Calibri"/>
          <w:b/>
          <w:i/>
          <w:sz w:val="18"/>
          <w:szCs w:val="18"/>
        </w:rPr>
        <w:t>I</w:t>
      </w:r>
      <w:r w:rsidRPr="00FC2E92">
        <w:rPr>
          <w:rFonts w:ascii="Titillium" w:hAnsi="Titillium" w:cs="Calibri"/>
          <w:b/>
          <w:i/>
          <w:sz w:val="18"/>
          <w:szCs w:val="18"/>
        </w:rPr>
        <w:t>n caso di suddivisione della gara in lotti</w:t>
      </w:r>
      <w:bookmarkEnd w:id="1828"/>
      <w:r w:rsidRPr="00FC2E92">
        <w:rPr>
          <w:rFonts w:ascii="Titillium" w:hAnsi="Titillium" w:cs="Calibri"/>
          <w:b/>
          <w:i/>
          <w:sz w:val="18"/>
          <w:szCs w:val="18"/>
        </w:rPr>
        <w:t>]</w:t>
      </w:r>
      <w:r w:rsidRPr="00FC2E92">
        <w:rPr>
          <w:rFonts w:ascii="Titillium" w:hAnsi="Titillium" w:cs="Calibri"/>
          <w:i/>
          <w:sz w:val="18"/>
          <w:szCs w:val="18"/>
        </w:rPr>
        <w:t xml:space="preserve"> </w:t>
      </w:r>
      <w:r w:rsidRPr="00FC2E92">
        <w:rPr>
          <w:rFonts w:ascii="Titillium" w:hAnsi="Titillium" w:cs="Calibri"/>
          <w:sz w:val="18"/>
          <w:szCs w:val="18"/>
        </w:rPr>
        <w:t>Il concorrente indica nella domanda di partecipazione per quale lotto concorre.</w:t>
      </w:r>
    </w:p>
    <w:p w14:paraId="713B0118" w14:textId="0143802E" w:rsidR="004C53A8" w:rsidRDefault="00FB3959">
      <w:pPr>
        <w:spacing w:before="60" w:after="60"/>
      </w:pPr>
      <w:r>
        <w:rPr>
          <w:rFonts w:ascii="Titillium" w:hAnsi="Titillium" w:cs="Calibri"/>
          <w:sz w:val="18"/>
          <w:szCs w:val="18"/>
        </w:rPr>
        <w:t>In caso di</w:t>
      </w:r>
      <w:r w:rsidR="00870286">
        <w:rPr>
          <w:rFonts w:ascii="Titillium" w:hAnsi="Titillium" w:cs="Calibri"/>
          <w:sz w:val="18"/>
          <w:szCs w:val="18"/>
        </w:rPr>
        <w:t xml:space="preserve"> raggruppament</w:t>
      </w:r>
      <w:r>
        <w:rPr>
          <w:rFonts w:ascii="Titillium" w:hAnsi="Titillium" w:cs="Calibri"/>
          <w:sz w:val="18"/>
          <w:szCs w:val="18"/>
        </w:rPr>
        <w:t>o</w:t>
      </w:r>
      <w:r w:rsidR="00870286">
        <w:rPr>
          <w:rFonts w:ascii="Titillium" w:hAnsi="Titillium" w:cs="Calibri"/>
          <w:sz w:val="18"/>
          <w:szCs w:val="18"/>
        </w:rPr>
        <w:t xml:space="preserve"> temporane</w:t>
      </w:r>
      <w:r>
        <w:rPr>
          <w:rFonts w:ascii="Titillium" w:hAnsi="Titillium" w:cs="Calibri"/>
          <w:sz w:val="18"/>
          <w:szCs w:val="18"/>
        </w:rPr>
        <w:t>o</w:t>
      </w:r>
      <w:r w:rsidR="00870286">
        <w:rPr>
          <w:rFonts w:ascii="Titillium" w:hAnsi="Titillium" w:cs="Calibri"/>
          <w:sz w:val="18"/>
          <w:szCs w:val="18"/>
        </w:rPr>
        <w:t>, consorzi</w:t>
      </w:r>
      <w:r>
        <w:rPr>
          <w:rFonts w:ascii="Titillium" w:hAnsi="Titillium" w:cs="Calibri"/>
          <w:sz w:val="18"/>
          <w:szCs w:val="18"/>
        </w:rPr>
        <w:t>o</w:t>
      </w:r>
      <w:r w:rsidR="00870286">
        <w:rPr>
          <w:rFonts w:ascii="Titillium" w:hAnsi="Titillium" w:cs="Calibri"/>
          <w:sz w:val="18"/>
          <w:szCs w:val="18"/>
        </w:rPr>
        <w:t xml:space="preserve"> ordinari</w:t>
      </w:r>
      <w:r>
        <w:rPr>
          <w:rFonts w:ascii="Titillium" w:hAnsi="Titillium" w:cs="Calibri"/>
          <w:sz w:val="18"/>
          <w:szCs w:val="18"/>
        </w:rPr>
        <w:t>o</w:t>
      </w:r>
      <w:r w:rsidR="00870286">
        <w:rPr>
          <w:rFonts w:ascii="Titillium" w:hAnsi="Titillium" w:cs="Calibri"/>
          <w:sz w:val="18"/>
          <w:szCs w:val="18"/>
        </w:rPr>
        <w:t xml:space="preserve">, aggregazione di retisti, GEIE, il concorrente fornisce i dati identificativi </w:t>
      </w:r>
      <w:r w:rsidR="00870286">
        <w:rPr>
          <w:rFonts w:ascii="Titillium" w:hAnsi="Titillium" w:cs="Calibri"/>
          <w:sz w:val="18"/>
          <w:szCs w:val="18"/>
          <w:lang w:eastAsia="it-IT"/>
        </w:rPr>
        <w:t>(ragione sociale, codice fiscale, sede)</w:t>
      </w:r>
      <w:r w:rsidR="00870286">
        <w:rPr>
          <w:rFonts w:ascii="Titillium" w:hAnsi="Titillium" w:cs="Calibri"/>
          <w:sz w:val="18"/>
          <w:szCs w:val="18"/>
        </w:rPr>
        <w:t xml:space="preserve"> e il ruolo</w:t>
      </w:r>
      <w:r w:rsidR="00870286">
        <w:rPr>
          <w:rFonts w:ascii="Titillium" w:hAnsi="Titillium" w:cs="Calibri"/>
          <w:sz w:val="18"/>
          <w:szCs w:val="18"/>
          <w:lang w:eastAsia="it-IT"/>
        </w:rPr>
        <w:t xml:space="preserve"> di ciascun</w:t>
      </w:r>
      <w:r>
        <w:rPr>
          <w:rFonts w:ascii="Titillium" w:hAnsi="Titillium" w:cs="Calibri"/>
          <w:sz w:val="18"/>
          <w:szCs w:val="18"/>
          <w:lang w:eastAsia="it-IT"/>
        </w:rPr>
        <w:t xml:space="preserve"> partecipante</w:t>
      </w:r>
      <w:r w:rsidR="00870286">
        <w:rPr>
          <w:rFonts w:ascii="Titillium" w:hAnsi="Titillium" w:cs="Calibri"/>
          <w:sz w:val="18"/>
          <w:szCs w:val="18"/>
          <w:lang w:eastAsia="it-IT"/>
        </w:rPr>
        <w:t>.</w:t>
      </w:r>
    </w:p>
    <w:p w14:paraId="7FA5EB5A" w14:textId="614737CC" w:rsidR="004C53A8" w:rsidRDefault="00FB3959">
      <w:pPr>
        <w:spacing w:before="60" w:after="60"/>
      </w:pPr>
      <w:r>
        <w:rPr>
          <w:rFonts w:ascii="Titillium" w:hAnsi="Titillium" w:cs="Arial"/>
          <w:sz w:val="18"/>
          <w:szCs w:val="18"/>
        </w:rPr>
        <w:t>In</w:t>
      </w:r>
      <w:r w:rsidR="00870286">
        <w:rPr>
          <w:rFonts w:ascii="Titillium" w:hAnsi="Titillium" w:cs="Calibri"/>
          <w:sz w:val="18"/>
          <w:szCs w:val="18"/>
          <w:lang w:eastAsia="it-IT"/>
        </w:rPr>
        <w:t xml:space="preserve"> caso di consorzio di cooperative</w:t>
      </w:r>
      <w:r>
        <w:rPr>
          <w:rFonts w:ascii="Titillium" w:hAnsi="Titillium" w:cs="Calibri"/>
          <w:sz w:val="18"/>
          <w:szCs w:val="18"/>
          <w:lang w:eastAsia="it-IT"/>
        </w:rPr>
        <w:t>, consorzio</w:t>
      </w:r>
      <w:r w:rsidR="00870286">
        <w:rPr>
          <w:rFonts w:ascii="Titillium" w:hAnsi="Titillium" w:cs="Calibri"/>
          <w:sz w:val="18"/>
          <w:szCs w:val="18"/>
          <w:lang w:eastAsia="it-IT"/>
        </w:rPr>
        <w:t xml:space="preserve"> imprese artigiane o di consorzio stabile di cui </w:t>
      </w:r>
      <w:r w:rsidR="00870286" w:rsidRPr="000D2AC1">
        <w:rPr>
          <w:rFonts w:ascii="Titillium" w:hAnsi="Titillium" w:cs="Calibri"/>
          <w:sz w:val="18"/>
          <w:szCs w:val="18"/>
          <w:lang w:eastAsia="it-IT"/>
        </w:rPr>
        <w:t xml:space="preserve">all’articolo </w:t>
      </w:r>
      <w:r w:rsidR="00C17735" w:rsidRPr="000D2AC1">
        <w:rPr>
          <w:rFonts w:ascii="Titillium" w:hAnsi="Titillium" w:cs="Calibri"/>
          <w:sz w:val="18"/>
          <w:szCs w:val="18"/>
          <w:lang w:eastAsia="it-IT"/>
        </w:rPr>
        <w:t>65</w:t>
      </w:r>
      <w:r w:rsidR="00870286" w:rsidRPr="000D2AC1">
        <w:rPr>
          <w:rFonts w:ascii="Titillium" w:hAnsi="Titillium" w:cs="Calibri"/>
          <w:sz w:val="18"/>
          <w:szCs w:val="18"/>
          <w:lang w:eastAsia="it-IT"/>
        </w:rPr>
        <w:t>, comma 2</w:t>
      </w:r>
      <w:r w:rsidR="00116F1A">
        <w:rPr>
          <w:rFonts w:ascii="Titillium" w:hAnsi="Titillium" w:cs="Calibri"/>
          <w:sz w:val="18"/>
          <w:szCs w:val="18"/>
          <w:lang w:eastAsia="it-IT"/>
        </w:rPr>
        <w:t>,</w:t>
      </w:r>
      <w:r w:rsidR="00870286" w:rsidRPr="000D2AC1">
        <w:rPr>
          <w:rFonts w:ascii="Titillium" w:hAnsi="Titillium" w:cs="Calibri"/>
          <w:sz w:val="18"/>
          <w:szCs w:val="18"/>
          <w:lang w:eastAsia="it-IT"/>
        </w:rPr>
        <w:t xml:space="preserve"> lettera b)</w:t>
      </w:r>
      <w:r w:rsidRPr="000D2AC1">
        <w:rPr>
          <w:rFonts w:ascii="Titillium" w:hAnsi="Titillium" w:cs="Calibri"/>
          <w:sz w:val="18"/>
          <w:szCs w:val="18"/>
          <w:lang w:eastAsia="it-IT"/>
        </w:rPr>
        <w:t>,</w:t>
      </w:r>
      <w:r w:rsidR="00870286" w:rsidRPr="000D2AC1">
        <w:rPr>
          <w:rFonts w:ascii="Titillium" w:hAnsi="Titillium" w:cs="Calibri"/>
          <w:sz w:val="18"/>
          <w:szCs w:val="18"/>
          <w:lang w:eastAsia="it-IT"/>
        </w:rPr>
        <w:t xml:space="preserve"> c)</w:t>
      </w:r>
      <w:r w:rsidRPr="000D2AC1">
        <w:rPr>
          <w:rFonts w:ascii="Titillium" w:hAnsi="Titillium" w:cs="Calibri"/>
          <w:sz w:val="18"/>
          <w:szCs w:val="18"/>
          <w:lang w:eastAsia="it-IT"/>
        </w:rPr>
        <w:t xml:space="preserve">, d) </w:t>
      </w:r>
      <w:r w:rsidR="00870286" w:rsidRPr="000D2AC1">
        <w:rPr>
          <w:rFonts w:ascii="Titillium" w:hAnsi="Titillium" w:cs="Calibri"/>
          <w:sz w:val="18"/>
          <w:szCs w:val="18"/>
          <w:lang w:eastAsia="it-IT"/>
        </w:rPr>
        <w:t>del Codice, il consorzio indica il consorziato per il quale concorre alla gara</w:t>
      </w:r>
      <w:r w:rsidR="00870286">
        <w:rPr>
          <w:rFonts w:ascii="Titillium" w:hAnsi="Titillium" w:cs="Calibri"/>
          <w:sz w:val="18"/>
          <w:szCs w:val="18"/>
          <w:lang w:eastAsia="it-IT"/>
        </w:rPr>
        <w:t>.</w:t>
      </w:r>
    </w:p>
    <w:p w14:paraId="361682F3" w14:textId="27EAF7EC" w:rsidR="0055228C" w:rsidRDefault="0055228C" w:rsidP="0055228C">
      <w:pPr>
        <w:spacing w:before="60" w:after="60"/>
      </w:pPr>
      <w:bookmarkStart w:id="1829" w:name="_Toc4164233711"/>
      <w:bookmarkStart w:id="1830" w:name="_Toc4067541881"/>
      <w:bookmarkStart w:id="1831" w:name="_Toc4060583871"/>
      <w:bookmarkStart w:id="1832" w:name="_Toc4034712791"/>
      <w:bookmarkStart w:id="1833" w:name="_Toc3974228721"/>
      <w:bookmarkStart w:id="1834" w:name="_Toc3973468311"/>
      <w:bookmarkStart w:id="1835" w:name="_Toc3937069161"/>
      <w:bookmarkStart w:id="1836" w:name="_Toc3937008431"/>
      <w:bookmarkStart w:id="1837" w:name="_Toc3932831841"/>
      <w:bookmarkStart w:id="1838" w:name="_Toc3932726681"/>
      <w:bookmarkStart w:id="1839" w:name="_Toc3932726101"/>
      <w:bookmarkStart w:id="1840" w:name="_Toc3931878541"/>
      <w:bookmarkStart w:id="1841" w:name="_Toc3931121371"/>
      <w:bookmarkStart w:id="1842" w:name="_Toc3931105731"/>
      <w:bookmarkStart w:id="1843" w:name="_Toc3925775061"/>
      <w:bookmarkStart w:id="1844" w:name="_Toc3910360651"/>
      <w:bookmarkStart w:id="1845" w:name="_Toc3910359921"/>
      <w:bookmarkStart w:id="1846" w:name="_Toc3805018791"/>
      <w:bookmarkStart w:id="1847" w:name="_Toc609251781"/>
      <w:bookmarkStart w:id="1848" w:name="_Ref4984219821"/>
      <w:bookmarkStart w:id="1849" w:name="_Toc484688330"/>
      <w:bookmarkStart w:id="1850" w:name="_Toc484605461"/>
      <w:bookmarkStart w:id="1851" w:name="_Toc484605337"/>
      <w:bookmarkStart w:id="1852" w:name="_Toc484526617"/>
      <w:bookmarkStart w:id="1853" w:name="_Toc484449122"/>
      <w:bookmarkStart w:id="1854" w:name="_Toc484448998"/>
      <w:bookmarkStart w:id="1855" w:name="_Toc484448874"/>
      <w:bookmarkStart w:id="1856" w:name="_Toc484448751"/>
      <w:bookmarkStart w:id="1857" w:name="_Toc484448627"/>
      <w:bookmarkStart w:id="1858" w:name="_Toc484448503"/>
      <w:bookmarkStart w:id="1859" w:name="_Toc484448379"/>
      <w:bookmarkStart w:id="1860" w:name="_Toc484448255"/>
      <w:bookmarkStart w:id="1861" w:name="_Toc484448130"/>
      <w:bookmarkStart w:id="1862" w:name="_Toc484440471"/>
      <w:bookmarkStart w:id="1863" w:name="_Toc484440111"/>
      <w:bookmarkStart w:id="1864" w:name="_Toc484439987"/>
      <w:bookmarkStart w:id="1865" w:name="_Toc484439864"/>
      <w:bookmarkStart w:id="1866" w:name="_Toc484438944"/>
      <w:bookmarkStart w:id="1867" w:name="_Toc484438820"/>
      <w:bookmarkStart w:id="1868" w:name="_Toc484438696"/>
      <w:bookmarkStart w:id="1869" w:name="_Toc484429121"/>
      <w:bookmarkStart w:id="1870" w:name="_Toc484428951"/>
      <w:bookmarkStart w:id="1871" w:name="_Toc484097779"/>
      <w:bookmarkStart w:id="1872" w:name="_Toc484011705"/>
      <w:bookmarkStart w:id="1873" w:name="_Toc484011230"/>
      <w:bookmarkStart w:id="1874" w:name="_Toc484011108"/>
      <w:bookmarkStart w:id="1875" w:name="_Toc484010986"/>
      <w:bookmarkStart w:id="1876" w:name="_Toc484010862"/>
      <w:bookmarkStart w:id="1877" w:name="_Toc484010740"/>
      <w:bookmarkStart w:id="1878" w:name="_Toc483906990"/>
      <w:bookmarkStart w:id="1879" w:name="_Toc483571613"/>
      <w:bookmarkStart w:id="1880" w:name="_Toc483571492"/>
      <w:bookmarkStart w:id="1881" w:name="_Toc483474063"/>
      <w:bookmarkStart w:id="1882" w:name="_Toc483401266"/>
      <w:bookmarkStart w:id="1883" w:name="_Toc483325787"/>
      <w:bookmarkStart w:id="1884" w:name="_Toc483316484"/>
      <w:bookmarkStart w:id="1885" w:name="_Toc483316353"/>
      <w:bookmarkStart w:id="1886" w:name="_Toc483316221"/>
      <w:bookmarkStart w:id="1887" w:name="_Toc483316016"/>
      <w:bookmarkStart w:id="1888" w:name="_Toc483302395"/>
      <w:bookmarkStart w:id="1889" w:name="_Toc485218321"/>
      <w:bookmarkStart w:id="1890" w:name="_Toc484688885"/>
      <w:bookmarkStart w:id="1891" w:name="_Ref484611693"/>
      <w:bookmarkStart w:id="1892" w:name="_Ref484611690"/>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r w:rsidRPr="00C13CB4">
        <w:rPr>
          <w:rFonts w:ascii="Titillium" w:hAnsi="Titillium" w:cs="Calibri"/>
          <w:sz w:val="18"/>
          <w:szCs w:val="18"/>
          <w:lang w:eastAsia="it-IT"/>
        </w:rPr>
        <w:t>Nella domanda di partecipazione il concorrente dichiara:</w:t>
      </w:r>
    </w:p>
    <w:p w14:paraId="18AA8337" w14:textId="3187B153" w:rsidR="0055228C" w:rsidRDefault="0055228C" w:rsidP="0055228C">
      <w:pPr>
        <w:pStyle w:val="Paragrafoelenco"/>
        <w:numPr>
          <w:ilvl w:val="0"/>
          <w:numId w:val="25"/>
        </w:numPr>
        <w:spacing w:before="60" w:after="60"/>
      </w:pPr>
      <w:r>
        <w:rPr>
          <w:rFonts w:ascii="Titillium" w:hAnsi="Titillium" w:cs="Calibri"/>
          <w:sz w:val="18"/>
          <w:szCs w:val="18"/>
        </w:rPr>
        <w:t xml:space="preserve">i dati identificativi (nome, cognome, data </w:t>
      </w:r>
      <w:proofErr w:type="gramStart"/>
      <w:r>
        <w:rPr>
          <w:rFonts w:ascii="Titillium" w:hAnsi="Titillium" w:cs="Calibri"/>
          <w:sz w:val="18"/>
          <w:szCs w:val="18"/>
        </w:rPr>
        <w:t>e</w:t>
      </w:r>
      <w:proofErr w:type="gramEnd"/>
      <w:r>
        <w:rPr>
          <w:rFonts w:ascii="Titillium" w:hAnsi="Titillium" w:cs="Calibri"/>
          <w:sz w:val="18"/>
          <w:szCs w:val="18"/>
        </w:rPr>
        <w:t xml:space="preserve"> luogo di nascita, codice fiscale, comune di residenza etc.) dei soggetti di cui </w:t>
      </w:r>
      <w:r w:rsidRPr="00CE5551">
        <w:rPr>
          <w:rFonts w:ascii="Titillium" w:hAnsi="Titillium" w:cs="Calibri"/>
          <w:sz w:val="18"/>
          <w:szCs w:val="18"/>
        </w:rPr>
        <w:t xml:space="preserve">all’articolo </w:t>
      </w:r>
      <w:r w:rsidR="00C17735" w:rsidRPr="00CE5551">
        <w:rPr>
          <w:rFonts w:ascii="Titillium" w:hAnsi="Titillium" w:cs="Calibri"/>
          <w:sz w:val="18"/>
          <w:szCs w:val="18"/>
        </w:rPr>
        <w:t>9</w:t>
      </w:r>
      <w:r w:rsidR="00480CC4" w:rsidRPr="00CE5551">
        <w:rPr>
          <w:rFonts w:ascii="Titillium" w:hAnsi="Titillium" w:cs="Calibri"/>
          <w:sz w:val="18"/>
          <w:szCs w:val="18"/>
        </w:rPr>
        <w:t>4</w:t>
      </w:r>
      <w:r w:rsidRPr="00CE5551">
        <w:rPr>
          <w:rFonts w:ascii="Titillium" w:hAnsi="Titillium" w:cs="Calibri"/>
          <w:sz w:val="18"/>
          <w:szCs w:val="18"/>
        </w:rPr>
        <w:t>, comma 3</w:t>
      </w:r>
      <w:r w:rsidR="00116F1A">
        <w:rPr>
          <w:rFonts w:ascii="Titillium" w:hAnsi="Titillium" w:cs="Calibri"/>
          <w:sz w:val="18"/>
          <w:szCs w:val="18"/>
        </w:rPr>
        <w:t>,</w:t>
      </w:r>
      <w:r w:rsidRPr="00CE5551">
        <w:rPr>
          <w:rFonts w:ascii="Titillium" w:hAnsi="Titillium" w:cs="Calibri"/>
          <w:sz w:val="18"/>
          <w:szCs w:val="18"/>
        </w:rPr>
        <w:t xml:space="preserve"> del Codice</w:t>
      </w:r>
      <w:r w:rsidR="0089573E" w:rsidRPr="00CE5551">
        <w:rPr>
          <w:rFonts w:ascii="Titillium" w:hAnsi="Titillium" w:cs="Calibri"/>
          <w:sz w:val="18"/>
          <w:szCs w:val="18"/>
        </w:rPr>
        <w:t>,</w:t>
      </w:r>
      <w:r w:rsidR="0089573E">
        <w:rPr>
          <w:rFonts w:ascii="Titillium" w:hAnsi="Titillium" w:cs="Calibri"/>
          <w:sz w:val="18"/>
          <w:szCs w:val="18"/>
        </w:rPr>
        <w:t xml:space="preserve"> ivi incluso l’amministratore di fatto, ove presente</w:t>
      </w:r>
      <w:r>
        <w:rPr>
          <w:rFonts w:ascii="Titillium" w:hAnsi="Titillium" w:cs="Calibri"/>
          <w:sz w:val="18"/>
          <w:szCs w:val="18"/>
        </w:rPr>
        <w:t>, ovvero indica la banca dati ufficiale o il pubblico registro da cui i medesimi possono essere ricavati in modo aggiornato alla data di presentazione dell’offerta;</w:t>
      </w:r>
    </w:p>
    <w:p w14:paraId="4846A556" w14:textId="4E0BACE4" w:rsidR="00CE5551" w:rsidRPr="00CE5551" w:rsidRDefault="0055228C" w:rsidP="00DC299E">
      <w:pPr>
        <w:pStyle w:val="Paragrafoelenco"/>
        <w:numPr>
          <w:ilvl w:val="0"/>
          <w:numId w:val="25"/>
        </w:numPr>
        <w:spacing w:before="60" w:after="60"/>
      </w:pPr>
      <w:r w:rsidRPr="00CE5551">
        <w:rPr>
          <w:rFonts w:ascii="Titillium" w:hAnsi="Titillium" w:cs="Calibri"/>
          <w:sz w:val="18"/>
          <w:szCs w:val="18"/>
        </w:rPr>
        <w:t>di non partecipare alla medesima gara</w:t>
      </w:r>
      <w:r w:rsidR="00ED1F35">
        <w:rPr>
          <w:rFonts w:ascii="Titillium" w:hAnsi="Titillium" w:cs="Calibri"/>
          <w:sz w:val="18"/>
          <w:szCs w:val="18"/>
        </w:rPr>
        <w:t xml:space="preserve"> contemporaneamente</w:t>
      </w:r>
      <w:r w:rsidRPr="00CE5551">
        <w:rPr>
          <w:rFonts w:ascii="Titillium" w:hAnsi="Titillium" w:cs="Calibri"/>
          <w:sz w:val="18"/>
          <w:szCs w:val="18"/>
        </w:rPr>
        <w:t xml:space="preserve"> in</w:t>
      </w:r>
      <w:r w:rsidR="00ED1F35">
        <w:rPr>
          <w:rFonts w:ascii="Titillium" w:hAnsi="Titillium" w:cs="Calibri"/>
          <w:sz w:val="18"/>
          <w:szCs w:val="18"/>
        </w:rPr>
        <w:t xml:space="preserve"> forme diverse (individuale e associata; in più </w:t>
      </w:r>
      <w:r w:rsidR="00511610">
        <w:rPr>
          <w:rFonts w:ascii="Titillium" w:hAnsi="Titillium" w:cs="Calibri"/>
          <w:sz w:val="18"/>
          <w:szCs w:val="18"/>
        </w:rPr>
        <w:t>forme associate;</w:t>
      </w:r>
      <w:r w:rsidR="00ED1F35">
        <w:rPr>
          <w:rFonts w:ascii="Titillium" w:hAnsi="Titillium" w:cs="Calibri"/>
          <w:sz w:val="18"/>
          <w:szCs w:val="18"/>
        </w:rPr>
        <w:t xml:space="preserve"> in </w:t>
      </w:r>
      <w:r w:rsidRPr="00CE5551">
        <w:rPr>
          <w:rFonts w:ascii="Titillium" w:hAnsi="Titillium" w:cs="Calibri"/>
          <w:sz w:val="18"/>
          <w:szCs w:val="18"/>
        </w:rPr>
        <w:t xml:space="preserve">forma </w:t>
      </w:r>
      <w:r w:rsidR="00CE5551" w:rsidRPr="00CE5551">
        <w:rPr>
          <w:rFonts w:ascii="Titillium" w:hAnsi="Titillium" w:cs="Calibri"/>
          <w:sz w:val="18"/>
          <w:szCs w:val="18"/>
        </w:rPr>
        <w:t xml:space="preserve">singola e </w:t>
      </w:r>
      <w:r w:rsidR="00ED1F35">
        <w:rPr>
          <w:rFonts w:ascii="Titillium" w:hAnsi="Titillium" w:cs="Calibri"/>
          <w:sz w:val="18"/>
          <w:szCs w:val="18"/>
        </w:rPr>
        <w:t xml:space="preserve">quale consorziato esecutore di un consorzio; in forma singola e </w:t>
      </w:r>
      <w:r w:rsidR="00ED1F35" w:rsidRPr="00CE5551">
        <w:rPr>
          <w:rFonts w:ascii="Titillium" w:hAnsi="Titillium" w:cs="Calibri"/>
          <w:sz w:val="18"/>
          <w:szCs w:val="18"/>
        </w:rPr>
        <w:t xml:space="preserve">come ausiliaria di altro </w:t>
      </w:r>
      <w:r w:rsidR="00ED1F35" w:rsidRPr="00CE5551">
        <w:rPr>
          <w:rFonts w:ascii="Titillium" w:hAnsi="Titillium" w:cs="Calibri"/>
          <w:sz w:val="18"/>
          <w:szCs w:val="18"/>
        </w:rPr>
        <w:lastRenderedPageBreak/>
        <w:t>concorrente che sia ricorso all’avvalimento per migliorare la propria offerta</w:t>
      </w:r>
      <w:r w:rsidR="00511610">
        <w:rPr>
          <w:rFonts w:ascii="Titillium" w:hAnsi="Titillium" w:cs="Calibri"/>
          <w:sz w:val="18"/>
          <w:szCs w:val="18"/>
        </w:rPr>
        <w:t>)</w:t>
      </w:r>
      <w:r w:rsidR="00CE5551" w:rsidRPr="00CE5551">
        <w:rPr>
          <w:rFonts w:ascii="Titillium" w:hAnsi="Titillium" w:cs="Calibri"/>
          <w:sz w:val="18"/>
          <w:szCs w:val="18"/>
        </w:rPr>
        <w:t xml:space="preserve">. Se l’operatore economico </w:t>
      </w:r>
      <w:r w:rsidR="00CE5551">
        <w:rPr>
          <w:rFonts w:ascii="Titillium" w:hAnsi="Titillium" w:cs="Calibri"/>
          <w:sz w:val="18"/>
          <w:szCs w:val="18"/>
        </w:rPr>
        <w:t xml:space="preserve">dichiara di </w:t>
      </w:r>
      <w:r w:rsidR="00CE5551" w:rsidRPr="00CE5551">
        <w:rPr>
          <w:rFonts w:ascii="Titillium" w:hAnsi="Titillium" w:cs="Calibri"/>
          <w:sz w:val="18"/>
          <w:szCs w:val="18"/>
        </w:rPr>
        <w:t>partecipa</w:t>
      </w:r>
      <w:r w:rsidR="00CE5551">
        <w:rPr>
          <w:rFonts w:ascii="Titillium" w:hAnsi="Titillium" w:cs="Calibri"/>
          <w:sz w:val="18"/>
          <w:szCs w:val="18"/>
        </w:rPr>
        <w:t>re</w:t>
      </w:r>
      <w:r w:rsidR="00CE5551" w:rsidRPr="00CE5551">
        <w:rPr>
          <w:rFonts w:ascii="Titillium" w:hAnsi="Titillium" w:cs="Calibri"/>
          <w:sz w:val="18"/>
          <w:szCs w:val="18"/>
        </w:rPr>
        <w:t xml:space="preserve"> in </w:t>
      </w:r>
      <w:r w:rsidR="00511610">
        <w:rPr>
          <w:rFonts w:ascii="Titillium" w:hAnsi="Titillium" w:cs="Calibri"/>
          <w:sz w:val="18"/>
          <w:szCs w:val="18"/>
        </w:rPr>
        <w:t>più di una forma</w:t>
      </w:r>
      <w:r w:rsidR="00CE5551">
        <w:rPr>
          <w:rFonts w:ascii="Titillium" w:hAnsi="Titillium" w:cs="Calibri"/>
          <w:sz w:val="18"/>
          <w:szCs w:val="18"/>
        </w:rPr>
        <w:t>,</w:t>
      </w:r>
      <w:r w:rsidR="00CE5551" w:rsidRPr="00CE5551">
        <w:rPr>
          <w:rFonts w:ascii="Titillium" w:hAnsi="Titillium" w:cs="Calibri"/>
          <w:sz w:val="18"/>
          <w:szCs w:val="18"/>
        </w:rPr>
        <w:t xml:space="preserve"> allega la documentazione che dimostra</w:t>
      </w:r>
      <w:r w:rsidR="00F52868" w:rsidRPr="00CE5551">
        <w:rPr>
          <w:rFonts w:ascii="Titillium" w:hAnsi="Titillium" w:cs="Calibri"/>
          <w:sz w:val="18"/>
          <w:szCs w:val="18"/>
        </w:rPr>
        <w:t xml:space="preserve"> che la circostanza non ha influito sulla gara, né è idonea a incidere sulla capacità di rispettare gli obblighi contrattuali</w:t>
      </w:r>
    </w:p>
    <w:p w14:paraId="0BE3D8FF" w14:textId="2C52FBFE" w:rsidR="0055228C" w:rsidRPr="00521A1B" w:rsidRDefault="0055228C" w:rsidP="0055228C">
      <w:pPr>
        <w:pStyle w:val="Paragrafoelenco"/>
        <w:numPr>
          <w:ilvl w:val="0"/>
          <w:numId w:val="25"/>
        </w:numPr>
        <w:spacing w:before="60" w:after="60"/>
      </w:pPr>
      <w:r>
        <w:rPr>
          <w:rFonts w:ascii="Titillium" w:hAnsi="Titillium"/>
          <w:sz w:val="18"/>
          <w:szCs w:val="18"/>
        </w:rPr>
        <w:t>di accettare, senza condizione o riserva alcuna, tutte le norme e disposizioni contenute nella documentazione gara</w:t>
      </w:r>
      <w:r>
        <w:rPr>
          <w:rFonts w:ascii="Titillium" w:hAnsi="Titillium" w:cs="Calibri"/>
          <w:sz w:val="18"/>
          <w:szCs w:val="18"/>
        </w:rPr>
        <w:t>;</w:t>
      </w:r>
    </w:p>
    <w:p w14:paraId="79C54EAD" w14:textId="74A7B4D5" w:rsidR="003B49E3" w:rsidRPr="003B49E3" w:rsidRDefault="003B49E3" w:rsidP="003B49E3">
      <w:pPr>
        <w:spacing w:before="60" w:after="60"/>
        <w:ind w:left="360"/>
        <w:rPr>
          <w:rFonts w:ascii="Titillium" w:hAnsi="Titillium" w:cs="Calibri"/>
          <w:sz w:val="18"/>
          <w:szCs w:val="18"/>
        </w:rPr>
      </w:pPr>
      <w:r>
        <w:rPr>
          <w:rFonts w:ascii="Titillium" w:hAnsi="Titillium"/>
          <w:b/>
          <w:i/>
          <w:sz w:val="18"/>
          <w:szCs w:val="18"/>
        </w:rPr>
        <w:t>[</w:t>
      </w:r>
      <w:r w:rsidRPr="003B49E3">
        <w:rPr>
          <w:rFonts w:ascii="Titillium" w:hAnsi="Titillium"/>
          <w:b/>
          <w:i/>
          <w:sz w:val="18"/>
          <w:szCs w:val="18"/>
        </w:rPr>
        <w:t xml:space="preserve">Se prevista </w:t>
      </w:r>
      <w:r>
        <w:rPr>
          <w:rFonts w:ascii="Titillium" w:hAnsi="Titillium"/>
          <w:b/>
          <w:i/>
          <w:sz w:val="18"/>
          <w:szCs w:val="18"/>
        </w:rPr>
        <w:t>le clausole</w:t>
      </w:r>
      <w:r w:rsidRPr="003B49E3">
        <w:rPr>
          <w:rFonts w:ascii="Titillium" w:hAnsi="Titillium"/>
          <w:b/>
          <w:i/>
          <w:sz w:val="18"/>
          <w:szCs w:val="18"/>
        </w:rPr>
        <w:t xml:space="preserve"> </w:t>
      </w:r>
      <w:r>
        <w:rPr>
          <w:rFonts w:ascii="Titillium" w:hAnsi="Titillium"/>
          <w:b/>
          <w:i/>
          <w:sz w:val="18"/>
          <w:szCs w:val="18"/>
        </w:rPr>
        <w:t>di cui all’articol</w:t>
      </w:r>
      <w:r w:rsidRPr="003B49E3">
        <w:rPr>
          <w:rFonts w:ascii="Titillium" w:hAnsi="Titillium"/>
          <w:b/>
          <w:i/>
          <w:sz w:val="18"/>
          <w:szCs w:val="18"/>
        </w:rPr>
        <w:t xml:space="preserve">o </w:t>
      </w:r>
      <w:r w:rsidRPr="003B49E3">
        <w:rPr>
          <w:rFonts w:ascii="Titillium" w:hAnsi="Titillium" w:cs="Calibri"/>
          <w:b/>
          <w:i/>
          <w:sz w:val="18"/>
          <w:szCs w:val="18"/>
        </w:rPr>
        <w:fldChar w:fldCharType="begin"/>
      </w:r>
      <w:r w:rsidRPr="003B49E3">
        <w:rPr>
          <w:rFonts w:ascii="Titillium" w:hAnsi="Titillium" w:cs="Calibri"/>
          <w:b/>
          <w:i/>
          <w:sz w:val="18"/>
          <w:szCs w:val="18"/>
        </w:rPr>
        <w:instrText xml:space="preserve"> REF _Ref132050689 \r \h  \* MERGEFORMAT </w:instrText>
      </w:r>
      <w:r w:rsidRPr="003B49E3">
        <w:rPr>
          <w:rFonts w:ascii="Titillium" w:hAnsi="Titillium" w:cs="Calibri"/>
          <w:b/>
          <w:i/>
          <w:sz w:val="18"/>
          <w:szCs w:val="18"/>
        </w:rPr>
      </w:r>
      <w:r w:rsidRPr="003B49E3">
        <w:rPr>
          <w:rFonts w:ascii="Titillium" w:hAnsi="Titillium" w:cs="Calibri"/>
          <w:b/>
          <w:i/>
          <w:sz w:val="18"/>
          <w:szCs w:val="18"/>
        </w:rPr>
        <w:fldChar w:fldCharType="separate"/>
      </w:r>
      <w:r w:rsidRPr="003B49E3">
        <w:rPr>
          <w:rFonts w:ascii="Titillium" w:hAnsi="Titillium" w:cs="Calibri"/>
          <w:b/>
          <w:i/>
          <w:sz w:val="18"/>
          <w:szCs w:val="18"/>
        </w:rPr>
        <w:t>9</w:t>
      </w:r>
      <w:r w:rsidRPr="003B49E3">
        <w:rPr>
          <w:rFonts w:ascii="Titillium" w:hAnsi="Titillium" w:cs="Calibri"/>
          <w:b/>
          <w:i/>
          <w:sz w:val="18"/>
          <w:szCs w:val="18"/>
        </w:rPr>
        <w:fldChar w:fldCharType="end"/>
      </w:r>
      <w:r w:rsidRPr="003B49E3">
        <w:rPr>
          <w:rFonts w:ascii="Titillium" w:hAnsi="Titillium"/>
          <w:b/>
          <w:i/>
          <w:sz w:val="18"/>
          <w:szCs w:val="18"/>
        </w:rPr>
        <w:t>. Non applicabile ai servizi di natura intellettuale ed alle forniture senza posa in opera]</w:t>
      </w:r>
    </w:p>
    <w:p w14:paraId="23150186" w14:textId="56321943" w:rsidR="00521A1B" w:rsidRPr="00BB5F32" w:rsidRDefault="00CF55DC" w:rsidP="00DC299E">
      <w:pPr>
        <w:pStyle w:val="Paragrafoelenco"/>
        <w:numPr>
          <w:ilvl w:val="0"/>
          <w:numId w:val="25"/>
        </w:numPr>
        <w:spacing w:before="60" w:after="60"/>
        <w:rPr>
          <w:rFonts w:ascii="Titillium" w:hAnsi="Titillium" w:cs="Calibri"/>
          <w:sz w:val="18"/>
          <w:szCs w:val="18"/>
        </w:rPr>
      </w:pPr>
      <w:r>
        <w:rPr>
          <w:rFonts w:ascii="Titillium" w:hAnsi="Titillium" w:cs="Calibri"/>
          <w:sz w:val="18"/>
          <w:szCs w:val="18"/>
        </w:rPr>
        <w:t xml:space="preserve">di applicare il </w:t>
      </w:r>
      <w:r w:rsidR="00521A1B" w:rsidRPr="00BB5F32">
        <w:rPr>
          <w:rFonts w:ascii="Titillium" w:hAnsi="Titillium" w:cs="Calibri"/>
          <w:sz w:val="18"/>
          <w:szCs w:val="18"/>
        </w:rPr>
        <w:t xml:space="preserve">CCNL </w:t>
      </w:r>
      <w:r>
        <w:rPr>
          <w:rFonts w:ascii="Titillium" w:hAnsi="Titillium" w:cs="Calibri"/>
          <w:sz w:val="18"/>
          <w:szCs w:val="18"/>
        </w:rPr>
        <w:t xml:space="preserve">indicato dalla stazione appaltante o altro CCNL equivalente, </w:t>
      </w:r>
      <w:r w:rsidR="00521A1B" w:rsidRPr="00BB5F32">
        <w:rPr>
          <w:rFonts w:ascii="Titillium" w:hAnsi="Titillium" w:cs="Calibri"/>
          <w:sz w:val="18"/>
          <w:szCs w:val="18"/>
        </w:rPr>
        <w:t xml:space="preserve">con l’indicazione del relativo codice alfanumerico unico di cui all’articolo 16 quater del </w:t>
      </w:r>
      <w:r w:rsidR="000D2AC1">
        <w:rPr>
          <w:rFonts w:ascii="Titillium" w:hAnsi="Titillium" w:cs="Calibri"/>
          <w:sz w:val="18"/>
          <w:szCs w:val="18"/>
        </w:rPr>
        <w:t>decreto legge</w:t>
      </w:r>
      <w:r w:rsidR="00521A1B" w:rsidRPr="00BB5F32">
        <w:rPr>
          <w:rFonts w:ascii="Titillium" w:hAnsi="Titillium" w:cs="Calibri"/>
          <w:sz w:val="18"/>
          <w:szCs w:val="18"/>
        </w:rPr>
        <w:t xml:space="preserve"> 76/20;</w:t>
      </w:r>
    </w:p>
    <w:p w14:paraId="5BEB6D37" w14:textId="292D7ADF" w:rsidR="00BB5F32" w:rsidRPr="004E5603" w:rsidRDefault="00BB5F32" w:rsidP="00DC299E">
      <w:pPr>
        <w:pStyle w:val="Paragrafoelenco"/>
        <w:widowControl w:val="0"/>
        <w:numPr>
          <w:ilvl w:val="0"/>
          <w:numId w:val="25"/>
        </w:numPr>
        <w:spacing w:before="60" w:after="60"/>
        <w:rPr>
          <w:rFonts w:ascii="Titillium" w:hAnsi="Titillium" w:cs="Arial"/>
          <w:sz w:val="18"/>
          <w:szCs w:val="18"/>
        </w:rPr>
      </w:pPr>
      <w:r w:rsidRPr="003B49E3">
        <w:rPr>
          <w:rFonts w:ascii="Titillium" w:hAnsi="Titillium"/>
          <w:bCs/>
          <w:iCs/>
          <w:sz w:val="18"/>
          <w:szCs w:val="18"/>
        </w:rPr>
        <w:t>di</w:t>
      </w:r>
      <w:r w:rsidRPr="004E5603">
        <w:rPr>
          <w:rFonts w:ascii="Titillium" w:hAnsi="Titillium"/>
          <w:bCs/>
          <w:iCs/>
          <w:sz w:val="18"/>
          <w:szCs w:val="18"/>
        </w:rPr>
        <w:t xml:space="preserve"> garantire</w:t>
      </w:r>
      <w:r w:rsidR="00EA51A8" w:rsidRPr="004E5603">
        <w:rPr>
          <w:rFonts w:ascii="Titillium" w:hAnsi="Titillium"/>
          <w:bCs/>
          <w:iCs/>
          <w:sz w:val="18"/>
          <w:szCs w:val="18"/>
        </w:rPr>
        <w:t xml:space="preserve">, </w:t>
      </w:r>
      <w:r w:rsidRPr="004E5603">
        <w:rPr>
          <w:rFonts w:ascii="Titillium" w:hAnsi="Titillium" w:cs="Calibri"/>
          <w:sz w:val="18"/>
          <w:szCs w:val="18"/>
        </w:rPr>
        <w:t>second</w:t>
      </w:r>
      <w:r w:rsidR="000D2AC1" w:rsidRPr="004E5603">
        <w:rPr>
          <w:rFonts w:ascii="Titillium" w:hAnsi="Titillium" w:cs="Calibri"/>
          <w:sz w:val="18"/>
          <w:szCs w:val="18"/>
        </w:rPr>
        <w:t>o quanto indicato all’articolo</w:t>
      </w:r>
      <w:r w:rsidRPr="004E5603">
        <w:rPr>
          <w:rFonts w:ascii="Titillium" w:hAnsi="Titillium" w:cs="Calibri"/>
          <w:sz w:val="18"/>
          <w:szCs w:val="18"/>
        </w:rPr>
        <w:t xml:space="preserve">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r>
      <w:r w:rsidRPr="004E5603">
        <w:rPr>
          <w:rFonts w:ascii="Titillium" w:hAnsi="Titillium" w:cs="Calibri"/>
          <w:sz w:val="18"/>
          <w:szCs w:val="18"/>
        </w:rPr>
        <w:fldChar w:fldCharType="separate"/>
      </w:r>
      <w:r w:rsidR="00527049">
        <w:rPr>
          <w:rFonts w:ascii="Titillium" w:hAnsi="Titillium" w:cs="Calibri"/>
          <w:sz w:val="18"/>
          <w:szCs w:val="18"/>
        </w:rPr>
        <w:t>9</w:t>
      </w:r>
      <w:r w:rsidRPr="004E5603">
        <w:rPr>
          <w:rFonts w:ascii="Titillium" w:hAnsi="Titillium" w:cs="Calibri"/>
          <w:sz w:val="18"/>
          <w:szCs w:val="18"/>
        </w:rPr>
        <w:fldChar w:fldCharType="end"/>
      </w:r>
      <w:r w:rsidR="00EA51A8" w:rsidRPr="004E5603">
        <w:rPr>
          <w:rFonts w:ascii="Titillium" w:hAnsi="Titillium" w:cs="Calibri"/>
          <w:sz w:val="18"/>
          <w:szCs w:val="18"/>
        </w:rPr>
        <w:t xml:space="preserve">, </w:t>
      </w:r>
      <w:r w:rsidR="00EA51A8" w:rsidRPr="004E5603">
        <w:rPr>
          <w:rFonts w:ascii="Titillium" w:hAnsi="Titillium"/>
          <w:bCs/>
          <w:iCs/>
          <w:sz w:val="18"/>
          <w:szCs w:val="18"/>
        </w:rPr>
        <w:t>la stabilità occupazionale del personale impiegato</w:t>
      </w:r>
      <w:r w:rsidRPr="004E5603">
        <w:rPr>
          <w:rFonts w:ascii="Titillium" w:hAnsi="Titillium"/>
          <w:bCs/>
          <w:i/>
          <w:sz w:val="18"/>
          <w:szCs w:val="18"/>
        </w:rPr>
        <w:t>;</w:t>
      </w:r>
    </w:p>
    <w:p w14:paraId="13FD8718" w14:textId="32B73EB3" w:rsidR="00521A1B" w:rsidRPr="004E5603" w:rsidRDefault="00EA51A8" w:rsidP="0055228C">
      <w:pPr>
        <w:pStyle w:val="Paragrafoelenco"/>
        <w:numPr>
          <w:ilvl w:val="0"/>
          <w:numId w:val="25"/>
        </w:numPr>
        <w:spacing w:before="60" w:after="60"/>
      </w:pPr>
      <w:r w:rsidRPr="004E5603">
        <w:rPr>
          <w:rFonts w:ascii="Titillium" w:hAnsi="Titillium"/>
          <w:bCs/>
          <w:iCs/>
          <w:sz w:val="18"/>
          <w:szCs w:val="18"/>
        </w:rPr>
        <w:t xml:space="preserve">di garantire, </w:t>
      </w:r>
      <w:r w:rsidRPr="004E5603">
        <w:rPr>
          <w:rFonts w:ascii="Titillium" w:hAnsi="Titillium" w:cs="Calibri"/>
          <w:sz w:val="18"/>
          <w:szCs w:val="18"/>
        </w:rPr>
        <w:t>secondo quanto indicato all’art</w:t>
      </w:r>
      <w:r w:rsidR="00860210">
        <w:rPr>
          <w:rFonts w:ascii="Titillium" w:hAnsi="Titillium" w:cs="Calibri"/>
          <w:sz w:val="18"/>
          <w:szCs w:val="18"/>
        </w:rPr>
        <w:t>icolo</w:t>
      </w:r>
      <w:r w:rsidRPr="004E5603">
        <w:rPr>
          <w:rFonts w:ascii="Titillium" w:hAnsi="Titillium" w:cs="Calibri"/>
          <w:sz w:val="18"/>
          <w:szCs w:val="18"/>
        </w:rPr>
        <w:t xml:space="preserve"> </w:t>
      </w:r>
      <w:r w:rsidRPr="004E5603">
        <w:rPr>
          <w:rFonts w:ascii="Titillium" w:hAnsi="Titillium" w:cs="Calibri"/>
          <w:sz w:val="18"/>
          <w:szCs w:val="18"/>
        </w:rPr>
        <w:fldChar w:fldCharType="begin"/>
      </w:r>
      <w:r w:rsidRPr="004E5603">
        <w:rPr>
          <w:rFonts w:ascii="Titillium" w:hAnsi="Titillium" w:cs="Calibri"/>
          <w:sz w:val="18"/>
          <w:szCs w:val="18"/>
        </w:rPr>
        <w:instrText xml:space="preserve"> REF _Ref132050689 \r \h  \* MERGEFORMAT </w:instrText>
      </w:r>
      <w:r w:rsidRPr="004E5603">
        <w:rPr>
          <w:rFonts w:ascii="Titillium" w:hAnsi="Titillium" w:cs="Calibri"/>
          <w:sz w:val="18"/>
          <w:szCs w:val="18"/>
        </w:rPr>
      </w:r>
      <w:r w:rsidRPr="004E5603">
        <w:rPr>
          <w:rFonts w:ascii="Titillium" w:hAnsi="Titillium" w:cs="Calibri"/>
          <w:sz w:val="18"/>
          <w:szCs w:val="18"/>
        </w:rPr>
        <w:fldChar w:fldCharType="separate"/>
      </w:r>
      <w:r w:rsidR="00527049">
        <w:rPr>
          <w:rFonts w:ascii="Titillium" w:hAnsi="Titillium" w:cs="Calibri"/>
          <w:sz w:val="18"/>
          <w:szCs w:val="18"/>
        </w:rPr>
        <w:t>9</w:t>
      </w:r>
      <w:r w:rsidRPr="004E5603">
        <w:rPr>
          <w:rFonts w:ascii="Titillium" w:hAnsi="Titillium" w:cs="Calibri"/>
          <w:sz w:val="18"/>
          <w:szCs w:val="18"/>
        </w:rPr>
        <w:fldChar w:fldCharType="end"/>
      </w:r>
      <w:r w:rsidRPr="004E5603">
        <w:rPr>
          <w:rFonts w:ascii="Titillium" w:hAnsi="Titillium" w:cs="Calibri"/>
          <w:sz w:val="18"/>
          <w:szCs w:val="18"/>
        </w:rPr>
        <w:t xml:space="preserve">,… </w:t>
      </w:r>
      <w:r w:rsidR="00860210" w:rsidRPr="00860210">
        <w:rPr>
          <w:rFonts w:ascii="Titillium" w:hAnsi="Titillium" w:cs="Calibri"/>
          <w:i/>
          <w:iCs/>
          <w:sz w:val="18"/>
          <w:szCs w:val="18"/>
        </w:rPr>
        <w:t>[completare</w:t>
      </w:r>
      <w:r w:rsidR="003B49E3">
        <w:rPr>
          <w:rFonts w:ascii="Titillium" w:hAnsi="Titillium" w:cs="Calibri"/>
          <w:i/>
          <w:iCs/>
          <w:sz w:val="18"/>
          <w:szCs w:val="18"/>
        </w:rPr>
        <w:t xml:space="preserve"> in base a come è stata declinata la clausola</w:t>
      </w:r>
      <w:r w:rsidR="00860210" w:rsidRPr="00860210">
        <w:rPr>
          <w:rFonts w:ascii="Titillium" w:hAnsi="Titillium" w:cs="Calibri"/>
          <w:i/>
          <w:iCs/>
          <w:sz w:val="18"/>
          <w:szCs w:val="18"/>
        </w:rPr>
        <w:t>].</w:t>
      </w:r>
    </w:p>
    <w:p w14:paraId="169C7D7B" w14:textId="7BE4CB3C" w:rsidR="00397198" w:rsidRDefault="00DB6ACC" w:rsidP="00397198">
      <w:pPr>
        <w:pStyle w:val="Paragrafoelenco"/>
        <w:numPr>
          <w:ilvl w:val="0"/>
          <w:numId w:val="25"/>
        </w:numPr>
        <w:spacing w:before="60" w:after="60"/>
        <w:rPr>
          <w:rFonts w:ascii="Titillium" w:hAnsi="Titillium"/>
          <w:bCs/>
          <w:iCs/>
          <w:sz w:val="18"/>
          <w:szCs w:val="18"/>
        </w:rPr>
      </w:pPr>
      <w:r w:rsidRPr="00DB6ACC">
        <w:rPr>
          <w:rFonts w:ascii="Titillium" w:hAnsi="Titillium"/>
          <w:b/>
          <w:i/>
          <w:sz w:val="18"/>
          <w:szCs w:val="18"/>
        </w:rPr>
        <w:t xml:space="preserve">Se </w:t>
      </w:r>
      <w:r>
        <w:rPr>
          <w:rFonts w:ascii="Titillium" w:hAnsi="Titillium"/>
          <w:b/>
          <w:i/>
          <w:sz w:val="18"/>
          <w:szCs w:val="18"/>
        </w:rPr>
        <w:t>richiesti</w:t>
      </w:r>
      <w:r w:rsidRPr="00DB6ACC">
        <w:rPr>
          <w:rFonts w:ascii="Titillium" w:hAnsi="Titillium"/>
          <w:b/>
          <w:i/>
          <w:sz w:val="18"/>
          <w:szCs w:val="18"/>
        </w:rPr>
        <w:t xml:space="preserve"> requisiti particolari per l'esecuzione del contratto ai sensi dell’art</w:t>
      </w:r>
      <w:r w:rsidR="00116F1A">
        <w:rPr>
          <w:rFonts w:ascii="Titillium" w:hAnsi="Titillium"/>
          <w:b/>
          <w:i/>
          <w:sz w:val="18"/>
          <w:szCs w:val="18"/>
        </w:rPr>
        <w:t>icolo</w:t>
      </w:r>
      <w:r w:rsidRPr="00DB6ACC">
        <w:rPr>
          <w:rFonts w:ascii="Titillium" w:hAnsi="Titillium"/>
          <w:b/>
          <w:i/>
          <w:sz w:val="18"/>
          <w:szCs w:val="18"/>
        </w:rPr>
        <w:t xml:space="preserve"> 113 del Codice</w:t>
      </w:r>
      <w:r>
        <w:rPr>
          <w:rFonts w:ascii="Titillium" w:hAnsi="Titillium"/>
          <w:b/>
          <w:i/>
          <w:sz w:val="18"/>
          <w:szCs w:val="18"/>
        </w:rPr>
        <w:t xml:space="preserve">] </w:t>
      </w:r>
      <w:r w:rsidRPr="00DB6ACC">
        <w:rPr>
          <w:rFonts w:ascii="Titillium" w:hAnsi="Titillium"/>
          <w:bCs/>
          <w:iCs/>
          <w:sz w:val="18"/>
          <w:szCs w:val="18"/>
        </w:rPr>
        <w:t>di accettare</w:t>
      </w:r>
      <w:r w:rsidR="00397198">
        <w:rPr>
          <w:rFonts w:ascii="Titillium" w:hAnsi="Titillium"/>
          <w:bCs/>
          <w:iCs/>
          <w:sz w:val="18"/>
          <w:szCs w:val="18"/>
        </w:rPr>
        <w:t>, in caso di aggiudicazione,</w:t>
      </w:r>
      <w:r w:rsidRPr="00DB6ACC">
        <w:rPr>
          <w:rFonts w:ascii="Titillium" w:hAnsi="Titillium"/>
          <w:bCs/>
          <w:iCs/>
          <w:sz w:val="18"/>
          <w:szCs w:val="18"/>
        </w:rPr>
        <w:t xml:space="preserve"> </w:t>
      </w:r>
      <w:r>
        <w:rPr>
          <w:rFonts w:ascii="Titillium" w:hAnsi="Titillium"/>
          <w:bCs/>
          <w:iCs/>
          <w:sz w:val="18"/>
          <w:szCs w:val="18"/>
        </w:rPr>
        <w:t xml:space="preserve">i requisiti particolari </w:t>
      </w:r>
      <w:r w:rsidR="00676E04">
        <w:rPr>
          <w:rFonts w:ascii="Titillium" w:hAnsi="Titillium"/>
          <w:bCs/>
          <w:iCs/>
          <w:sz w:val="18"/>
          <w:szCs w:val="18"/>
        </w:rPr>
        <w:t>indicati</w:t>
      </w:r>
      <w:r w:rsidR="00397198">
        <w:rPr>
          <w:rFonts w:ascii="Titillium" w:hAnsi="Titillium"/>
          <w:bCs/>
          <w:iCs/>
          <w:sz w:val="18"/>
          <w:szCs w:val="18"/>
        </w:rPr>
        <w:t xml:space="preserve"> </w:t>
      </w:r>
      <w:r w:rsidR="00860210" w:rsidRPr="004E5603">
        <w:rPr>
          <w:rFonts w:ascii="Titillium" w:hAnsi="Titillium" w:cs="Calibri"/>
          <w:sz w:val="18"/>
          <w:szCs w:val="18"/>
        </w:rPr>
        <w:t>all’art</w:t>
      </w:r>
      <w:r w:rsidR="00860210">
        <w:rPr>
          <w:rFonts w:ascii="Titillium" w:hAnsi="Titillium" w:cs="Calibri"/>
          <w:sz w:val="18"/>
          <w:szCs w:val="18"/>
        </w:rPr>
        <w:t>icolo</w:t>
      </w:r>
      <w:r w:rsidR="00860210" w:rsidRPr="004E5603">
        <w:rPr>
          <w:rFonts w:ascii="Titillium" w:hAnsi="Titillium" w:cs="Calibri"/>
          <w:sz w:val="18"/>
          <w:szCs w:val="18"/>
        </w:rPr>
        <w:t xml:space="preserve"> </w:t>
      </w:r>
      <w:r w:rsidR="00860210" w:rsidRPr="004E5603">
        <w:rPr>
          <w:rFonts w:ascii="Titillium" w:hAnsi="Titillium" w:cs="Calibri"/>
          <w:sz w:val="18"/>
          <w:szCs w:val="18"/>
        </w:rPr>
        <w:fldChar w:fldCharType="begin"/>
      </w:r>
      <w:r w:rsidR="00860210" w:rsidRPr="004E5603">
        <w:rPr>
          <w:rFonts w:ascii="Titillium" w:hAnsi="Titillium" w:cs="Calibri"/>
          <w:sz w:val="18"/>
          <w:szCs w:val="18"/>
        </w:rPr>
        <w:instrText xml:space="preserve"> REF _Ref132050689 \r \h  \* MERGEFORMAT </w:instrText>
      </w:r>
      <w:r w:rsidR="00860210" w:rsidRPr="004E5603">
        <w:rPr>
          <w:rFonts w:ascii="Titillium" w:hAnsi="Titillium" w:cs="Calibri"/>
          <w:sz w:val="18"/>
          <w:szCs w:val="18"/>
        </w:rPr>
      </w:r>
      <w:r w:rsidR="00860210" w:rsidRPr="004E5603">
        <w:rPr>
          <w:rFonts w:ascii="Titillium" w:hAnsi="Titillium" w:cs="Calibri"/>
          <w:sz w:val="18"/>
          <w:szCs w:val="18"/>
        </w:rPr>
        <w:fldChar w:fldCharType="separate"/>
      </w:r>
      <w:r w:rsidR="00860210">
        <w:rPr>
          <w:rFonts w:ascii="Titillium" w:hAnsi="Titillium" w:cs="Calibri"/>
          <w:sz w:val="18"/>
          <w:szCs w:val="18"/>
        </w:rPr>
        <w:t>9</w:t>
      </w:r>
      <w:r w:rsidR="00860210" w:rsidRPr="004E5603">
        <w:rPr>
          <w:rFonts w:ascii="Titillium" w:hAnsi="Titillium" w:cs="Calibri"/>
          <w:sz w:val="18"/>
          <w:szCs w:val="18"/>
        </w:rPr>
        <w:fldChar w:fldCharType="end"/>
      </w:r>
      <w:r w:rsidR="00397198">
        <w:rPr>
          <w:rFonts w:ascii="Titillium" w:hAnsi="Titillium"/>
          <w:bCs/>
          <w:iCs/>
          <w:sz w:val="18"/>
          <w:szCs w:val="18"/>
        </w:rPr>
        <w:t>;</w:t>
      </w:r>
    </w:p>
    <w:p w14:paraId="5396E75E" w14:textId="5D4AF890" w:rsidR="00507049" w:rsidRPr="00715AD8" w:rsidRDefault="00507049" w:rsidP="00922227">
      <w:pPr>
        <w:pStyle w:val="Paragrafoelenco"/>
        <w:numPr>
          <w:ilvl w:val="0"/>
          <w:numId w:val="11"/>
        </w:numPr>
        <w:spacing w:before="60" w:after="60" w:line="240" w:lineRule="auto"/>
        <w:rPr>
          <w:rFonts w:ascii="Titillium" w:hAnsi="Titillium"/>
          <w:sz w:val="18"/>
          <w:szCs w:val="18"/>
          <w:shd w:val="clear" w:color="auto" w:fill="FFFFFF"/>
        </w:rPr>
      </w:pPr>
      <w:r w:rsidRPr="00715AD8">
        <w:rPr>
          <w:rFonts w:ascii="Titillium" w:hAnsi="Titillium" w:cs="Arial"/>
          <w:b/>
          <w:bCs/>
          <w:i/>
          <w:sz w:val="18"/>
          <w:szCs w:val="18"/>
        </w:rPr>
        <w:t>[</w:t>
      </w:r>
      <w:r w:rsidR="004E5603">
        <w:rPr>
          <w:rFonts w:ascii="Titillium" w:hAnsi="Titillium" w:cs="Arial"/>
          <w:b/>
          <w:bCs/>
          <w:i/>
          <w:sz w:val="18"/>
          <w:szCs w:val="18"/>
        </w:rPr>
        <w:t>P</w:t>
      </w:r>
      <w:r w:rsidRPr="00715AD8">
        <w:rPr>
          <w:rFonts w:ascii="Titillium" w:hAnsi="Titillium" w:cs="Arial"/>
          <w:b/>
          <w:bCs/>
          <w:i/>
          <w:sz w:val="18"/>
          <w:szCs w:val="18"/>
        </w:rPr>
        <w:t xml:space="preserve">er le procedure di gara </w:t>
      </w:r>
      <w:r w:rsidR="00922227" w:rsidRPr="00922227">
        <w:rPr>
          <w:rFonts w:ascii="Titillium" w:hAnsi="Titillium" w:cs="Arial"/>
          <w:b/>
          <w:bCs/>
          <w:i/>
          <w:sz w:val="18"/>
          <w:szCs w:val="18"/>
        </w:rPr>
        <w:t>riservate ai sensi dell’articolo 61 del codice e</w:t>
      </w:r>
      <w:r w:rsidR="00582A6D">
        <w:rPr>
          <w:rFonts w:ascii="Titillium" w:hAnsi="Titillium" w:cs="Arial"/>
          <w:b/>
          <w:bCs/>
          <w:i/>
          <w:sz w:val="18"/>
          <w:szCs w:val="18"/>
        </w:rPr>
        <w:t>/o</w:t>
      </w:r>
      <w:r w:rsidR="00922227" w:rsidRPr="00922227">
        <w:rPr>
          <w:rFonts w:ascii="Titillium" w:hAnsi="Titillium" w:cs="Arial"/>
          <w:b/>
          <w:bCs/>
          <w:i/>
          <w:sz w:val="18"/>
          <w:szCs w:val="18"/>
        </w:rPr>
        <w:t xml:space="preserve"> per quelle </w:t>
      </w:r>
      <w:r w:rsidRPr="00715AD8">
        <w:rPr>
          <w:rFonts w:ascii="Titillium" w:hAnsi="Titillium" w:cs="Arial"/>
          <w:b/>
          <w:bCs/>
          <w:i/>
          <w:sz w:val="18"/>
          <w:szCs w:val="18"/>
        </w:rPr>
        <w:t xml:space="preserve">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715AD8">
        <w:rPr>
          <w:rFonts w:ascii="Titillium" w:hAnsi="Titillium" w:cs="Courier New"/>
          <w:b/>
          <w:i/>
          <w:sz w:val="18"/>
          <w:szCs w:val="18"/>
        </w:rPr>
        <w:t>decreto legge 31 maggio 2021, n. 77, convertito, con modificazioni, dalla legge 29 luglio 2021, n. 108</w:t>
      </w:r>
      <w:r w:rsidRPr="00715AD8">
        <w:rPr>
          <w:rFonts w:ascii="Titillium" w:hAnsi="Titillium" w:cs="Arial"/>
          <w:b/>
          <w:bCs/>
          <w:i/>
          <w:sz w:val="18"/>
          <w:szCs w:val="18"/>
        </w:rPr>
        <w:t>]</w:t>
      </w:r>
    </w:p>
    <w:p w14:paraId="792CAF3F" w14:textId="74961987" w:rsidR="00D2210C" w:rsidRPr="00771B26" w:rsidRDefault="004659DB" w:rsidP="00715AD8">
      <w:pPr>
        <w:pStyle w:val="Paragrafoelenco"/>
        <w:numPr>
          <w:ilvl w:val="2"/>
          <w:numId w:val="56"/>
        </w:numPr>
        <w:spacing w:before="120" w:after="120"/>
        <w:rPr>
          <w:rFonts w:ascii="Titillium" w:hAnsi="Titillium" w:cs="Arial"/>
          <w:sz w:val="18"/>
          <w:szCs w:val="18"/>
        </w:rPr>
      </w:pPr>
      <w:r w:rsidRPr="00771B26">
        <w:rPr>
          <w:rFonts w:ascii="Titillium" w:hAnsi="Titillium" w:cs="Arial"/>
          <w:sz w:val="18"/>
          <w:szCs w:val="18"/>
        </w:rPr>
        <w:t xml:space="preserve">Il numero di dipendenti </w:t>
      </w:r>
      <w:r w:rsidR="00467601" w:rsidRPr="00771B26">
        <w:rPr>
          <w:rFonts w:ascii="Titillium" w:hAnsi="Titillium" w:cs="Arial"/>
          <w:sz w:val="18"/>
          <w:szCs w:val="18"/>
        </w:rPr>
        <w:t>impiegati</w:t>
      </w:r>
      <w:r w:rsidRPr="00771B26">
        <w:rPr>
          <w:rFonts w:ascii="Titillium" w:hAnsi="Titillium" w:cs="Arial"/>
          <w:sz w:val="18"/>
          <w:szCs w:val="18"/>
        </w:rPr>
        <w:t xml:space="preserve"> alla data d</w:t>
      </w:r>
      <w:r w:rsidR="00B62E34" w:rsidRPr="00771B26">
        <w:rPr>
          <w:rFonts w:ascii="Titillium" w:hAnsi="Titillium" w:cs="Arial"/>
          <w:sz w:val="18"/>
          <w:szCs w:val="18"/>
        </w:rPr>
        <w:t>i</w:t>
      </w:r>
      <w:r w:rsidRPr="00771B26">
        <w:rPr>
          <w:rFonts w:ascii="Titillium" w:hAnsi="Titillium" w:cs="Arial"/>
          <w:sz w:val="18"/>
          <w:szCs w:val="18"/>
        </w:rPr>
        <w:t xml:space="preserve"> presentazione della domanda;</w:t>
      </w:r>
    </w:p>
    <w:p w14:paraId="5A16BB12" w14:textId="45E61DF0" w:rsidR="00507049" w:rsidRPr="00771B26" w:rsidRDefault="00507049" w:rsidP="00715AD8">
      <w:pPr>
        <w:pStyle w:val="Paragrafoelenco"/>
        <w:numPr>
          <w:ilvl w:val="2"/>
          <w:numId w:val="56"/>
        </w:numPr>
        <w:spacing w:before="120" w:after="120"/>
        <w:rPr>
          <w:rFonts w:ascii="Titillium" w:hAnsi="Titillium" w:cs="Arial"/>
          <w:sz w:val="18"/>
          <w:szCs w:val="18"/>
        </w:rPr>
      </w:pPr>
      <w:r w:rsidRPr="00771B26">
        <w:rPr>
          <w:rFonts w:ascii="Titillium" w:hAnsi="Titillium" w:cs="Arial"/>
          <w:sz w:val="18"/>
          <w:szCs w:val="18"/>
        </w:rPr>
        <w:t>di aver assolto agli obblighi di cui alla legge n. 68/1999;</w:t>
      </w:r>
    </w:p>
    <w:p w14:paraId="2892C1F4" w14:textId="7DBB5D72" w:rsidR="00715AD8" w:rsidRPr="00771B26" w:rsidRDefault="00715AD8" w:rsidP="00A1783A">
      <w:pPr>
        <w:pStyle w:val="Paragrafoelenco"/>
        <w:numPr>
          <w:ilvl w:val="2"/>
          <w:numId w:val="56"/>
        </w:numPr>
        <w:spacing w:before="120" w:after="120"/>
        <w:rPr>
          <w:rFonts w:ascii="Titillium" w:hAnsi="Titillium" w:cs="Arial"/>
          <w:sz w:val="18"/>
          <w:szCs w:val="18"/>
        </w:rPr>
      </w:pPr>
      <w:r w:rsidRPr="00771B26">
        <w:rPr>
          <w:rFonts w:ascii="Titillium" w:hAnsi="Titillium" w:cs="Arial"/>
          <w:sz w:val="18"/>
          <w:szCs w:val="18"/>
        </w:rPr>
        <w:t>di non essere incorso nell’</w:t>
      </w:r>
      <w:r w:rsidR="00804E47" w:rsidRPr="00771B26">
        <w:rPr>
          <w:rFonts w:ascii="Titillium" w:hAnsi="Titillium" w:cs="Arial"/>
          <w:sz w:val="18"/>
          <w:szCs w:val="18"/>
        </w:rPr>
        <w:t>interdizione automatica per i</w:t>
      </w:r>
      <w:r w:rsidR="00A1783A" w:rsidRPr="00771B26">
        <w:rPr>
          <w:rFonts w:ascii="Titillium" w:hAnsi="Titillium" w:cs="Arial"/>
          <w:sz w:val="18"/>
          <w:szCs w:val="18"/>
        </w:rPr>
        <w:t xml:space="preserve">nadempimento dell’obbligo di consegnare alla stazione appaltante, entro sei mesi dalla conclusione del contratto, la relazione di genere di cui all’articolo 47, comma 3, del decreto legge n. 77/2022; </w:t>
      </w:r>
    </w:p>
    <w:p w14:paraId="612FA92D" w14:textId="1E14FFDB" w:rsidR="00507049" w:rsidRDefault="00CB3C28" w:rsidP="00715AD8">
      <w:pPr>
        <w:pStyle w:val="Paragrafoelenco"/>
        <w:widowControl w:val="0"/>
        <w:numPr>
          <w:ilvl w:val="2"/>
          <w:numId w:val="56"/>
        </w:numPr>
        <w:spacing w:before="60" w:after="60"/>
        <w:rPr>
          <w:rFonts w:ascii="Titillium" w:hAnsi="Titillium" w:cs="Arial"/>
          <w:sz w:val="18"/>
          <w:szCs w:val="18"/>
        </w:rPr>
      </w:pPr>
      <w:r w:rsidRPr="00CA5BC6">
        <w:rPr>
          <w:rFonts w:ascii="Titillium" w:hAnsi="Titillium" w:cs="Arial"/>
          <w:b/>
          <w:bCs/>
          <w:i/>
          <w:sz w:val="18"/>
          <w:szCs w:val="18"/>
        </w:rPr>
        <w:t>[nel caso in cui la stazione appaltante scelga di richiedere la presentazione di tale dichiarazione nella Domanda di partecipazione</w:t>
      </w:r>
      <w:r w:rsidR="00715AD8" w:rsidRPr="00CA5BC6">
        <w:rPr>
          <w:rFonts w:ascii="Titillium" w:hAnsi="Titillium" w:cs="Arial"/>
          <w:b/>
          <w:bCs/>
          <w:i/>
          <w:sz w:val="18"/>
          <w:szCs w:val="18"/>
        </w:rPr>
        <w:t>, anziché nell’Offerta tecnica</w:t>
      </w:r>
      <w:r w:rsidRPr="00CA5BC6">
        <w:rPr>
          <w:rFonts w:ascii="Titillium" w:hAnsi="Titillium" w:cs="Arial"/>
          <w:b/>
          <w:bCs/>
          <w:i/>
          <w:sz w:val="18"/>
          <w:szCs w:val="18"/>
        </w:rPr>
        <w:t>]</w:t>
      </w:r>
      <w:r w:rsidRPr="00771B26">
        <w:rPr>
          <w:rFonts w:ascii="Titillium" w:hAnsi="Titillium" w:cs="Arial"/>
          <w:sz w:val="18"/>
          <w:szCs w:val="18"/>
        </w:rPr>
        <w:t xml:space="preserve"> </w:t>
      </w:r>
      <w:r w:rsidR="00507049" w:rsidRPr="00771B26">
        <w:rPr>
          <w:rFonts w:ascii="Titillium" w:hAnsi="Titillium" w:cs="Arial"/>
          <w:sz w:val="18"/>
          <w:szCs w:val="18"/>
        </w:rPr>
        <w:t xml:space="preserve">di assumersi l’obbligo, in caso di aggiudicazione del contratto, di assicurare all’occupazione giovanile una quota di …. % </w:t>
      </w:r>
      <w:r w:rsidR="00507049" w:rsidRPr="00860210">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00507049" w:rsidRPr="00F16718">
        <w:rPr>
          <w:rFonts w:ascii="Titillium" w:hAnsi="Titillium" w:cs="Arial"/>
          <w:sz w:val="18"/>
          <w:szCs w:val="18"/>
        </w:rPr>
        <w:t xml:space="preserve"> e a quella femminile una quota di …. % </w:t>
      </w:r>
      <w:r w:rsidR="00507049" w:rsidRPr="00860210">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00507049" w:rsidRPr="00F16718">
        <w:rPr>
          <w:rFonts w:ascii="Titillium" w:hAnsi="Titillium" w:cs="Arial"/>
          <w:sz w:val="18"/>
          <w:szCs w:val="18"/>
        </w:rPr>
        <w:t>] delle assunzioni necessarie per l'esecuzione del contratto o per la realizzazione di attività ad esso connesse o strumentali</w:t>
      </w:r>
      <w:r>
        <w:rPr>
          <w:rFonts w:ascii="Titillium" w:hAnsi="Titillium" w:cs="Arial"/>
          <w:sz w:val="18"/>
          <w:szCs w:val="18"/>
        </w:rPr>
        <w:t>.</w:t>
      </w:r>
      <w:r w:rsidR="00CE61E8" w:rsidRPr="00F16718">
        <w:rPr>
          <w:rFonts w:ascii="Titillium" w:hAnsi="Titillium" w:cs="Arial"/>
          <w:sz w:val="18"/>
          <w:szCs w:val="18"/>
        </w:rPr>
        <w:t>;</w:t>
      </w:r>
    </w:p>
    <w:p w14:paraId="3A0AC3AE" w14:textId="0B40218A" w:rsidR="0055228C" w:rsidRDefault="0055228C" w:rsidP="0055228C">
      <w:pPr>
        <w:pStyle w:val="Paragrafoelenco"/>
        <w:numPr>
          <w:ilvl w:val="0"/>
          <w:numId w:val="25"/>
        </w:numPr>
        <w:spacing w:before="60" w:after="60"/>
      </w:pPr>
      <w:r>
        <w:rPr>
          <w:rFonts w:ascii="Titillium" w:eastAsia="SimSun" w:hAnsi="Titillium"/>
          <w:b/>
          <w:i/>
          <w:sz w:val="18"/>
          <w:szCs w:val="18"/>
        </w:rPr>
        <w:t>[obbligatorio nel caso di acquisti rientranti nelle categorie espressamente individuate dal “Piano d’azione nazionale per la sostenibilità ambientale dei consumi della Pubblica Amministrazione”, facoltativo negli altri casi]</w:t>
      </w:r>
      <w:r>
        <w:rPr>
          <w:rFonts w:ascii="Titillium" w:hAnsi="Titillium"/>
          <w:sz w:val="18"/>
          <w:szCs w:val="18"/>
        </w:rPr>
        <w:t xml:space="preserve"> </w:t>
      </w:r>
      <w:r>
        <w:rPr>
          <w:rFonts w:ascii="Titillium" w:hAnsi="Titillium" w:cs="Calibri"/>
          <w:sz w:val="18"/>
          <w:szCs w:val="18"/>
        </w:rPr>
        <w:t xml:space="preserve">di impegnarsi a sottoscrivere la dichiarazione di conformità agli standard sociali minimi di cui all’allegato I al decreto del Ministero dell’Ambiente e della Tutela del Territorio e del Mare del 6 giugno 2012; </w:t>
      </w:r>
    </w:p>
    <w:p w14:paraId="4A01B6B6" w14:textId="77777777" w:rsidR="0055228C" w:rsidRDefault="0055228C" w:rsidP="0055228C">
      <w:pPr>
        <w:pStyle w:val="Paragrafoelenco"/>
        <w:numPr>
          <w:ilvl w:val="0"/>
          <w:numId w:val="25"/>
        </w:numPr>
        <w:spacing w:before="60" w:after="60"/>
        <w:rPr>
          <w:rFonts w:ascii="Titillium" w:hAnsi="Titillium" w:cs="Calibri"/>
          <w:sz w:val="18"/>
          <w:szCs w:val="18"/>
        </w:rPr>
      </w:pPr>
      <w:r>
        <w:rPr>
          <w:rFonts w:ascii="Titillium" w:hAnsi="Titillium" w:cs="Calibri"/>
          <w:sz w:val="18"/>
          <w:szCs w:val="18"/>
        </w:rPr>
        <w:t xml:space="preserve">di essere edotto degli obblighi derivanti dal Codice di comportamento adottato dalla stazione appaltante … reperibile a … </w:t>
      </w:r>
      <w:r w:rsidRPr="00860210">
        <w:rPr>
          <w:rFonts w:ascii="Titillium" w:hAnsi="Titillium" w:cs="Calibri"/>
          <w:i/>
          <w:iCs/>
          <w:sz w:val="18"/>
          <w:szCs w:val="18"/>
        </w:rPr>
        <w:t>[indicare gli estremi del Codice di comportamento e dove reperirlo]</w:t>
      </w:r>
      <w:r>
        <w:rPr>
          <w:rFonts w:ascii="Titillium" w:hAnsi="Titillium" w:cs="Calibri"/>
          <w:sz w:val="18"/>
          <w:szCs w:val="18"/>
        </w:rPr>
        <w:t xml:space="preserve"> e di impegnarsi, in caso di aggiudicazione, ad osservare e a far osservare ai propri dipendenti e collaboratori, per quanto applicabile, il suddetto codice, pena la risoluzione del contratto;</w:t>
      </w:r>
    </w:p>
    <w:p w14:paraId="3ECB4F6A" w14:textId="53193176" w:rsidR="0055228C" w:rsidRDefault="0055228C" w:rsidP="0055228C">
      <w:pPr>
        <w:pStyle w:val="Paragrafoelenco"/>
        <w:numPr>
          <w:ilvl w:val="0"/>
          <w:numId w:val="25"/>
        </w:numPr>
        <w:spacing w:before="60" w:after="60"/>
      </w:pPr>
      <w:r w:rsidRPr="00F70887">
        <w:rPr>
          <w:rFonts w:ascii="Titillium" w:hAnsi="Titillium" w:cs="Calibri"/>
          <w:b/>
          <w:i/>
          <w:sz w:val="18"/>
          <w:szCs w:val="18"/>
        </w:rPr>
        <w:t>[in caso di vigenza di patti/protocolli di legalità]</w:t>
      </w:r>
      <w:r w:rsidRPr="000B19D5">
        <w:rPr>
          <w:rFonts w:ascii="Titillium" w:hAnsi="Titillium" w:cs="Calibri"/>
          <w:sz w:val="18"/>
          <w:szCs w:val="18"/>
        </w:rPr>
        <w:t xml:space="preserve"> </w:t>
      </w:r>
      <w:r>
        <w:rPr>
          <w:rFonts w:ascii="Titillium" w:hAnsi="Titillium" w:cs="Calibri"/>
          <w:sz w:val="18"/>
          <w:szCs w:val="18"/>
        </w:rPr>
        <w:t xml:space="preserve">di accettare il patto di integrità/protocollo di legalità </w:t>
      </w:r>
      <w:r w:rsidRPr="00F70887">
        <w:rPr>
          <w:rFonts w:ascii="Titillium" w:hAnsi="Titillium" w:cs="Calibri"/>
          <w:i/>
          <w:sz w:val="18"/>
          <w:szCs w:val="18"/>
        </w:rPr>
        <w:t>… [</w:t>
      </w:r>
      <w:r w:rsidRPr="008866EE">
        <w:rPr>
          <w:rFonts w:ascii="Titillium" w:hAnsi="Titillium" w:cs="Calibri"/>
          <w:i/>
          <w:sz w:val="18"/>
          <w:szCs w:val="18"/>
        </w:rPr>
        <w:t>indicare il riferimento normativo o amministrativo, per esempio legge regionale n. … del …, delibera n… del …</w:t>
      </w:r>
      <w:r w:rsidRPr="00F70887">
        <w:rPr>
          <w:rFonts w:ascii="Titillium" w:hAnsi="Titillium" w:cs="Calibri"/>
          <w:i/>
          <w:sz w:val="18"/>
          <w:szCs w:val="18"/>
        </w:rPr>
        <w:t xml:space="preserve">] </w:t>
      </w:r>
      <w:r>
        <w:rPr>
          <w:rFonts w:ascii="Titillium" w:hAnsi="Titillium" w:cs="Calibri"/>
          <w:i/>
          <w:sz w:val="18"/>
          <w:szCs w:val="18"/>
        </w:rPr>
        <w:t xml:space="preserve"> </w:t>
      </w:r>
      <w:r>
        <w:rPr>
          <w:rFonts w:ascii="Titillium" w:hAnsi="Titillium" w:cs="Calibri"/>
          <w:sz w:val="18"/>
          <w:szCs w:val="18"/>
        </w:rPr>
        <w:t>accessibile al seguente link …</w:t>
      </w:r>
      <w:r>
        <w:rPr>
          <w:rFonts w:ascii="Titillium" w:hAnsi="Titillium" w:cs="Calibri"/>
          <w:i/>
          <w:sz w:val="18"/>
          <w:szCs w:val="18"/>
        </w:rPr>
        <w:t xml:space="preserve"> </w:t>
      </w:r>
      <w:r w:rsidRPr="00860210">
        <w:rPr>
          <w:rFonts w:ascii="Titillium" w:hAnsi="Titillium" w:cs="Calibri"/>
          <w:i/>
          <w:iCs/>
          <w:sz w:val="18"/>
          <w:szCs w:val="18"/>
        </w:rPr>
        <w:t>[indicare];</w:t>
      </w:r>
    </w:p>
    <w:p w14:paraId="779D2205" w14:textId="32DB47A3" w:rsidR="0055228C" w:rsidRDefault="0055228C" w:rsidP="0055228C">
      <w:pPr>
        <w:pStyle w:val="Paragrafoelenco"/>
        <w:numPr>
          <w:ilvl w:val="0"/>
          <w:numId w:val="25"/>
        </w:numPr>
      </w:pPr>
      <w:r w:rsidRPr="00F70887">
        <w:rPr>
          <w:rFonts w:ascii="Titillium" w:hAnsi="Titillium" w:cs="Calibri"/>
          <w:b/>
          <w:i/>
          <w:sz w:val="18"/>
          <w:szCs w:val="18"/>
        </w:rPr>
        <w:t>[in caso di servizi/forniture di cui ai settori sensibili di cui all’art 1, comma 53</w:t>
      </w:r>
      <w:r w:rsidR="00116F1A">
        <w:rPr>
          <w:rFonts w:ascii="Titillium" w:hAnsi="Titillium" w:cs="Calibri"/>
          <w:b/>
          <w:i/>
          <w:sz w:val="18"/>
          <w:szCs w:val="18"/>
        </w:rPr>
        <w:t>,</w:t>
      </w:r>
      <w:r w:rsidRPr="00F70887">
        <w:rPr>
          <w:rFonts w:ascii="Titillium" w:hAnsi="Titillium" w:cs="Calibri"/>
          <w:b/>
          <w:i/>
          <w:sz w:val="18"/>
          <w:szCs w:val="18"/>
        </w:rPr>
        <w:t xml:space="preserve"> della legge 190/2012]</w:t>
      </w:r>
      <w:r>
        <w:rPr>
          <w:rFonts w:ascii="Titillium" w:hAnsi="Titillium" w:cs="Calibri"/>
          <w:i/>
          <w:sz w:val="18"/>
          <w:szCs w:val="18"/>
        </w:rPr>
        <w:t xml:space="preserve"> </w:t>
      </w:r>
      <w:r>
        <w:rPr>
          <w:rFonts w:ascii="Titillium" w:hAnsi="Titillium" w:cs="Calibri"/>
          <w:sz w:val="18"/>
          <w:szCs w:val="18"/>
        </w:rPr>
        <w:t xml:space="preserve">di essere iscritto nell’elenco dei fornitori, prestatori di servizi non soggetti a tentativo di infiltrazione mafiosa </w:t>
      </w:r>
      <w:r w:rsidR="00116F1A">
        <w:rPr>
          <w:rFonts w:ascii="Titillium" w:hAnsi="Titillium" w:cs="Calibri"/>
          <w:sz w:val="18"/>
          <w:szCs w:val="18"/>
        </w:rPr>
        <w:t>(</w:t>
      </w:r>
      <w:proofErr w:type="spellStart"/>
      <w:r>
        <w:rPr>
          <w:rFonts w:ascii="Titillium" w:hAnsi="Titillium" w:cs="Calibri"/>
          <w:sz w:val="18"/>
          <w:szCs w:val="18"/>
        </w:rPr>
        <w:t>white</w:t>
      </w:r>
      <w:proofErr w:type="spellEnd"/>
      <w:r>
        <w:rPr>
          <w:rFonts w:ascii="Titillium" w:hAnsi="Titillium" w:cs="Calibri"/>
          <w:sz w:val="18"/>
          <w:szCs w:val="18"/>
        </w:rPr>
        <w:t xml:space="preserve"> list) istituito presso la </w:t>
      </w:r>
      <w:r w:rsidR="00CE61E8">
        <w:rPr>
          <w:rFonts w:ascii="Titillium" w:hAnsi="Titillium" w:cs="Calibri"/>
          <w:sz w:val="18"/>
          <w:szCs w:val="18"/>
        </w:rPr>
        <w:t>Prefettura della provincia di …</w:t>
      </w:r>
      <w:r>
        <w:rPr>
          <w:rFonts w:ascii="Titillium" w:hAnsi="Titillium" w:cs="Calibri"/>
          <w:sz w:val="18"/>
          <w:szCs w:val="18"/>
        </w:rPr>
        <w:t xml:space="preserve"> oppure di aver presentato domanda di iscrizione nell’elenco dei fornitori, </w:t>
      </w:r>
      <w:r>
        <w:rPr>
          <w:rFonts w:ascii="Titillium" w:hAnsi="Titillium" w:cs="Calibri"/>
          <w:sz w:val="18"/>
          <w:szCs w:val="18"/>
        </w:rPr>
        <w:lastRenderedPageBreak/>
        <w:t>prestatori di servizi non soggetti a tentativo di infiltrazione mafiosa (</w:t>
      </w:r>
      <w:proofErr w:type="spellStart"/>
      <w:r>
        <w:rPr>
          <w:rFonts w:ascii="Titillium" w:hAnsi="Titillium" w:cs="Calibri"/>
          <w:sz w:val="18"/>
          <w:szCs w:val="18"/>
        </w:rPr>
        <w:t>white</w:t>
      </w:r>
      <w:proofErr w:type="spellEnd"/>
      <w:r>
        <w:rPr>
          <w:rFonts w:ascii="Titillium" w:hAnsi="Titillium" w:cs="Calibri"/>
          <w:sz w:val="18"/>
          <w:szCs w:val="18"/>
        </w:rPr>
        <w:t xml:space="preserve"> list) istituito presso la Prefettura della provincia di …;</w:t>
      </w:r>
    </w:p>
    <w:p w14:paraId="622F0928" w14:textId="2D6FEB97" w:rsidR="0055228C" w:rsidRDefault="00E61755" w:rsidP="0055228C">
      <w:pPr>
        <w:pStyle w:val="Paragrafoelenco"/>
        <w:numPr>
          <w:ilvl w:val="0"/>
          <w:numId w:val="25"/>
        </w:numPr>
      </w:pPr>
      <w:r w:rsidRPr="00E61755">
        <w:rPr>
          <w:rFonts w:ascii="Titillium" w:hAnsi="Titillium" w:cs="Calibri"/>
          <w:sz w:val="18"/>
          <w:szCs w:val="18"/>
        </w:rPr>
        <w:t>per gli</w:t>
      </w:r>
      <w:r w:rsidR="0055228C" w:rsidRPr="00E61755">
        <w:rPr>
          <w:rFonts w:ascii="Titillium" w:hAnsi="Titillium" w:cs="Calibri"/>
          <w:sz w:val="18"/>
          <w:szCs w:val="18"/>
        </w:rPr>
        <w:t xml:space="preserve"> operatori economici non residenti e privi di stabile organizzazione in I</w:t>
      </w:r>
      <w:r w:rsidRPr="00E61755">
        <w:rPr>
          <w:rFonts w:ascii="Titillium" w:hAnsi="Titillium" w:cs="Calibri"/>
          <w:sz w:val="18"/>
          <w:szCs w:val="18"/>
        </w:rPr>
        <w:t xml:space="preserve">talia, </w:t>
      </w:r>
      <w:r w:rsidR="0055228C" w:rsidRPr="00E61755">
        <w:rPr>
          <w:rFonts w:ascii="Titillium" w:hAnsi="Titillium" w:cs="Calibri"/>
          <w:sz w:val="18"/>
          <w:szCs w:val="18"/>
        </w:rPr>
        <w:t>l’impegno</w:t>
      </w:r>
      <w:r w:rsidR="0055228C">
        <w:rPr>
          <w:rFonts w:ascii="Titillium" w:hAnsi="Titillium" w:cs="Calibri"/>
          <w:sz w:val="18"/>
          <w:szCs w:val="18"/>
        </w:rPr>
        <w:t xml:space="preserve">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17F40BD" w14:textId="007594B3" w:rsidR="0055228C" w:rsidRPr="00BE7E3A" w:rsidRDefault="00E61755" w:rsidP="0055228C">
      <w:pPr>
        <w:pStyle w:val="Paragrafoelenco"/>
        <w:numPr>
          <w:ilvl w:val="0"/>
          <w:numId w:val="25"/>
        </w:numPr>
        <w:rPr>
          <w:rFonts w:ascii="Titillium" w:hAnsi="Titillium"/>
          <w:sz w:val="18"/>
          <w:szCs w:val="18"/>
        </w:rPr>
      </w:pPr>
      <w:r w:rsidRPr="00E61755">
        <w:rPr>
          <w:rFonts w:ascii="Titillium" w:hAnsi="Titillium" w:cs="Calibri"/>
          <w:sz w:val="18"/>
          <w:szCs w:val="18"/>
        </w:rPr>
        <w:t>per gli</w:t>
      </w:r>
      <w:r w:rsidR="0055228C" w:rsidRPr="00E61755">
        <w:rPr>
          <w:rFonts w:ascii="Titillium" w:hAnsi="Titillium" w:cs="Calibri"/>
          <w:sz w:val="18"/>
          <w:szCs w:val="18"/>
        </w:rPr>
        <w:t xml:space="preserve"> operatori economici non residenti e privi di s</w:t>
      </w:r>
      <w:r w:rsidRPr="00E61755">
        <w:rPr>
          <w:rFonts w:ascii="Titillium" w:hAnsi="Titillium" w:cs="Calibri"/>
          <w:sz w:val="18"/>
          <w:szCs w:val="18"/>
        </w:rPr>
        <w:t xml:space="preserve">tabile organizzazione in Italia, </w:t>
      </w:r>
      <w:r w:rsidR="0055228C" w:rsidRPr="00E61755">
        <w:rPr>
          <w:rFonts w:ascii="Titillium" w:hAnsi="Titillium" w:cs="Calibri"/>
          <w:sz w:val="18"/>
          <w:szCs w:val="18"/>
        </w:rPr>
        <w:t>il</w:t>
      </w:r>
      <w:r w:rsidR="0055228C" w:rsidRPr="00BE7E3A">
        <w:rPr>
          <w:rFonts w:ascii="Titillium" w:hAnsi="Titillium" w:cs="Calibri"/>
          <w:sz w:val="18"/>
          <w:szCs w:val="18"/>
        </w:rPr>
        <w:t xml:space="preserve"> domicilio fiscale …, il codice fiscale …, la partita IVA …, l’indirizzo di posta elettronica certificata o strumento analogo negli altri Stati Membri, ai fini delle comunicazioni di cui all’articolo </w:t>
      </w:r>
      <w:r w:rsidR="004134F6">
        <w:rPr>
          <w:rFonts w:ascii="Titillium" w:hAnsi="Titillium" w:cs="Calibri"/>
          <w:sz w:val="18"/>
          <w:szCs w:val="18"/>
        </w:rPr>
        <w:t>90</w:t>
      </w:r>
      <w:r w:rsidR="0055228C" w:rsidRPr="00BE7E3A">
        <w:rPr>
          <w:rFonts w:ascii="Titillium" w:hAnsi="Titillium" w:cs="Calibri"/>
          <w:sz w:val="18"/>
          <w:szCs w:val="18"/>
        </w:rPr>
        <w:t xml:space="preserve"> del Codice;</w:t>
      </w:r>
    </w:p>
    <w:p w14:paraId="49E35A24" w14:textId="542B3F23" w:rsidR="0055228C" w:rsidRPr="00BE7E3A" w:rsidRDefault="0055228C" w:rsidP="0055228C">
      <w:pPr>
        <w:pStyle w:val="Paragrafoelenco"/>
        <w:numPr>
          <w:ilvl w:val="0"/>
          <w:numId w:val="25"/>
        </w:numPr>
        <w:rPr>
          <w:rFonts w:ascii="Titillium" w:hAnsi="Titillium"/>
          <w:sz w:val="18"/>
          <w:szCs w:val="18"/>
        </w:rPr>
      </w:pPr>
      <w:r w:rsidRPr="00BE7E3A">
        <w:rPr>
          <w:rFonts w:ascii="Titillium" w:hAnsi="Titillium" w:cs="Calibri"/>
          <w:sz w:val="18"/>
          <w:szCs w:val="18"/>
        </w:rPr>
        <w:t xml:space="preserve">di aver preso visione e di accettare il trattamento dei dati personali di cui al punto </w:t>
      </w:r>
      <w:r w:rsidR="00DB6ACC">
        <w:rPr>
          <w:rFonts w:ascii="Titillium" w:hAnsi="Titillium" w:cs="Calibri"/>
          <w:sz w:val="18"/>
          <w:szCs w:val="18"/>
        </w:rPr>
        <w:fldChar w:fldCharType="begin"/>
      </w:r>
      <w:r w:rsidR="00DB6ACC">
        <w:rPr>
          <w:rFonts w:ascii="Titillium" w:hAnsi="Titillium" w:cs="Calibri"/>
          <w:sz w:val="18"/>
          <w:szCs w:val="18"/>
        </w:rPr>
        <w:instrText xml:space="preserve"> REF _Ref132066072 \r \h </w:instrText>
      </w:r>
      <w:r w:rsidR="00DB6ACC">
        <w:rPr>
          <w:rFonts w:ascii="Titillium" w:hAnsi="Titillium" w:cs="Calibri"/>
          <w:sz w:val="18"/>
          <w:szCs w:val="18"/>
        </w:rPr>
      </w:r>
      <w:r w:rsidR="00DB6ACC">
        <w:rPr>
          <w:rFonts w:ascii="Titillium" w:hAnsi="Titillium" w:cs="Calibri"/>
          <w:sz w:val="18"/>
          <w:szCs w:val="18"/>
        </w:rPr>
        <w:fldChar w:fldCharType="separate"/>
      </w:r>
      <w:r w:rsidR="00527049">
        <w:rPr>
          <w:rFonts w:ascii="Titillium" w:hAnsi="Titillium" w:cs="Calibri"/>
          <w:sz w:val="18"/>
          <w:szCs w:val="18"/>
        </w:rPr>
        <w:t>28</w:t>
      </w:r>
      <w:r w:rsidR="00DB6ACC">
        <w:rPr>
          <w:rFonts w:ascii="Titillium" w:hAnsi="Titillium" w:cs="Calibri"/>
          <w:sz w:val="18"/>
          <w:szCs w:val="18"/>
        </w:rPr>
        <w:fldChar w:fldCharType="end"/>
      </w:r>
      <w:r w:rsidRPr="00BE7E3A">
        <w:rPr>
          <w:rFonts w:ascii="Titillium" w:hAnsi="Titillium" w:cs="Calibri"/>
          <w:sz w:val="18"/>
          <w:szCs w:val="18"/>
        </w:rPr>
        <w:t xml:space="preserve">. </w:t>
      </w:r>
    </w:p>
    <w:p w14:paraId="2A9BE62A" w14:textId="77777777" w:rsidR="0055228C" w:rsidRPr="00BE7E3A" w:rsidRDefault="0055228C" w:rsidP="0055228C">
      <w:pPr>
        <w:spacing w:before="60" w:after="60"/>
        <w:rPr>
          <w:rFonts w:ascii="Titillium" w:hAnsi="Titillium"/>
          <w:sz w:val="18"/>
          <w:szCs w:val="18"/>
        </w:rPr>
      </w:pPr>
      <w:r w:rsidRPr="00BE7E3A">
        <w:rPr>
          <w:rFonts w:ascii="Titillium" w:hAnsi="Titillium" w:cs="Calibri"/>
          <w:sz w:val="18"/>
          <w:szCs w:val="18"/>
        </w:rPr>
        <w:t>La domanda e le relative dichiarazioni sono sottoscritte</w:t>
      </w:r>
      <w:r w:rsidRPr="00BE7E3A">
        <w:rPr>
          <w:rFonts w:ascii="Titillium" w:hAnsi="Titillium"/>
          <w:sz w:val="18"/>
          <w:szCs w:val="18"/>
        </w:rPr>
        <w:t xml:space="preserve"> </w:t>
      </w:r>
      <w:r w:rsidRPr="00BE7E3A">
        <w:rPr>
          <w:rFonts w:ascii="Titillium" w:hAnsi="Titillium" w:cs="Calibri"/>
          <w:sz w:val="18"/>
          <w:szCs w:val="18"/>
        </w:rPr>
        <w:t>ai sensi del decreto legislativo n. 82/2005:</w:t>
      </w:r>
    </w:p>
    <w:p w14:paraId="39D9986C"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dal concorrente che partecipa in forma singola;</w:t>
      </w:r>
    </w:p>
    <w:p w14:paraId="6BB945CB"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costituiti, dalla mandataria/capofila;</w:t>
      </w:r>
    </w:p>
    <w:p w14:paraId="3DB75F6D"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non ancora costituiti, da tutti i soggetti che costituiranno il raggruppamento o il consorzio o il gruppo;</w:t>
      </w:r>
    </w:p>
    <w:p w14:paraId="3ED4BAFB" w14:textId="77777777" w:rsidR="0055228C" w:rsidRPr="00BE7E3A" w:rsidRDefault="0055228C" w:rsidP="0055228C">
      <w:pPr>
        <w:pStyle w:val="Paragrafoelenco"/>
        <w:numPr>
          <w:ilvl w:val="0"/>
          <w:numId w:val="12"/>
        </w:numPr>
        <w:spacing w:before="60" w:after="60"/>
        <w:ind w:left="426" w:hanging="284"/>
        <w:rPr>
          <w:rFonts w:ascii="Titillium" w:hAnsi="Titillium" w:cs="Calibri"/>
          <w:sz w:val="18"/>
          <w:szCs w:val="18"/>
        </w:rPr>
      </w:pPr>
      <w:r w:rsidRPr="00BE7E3A">
        <w:rPr>
          <w:rFonts w:ascii="Titillium" w:hAnsi="Titillium" w:cs="Calibri"/>
          <w:sz w:val="18"/>
          <w:szCs w:val="18"/>
        </w:rPr>
        <w:t>nel caso di aggregazioni di retisti:</w:t>
      </w:r>
    </w:p>
    <w:p w14:paraId="0215F59F"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rPr>
        <w:t>se la rete è dotata di un organo comune con potere di rappresentanza e con soggettività giuridica, ai sensi dell’articolo 3, comma 4-</w:t>
      </w:r>
      <w:r w:rsidRPr="00213696">
        <w:rPr>
          <w:rFonts w:ascii="Titillium" w:hAnsi="Titillium" w:cs="Calibri"/>
          <w:i/>
          <w:sz w:val="18"/>
          <w:szCs w:val="18"/>
        </w:rPr>
        <w:t>quater</w:t>
      </w:r>
      <w:r w:rsidRPr="00213696">
        <w:rPr>
          <w:rFonts w:ascii="Titillium" w:hAnsi="Titillium" w:cs="Calibri"/>
          <w:sz w:val="18"/>
          <w:szCs w:val="18"/>
        </w:rPr>
        <w:t>, del decreto legge 10 febbraio 2009, n. 5, la domanda di partecipazione deve essere sottoscritta dal solo operatore economico che riveste la funzione di organo comune;</w:t>
      </w:r>
    </w:p>
    <w:p w14:paraId="1F7C7E59"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lang w:eastAsia="it-IT"/>
        </w:rPr>
        <w:t>se la rete è dotata di un organo comune con potere di rappresentanza ma è priva di soggettività giuridica, ai sensi dell’articolo 3, comma 4-</w:t>
      </w:r>
      <w:r w:rsidRPr="00213696">
        <w:rPr>
          <w:rFonts w:ascii="Titillium" w:hAnsi="Titillium" w:cs="Calibri"/>
          <w:i/>
          <w:sz w:val="18"/>
          <w:szCs w:val="18"/>
          <w:lang w:eastAsia="it-IT"/>
        </w:rPr>
        <w:t>quater</w:t>
      </w:r>
      <w:r w:rsidRPr="00213696">
        <w:rPr>
          <w:rFonts w:ascii="Titillium" w:hAnsi="Titillium" w:cs="Calibri"/>
          <w:sz w:val="18"/>
          <w:szCs w:val="18"/>
          <w:lang w:eastAsia="it-IT"/>
        </w:rPr>
        <w:t xml:space="preserve">, del decreto legge 10 febbraio 2009, n. 5, la domanda di partecipazione deve essere sottoscritta </w:t>
      </w:r>
      <w:r w:rsidRPr="00213696">
        <w:rPr>
          <w:rFonts w:ascii="Titillium" w:hAnsi="Titillium" w:cs="Calibri"/>
          <w:sz w:val="18"/>
          <w:szCs w:val="18"/>
        </w:rPr>
        <w:t>dal</w:t>
      </w:r>
      <w:r w:rsidRPr="00213696">
        <w:rPr>
          <w:rFonts w:ascii="Titillium" w:hAnsi="Titillium" w:cs="Calibri"/>
          <w:sz w:val="18"/>
          <w:szCs w:val="18"/>
          <w:lang w:eastAsia="it-IT"/>
        </w:rPr>
        <w:t xml:space="preserve">l’impresa che riveste le funzioni di organo comune nonché da ognuno dei retisti che partecipa alla gara; </w:t>
      </w:r>
    </w:p>
    <w:p w14:paraId="0607EEE9"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79650B33" w14:textId="6C0E8EB8" w:rsidR="0055228C" w:rsidRPr="00213696" w:rsidRDefault="0055228C" w:rsidP="0055228C">
      <w:pPr>
        <w:spacing w:before="60" w:after="60"/>
        <w:ind w:left="426" w:hanging="256"/>
        <w:rPr>
          <w:rFonts w:ascii="Titillium" w:hAnsi="Titillium"/>
          <w:sz w:val="18"/>
          <w:szCs w:val="18"/>
        </w:rPr>
      </w:pPr>
      <w:r w:rsidRPr="00213696">
        <w:rPr>
          <w:rFonts w:ascii="Titillium" w:hAnsi="Titillium" w:cs="Arial"/>
          <w:sz w:val="18"/>
          <w:szCs w:val="18"/>
        </w:rPr>
        <w:t xml:space="preserve">- </w:t>
      </w:r>
      <w:r w:rsidRPr="00213696">
        <w:rPr>
          <w:rFonts w:ascii="Titillium" w:hAnsi="Titillium" w:cs="Arial"/>
          <w:sz w:val="18"/>
          <w:szCs w:val="18"/>
        </w:rPr>
        <w:tab/>
        <w:t>nel</w:t>
      </w:r>
      <w:r w:rsidRPr="00213696">
        <w:rPr>
          <w:rFonts w:ascii="Titillium" w:hAnsi="Titillium" w:cs="Calibri"/>
          <w:sz w:val="18"/>
          <w:szCs w:val="18"/>
          <w:lang w:eastAsia="it-IT"/>
        </w:rPr>
        <w:t xml:space="preserve"> caso di consorzio di cooperative e imprese artigiane o di consorzio stabile di cui all’articolo </w:t>
      </w:r>
      <w:r w:rsidR="00712579">
        <w:rPr>
          <w:rFonts w:ascii="Titillium" w:hAnsi="Titillium" w:cs="Calibri"/>
          <w:sz w:val="18"/>
          <w:szCs w:val="18"/>
          <w:lang w:eastAsia="it-IT"/>
        </w:rPr>
        <w:t>6</w:t>
      </w:r>
      <w:r w:rsidRPr="00213696">
        <w:rPr>
          <w:rFonts w:ascii="Titillium" w:hAnsi="Titillium" w:cs="Calibri"/>
          <w:sz w:val="18"/>
          <w:szCs w:val="18"/>
          <w:lang w:eastAsia="it-IT"/>
        </w:rPr>
        <w:t>5, comma 2</w:t>
      </w:r>
      <w:r w:rsidR="00116F1A">
        <w:rPr>
          <w:rFonts w:ascii="Titillium" w:hAnsi="Titillium" w:cs="Calibri"/>
          <w:sz w:val="18"/>
          <w:szCs w:val="18"/>
          <w:lang w:eastAsia="it-IT"/>
        </w:rPr>
        <w:t>,</w:t>
      </w:r>
      <w:r w:rsidRPr="00213696">
        <w:rPr>
          <w:rFonts w:ascii="Titillium" w:hAnsi="Titillium" w:cs="Calibri"/>
          <w:sz w:val="18"/>
          <w:szCs w:val="18"/>
          <w:lang w:eastAsia="it-IT"/>
        </w:rPr>
        <w:t xml:space="preserve"> lettera b)</w:t>
      </w:r>
      <w:r w:rsidR="00712579">
        <w:rPr>
          <w:rFonts w:ascii="Titillium" w:hAnsi="Titillium" w:cs="Calibri"/>
          <w:sz w:val="18"/>
          <w:szCs w:val="18"/>
          <w:lang w:eastAsia="it-IT"/>
        </w:rPr>
        <w:t>,</w:t>
      </w:r>
      <w:r w:rsidRPr="00213696">
        <w:rPr>
          <w:rFonts w:ascii="Titillium" w:hAnsi="Titillium" w:cs="Calibri"/>
          <w:sz w:val="18"/>
          <w:szCs w:val="18"/>
          <w:lang w:eastAsia="it-IT"/>
        </w:rPr>
        <w:t xml:space="preserve"> c)</w:t>
      </w:r>
      <w:r w:rsidR="00712579">
        <w:rPr>
          <w:rFonts w:ascii="Titillium" w:hAnsi="Titillium" w:cs="Calibri"/>
          <w:sz w:val="18"/>
          <w:szCs w:val="18"/>
          <w:lang w:eastAsia="it-IT"/>
        </w:rPr>
        <w:t xml:space="preserve"> e d) </w:t>
      </w:r>
      <w:r w:rsidRPr="00213696">
        <w:rPr>
          <w:rFonts w:ascii="Titillium" w:hAnsi="Titillium" w:cs="Calibri"/>
          <w:sz w:val="18"/>
          <w:szCs w:val="18"/>
          <w:lang w:eastAsia="it-IT"/>
        </w:rPr>
        <w:t xml:space="preserve">del Codice, </w:t>
      </w:r>
      <w:r w:rsidRPr="00213696">
        <w:rPr>
          <w:rFonts w:ascii="Titillium" w:hAnsi="Titillium" w:cs="Calibri"/>
          <w:sz w:val="18"/>
          <w:szCs w:val="18"/>
        </w:rPr>
        <w:t>la domanda è sottoscritta</w:t>
      </w:r>
      <w:r w:rsidRPr="00213696">
        <w:rPr>
          <w:rFonts w:ascii="Titillium" w:hAnsi="Titillium" w:cs="Calibri"/>
          <w:sz w:val="18"/>
          <w:szCs w:val="18"/>
          <w:lang w:eastAsia="it-IT"/>
        </w:rPr>
        <w:t xml:space="preserve"> digitalmente dal consorzio medesimo.</w:t>
      </w:r>
    </w:p>
    <w:p w14:paraId="582FD6EC" w14:textId="3638EA54" w:rsidR="00AE4D10" w:rsidRDefault="0055228C" w:rsidP="0055228C">
      <w:pPr>
        <w:rPr>
          <w:rFonts w:ascii="Titillium" w:hAnsi="Titillium"/>
          <w:iCs/>
          <w:sz w:val="18"/>
          <w:szCs w:val="18"/>
        </w:rPr>
      </w:pPr>
      <w:r w:rsidRPr="00213696">
        <w:rPr>
          <w:rFonts w:ascii="Titillium" w:hAnsi="Titillium"/>
          <w:sz w:val="18"/>
          <w:szCs w:val="18"/>
        </w:rPr>
        <w:t>La domanda e le relative dichiarazioni sono firmate dal legale rappresentante del concorrente o da un suo procuratore munito della relativa procura</w:t>
      </w:r>
      <w:r w:rsidRPr="00CD688F">
        <w:rPr>
          <w:rFonts w:ascii="Titillium" w:hAnsi="Titillium"/>
          <w:b/>
          <w:sz w:val="18"/>
          <w:szCs w:val="18"/>
        </w:rPr>
        <w:t xml:space="preserve">. </w:t>
      </w:r>
      <w:r w:rsidRPr="00213696">
        <w:rPr>
          <w:rFonts w:ascii="Titillium" w:hAnsi="Titillium"/>
          <w:sz w:val="18"/>
          <w:szCs w:val="18"/>
        </w:rPr>
        <w:t>In tal caso, il concorrente allega alla domanda copia conforme all’originale della procura</w:t>
      </w:r>
      <w:r w:rsidR="006E2F19">
        <w:rPr>
          <w:rFonts w:ascii="Titillium" w:hAnsi="Titillium"/>
          <w:sz w:val="18"/>
          <w:szCs w:val="18"/>
        </w:rPr>
        <w:t>.</w:t>
      </w:r>
      <w:r w:rsidRPr="00213696">
        <w:rPr>
          <w:rFonts w:ascii="Titillium" w:hAnsi="Titillium"/>
          <w:sz w:val="18"/>
          <w:szCs w:val="18"/>
        </w:rPr>
        <w:t xml:space="preserve"> </w:t>
      </w:r>
      <w:r w:rsidR="00AE4D10">
        <w:rPr>
          <w:rFonts w:ascii="Titillium" w:hAnsi="Titillium"/>
          <w:iCs/>
          <w:sz w:val="18"/>
          <w:szCs w:val="18"/>
        </w:rPr>
        <w:t xml:space="preserve">Non è necessario allegare la procura se </w:t>
      </w:r>
      <w:r w:rsidRPr="00AE4D10">
        <w:rPr>
          <w:rFonts w:ascii="Titillium" w:hAnsi="Titillium"/>
          <w:iCs/>
          <w:sz w:val="18"/>
          <w:szCs w:val="18"/>
        </w:rPr>
        <w:t xml:space="preserve">dalla visura camerale del concorrente risulti l’indicazione espressa dei poteri rappresentativi conferiti </w:t>
      </w:r>
      <w:r w:rsidR="00AE4D10">
        <w:rPr>
          <w:rFonts w:ascii="Titillium" w:hAnsi="Titillium"/>
          <w:iCs/>
          <w:sz w:val="18"/>
          <w:szCs w:val="18"/>
        </w:rPr>
        <w:t>al procuratore;</w:t>
      </w:r>
    </w:p>
    <w:p w14:paraId="795A8545" w14:textId="2F7BA79E" w:rsidR="00AE4D10" w:rsidRDefault="00AE4D10" w:rsidP="0055228C">
      <w:pPr>
        <w:rPr>
          <w:rFonts w:ascii="Titillium" w:hAnsi="Titillium"/>
          <w:iCs/>
          <w:sz w:val="18"/>
          <w:szCs w:val="18"/>
        </w:rPr>
      </w:pPr>
    </w:p>
    <w:p w14:paraId="54C1CEB8" w14:textId="77777777" w:rsidR="00AE4D10" w:rsidRDefault="00AE4D10" w:rsidP="00AE4D10">
      <w:pPr>
        <w:pBdr>
          <w:top w:val="single" w:sz="4" w:space="1" w:color="auto"/>
          <w:left w:val="single" w:sz="4" w:space="4" w:color="auto"/>
          <w:bottom w:val="single" w:sz="4" w:space="1" w:color="auto"/>
          <w:right w:val="single" w:sz="4" w:space="4" w:color="auto"/>
        </w:pBdr>
        <w:spacing w:before="60" w:after="60"/>
        <w:rPr>
          <w:rFonts w:ascii="Titillium" w:hAnsi="Titillium" w:cs="Arial"/>
          <w:i/>
          <w:sz w:val="18"/>
          <w:szCs w:val="18"/>
        </w:rPr>
      </w:pPr>
      <w:r>
        <w:rPr>
          <w:rFonts w:ascii="Titillium" w:hAnsi="Titillium" w:cs="Arial"/>
          <w:i/>
          <w:sz w:val="18"/>
          <w:szCs w:val="18"/>
        </w:rPr>
        <w:t xml:space="preserve">N.B. </w:t>
      </w:r>
      <w:r w:rsidRPr="001E62AF">
        <w:rPr>
          <w:rFonts w:ascii="Titillium" w:hAnsi="Titillium" w:cs="Arial"/>
          <w:i/>
          <w:sz w:val="18"/>
          <w:szCs w:val="18"/>
        </w:rPr>
        <w:t>Nel caso di suddivisione della gara in lotti in cui sono previsti criteri di selezione diversi, le dichiarazioni sono rese con riferimento a ciascun lotto cui si intende partecipare. Se vi sono lotti per i quali sono previsti i medesimi criteri di selezione, la stazione appaltante può prevedere la presentazione di un’unica dichiarazione.</w:t>
      </w:r>
    </w:p>
    <w:p w14:paraId="35DA1B16" w14:textId="26CDB994" w:rsidR="00AE4D10" w:rsidRDefault="00AE4D10" w:rsidP="00AE4D10">
      <w:pPr>
        <w:pBdr>
          <w:top w:val="single" w:sz="4" w:space="1" w:color="auto"/>
          <w:left w:val="single" w:sz="4" w:space="4" w:color="auto"/>
          <w:bottom w:val="single" w:sz="4" w:space="1" w:color="auto"/>
          <w:right w:val="single" w:sz="4" w:space="4" w:color="auto"/>
        </w:pBdr>
        <w:rPr>
          <w:rFonts w:ascii="Titillium" w:hAnsi="Titillium"/>
          <w:iCs/>
          <w:sz w:val="18"/>
          <w:szCs w:val="18"/>
        </w:rPr>
      </w:pPr>
      <w:r>
        <w:rPr>
          <w:rFonts w:ascii="Titillium" w:hAnsi="Titillium" w:cs="Arial"/>
          <w:i/>
          <w:sz w:val="18"/>
          <w:szCs w:val="18"/>
        </w:rPr>
        <w:t>Q</w:t>
      </w:r>
      <w:r w:rsidRPr="000E45B5">
        <w:rPr>
          <w:rFonts w:ascii="Titillium" w:hAnsi="Titillium" w:cs="Arial"/>
          <w:i/>
          <w:sz w:val="18"/>
          <w:szCs w:val="18"/>
        </w:rPr>
        <w:t xml:space="preserve">ualora la piattaforma utilizzata dalla stazione appaltante preveda che in caso di partecipazione di operatori riuniti o associati vengano </w:t>
      </w:r>
      <w:proofErr w:type="spellStart"/>
      <w:r w:rsidRPr="000E45B5">
        <w:rPr>
          <w:rFonts w:ascii="Titillium" w:hAnsi="Titillium" w:cs="Arial"/>
          <w:i/>
          <w:sz w:val="18"/>
          <w:szCs w:val="18"/>
        </w:rPr>
        <w:t>autogenerate</w:t>
      </w:r>
      <w:proofErr w:type="spellEnd"/>
      <w:r w:rsidRPr="000E45B5">
        <w:rPr>
          <w:rFonts w:ascii="Titillium" w:hAnsi="Titillium" w:cs="Arial"/>
          <w:i/>
          <w:sz w:val="18"/>
          <w:szCs w:val="18"/>
        </w:rPr>
        <w:t xml:space="preserve"> tante domande di partecipazione quanti sono i componenti del raggruppamento/ consorzio ordinario l’amministrazione definisce le modalità di presentazione e sottoscrizione delle stesse</w:t>
      </w:r>
      <w:r w:rsidR="00116F1A">
        <w:rPr>
          <w:rFonts w:ascii="Titillium" w:hAnsi="Titillium" w:cs="Arial"/>
          <w:i/>
          <w:sz w:val="18"/>
          <w:szCs w:val="18"/>
        </w:rPr>
        <w:t>.</w:t>
      </w:r>
    </w:p>
    <w:p w14:paraId="7A9B8278" w14:textId="5E89429E" w:rsidR="001E62AF" w:rsidRPr="00213696" w:rsidRDefault="001E62AF" w:rsidP="0055228C">
      <w:pPr>
        <w:rPr>
          <w:rFonts w:ascii="Titillium" w:hAnsi="Titillium"/>
          <w:sz w:val="18"/>
          <w:szCs w:val="18"/>
        </w:rPr>
      </w:pPr>
    </w:p>
    <w:p w14:paraId="628B900A" w14:textId="3F9F4656" w:rsidR="0055228C" w:rsidRPr="002A792A" w:rsidRDefault="0055228C" w:rsidP="0055228C">
      <w:pPr>
        <w:pStyle w:val="Paragrafoelenco"/>
        <w:spacing w:before="60" w:after="60"/>
        <w:ind w:left="0"/>
      </w:pPr>
      <w:bookmarkStart w:id="1893" w:name="_GoBack"/>
      <w:bookmarkEnd w:id="1893"/>
      <w:r w:rsidRPr="002A792A">
        <w:rPr>
          <w:rFonts w:ascii="Titillium" w:hAnsi="Titillium" w:cs="Calibri"/>
          <w:sz w:val="18"/>
          <w:szCs w:val="18"/>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w:t>
      </w:r>
      <w:r w:rsidR="00675DF0">
        <w:rPr>
          <w:rFonts w:ascii="Titillium" w:hAnsi="Titillium" w:cs="Calibri"/>
          <w:sz w:val="18"/>
          <w:szCs w:val="18"/>
        </w:rPr>
        <w:t>tramite F24, bollo virtuale</w:t>
      </w:r>
      <w:r w:rsidR="00675DF0" w:rsidRPr="00675DF0">
        <w:rPr>
          <w:rFonts w:ascii="Titillium" w:hAnsi="Titillium" w:cs="Calibri"/>
          <w:sz w:val="18"/>
          <w:szCs w:val="18"/>
        </w:rPr>
        <w:t xml:space="preserve"> previa autorizzazione rilasciata dall’Agenzia delle Entrate</w:t>
      </w:r>
      <w:r w:rsidR="00675DF0">
        <w:rPr>
          <w:rFonts w:ascii="Titillium" w:hAnsi="Titillium" w:cs="Calibri"/>
          <w:sz w:val="18"/>
          <w:szCs w:val="18"/>
        </w:rPr>
        <w:t xml:space="preserve"> </w:t>
      </w:r>
      <w:r w:rsidRPr="002A792A">
        <w:rPr>
          <w:rFonts w:ascii="Titillium" w:hAnsi="Titillium" w:cs="Calibri"/>
          <w:sz w:val="18"/>
          <w:szCs w:val="18"/>
        </w:rPr>
        <w:t>o tramite il servizio @</w:t>
      </w:r>
      <w:proofErr w:type="spellStart"/>
      <w:r w:rsidRPr="002A792A">
        <w:rPr>
          <w:rFonts w:ascii="Titillium" w:hAnsi="Titillium" w:cs="Calibri"/>
          <w:sz w:val="18"/>
          <w:szCs w:val="18"/>
        </w:rPr>
        <w:t>e.bollo</w:t>
      </w:r>
      <w:proofErr w:type="spellEnd"/>
      <w:r w:rsidR="002A792A">
        <w:rPr>
          <w:rFonts w:ascii="Calibri" w:hAnsi="Calibri" w:cs="Calibri"/>
          <w:sz w:val="18"/>
          <w:szCs w:val="18"/>
        </w:rPr>
        <w:t xml:space="preserve"> </w:t>
      </w:r>
      <w:r w:rsidRPr="002A792A">
        <w:rPr>
          <w:rFonts w:ascii="Titillium" w:hAnsi="Titillium" w:cs="Calibri"/>
          <w:sz w:val="18"/>
          <w:szCs w:val="18"/>
        </w:rPr>
        <w:t xml:space="preserve">dell'Agenzia delle Entrate o </w:t>
      </w:r>
      <w:r w:rsidRPr="002A792A">
        <w:rPr>
          <w:rFonts w:ascii="Titillium" w:hAnsi="Titillium" w:cs="Calibri"/>
          <w:iCs/>
          <w:sz w:val="18"/>
          <w:szCs w:val="18"/>
        </w:rPr>
        <w:t xml:space="preserve">per gli operatori economici esteri tramite il pagamento del tributo con bonifico </w:t>
      </w:r>
      <w:r w:rsidRPr="002A792A">
        <w:rPr>
          <w:rFonts w:ascii="Titillium" w:hAnsi="Titillium" w:cs="Calibri"/>
          <w:iCs/>
          <w:sz w:val="18"/>
          <w:szCs w:val="18"/>
        </w:rPr>
        <w:lastRenderedPageBreak/>
        <w:t xml:space="preserve">utilizzando il codice Iban IT07Y0100003245348008120501 e specificando nella causale la propria denominazione, codice fiscale (se presente) e gli estremi dell'atto a cui si riferisce il pagamento. </w:t>
      </w:r>
      <w:r w:rsidRPr="002A792A">
        <w:rPr>
          <w:rFonts w:ascii="Titillium" w:hAnsi="Titillium" w:cs="Calibri"/>
          <w:i/>
          <w:iCs/>
          <w:sz w:val="18"/>
          <w:szCs w:val="18"/>
        </w:rPr>
        <w:t xml:space="preserve"> </w:t>
      </w:r>
    </w:p>
    <w:p w14:paraId="1F21B444" w14:textId="188B7F73" w:rsidR="0055228C" w:rsidRPr="002A792A" w:rsidRDefault="0055228C" w:rsidP="0055228C">
      <w:pPr>
        <w:pStyle w:val="Paragrafoelenco"/>
        <w:spacing w:before="60" w:after="60"/>
        <w:ind w:left="0"/>
      </w:pPr>
      <w:r w:rsidRPr="002A792A">
        <w:rPr>
          <w:rFonts w:ascii="Titillium" w:hAnsi="Titillium" w:cs="Calibri"/>
          <w:sz w:val="18"/>
          <w:szCs w:val="18"/>
        </w:rPr>
        <w:t>A comprova del pagamento, il concorrente allega la ricevuta di pagamento elettronico ovvero del bonifico bancario.</w:t>
      </w:r>
    </w:p>
    <w:p w14:paraId="6B0D4601" w14:textId="1D0D0F8D" w:rsidR="0055228C" w:rsidRDefault="0055228C" w:rsidP="0055228C">
      <w:pPr>
        <w:pStyle w:val="Paragrafoelenco"/>
        <w:spacing w:before="60" w:after="60"/>
        <w:ind w:left="0"/>
        <w:rPr>
          <w:rFonts w:ascii="Titillium" w:hAnsi="Titillium" w:cs="Calibri"/>
          <w:iCs/>
          <w:sz w:val="18"/>
          <w:szCs w:val="18"/>
        </w:rPr>
      </w:pPr>
      <w:r w:rsidRPr="002A792A">
        <w:rPr>
          <w:rFonts w:ascii="Titillium" w:hAnsi="Titillium" w:cs="Calibri"/>
          <w:iCs/>
          <w:sz w:val="18"/>
          <w:szCs w:val="18"/>
        </w:rPr>
        <w:t>In alternativa il concorrente può acquistare la</w:t>
      </w:r>
      <w:r w:rsidR="00675DF0">
        <w:rPr>
          <w:rFonts w:ascii="Titillium" w:hAnsi="Titillium" w:cs="Calibri"/>
          <w:iCs/>
          <w:sz w:val="18"/>
          <w:szCs w:val="18"/>
        </w:rPr>
        <w:t xml:space="preserve"> </w:t>
      </w:r>
      <w:r w:rsidRPr="002A792A">
        <w:rPr>
          <w:rFonts w:ascii="Titillium" w:hAnsi="Titillium" w:cs="Calibri"/>
          <w:iCs/>
          <w:sz w:val="18"/>
          <w:szCs w:val="18"/>
        </w:rPr>
        <w:t>marca da bollo</w:t>
      </w:r>
      <w:r w:rsidR="002A792A">
        <w:rPr>
          <w:rFonts w:ascii="Titillium" w:hAnsi="Titillium" w:cs="Calibri"/>
          <w:iCs/>
          <w:sz w:val="18"/>
          <w:szCs w:val="18"/>
        </w:rPr>
        <w:t xml:space="preserve"> </w:t>
      </w:r>
      <w:r w:rsidRPr="002A792A">
        <w:rPr>
          <w:rFonts w:ascii="Titillium" w:hAnsi="Titillium" w:cs="Calibri"/>
          <w:iCs/>
          <w:sz w:val="18"/>
          <w:szCs w:val="18"/>
        </w:rPr>
        <w:t xml:space="preserve">da euro 16,00 ed inserire il suo numero seriale all'interno della dichiarazione contenuta nell'istanza telematica e allegare, obbligatoriamente copia del contrassegno in formato.pdf. Il concorrente si assume ogni responsabilità in caso di utilizzo plurimo dei contrassegni. </w:t>
      </w:r>
    </w:p>
    <w:p w14:paraId="5E3E556A" w14:textId="051A8F9B" w:rsidR="002A792A" w:rsidRDefault="002A792A" w:rsidP="002A792A">
      <w:pPr>
        <w:pStyle w:val="Paragrafoelenco"/>
        <w:pBdr>
          <w:top w:val="single" w:sz="4" w:space="1" w:color="auto"/>
          <w:left w:val="single" w:sz="4" w:space="4" w:color="auto"/>
          <w:bottom w:val="single" w:sz="4" w:space="1" w:color="auto"/>
          <w:right w:val="single" w:sz="4" w:space="4" w:color="auto"/>
        </w:pBdr>
        <w:spacing w:before="60" w:after="60"/>
        <w:ind w:left="0"/>
      </w:pPr>
      <w:r w:rsidRPr="002A792A">
        <w:rPr>
          <w:rFonts w:ascii="Titillium" w:hAnsi="Titillium" w:cs="Arial"/>
          <w:i/>
          <w:sz w:val="18"/>
          <w:szCs w:val="18"/>
        </w:rPr>
        <w:t xml:space="preserve">N.B. Le stazioni appaltanti considerano le esenzioni dal pagamento dell'imposta di bollo di cui al </w:t>
      </w:r>
      <w:hyperlink r:id="rId17" w:tgtFrame="_blank">
        <w:r w:rsidRPr="002A792A">
          <w:rPr>
            <w:rFonts w:ascii="Titillium" w:hAnsi="Titillium"/>
            <w:sz w:val="18"/>
            <w:szCs w:val="18"/>
          </w:rPr>
          <w:t>Decreto del Presidente della Repubblica n. 642/72, allegato B e al Decreto legislativo  n. 117/17, articolo 82</w:t>
        </w:r>
      </w:hyperlink>
      <w:r w:rsidR="00116F1A">
        <w:rPr>
          <w:rFonts w:ascii="Titillium" w:hAnsi="Titillium"/>
          <w:sz w:val="18"/>
          <w:szCs w:val="18"/>
        </w:rPr>
        <w:t>.</w:t>
      </w:r>
    </w:p>
    <w:bookmarkEnd w:id="1891"/>
    <w:bookmarkEnd w:id="1892"/>
    <w:p w14:paraId="68A73072" w14:textId="77777777" w:rsidR="004C53A8" w:rsidRDefault="004C53A8" w:rsidP="004C667D">
      <w:pPr>
        <w:pStyle w:val="NormaleWeb"/>
      </w:pPr>
    </w:p>
    <w:p w14:paraId="2BAA85EB" w14:textId="0B86E1AE" w:rsidR="00841324" w:rsidRPr="00841324" w:rsidRDefault="004C667D" w:rsidP="00841324">
      <w:pPr>
        <w:pStyle w:val="Titolo3"/>
        <w:numPr>
          <w:ilvl w:val="1"/>
          <w:numId w:val="4"/>
        </w:numPr>
        <w:ind w:left="426" w:hanging="426"/>
      </w:pPr>
      <w:bookmarkStart w:id="1894" w:name="_Toc139549439"/>
      <w:r w:rsidRPr="000315E8">
        <w:rPr>
          <w:rFonts w:ascii="Titillium" w:hAnsi="Titillium"/>
          <w:sz w:val="18"/>
          <w:szCs w:val="18"/>
        </w:rPr>
        <w:t>DICHIARAZION</w:t>
      </w:r>
      <w:r w:rsidR="003C10A8" w:rsidRPr="000315E8">
        <w:rPr>
          <w:rFonts w:ascii="Titillium" w:hAnsi="Titillium"/>
          <w:sz w:val="18"/>
          <w:szCs w:val="18"/>
          <w:lang w:val="it-IT"/>
        </w:rPr>
        <w:t xml:space="preserve">I DA RENDERE A CURA DEGLI </w:t>
      </w:r>
      <w:r w:rsidRPr="000315E8">
        <w:rPr>
          <w:rFonts w:ascii="Titillium" w:hAnsi="Titillium"/>
          <w:sz w:val="18"/>
          <w:szCs w:val="18"/>
        </w:rPr>
        <w:t xml:space="preserve"> OPERATORI ECONOMICI AMMESSI AL CONCORDATO PREVENTIVO CON CONTINUITÀ AZIENDALE DI CUI ALL’ARTICOLO </w:t>
      </w:r>
      <w:r w:rsidR="003C10A8" w:rsidRPr="000315E8">
        <w:rPr>
          <w:rFonts w:ascii="Titillium" w:hAnsi="Titillium"/>
          <w:sz w:val="18"/>
          <w:szCs w:val="18"/>
          <w:lang w:val="it-IT"/>
        </w:rPr>
        <w:t xml:space="preserve">372 </w:t>
      </w:r>
      <w:r w:rsidR="000315E8">
        <w:rPr>
          <w:rFonts w:ascii="Titillium" w:hAnsi="Titillium"/>
          <w:sz w:val="18"/>
          <w:szCs w:val="18"/>
          <w:lang w:val="it-IT"/>
        </w:rPr>
        <w:t>del</w:t>
      </w:r>
      <w:r w:rsidR="003C10A8" w:rsidRPr="000315E8">
        <w:rPr>
          <w:rFonts w:ascii="Titillium" w:hAnsi="Titillium"/>
          <w:sz w:val="18"/>
          <w:szCs w:val="18"/>
          <w:lang w:val="it-IT"/>
        </w:rPr>
        <w:t xml:space="preserve"> </w:t>
      </w:r>
      <w:r w:rsidR="000315E8" w:rsidRPr="000315E8">
        <w:rPr>
          <w:rFonts w:ascii="Titillium" w:hAnsi="Titillium"/>
          <w:caps w:val="0"/>
          <w:sz w:val="18"/>
          <w:szCs w:val="18"/>
          <w:lang w:val="it-IT"/>
        </w:rPr>
        <w:t xml:space="preserve">DECRETO LEGISLATIVO 12 </w:t>
      </w:r>
      <w:r w:rsidR="000315E8">
        <w:rPr>
          <w:rFonts w:ascii="Titillium" w:hAnsi="Titillium"/>
          <w:caps w:val="0"/>
          <w:sz w:val="18"/>
          <w:szCs w:val="18"/>
          <w:lang w:val="it-IT"/>
        </w:rPr>
        <w:t xml:space="preserve">GENNAIO </w:t>
      </w:r>
      <w:r w:rsidR="000315E8" w:rsidRPr="000315E8">
        <w:rPr>
          <w:rFonts w:ascii="Titillium" w:hAnsi="Titillium"/>
          <w:caps w:val="0"/>
          <w:sz w:val="18"/>
          <w:szCs w:val="18"/>
          <w:lang w:val="it-IT"/>
        </w:rPr>
        <w:t>2019 , n. 14</w:t>
      </w:r>
      <w:bookmarkEnd w:id="1894"/>
    </w:p>
    <w:p w14:paraId="52023CD1" w14:textId="5EDAA885" w:rsidR="004C53A8" w:rsidRPr="00841324" w:rsidRDefault="00870286" w:rsidP="00841324">
      <w:pPr>
        <w:spacing w:before="60" w:after="60"/>
        <w:rPr>
          <w:rFonts w:ascii="Titillium" w:hAnsi="Titillium" w:cs="Calibri"/>
          <w:sz w:val="18"/>
          <w:szCs w:val="18"/>
        </w:rPr>
      </w:pPr>
      <w:r w:rsidRPr="000315E8">
        <w:rPr>
          <w:rFonts w:ascii="Titillium" w:hAnsi="Titillium" w:cs="Calibri"/>
          <w:sz w:val="18"/>
          <w:szCs w:val="18"/>
        </w:rPr>
        <w:t>Il concorrente dichiara ai sensi degli articoli 46 e 47 del decreto del Presidente della Repubblica n. 445/</w:t>
      </w:r>
      <w:r w:rsidR="00521063" w:rsidRPr="000315E8">
        <w:rPr>
          <w:rFonts w:ascii="Titillium" w:hAnsi="Titillium" w:cs="Calibri"/>
          <w:sz w:val="18"/>
          <w:szCs w:val="18"/>
        </w:rPr>
        <w:t>20</w:t>
      </w:r>
      <w:r w:rsidRPr="000315E8">
        <w:rPr>
          <w:rFonts w:ascii="Titillium" w:hAnsi="Titillium" w:cs="Calibri"/>
          <w:sz w:val="18"/>
          <w:szCs w:val="18"/>
        </w:rPr>
        <w:t xml:space="preserve">00 gli </w:t>
      </w:r>
      <w:r w:rsidRPr="00841324">
        <w:rPr>
          <w:rFonts w:ascii="Titillium" w:hAnsi="Titillium" w:cs="Calibri"/>
          <w:sz w:val="18"/>
          <w:szCs w:val="18"/>
        </w:rPr>
        <w:t xml:space="preserve">estremi del provvedimento di ammissione al concordato e del provvedimento di autorizzazione a partecipare alle gare, </w:t>
      </w:r>
      <w:r w:rsidRPr="000315E8">
        <w:rPr>
          <w:rFonts w:ascii="Titillium" w:hAnsi="Titillium" w:cs="Calibri"/>
          <w:sz w:val="18"/>
          <w:szCs w:val="18"/>
        </w:rPr>
        <w:t>nonché dichiara che le altre imprese aderenti al raggruppamento non sono assoggettate ad una procedura concorsuale</w:t>
      </w:r>
      <w:r w:rsidR="00860210">
        <w:rPr>
          <w:rFonts w:ascii="Titillium" w:hAnsi="Titillium" w:cs="Calibri"/>
          <w:sz w:val="18"/>
          <w:szCs w:val="18"/>
        </w:rPr>
        <w:t>,</w:t>
      </w:r>
      <w:r w:rsidRPr="000315E8">
        <w:rPr>
          <w:rFonts w:ascii="Titillium" w:hAnsi="Titillium" w:cs="Calibri"/>
          <w:sz w:val="18"/>
          <w:szCs w:val="18"/>
        </w:rPr>
        <w:t xml:space="preserve"> ai sensi d</w:t>
      </w:r>
      <w:r w:rsidR="003D5277" w:rsidRPr="000315E8">
        <w:rPr>
          <w:rFonts w:ascii="Titillium" w:hAnsi="Titillium" w:cs="Calibri"/>
          <w:sz w:val="18"/>
          <w:szCs w:val="18"/>
        </w:rPr>
        <w:t xml:space="preserve">ell’articolo 95, commi 4 e 5, del </w:t>
      </w:r>
      <w:r w:rsidR="000315E8">
        <w:rPr>
          <w:rFonts w:ascii="Titillium" w:hAnsi="Titillium" w:cs="Calibri"/>
          <w:sz w:val="18"/>
          <w:szCs w:val="18"/>
        </w:rPr>
        <w:t>decreto legislativo n. 14/2019</w:t>
      </w:r>
    </w:p>
    <w:p w14:paraId="3AE3FDC2" w14:textId="057FDE8C" w:rsidR="004C53A8" w:rsidRDefault="00870286">
      <w:pPr>
        <w:spacing w:before="60" w:after="60"/>
      </w:pPr>
      <w:r>
        <w:rPr>
          <w:rFonts w:ascii="Titillium" w:hAnsi="Titillium" w:cs="Calibri"/>
          <w:sz w:val="18"/>
          <w:szCs w:val="18"/>
        </w:rPr>
        <w:t xml:space="preserve">Il concorrente presenta una relazione di un professionista in possesso dei requisiti di cui </w:t>
      </w:r>
      <w:r w:rsidRPr="008872F1">
        <w:rPr>
          <w:rFonts w:ascii="Titillium" w:hAnsi="Titillium" w:cs="Calibri"/>
          <w:sz w:val="18"/>
          <w:szCs w:val="18"/>
        </w:rPr>
        <w:t>all'</w:t>
      </w:r>
      <w:hyperlink r:id="rId18">
        <w:r w:rsidRPr="008872F1">
          <w:rPr>
            <w:rStyle w:val="CollegamentoInternet"/>
            <w:rFonts w:ascii="Titillium" w:hAnsi="Titillium" w:cs="Calibri"/>
            <w:color w:val="auto"/>
            <w:sz w:val="18"/>
            <w:szCs w:val="18"/>
            <w:u w:val="none"/>
          </w:rPr>
          <w:t xml:space="preserve">articolo </w:t>
        </w:r>
        <w:r w:rsidR="000315E8">
          <w:rPr>
            <w:rStyle w:val="CollegamentoInternet"/>
            <w:rFonts w:ascii="Titillium" w:hAnsi="Titillium" w:cs="Calibri"/>
            <w:color w:val="auto"/>
            <w:sz w:val="18"/>
            <w:szCs w:val="18"/>
            <w:u w:val="none"/>
          </w:rPr>
          <w:t xml:space="preserve">2, comma 1, lettera o) del decreto legislativo succitato </w:t>
        </w:r>
      </w:hyperlink>
      <w:r>
        <w:rPr>
          <w:rFonts w:ascii="Titillium" w:hAnsi="Titillium" w:cs="Calibri"/>
          <w:sz w:val="18"/>
          <w:szCs w:val="18"/>
        </w:rPr>
        <w:t>che attesta la conformità al piano e la ragionevole capacità di adempimento del contratto.</w:t>
      </w:r>
    </w:p>
    <w:p w14:paraId="05FAE105" w14:textId="1AE38888" w:rsidR="004C53A8" w:rsidRPr="00841324" w:rsidRDefault="004C667D" w:rsidP="00084AD6">
      <w:pPr>
        <w:pStyle w:val="Titolo3"/>
        <w:numPr>
          <w:ilvl w:val="1"/>
          <w:numId w:val="4"/>
        </w:numPr>
        <w:ind w:left="426" w:hanging="426"/>
        <w:rPr>
          <w:rFonts w:ascii="Titillium" w:hAnsi="Titillium"/>
          <w:sz w:val="18"/>
          <w:szCs w:val="18"/>
          <w:lang w:val="it-IT"/>
        </w:rPr>
      </w:pPr>
      <w:bookmarkStart w:id="1895" w:name="_Ref132054207"/>
      <w:bookmarkStart w:id="1896" w:name="_Toc139549440"/>
      <w:r w:rsidRPr="00841324">
        <w:rPr>
          <w:rFonts w:ascii="Titillium" w:hAnsi="Titillium"/>
          <w:sz w:val="18"/>
          <w:szCs w:val="18"/>
          <w:lang w:val="it-IT"/>
        </w:rPr>
        <w:t>DOCUMENTAZIONE IN CASO DI AVVALIMENTO</w:t>
      </w:r>
      <w:bookmarkEnd w:id="1895"/>
      <w:bookmarkEnd w:id="1896"/>
    </w:p>
    <w:p w14:paraId="0529481B" w14:textId="1061BCBE" w:rsidR="009308CD" w:rsidRDefault="00074F92">
      <w:pPr>
        <w:spacing w:before="60" w:after="60"/>
        <w:rPr>
          <w:rFonts w:ascii="Titillium" w:hAnsi="Titillium" w:cs="Calibri"/>
          <w:sz w:val="18"/>
          <w:szCs w:val="18"/>
        </w:rPr>
      </w:pPr>
      <w:r>
        <w:rPr>
          <w:rFonts w:ascii="Titillium" w:hAnsi="Titillium" w:cs="Calibri"/>
          <w:sz w:val="18"/>
          <w:szCs w:val="18"/>
        </w:rPr>
        <w:t xml:space="preserve">L’impresa ausiliaria rende le dichiarazioni sul possesso dei requisiti </w:t>
      </w:r>
      <w:r w:rsidR="009308CD">
        <w:rPr>
          <w:rFonts w:ascii="Titillium" w:hAnsi="Titillium" w:cs="Calibri"/>
          <w:sz w:val="18"/>
          <w:szCs w:val="18"/>
        </w:rPr>
        <w:t>di ordine generale</w:t>
      </w:r>
      <w:r w:rsidRPr="00771B26">
        <w:rPr>
          <w:rFonts w:ascii="Titillium" w:hAnsi="Titillium" w:cs="Calibri"/>
          <w:sz w:val="18"/>
          <w:szCs w:val="18"/>
        </w:rPr>
        <w:t xml:space="preserve"> </w:t>
      </w:r>
      <w:r>
        <w:rPr>
          <w:rFonts w:ascii="Titillium" w:hAnsi="Titillium" w:cs="Calibri"/>
          <w:sz w:val="18"/>
          <w:szCs w:val="18"/>
        </w:rPr>
        <w:t xml:space="preserve">mediante compilazione dell’apposita sezione </w:t>
      </w:r>
      <w:r w:rsidR="00675DF0">
        <w:rPr>
          <w:rFonts w:ascii="Titillium" w:hAnsi="Titillium" w:cs="Calibri"/>
          <w:sz w:val="18"/>
          <w:szCs w:val="18"/>
        </w:rPr>
        <w:t>del</w:t>
      </w:r>
      <w:r w:rsidR="009308CD">
        <w:rPr>
          <w:rFonts w:ascii="Titillium" w:hAnsi="Titillium" w:cs="Calibri"/>
          <w:sz w:val="18"/>
          <w:szCs w:val="18"/>
        </w:rPr>
        <w:t xml:space="preserve"> DGUE. </w:t>
      </w:r>
    </w:p>
    <w:p w14:paraId="049742A7" w14:textId="281D3FE7" w:rsidR="004C53A8" w:rsidRPr="00771B26" w:rsidRDefault="00870286">
      <w:pPr>
        <w:spacing w:before="60" w:after="60"/>
        <w:rPr>
          <w:rFonts w:ascii="Titillium" w:hAnsi="Titillium" w:cs="Calibri"/>
          <w:sz w:val="18"/>
          <w:szCs w:val="18"/>
        </w:rPr>
      </w:pPr>
      <w:r w:rsidRPr="00771B26">
        <w:rPr>
          <w:rFonts w:ascii="Titillium" w:hAnsi="Titillium" w:cs="Calibri"/>
          <w:sz w:val="18"/>
          <w:szCs w:val="18"/>
        </w:rPr>
        <w:t>Il concorrente, per ciascuna ausiliaria, allega:</w:t>
      </w:r>
    </w:p>
    <w:p w14:paraId="0270DFB9" w14:textId="77777777" w:rsidR="00563D04" w:rsidRPr="00563D04" w:rsidRDefault="00563D04" w:rsidP="00563D04">
      <w:pPr>
        <w:pStyle w:val="Paragrafoelenco"/>
        <w:numPr>
          <w:ilvl w:val="2"/>
          <w:numId w:val="17"/>
        </w:numPr>
        <w:spacing w:before="60" w:after="60"/>
        <w:ind w:left="567" w:hanging="567"/>
        <w:rPr>
          <w:rFonts w:ascii="Titillium" w:hAnsi="Titillium" w:cs="Calibri"/>
          <w:sz w:val="18"/>
          <w:szCs w:val="18"/>
        </w:rPr>
      </w:pPr>
      <w:r w:rsidRPr="00563D04">
        <w:rPr>
          <w:rFonts w:ascii="Titillium" w:hAnsi="Titillium" w:cs="Calibri"/>
          <w:b/>
          <w:bCs/>
          <w:i/>
          <w:iCs/>
          <w:sz w:val="18"/>
          <w:szCs w:val="18"/>
        </w:rPr>
        <w:t>[fino al 31 dicembre 2023]</w:t>
      </w:r>
      <w:r w:rsidRPr="00563D04">
        <w:rPr>
          <w:rFonts w:ascii="Titillium" w:hAnsi="Titillium" w:cs="Calibri"/>
          <w:sz w:val="18"/>
          <w:szCs w:val="18"/>
        </w:rPr>
        <w:t xml:space="preserve"> </w:t>
      </w:r>
      <w:r>
        <w:rPr>
          <w:rFonts w:ascii="Titillium" w:hAnsi="Titillium" w:cs="Calibri"/>
          <w:sz w:val="18"/>
          <w:szCs w:val="18"/>
        </w:rPr>
        <w:t>il PASSOE dell’ausiliaria</w:t>
      </w:r>
      <w:r w:rsidRPr="00563D04">
        <w:rPr>
          <w:rFonts w:ascii="Titillium" w:hAnsi="Titillium" w:cs="Calibri"/>
          <w:sz w:val="18"/>
          <w:szCs w:val="18"/>
        </w:rPr>
        <w:t>,</w:t>
      </w:r>
    </w:p>
    <w:p w14:paraId="17892DFA"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la dichiarazione di avvalimento;</w:t>
      </w:r>
    </w:p>
    <w:p w14:paraId="04B586BF"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il contratto di avvalimento;</w:t>
      </w:r>
    </w:p>
    <w:p w14:paraId="37B7275C" w14:textId="735D8137" w:rsidR="000E2446" w:rsidRPr="000E2446" w:rsidRDefault="000E2446" w:rsidP="000E2446">
      <w:pPr>
        <w:spacing w:before="60" w:after="60"/>
        <w:rPr>
          <w:rFonts w:ascii="Titillium" w:hAnsi="Titillium" w:cs="Calibri"/>
          <w:sz w:val="18"/>
          <w:szCs w:val="18"/>
        </w:rPr>
      </w:pPr>
      <w:r w:rsidRPr="000E2446">
        <w:rPr>
          <w:rFonts w:ascii="Titillium" w:hAnsi="Titillium" w:cs="Calibri"/>
          <w:sz w:val="18"/>
          <w:szCs w:val="18"/>
        </w:rPr>
        <w:t>Nel caso di avvalimento finalizzato al miglioramento dell’offerta, il contratto di avvalimento è presentato nell’offerta tecnica.</w:t>
      </w:r>
    </w:p>
    <w:p w14:paraId="007121C7" w14:textId="3062212E" w:rsidR="004C53A8" w:rsidRDefault="004C667D" w:rsidP="00084AD6">
      <w:pPr>
        <w:pStyle w:val="Titolo3"/>
        <w:numPr>
          <w:ilvl w:val="1"/>
          <w:numId w:val="4"/>
        </w:numPr>
        <w:ind w:left="426" w:hanging="426"/>
        <w:rPr>
          <w:rFonts w:ascii="Titillium" w:hAnsi="Titillium"/>
          <w:sz w:val="18"/>
          <w:szCs w:val="18"/>
        </w:rPr>
      </w:pPr>
      <w:bookmarkStart w:id="1897" w:name="_Ref498427979"/>
      <w:bookmarkStart w:id="1898" w:name="_Toc139549441"/>
      <w:r>
        <w:rPr>
          <w:rFonts w:ascii="Titillium" w:hAnsi="Titillium"/>
          <w:caps w:val="0"/>
          <w:sz w:val="18"/>
          <w:szCs w:val="18"/>
        </w:rPr>
        <w:t>DOCUMENTAZIONE ULTERIORE PER I SOGGETTI ASSOCIATI</w:t>
      </w:r>
      <w:bookmarkEnd w:id="1897"/>
      <w:bookmarkEnd w:id="1898"/>
    </w:p>
    <w:p w14:paraId="0F29791B" w14:textId="77777777" w:rsidR="004C53A8" w:rsidRDefault="00870286">
      <w:pPr>
        <w:spacing w:before="60" w:after="60"/>
        <w:rPr>
          <w:rFonts w:ascii="Titillium" w:hAnsi="Titillium"/>
          <w:b/>
          <w:sz w:val="18"/>
          <w:szCs w:val="18"/>
        </w:rPr>
      </w:pPr>
      <w:r>
        <w:rPr>
          <w:rFonts w:ascii="Titillium" w:hAnsi="Titillium"/>
          <w:b/>
          <w:sz w:val="18"/>
          <w:szCs w:val="18"/>
        </w:rPr>
        <w:t>Per i raggruppamenti temporanei già costituiti</w:t>
      </w:r>
    </w:p>
    <w:p w14:paraId="4517C1EC" w14:textId="67AE2917" w:rsidR="004C53A8" w:rsidRPr="0019010B"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 xml:space="preserve">copia del mandato collettivo irrevocabile con rappresentanza conferito alla mandataria per atto pubblico o scrittura </w:t>
      </w:r>
      <w:r w:rsidRPr="0019010B">
        <w:rPr>
          <w:rFonts w:ascii="Titillium" w:hAnsi="Titillium" w:cs="Calibri"/>
          <w:sz w:val="18"/>
          <w:szCs w:val="18"/>
        </w:rPr>
        <w:t>privata autenticata</w:t>
      </w:r>
      <w:r w:rsidR="005D2897" w:rsidRPr="0019010B">
        <w:rPr>
          <w:rFonts w:ascii="Titillium" w:hAnsi="Titillium" w:cs="Calibri"/>
          <w:sz w:val="18"/>
          <w:szCs w:val="18"/>
        </w:rPr>
        <w:t>;</w:t>
      </w:r>
    </w:p>
    <w:p w14:paraId="3B775A28" w14:textId="77777777" w:rsidR="004C53A8" w:rsidRPr="0019010B" w:rsidRDefault="00870286" w:rsidP="0022153A">
      <w:pPr>
        <w:pStyle w:val="Paragrafoelenco"/>
        <w:numPr>
          <w:ilvl w:val="0"/>
          <w:numId w:val="23"/>
        </w:numPr>
        <w:spacing w:before="60" w:after="60"/>
        <w:ind w:left="284" w:hanging="284"/>
        <w:rPr>
          <w:rFonts w:ascii="Titillium" w:hAnsi="Titillium" w:cs="Calibri"/>
          <w:sz w:val="18"/>
          <w:szCs w:val="18"/>
        </w:rPr>
      </w:pPr>
      <w:r w:rsidRPr="0019010B">
        <w:rPr>
          <w:rFonts w:ascii="Titillium" w:hAnsi="Titillium" w:cs="Calibri"/>
          <w:sz w:val="18"/>
          <w:szCs w:val="18"/>
        </w:rPr>
        <w:t xml:space="preserve">dichiarazione delle parti del servizio/fornitura, ovvero della percentuale in caso di servizio/forniture indivisibili, che saranno eseguite dai singoli operatori economici riuniti o consorziati. </w:t>
      </w:r>
    </w:p>
    <w:p w14:paraId="6CCA8366" w14:textId="77777777" w:rsidR="004C53A8" w:rsidRPr="0019010B" w:rsidRDefault="00870286">
      <w:pPr>
        <w:spacing w:before="60" w:after="60"/>
        <w:rPr>
          <w:rFonts w:ascii="Titillium" w:hAnsi="Titillium"/>
          <w:b/>
          <w:sz w:val="18"/>
          <w:szCs w:val="18"/>
        </w:rPr>
      </w:pPr>
      <w:r w:rsidRPr="0019010B">
        <w:rPr>
          <w:rFonts w:ascii="Titillium" w:hAnsi="Titillium"/>
          <w:b/>
          <w:sz w:val="18"/>
          <w:szCs w:val="18"/>
        </w:rPr>
        <w:t>Per i consorzi ordinari o GEIE già costituiti</w:t>
      </w:r>
    </w:p>
    <w:p w14:paraId="301FDC36" w14:textId="677D8F2F" w:rsidR="004C53A8" w:rsidRPr="0019010B" w:rsidRDefault="00870286" w:rsidP="0022153A">
      <w:pPr>
        <w:pStyle w:val="Paragrafoelenco"/>
        <w:numPr>
          <w:ilvl w:val="0"/>
          <w:numId w:val="23"/>
        </w:numPr>
        <w:spacing w:before="60" w:after="60"/>
        <w:ind w:left="284" w:hanging="284"/>
        <w:rPr>
          <w:rFonts w:ascii="Titillium" w:hAnsi="Titillium" w:cs="Calibri"/>
          <w:sz w:val="18"/>
          <w:szCs w:val="18"/>
        </w:rPr>
      </w:pPr>
      <w:r w:rsidRPr="0019010B">
        <w:rPr>
          <w:rFonts w:ascii="Titillium" w:hAnsi="Titillium" w:cs="Calibri"/>
          <w:sz w:val="18"/>
          <w:szCs w:val="18"/>
        </w:rPr>
        <w:t>copia dell’atto costitutivo e dello statuto del consorzio o GEIE, con indicazione del so</w:t>
      </w:r>
      <w:r w:rsidR="005D2897" w:rsidRPr="0019010B">
        <w:rPr>
          <w:rFonts w:ascii="Titillium" w:hAnsi="Titillium" w:cs="Calibri"/>
          <w:sz w:val="18"/>
          <w:szCs w:val="18"/>
        </w:rPr>
        <w:t>ggetto designato quale capofila;</w:t>
      </w:r>
      <w:r w:rsidRPr="0019010B">
        <w:rPr>
          <w:rFonts w:ascii="Titillium" w:hAnsi="Titillium" w:cs="Calibri"/>
          <w:sz w:val="18"/>
          <w:szCs w:val="18"/>
        </w:rPr>
        <w:t xml:space="preserve"> </w:t>
      </w:r>
    </w:p>
    <w:p w14:paraId="514FDCB5" w14:textId="778AFC04" w:rsidR="004C53A8" w:rsidRPr="0019010B" w:rsidRDefault="00870286" w:rsidP="0022153A">
      <w:pPr>
        <w:pStyle w:val="Paragrafoelenco"/>
        <w:numPr>
          <w:ilvl w:val="0"/>
          <w:numId w:val="23"/>
        </w:numPr>
        <w:spacing w:before="60" w:after="60"/>
        <w:ind w:left="284" w:hanging="284"/>
        <w:rPr>
          <w:rFonts w:ascii="Titillium" w:hAnsi="Titillium" w:cs="Calibri"/>
          <w:sz w:val="18"/>
          <w:szCs w:val="18"/>
        </w:rPr>
      </w:pPr>
      <w:r w:rsidRPr="0019010B">
        <w:rPr>
          <w:rFonts w:ascii="Titillium" w:hAnsi="Titillium" w:cs="Calibri"/>
          <w:sz w:val="18"/>
          <w:szCs w:val="18"/>
        </w:rPr>
        <w:t>dichiarazione sottoscritta delle parti del servizio/fornitura, ovvero la</w:t>
      </w:r>
      <w:r w:rsidR="00521063" w:rsidRPr="0019010B">
        <w:rPr>
          <w:rFonts w:ascii="Titillium" w:hAnsi="Titillium" w:cs="Calibri"/>
          <w:sz w:val="18"/>
          <w:szCs w:val="18"/>
        </w:rPr>
        <w:t xml:space="preserve"> percentuale in caso di servizi</w:t>
      </w:r>
      <w:r w:rsidRPr="0019010B">
        <w:rPr>
          <w:rFonts w:ascii="Titillium" w:hAnsi="Titillium" w:cs="Calibri"/>
          <w:sz w:val="18"/>
          <w:szCs w:val="18"/>
        </w:rPr>
        <w:t xml:space="preserve">/forniture indivisibili, che saranno eseguite dai singoli operatori economici consorziati. </w:t>
      </w:r>
    </w:p>
    <w:p w14:paraId="7FD2E477" w14:textId="77777777" w:rsidR="004C53A8" w:rsidRPr="0019010B" w:rsidRDefault="00870286">
      <w:pPr>
        <w:spacing w:before="60" w:after="60"/>
        <w:rPr>
          <w:rFonts w:ascii="Titillium" w:hAnsi="Titillium"/>
          <w:b/>
          <w:sz w:val="18"/>
          <w:szCs w:val="18"/>
        </w:rPr>
      </w:pPr>
      <w:r w:rsidRPr="0019010B">
        <w:rPr>
          <w:rFonts w:ascii="Titillium" w:hAnsi="Titillium"/>
          <w:b/>
          <w:sz w:val="18"/>
          <w:szCs w:val="18"/>
        </w:rPr>
        <w:t>Per i raggruppamenti temporanei o consorzi ordinari o GEIE non ancora costituiti</w:t>
      </w:r>
    </w:p>
    <w:p w14:paraId="5893ABD4" w14:textId="77777777" w:rsidR="004C53A8" w:rsidRPr="0019010B" w:rsidRDefault="00870286" w:rsidP="0022153A">
      <w:pPr>
        <w:pStyle w:val="Paragrafoelenco"/>
        <w:numPr>
          <w:ilvl w:val="0"/>
          <w:numId w:val="23"/>
        </w:numPr>
        <w:spacing w:before="60" w:after="60"/>
        <w:ind w:left="284" w:hanging="284"/>
        <w:rPr>
          <w:rFonts w:ascii="Titillium" w:hAnsi="Titillium" w:cs="Calibri"/>
          <w:sz w:val="18"/>
          <w:szCs w:val="18"/>
        </w:rPr>
      </w:pPr>
      <w:r w:rsidRPr="0019010B">
        <w:rPr>
          <w:rFonts w:ascii="Titillium" w:hAnsi="Titillium" w:cs="Calibri"/>
          <w:sz w:val="18"/>
          <w:szCs w:val="18"/>
        </w:rPr>
        <w:t xml:space="preserve"> dichiarazione rese da ciascun concorrente, attestante:</w:t>
      </w:r>
    </w:p>
    <w:p w14:paraId="3433D4EF" w14:textId="77777777" w:rsidR="004C53A8" w:rsidRPr="0019010B" w:rsidRDefault="00870286" w:rsidP="0022153A">
      <w:pPr>
        <w:numPr>
          <w:ilvl w:val="0"/>
          <w:numId w:val="13"/>
        </w:numPr>
        <w:spacing w:before="60" w:after="60"/>
        <w:ind w:left="709" w:hanging="284"/>
        <w:rPr>
          <w:rFonts w:ascii="Titillium" w:hAnsi="Titillium" w:cs="Calibri"/>
          <w:sz w:val="18"/>
          <w:szCs w:val="18"/>
        </w:rPr>
      </w:pPr>
      <w:r w:rsidRPr="0019010B">
        <w:rPr>
          <w:rFonts w:ascii="Titillium" w:hAnsi="Titillium" w:cs="Calibri"/>
          <w:sz w:val="18"/>
          <w:szCs w:val="18"/>
        </w:rPr>
        <w:t>a quale operatore economico, in caso di aggiudicazione, sarà conferito mandato speciale con rappresentanza o funzioni di capogruppo;</w:t>
      </w:r>
    </w:p>
    <w:p w14:paraId="76C7B849" w14:textId="1C615E0D" w:rsidR="00140144" w:rsidRPr="0019010B" w:rsidRDefault="00870286" w:rsidP="00140144">
      <w:pPr>
        <w:numPr>
          <w:ilvl w:val="0"/>
          <w:numId w:val="13"/>
        </w:numPr>
        <w:spacing w:before="60" w:after="60"/>
        <w:ind w:left="709" w:hanging="284"/>
      </w:pPr>
      <w:r w:rsidRPr="0019010B">
        <w:rPr>
          <w:rFonts w:ascii="Titillium" w:hAnsi="Titillium" w:cs="Calibri"/>
          <w:sz w:val="18"/>
          <w:szCs w:val="18"/>
        </w:rPr>
        <w:t xml:space="preserve">l’impegno, in caso di aggiudicazione, ad uniformarsi alla disciplina vigente con riguardo ai raggruppamenti temporanei o consorzi o GEIE ai sensi dell’articolo </w:t>
      </w:r>
      <w:r w:rsidR="00860210" w:rsidRPr="0019010B">
        <w:rPr>
          <w:rFonts w:ascii="Titillium" w:hAnsi="Titillium" w:cs="Calibri"/>
          <w:sz w:val="18"/>
          <w:szCs w:val="18"/>
        </w:rPr>
        <w:t>68</w:t>
      </w:r>
      <w:r w:rsidRPr="0019010B">
        <w:rPr>
          <w:rFonts w:ascii="Titillium" w:hAnsi="Titillium" w:cs="Calibri"/>
          <w:sz w:val="18"/>
          <w:szCs w:val="18"/>
        </w:rPr>
        <w:t xml:space="preserve"> del Codice conferendo mandato collettivo speciale con </w:t>
      </w:r>
      <w:r w:rsidRPr="0019010B">
        <w:rPr>
          <w:rFonts w:ascii="Titillium" w:hAnsi="Titillium" w:cs="Calibri"/>
          <w:sz w:val="18"/>
          <w:szCs w:val="18"/>
        </w:rPr>
        <w:lastRenderedPageBreak/>
        <w:t>rappresentanza all’impresa qualificata come mandataria che stipulerà il contratto in nome e per conto delle mandanti/consorziate;</w:t>
      </w:r>
    </w:p>
    <w:p w14:paraId="1FBBB326" w14:textId="246CA376" w:rsidR="004C53A8" w:rsidRPr="0019010B" w:rsidRDefault="00870286" w:rsidP="00140144">
      <w:pPr>
        <w:numPr>
          <w:ilvl w:val="0"/>
          <w:numId w:val="13"/>
        </w:numPr>
        <w:spacing w:before="60" w:after="60"/>
        <w:ind w:left="709" w:hanging="284"/>
      </w:pPr>
      <w:r w:rsidRPr="0019010B">
        <w:rPr>
          <w:rFonts w:ascii="Titillium" w:hAnsi="Titillium" w:cs="Calibri"/>
          <w:sz w:val="18"/>
          <w:szCs w:val="18"/>
        </w:rPr>
        <w:t xml:space="preserve">le parti del servizio/fornitura, ovvero la percentuale in caso di servizio/forniture indivisibili, che saranno eseguite dai singoli operatori economici riuniti o consorziati. </w:t>
      </w:r>
    </w:p>
    <w:p w14:paraId="7ED48753" w14:textId="77777777" w:rsidR="004C53A8" w:rsidRPr="0019010B" w:rsidRDefault="00870286">
      <w:pPr>
        <w:spacing w:before="60" w:after="60"/>
        <w:rPr>
          <w:rFonts w:ascii="Titillium" w:hAnsi="Titillium"/>
          <w:b/>
          <w:sz w:val="18"/>
          <w:szCs w:val="18"/>
        </w:rPr>
      </w:pPr>
      <w:r w:rsidRPr="0019010B">
        <w:rPr>
          <w:rFonts w:ascii="Titillium" w:hAnsi="Titillium"/>
          <w:b/>
          <w:sz w:val="18"/>
          <w:szCs w:val="18"/>
        </w:rPr>
        <w:t>Per le aggregazioni di retisti: se la rete è dotata di un organo comune con potere di rappresentanza e soggettività giuridica</w:t>
      </w:r>
    </w:p>
    <w:p w14:paraId="3A588924" w14:textId="77777777" w:rsidR="004C53A8" w:rsidRPr="0019010B" w:rsidRDefault="00870286" w:rsidP="0022153A">
      <w:pPr>
        <w:pStyle w:val="Paragrafoelenco"/>
        <w:numPr>
          <w:ilvl w:val="0"/>
          <w:numId w:val="14"/>
        </w:numPr>
        <w:spacing w:before="60" w:after="60"/>
        <w:rPr>
          <w:rFonts w:ascii="Titillium" w:hAnsi="Titillium" w:cs="Calibri"/>
          <w:sz w:val="18"/>
          <w:szCs w:val="18"/>
        </w:rPr>
      </w:pPr>
      <w:r w:rsidRPr="0019010B">
        <w:rPr>
          <w:rFonts w:ascii="Titillium" w:hAnsi="Titillium" w:cs="Calibri"/>
          <w:sz w:val="18"/>
          <w:szCs w:val="18"/>
        </w:rPr>
        <w:t>copia del contratto di rete, con indicazione dell’organo comune che agisce in rappresentanza della rete.</w:t>
      </w:r>
    </w:p>
    <w:p w14:paraId="71920C02" w14:textId="77777777" w:rsidR="004C53A8" w:rsidRPr="0019010B" w:rsidRDefault="00870286" w:rsidP="0022153A">
      <w:pPr>
        <w:pStyle w:val="Paragrafoelenco"/>
        <w:numPr>
          <w:ilvl w:val="0"/>
          <w:numId w:val="14"/>
        </w:numPr>
        <w:spacing w:before="60" w:after="60"/>
        <w:rPr>
          <w:rFonts w:ascii="Titillium" w:hAnsi="Titillium" w:cs="Calibri"/>
          <w:sz w:val="18"/>
          <w:szCs w:val="18"/>
        </w:rPr>
      </w:pPr>
      <w:r w:rsidRPr="0019010B">
        <w:rPr>
          <w:rFonts w:ascii="Titillium" w:hAnsi="Titillium" w:cs="Calibri"/>
          <w:sz w:val="18"/>
          <w:szCs w:val="18"/>
        </w:rPr>
        <w:t xml:space="preserve">dichiarazione che indichi per quali imprese la rete concorre; </w:t>
      </w:r>
    </w:p>
    <w:p w14:paraId="0AE39214" w14:textId="77777777" w:rsidR="004C53A8" w:rsidRPr="0019010B" w:rsidRDefault="00870286" w:rsidP="0022153A">
      <w:pPr>
        <w:pStyle w:val="Paragrafoelenco"/>
        <w:numPr>
          <w:ilvl w:val="0"/>
          <w:numId w:val="14"/>
        </w:numPr>
        <w:spacing w:before="60" w:after="60"/>
        <w:rPr>
          <w:rFonts w:ascii="Titillium" w:hAnsi="Titillium" w:cs="Calibri"/>
          <w:sz w:val="18"/>
          <w:szCs w:val="18"/>
        </w:rPr>
      </w:pPr>
      <w:r w:rsidRPr="0019010B">
        <w:rPr>
          <w:rFonts w:ascii="Titillium" w:hAnsi="Titillium" w:cs="Calibri"/>
          <w:sz w:val="18"/>
          <w:szCs w:val="18"/>
        </w:rPr>
        <w:t xml:space="preserve">dichiarazione sottoscritta con firma digitale delle parti del servizio o della fornitura, ovvero la percentuale in caso di servizio/forniture indivisibili, che saranno eseguite dai singoli operatori economici aggregati in rete. </w:t>
      </w:r>
    </w:p>
    <w:p w14:paraId="5767CBBA" w14:textId="77777777" w:rsidR="004C53A8" w:rsidRPr="0019010B" w:rsidRDefault="00870286">
      <w:pPr>
        <w:spacing w:before="60" w:after="60"/>
        <w:rPr>
          <w:rFonts w:ascii="Titillium" w:hAnsi="Titillium"/>
          <w:b/>
          <w:sz w:val="18"/>
          <w:szCs w:val="18"/>
        </w:rPr>
      </w:pPr>
      <w:r w:rsidRPr="0019010B">
        <w:rPr>
          <w:rFonts w:ascii="Titillium" w:hAnsi="Titillium"/>
          <w:b/>
          <w:sz w:val="18"/>
          <w:szCs w:val="18"/>
        </w:rPr>
        <w:t>Per le aggregazioni di retisti: se la rete è dotata di un organo comune con potere di rappresentanza ma è priva di soggettività giuridica</w:t>
      </w:r>
    </w:p>
    <w:p w14:paraId="43FF7CD5" w14:textId="32C42221" w:rsidR="004C53A8" w:rsidRPr="0019010B" w:rsidRDefault="00140144" w:rsidP="0022153A">
      <w:pPr>
        <w:pStyle w:val="Paragrafoelenco"/>
        <w:numPr>
          <w:ilvl w:val="0"/>
          <w:numId w:val="14"/>
        </w:numPr>
        <w:spacing w:before="60" w:after="60"/>
        <w:ind w:left="709" w:hanging="425"/>
        <w:rPr>
          <w:rFonts w:ascii="Titillium" w:hAnsi="Titillium" w:cs="Calibri"/>
          <w:sz w:val="18"/>
          <w:szCs w:val="18"/>
        </w:rPr>
      </w:pPr>
      <w:r w:rsidRPr="0019010B">
        <w:rPr>
          <w:rFonts w:ascii="Titillium" w:hAnsi="Titillium" w:cs="Calibri"/>
          <w:sz w:val="18"/>
          <w:szCs w:val="18"/>
        </w:rPr>
        <w:t xml:space="preserve">copia </w:t>
      </w:r>
      <w:r w:rsidR="00870286" w:rsidRPr="0019010B">
        <w:rPr>
          <w:rFonts w:ascii="Titillium" w:hAnsi="Titillium" w:cs="Calibri"/>
          <w:sz w:val="18"/>
          <w:szCs w:val="18"/>
        </w:rPr>
        <w:t>del contratto di rete;</w:t>
      </w:r>
    </w:p>
    <w:p w14:paraId="3B64BE30" w14:textId="77777777" w:rsidR="004C53A8" w:rsidRPr="0019010B" w:rsidRDefault="00870286" w:rsidP="0022153A">
      <w:pPr>
        <w:pStyle w:val="Paragrafoelenco"/>
        <w:numPr>
          <w:ilvl w:val="0"/>
          <w:numId w:val="14"/>
        </w:numPr>
        <w:spacing w:before="60" w:after="60"/>
        <w:ind w:left="709" w:hanging="425"/>
        <w:rPr>
          <w:rFonts w:ascii="Titillium" w:hAnsi="Titillium" w:cs="Calibri"/>
          <w:sz w:val="18"/>
          <w:szCs w:val="18"/>
        </w:rPr>
      </w:pPr>
      <w:r w:rsidRPr="0019010B">
        <w:rPr>
          <w:rFonts w:ascii="Titillium" w:hAnsi="Titillium" w:cs="Calibri"/>
          <w:sz w:val="18"/>
          <w:szCs w:val="18"/>
        </w:rPr>
        <w:t xml:space="preserve">copia del mandato collettivo irrevocabile con rappresentanza conferito all’organo comune; </w:t>
      </w:r>
    </w:p>
    <w:p w14:paraId="22E103DE" w14:textId="77777777" w:rsidR="004C53A8" w:rsidRPr="0019010B" w:rsidRDefault="00870286" w:rsidP="0022153A">
      <w:pPr>
        <w:pStyle w:val="Paragrafoelenco"/>
        <w:numPr>
          <w:ilvl w:val="0"/>
          <w:numId w:val="14"/>
        </w:numPr>
        <w:spacing w:before="60" w:after="60"/>
        <w:ind w:left="709" w:hanging="425"/>
        <w:rPr>
          <w:rFonts w:ascii="Titillium" w:hAnsi="Titillium" w:cs="Calibri"/>
          <w:sz w:val="18"/>
          <w:szCs w:val="18"/>
        </w:rPr>
      </w:pPr>
      <w:r w:rsidRPr="0019010B">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2D5E199E" w14:textId="77777777" w:rsidR="004C53A8" w:rsidRPr="0019010B" w:rsidRDefault="00870286">
      <w:pPr>
        <w:spacing w:before="60" w:after="60"/>
        <w:rPr>
          <w:rFonts w:ascii="Titillium" w:hAnsi="Titillium"/>
          <w:b/>
          <w:sz w:val="18"/>
          <w:szCs w:val="18"/>
        </w:rPr>
      </w:pPr>
      <w:r w:rsidRPr="0019010B">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0E097E32" w14:textId="77777777" w:rsidR="004C53A8" w:rsidRPr="0019010B" w:rsidRDefault="00870286" w:rsidP="0022153A">
      <w:pPr>
        <w:pStyle w:val="Paragrafoelenco"/>
        <w:numPr>
          <w:ilvl w:val="0"/>
          <w:numId w:val="14"/>
        </w:numPr>
        <w:spacing w:before="60" w:after="60"/>
      </w:pPr>
      <w:r w:rsidRPr="0019010B">
        <w:rPr>
          <w:rFonts w:ascii="Titillium" w:hAnsi="Titillium" w:cs="Calibri"/>
          <w:b/>
          <w:sz w:val="18"/>
          <w:szCs w:val="18"/>
        </w:rPr>
        <w:t>in caso di raggruppamento temporaneo di imprese costituito</w:t>
      </w:r>
      <w:r w:rsidRPr="0019010B">
        <w:rPr>
          <w:rFonts w:ascii="Titillium" w:hAnsi="Titillium" w:cs="Calibri"/>
          <w:sz w:val="18"/>
          <w:szCs w:val="18"/>
        </w:rPr>
        <w:t xml:space="preserve">: </w:t>
      </w:r>
    </w:p>
    <w:p w14:paraId="1D3AF5B2" w14:textId="77777777" w:rsidR="004C53A8" w:rsidRPr="0019010B" w:rsidRDefault="00870286" w:rsidP="00860210">
      <w:pPr>
        <w:pStyle w:val="Paragrafoelenco"/>
        <w:numPr>
          <w:ilvl w:val="0"/>
          <w:numId w:val="14"/>
        </w:numPr>
        <w:spacing w:before="60" w:after="60"/>
        <w:ind w:left="851" w:hanging="142"/>
        <w:rPr>
          <w:rFonts w:ascii="Titillium" w:hAnsi="Titillium" w:cs="Calibri"/>
          <w:sz w:val="18"/>
          <w:szCs w:val="18"/>
        </w:rPr>
      </w:pPr>
      <w:r w:rsidRPr="0019010B">
        <w:rPr>
          <w:rFonts w:ascii="Titillium" w:hAnsi="Titillium" w:cs="Calibri"/>
          <w:sz w:val="18"/>
          <w:szCs w:val="18"/>
        </w:rPr>
        <w:t>copia del contratto di rete</w:t>
      </w:r>
    </w:p>
    <w:p w14:paraId="79F0639C" w14:textId="77777777" w:rsidR="004C53A8" w:rsidRPr="0019010B" w:rsidRDefault="00870286" w:rsidP="00860210">
      <w:pPr>
        <w:pStyle w:val="Paragrafoelenco"/>
        <w:numPr>
          <w:ilvl w:val="0"/>
          <w:numId w:val="14"/>
        </w:numPr>
        <w:spacing w:before="60" w:after="60"/>
        <w:ind w:left="851" w:hanging="142"/>
        <w:rPr>
          <w:rFonts w:ascii="Titillium" w:hAnsi="Titillium" w:cs="Calibri"/>
          <w:sz w:val="18"/>
          <w:szCs w:val="18"/>
        </w:rPr>
      </w:pPr>
      <w:r w:rsidRPr="0019010B">
        <w:rPr>
          <w:rFonts w:ascii="Titillium" w:hAnsi="Titillium" w:cs="Calibri"/>
          <w:sz w:val="18"/>
          <w:szCs w:val="18"/>
        </w:rPr>
        <w:t>copia del mandato collettivo irrevocabile con rappresentanza conferito alla mandataria</w:t>
      </w:r>
    </w:p>
    <w:p w14:paraId="162A4F7C" w14:textId="77777777" w:rsidR="004C53A8" w:rsidRPr="0019010B" w:rsidRDefault="00870286" w:rsidP="00860210">
      <w:pPr>
        <w:pStyle w:val="Paragrafoelenco"/>
        <w:numPr>
          <w:ilvl w:val="0"/>
          <w:numId w:val="14"/>
        </w:numPr>
        <w:spacing w:before="60" w:after="60"/>
        <w:ind w:left="851" w:hanging="142"/>
        <w:rPr>
          <w:rFonts w:ascii="Titillium" w:hAnsi="Titillium" w:cs="Calibri"/>
          <w:sz w:val="18"/>
          <w:szCs w:val="18"/>
        </w:rPr>
      </w:pPr>
      <w:r w:rsidRPr="0019010B">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70380C9B" w14:textId="77777777" w:rsidR="004C53A8" w:rsidRPr="0019010B" w:rsidRDefault="00870286" w:rsidP="0022153A">
      <w:pPr>
        <w:pStyle w:val="Paragrafoelenco"/>
        <w:numPr>
          <w:ilvl w:val="0"/>
          <w:numId w:val="14"/>
        </w:numPr>
        <w:spacing w:before="60" w:after="60"/>
      </w:pPr>
      <w:r w:rsidRPr="0019010B">
        <w:rPr>
          <w:rFonts w:ascii="Titillium" w:hAnsi="Titillium" w:cs="Calibri"/>
          <w:b/>
          <w:sz w:val="18"/>
          <w:szCs w:val="18"/>
        </w:rPr>
        <w:t>in caso di raggruppamento temporaneo di imprese costituendo</w:t>
      </w:r>
      <w:r w:rsidRPr="0019010B">
        <w:rPr>
          <w:rFonts w:ascii="Titillium" w:hAnsi="Titillium" w:cs="Calibri"/>
          <w:sz w:val="18"/>
          <w:szCs w:val="18"/>
        </w:rPr>
        <w:t xml:space="preserve">: </w:t>
      </w:r>
    </w:p>
    <w:p w14:paraId="314877DE" w14:textId="77777777" w:rsidR="004C53A8" w:rsidRPr="0019010B" w:rsidRDefault="00870286" w:rsidP="00860210">
      <w:pPr>
        <w:pStyle w:val="Paragrafoelenco"/>
        <w:numPr>
          <w:ilvl w:val="0"/>
          <w:numId w:val="14"/>
        </w:numPr>
        <w:spacing w:before="60" w:after="60"/>
        <w:ind w:left="851" w:hanging="142"/>
        <w:rPr>
          <w:rFonts w:ascii="Titillium" w:hAnsi="Titillium" w:cs="Calibri"/>
          <w:sz w:val="18"/>
          <w:szCs w:val="18"/>
        </w:rPr>
      </w:pPr>
      <w:r w:rsidRPr="0019010B">
        <w:rPr>
          <w:rFonts w:ascii="Titillium" w:hAnsi="Titillium" w:cs="Calibri"/>
          <w:sz w:val="18"/>
          <w:szCs w:val="18"/>
        </w:rPr>
        <w:t>copia del contratto di rete</w:t>
      </w:r>
    </w:p>
    <w:p w14:paraId="442B464E" w14:textId="77777777" w:rsidR="004C53A8" w:rsidRPr="0019010B" w:rsidRDefault="00870286" w:rsidP="00860210">
      <w:pPr>
        <w:pStyle w:val="Paragrafoelenco"/>
        <w:numPr>
          <w:ilvl w:val="0"/>
          <w:numId w:val="14"/>
        </w:numPr>
        <w:spacing w:before="60" w:after="60"/>
        <w:ind w:left="851" w:hanging="142"/>
        <w:rPr>
          <w:rFonts w:ascii="Titillium" w:hAnsi="Titillium" w:cs="Calibri"/>
          <w:sz w:val="18"/>
          <w:szCs w:val="18"/>
        </w:rPr>
      </w:pPr>
      <w:r w:rsidRPr="0019010B">
        <w:rPr>
          <w:rFonts w:ascii="Titillium" w:hAnsi="Titillium" w:cs="Calibri"/>
          <w:sz w:val="18"/>
          <w:szCs w:val="18"/>
        </w:rPr>
        <w:t>dichiarazioni, rese da ciascun concorrente aderente all’aggregazione di rete, attestanti:</w:t>
      </w:r>
    </w:p>
    <w:p w14:paraId="4B350330" w14:textId="77777777" w:rsidR="004C53A8" w:rsidRPr="0019010B" w:rsidRDefault="00870286" w:rsidP="00860210">
      <w:pPr>
        <w:numPr>
          <w:ilvl w:val="3"/>
          <w:numId w:val="15"/>
        </w:numPr>
        <w:spacing w:before="60" w:after="60"/>
        <w:ind w:left="1276" w:hanging="284"/>
        <w:rPr>
          <w:rFonts w:ascii="Titillium" w:hAnsi="Titillium" w:cs="Calibri"/>
          <w:sz w:val="18"/>
          <w:szCs w:val="18"/>
        </w:rPr>
      </w:pPr>
      <w:r w:rsidRPr="0019010B">
        <w:rPr>
          <w:rFonts w:ascii="Titillium" w:hAnsi="Titillium" w:cs="Calibri"/>
          <w:sz w:val="18"/>
          <w:szCs w:val="18"/>
        </w:rPr>
        <w:t>a quale concorrente, in caso di aggiudicazione, sarà conferito mandato speciale con rappresentanza o funzioni di capogruppo;</w:t>
      </w:r>
    </w:p>
    <w:p w14:paraId="4BC83502" w14:textId="77777777" w:rsidR="004C53A8" w:rsidRPr="0019010B" w:rsidRDefault="00870286" w:rsidP="00860210">
      <w:pPr>
        <w:numPr>
          <w:ilvl w:val="3"/>
          <w:numId w:val="15"/>
        </w:numPr>
        <w:spacing w:before="60" w:after="60"/>
        <w:ind w:left="1276" w:hanging="284"/>
        <w:rPr>
          <w:rFonts w:ascii="Titillium" w:hAnsi="Titillium" w:cs="Calibri"/>
          <w:sz w:val="18"/>
          <w:szCs w:val="18"/>
        </w:rPr>
      </w:pPr>
      <w:r w:rsidRPr="0019010B">
        <w:rPr>
          <w:rFonts w:ascii="Titillium" w:hAnsi="Titillium" w:cs="Calibri"/>
          <w:sz w:val="18"/>
          <w:szCs w:val="18"/>
        </w:rPr>
        <w:t>l’impegno, in caso di aggiudicazione, ad uniformarsi alla disciplina vigente in materia di raggruppamenti temporanei;</w:t>
      </w:r>
    </w:p>
    <w:p w14:paraId="5AA66F22" w14:textId="77777777" w:rsidR="004C53A8" w:rsidRPr="0019010B" w:rsidRDefault="00870286" w:rsidP="00860210">
      <w:pPr>
        <w:numPr>
          <w:ilvl w:val="3"/>
          <w:numId w:val="15"/>
        </w:numPr>
        <w:spacing w:before="60" w:after="60"/>
        <w:ind w:left="1276" w:hanging="284"/>
        <w:rPr>
          <w:rFonts w:ascii="Titillium" w:hAnsi="Titillium" w:cs="Calibri"/>
          <w:sz w:val="18"/>
          <w:szCs w:val="18"/>
        </w:rPr>
      </w:pPr>
      <w:r w:rsidRPr="0019010B">
        <w:rPr>
          <w:rFonts w:ascii="Titillium" w:hAnsi="Titillium" w:cs="Calibri"/>
          <w:sz w:val="18"/>
          <w:szCs w:val="18"/>
        </w:rPr>
        <w:t>le parti del servizio o della fornitura, ovvero la percentuale in caso di servizio/forniture indivisibili, che saranno eseguite dai singoli operatori economici aggregati in rete.</w:t>
      </w:r>
    </w:p>
    <w:p w14:paraId="3E024A49" w14:textId="77777777" w:rsidR="004C53A8" w:rsidRPr="0019010B" w:rsidRDefault="00870286" w:rsidP="00084AD6">
      <w:pPr>
        <w:pStyle w:val="Titolo2"/>
        <w:numPr>
          <w:ilvl w:val="0"/>
          <w:numId w:val="4"/>
        </w:numPr>
        <w:ind w:left="357" w:hanging="357"/>
      </w:pPr>
      <w:r w:rsidRPr="0019010B">
        <w:rPr>
          <w:rFonts w:ascii="Titillium" w:hAnsi="Titillium"/>
          <w:sz w:val="18"/>
          <w:szCs w:val="18"/>
          <w:lang w:val="it-IT"/>
        </w:rPr>
        <w:t xml:space="preserve"> </w:t>
      </w:r>
      <w:bookmarkStart w:id="1899" w:name="_Toc139549442"/>
      <w:r w:rsidRPr="0019010B">
        <w:rPr>
          <w:rFonts w:ascii="Titillium" w:hAnsi="Titillium"/>
          <w:sz w:val="18"/>
          <w:szCs w:val="18"/>
          <w:lang w:val="it-IT"/>
        </w:rPr>
        <w:t>OFFERTA TECNICA</w:t>
      </w:r>
      <w:bookmarkEnd w:id="1899"/>
    </w:p>
    <w:p w14:paraId="78E8B1AD" w14:textId="645A240E" w:rsidR="004C53A8" w:rsidRPr="00EB523E" w:rsidRDefault="00870286">
      <w:pPr>
        <w:spacing w:before="60" w:after="60"/>
      </w:pPr>
      <w:bookmarkStart w:id="1900" w:name="_Toc406058382"/>
      <w:bookmarkStart w:id="1901" w:name="_Toc407013507"/>
      <w:bookmarkStart w:id="1902" w:name="_Toc406754183"/>
      <w:bookmarkEnd w:id="1900"/>
      <w:bookmarkEnd w:id="1901"/>
      <w:bookmarkEnd w:id="1902"/>
      <w:r w:rsidRPr="0019010B">
        <w:rPr>
          <w:rFonts w:ascii="Titillium" w:hAnsi="Titillium" w:cs="Calibri"/>
          <w:sz w:val="18"/>
          <w:szCs w:val="18"/>
        </w:rPr>
        <w:t xml:space="preserve">L’operatore economico inserisce </w:t>
      </w:r>
      <w:r w:rsidRPr="00DD2F52">
        <w:rPr>
          <w:rFonts w:ascii="Titillium" w:hAnsi="Titillium" w:cs="Calibri"/>
          <w:i/>
          <w:iCs/>
          <w:sz w:val="18"/>
          <w:szCs w:val="18"/>
        </w:rPr>
        <w:t>[</w:t>
      </w:r>
      <w:r w:rsidR="0030072B">
        <w:rPr>
          <w:rFonts w:ascii="Titillium" w:hAnsi="Titillium" w:cs="Calibri"/>
          <w:i/>
          <w:iCs/>
          <w:sz w:val="18"/>
          <w:szCs w:val="18"/>
        </w:rPr>
        <w:t>i</w:t>
      </w:r>
      <w:r w:rsidR="00DD2F52" w:rsidRPr="00DD2F52">
        <w:rPr>
          <w:rFonts w:ascii="Titillium" w:hAnsi="Titillium" w:cs="Calibri"/>
          <w:i/>
          <w:iCs/>
          <w:sz w:val="18"/>
          <w:szCs w:val="18"/>
        </w:rPr>
        <w:t xml:space="preserve">n caso di gara </w:t>
      </w:r>
      <w:r w:rsidR="0030072B">
        <w:rPr>
          <w:rFonts w:ascii="Titillium" w:hAnsi="Titillium" w:cs="Calibri"/>
          <w:i/>
          <w:iCs/>
          <w:sz w:val="18"/>
          <w:szCs w:val="18"/>
        </w:rPr>
        <w:t>a</w:t>
      </w:r>
      <w:r w:rsidR="00DD2F52" w:rsidRPr="00DD2F52">
        <w:rPr>
          <w:rFonts w:ascii="Titillium" w:hAnsi="Titillium" w:cs="Calibri"/>
          <w:i/>
          <w:iCs/>
          <w:sz w:val="18"/>
          <w:szCs w:val="18"/>
        </w:rPr>
        <w:t xml:space="preserve"> lotti inserire</w:t>
      </w:r>
      <w:r w:rsidRPr="0019010B">
        <w:rPr>
          <w:rFonts w:ascii="Titillium" w:hAnsi="Titillium" w:cs="Calibri"/>
          <w:sz w:val="18"/>
          <w:szCs w:val="18"/>
        </w:rPr>
        <w:t xml:space="preserve">: </w:t>
      </w:r>
      <w:r w:rsidR="00DD2F52">
        <w:rPr>
          <w:rFonts w:ascii="Titillium" w:hAnsi="Titillium" w:cs="Calibri"/>
          <w:sz w:val="18"/>
          <w:szCs w:val="18"/>
        </w:rPr>
        <w:t>“</w:t>
      </w:r>
      <w:r w:rsidRPr="0019010B">
        <w:rPr>
          <w:rFonts w:ascii="Titillium" w:hAnsi="Titillium" w:cs="Calibri"/>
          <w:sz w:val="18"/>
          <w:szCs w:val="18"/>
        </w:rPr>
        <w:t>per ogni singolo lotto</w:t>
      </w:r>
      <w:r w:rsidR="00DD2F52">
        <w:rPr>
          <w:rFonts w:ascii="Titillium" w:hAnsi="Titillium" w:cs="Calibri"/>
          <w:sz w:val="18"/>
          <w:szCs w:val="18"/>
        </w:rPr>
        <w:t>”</w:t>
      </w:r>
      <w:r w:rsidRPr="0019010B">
        <w:rPr>
          <w:rFonts w:ascii="Titillium" w:hAnsi="Titillium" w:cs="Calibri"/>
          <w:sz w:val="18"/>
          <w:szCs w:val="18"/>
        </w:rPr>
        <w:t>] la documentazione relativa all’offerta tecnica nella Piattafor</w:t>
      </w:r>
      <w:r w:rsidR="00140144" w:rsidRPr="0019010B">
        <w:rPr>
          <w:rFonts w:ascii="Titillium" w:hAnsi="Titillium" w:cs="Calibri"/>
          <w:sz w:val="18"/>
          <w:szCs w:val="18"/>
        </w:rPr>
        <w:t>ma secondo le seguenti modalità …</w:t>
      </w:r>
      <w:r w:rsidRPr="0019010B">
        <w:rPr>
          <w:rFonts w:ascii="Titillium" w:hAnsi="Titillium" w:cs="Calibri"/>
          <w:sz w:val="18"/>
          <w:szCs w:val="18"/>
        </w:rPr>
        <w:t xml:space="preserve"> </w:t>
      </w:r>
      <w:r w:rsidRPr="0019010B">
        <w:rPr>
          <w:rFonts w:ascii="Titillium" w:hAnsi="Titillium" w:cs="Calibri"/>
          <w:i/>
          <w:sz w:val="18"/>
          <w:szCs w:val="18"/>
        </w:rPr>
        <w:t>[</w:t>
      </w:r>
      <w:r w:rsidR="005D2897" w:rsidRPr="0019010B">
        <w:rPr>
          <w:rFonts w:ascii="Titillium" w:hAnsi="Titillium" w:cs="Calibri"/>
          <w:i/>
          <w:sz w:val="18"/>
          <w:szCs w:val="18"/>
        </w:rPr>
        <w:t>indica</w:t>
      </w:r>
      <w:r w:rsidR="00DD2F52">
        <w:rPr>
          <w:rFonts w:ascii="Titillium" w:hAnsi="Titillium" w:cs="Calibri"/>
          <w:i/>
          <w:sz w:val="18"/>
          <w:szCs w:val="18"/>
        </w:rPr>
        <w:t>re</w:t>
      </w:r>
      <w:r w:rsidR="005D2897" w:rsidRPr="0019010B">
        <w:rPr>
          <w:rFonts w:ascii="Titillium" w:hAnsi="Titillium" w:cs="Calibri"/>
          <w:i/>
          <w:sz w:val="18"/>
          <w:szCs w:val="18"/>
        </w:rPr>
        <w:t xml:space="preserve"> l</w:t>
      </w:r>
      <w:r w:rsidRPr="0019010B">
        <w:rPr>
          <w:rFonts w:ascii="Titillium" w:hAnsi="Titillium" w:cs="Calibri"/>
          <w:i/>
          <w:sz w:val="18"/>
          <w:szCs w:val="18"/>
        </w:rPr>
        <w:t>e modalità]</w:t>
      </w:r>
      <w:r w:rsidR="00394FF4" w:rsidRPr="0019010B">
        <w:rPr>
          <w:rFonts w:ascii="Titillium" w:hAnsi="Titillium" w:cs="Calibri"/>
          <w:i/>
          <w:sz w:val="18"/>
          <w:szCs w:val="18"/>
        </w:rPr>
        <w:t xml:space="preserve">, </w:t>
      </w:r>
      <w:r w:rsidR="00394FF4" w:rsidRPr="00DD2F52">
        <w:rPr>
          <w:rFonts w:ascii="Titillium" w:hAnsi="Titillium" w:cs="Calibri"/>
          <w:iCs/>
          <w:sz w:val="18"/>
          <w:szCs w:val="18"/>
        </w:rPr>
        <w:t xml:space="preserve">a pena di inammissibilità </w:t>
      </w:r>
      <w:r w:rsidR="00394FF4" w:rsidRPr="00EB523E">
        <w:rPr>
          <w:rFonts w:ascii="Titillium" w:hAnsi="Titillium" w:cs="Calibri"/>
          <w:iCs/>
          <w:sz w:val="18"/>
          <w:szCs w:val="18"/>
        </w:rPr>
        <w:t>dell’offerta</w:t>
      </w:r>
      <w:r w:rsidRPr="00EB523E">
        <w:rPr>
          <w:rFonts w:ascii="Titillium" w:hAnsi="Titillium" w:cs="Calibri"/>
          <w:iCs/>
          <w:sz w:val="18"/>
          <w:szCs w:val="18"/>
        </w:rPr>
        <w:t>. L’offerta è fi</w:t>
      </w:r>
      <w:r w:rsidRPr="00EB523E">
        <w:rPr>
          <w:rFonts w:ascii="Titillium" w:hAnsi="Titillium" w:cs="Calibri"/>
          <w:sz w:val="18"/>
          <w:szCs w:val="18"/>
        </w:rPr>
        <w:t xml:space="preserve">rmata secondo le modalità previste al precedente punto </w:t>
      </w:r>
      <w:r w:rsidR="0002232C" w:rsidRPr="00EB523E">
        <w:rPr>
          <w:rFonts w:ascii="Titillium" w:hAnsi="Titillium" w:cs="Calibri"/>
          <w:sz w:val="18"/>
          <w:szCs w:val="18"/>
        </w:rPr>
        <w:fldChar w:fldCharType="begin"/>
      </w:r>
      <w:r w:rsidR="0002232C" w:rsidRPr="00EB523E">
        <w:rPr>
          <w:rFonts w:ascii="Titillium" w:hAnsi="Titillium" w:cs="Calibri"/>
          <w:sz w:val="18"/>
          <w:szCs w:val="18"/>
        </w:rPr>
        <w:instrText xml:space="preserve"> REF _Ref129785861 \r \h </w:instrText>
      </w:r>
      <w:r w:rsidR="0019010B" w:rsidRPr="00EB523E">
        <w:rPr>
          <w:rFonts w:ascii="Titillium" w:hAnsi="Titillium" w:cs="Calibri"/>
          <w:sz w:val="18"/>
          <w:szCs w:val="18"/>
        </w:rPr>
        <w:instrText xml:space="preserve"> \* MERGEFORMAT </w:instrText>
      </w:r>
      <w:r w:rsidR="0002232C" w:rsidRPr="00EB523E">
        <w:rPr>
          <w:rFonts w:ascii="Titillium" w:hAnsi="Titillium" w:cs="Calibri"/>
          <w:sz w:val="18"/>
          <w:szCs w:val="18"/>
        </w:rPr>
      </w:r>
      <w:r w:rsidR="0002232C" w:rsidRPr="00EB523E">
        <w:rPr>
          <w:rFonts w:ascii="Titillium" w:hAnsi="Titillium" w:cs="Calibri"/>
          <w:sz w:val="18"/>
          <w:szCs w:val="18"/>
        </w:rPr>
        <w:fldChar w:fldCharType="separate"/>
      </w:r>
      <w:r w:rsidR="00527049" w:rsidRPr="00EB523E">
        <w:rPr>
          <w:rFonts w:ascii="Titillium" w:hAnsi="Titillium" w:cs="Calibri"/>
          <w:sz w:val="18"/>
          <w:szCs w:val="18"/>
        </w:rPr>
        <w:t>15.1</w:t>
      </w:r>
      <w:r w:rsidR="0002232C" w:rsidRPr="00EB523E">
        <w:rPr>
          <w:rFonts w:ascii="Titillium" w:hAnsi="Titillium" w:cs="Calibri"/>
          <w:sz w:val="18"/>
          <w:szCs w:val="18"/>
        </w:rPr>
        <w:fldChar w:fldCharType="end"/>
      </w:r>
      <w:r w:rsidRPr="00EB523E">
        <w:rPr>
          <w:rFonts w:ascii="Titillium" w:hAnsi="Titillium" w:cs="Calibri"/>
          <w:sz w:val="18"/>
          <w:szCs w:val="18"/>
        </w:rPr>
        <w:t xml:space="preserve"> e </w:t>
      </w:r>
      <w:r w:rsidR="005D2897" w:rsidRPr="00EB523E">
        <w:rPr>
          <w:rFonts w:ascii="Titillium" w:hAnsi="Titillium" w:cs="Calibri"/>
          <w:sz w:val="18"/>
          <w:szCs w:val="18"/>
        </w:rPr>
        <w:t>d</w:t>
      </w:r>
      <w:r w:rsidRPr="00EB523E">
        <w:rPr>
          <w:rFonts w:ascii="Titillium" w:hAnsi="Titillium" w:cs="Calibri"/>
          <w:sz w:val="18"/>
          <w:szCs w:val="18"/>
        </w:rPr>
        <w:t>eve contenere, a pena di esclusione, i seguenti documenti:</w:t>
      </w:r>
    </w:p>
    <w:p w14:paraId="11F52DEA" w14:textId="3F2EED45" w:rsidR="004C53A8" w:rsidRPr="00EB523E" w:rsidRDefault="00870286" w:rsidP="00601972">
      <w:pPr>
        <w:pStyle w:val="Paragrafoelenco"/>
        <w:numPr>
          <w:ilvl w:val="0"/>
          <w:numId w:val="28"/>
        </w:numPr>
        <w:spacing w:before="60" w:after="60"/>
        <w:ind w:left="709"/>
      </w:pPr>
      <w:r w:rsidRPr="00EB523E">
        <w:rPr>
          <w:rFonts w:ascii="Titillium" w:hAnsi="Titillium" w:cs="Calibri"/>
          <w:sz w:val="18"/>
          <w:szCs w:val="18"/>
        </w:rPr>
        <w:t>relazione tecnica dei servizi/forniture offerti;</w:t>
      </w:r>
    </w:p>
    <w:p w14:paraId="05AD0DBF" w14:textId="287E4974" w:rsidR="00563D04" w:rsidRPr="00EB523E" w:rsidRDefault="00563D04" w:rsidP="00601972">
      <w:pPr>
        <w:pStyle w:val="Paragrafoelenco"/>
        <w:numPr>
          <w:ilvl w:val="0"/>
          <w:numId w:val="28"/>
        </w:numPr>
        <w:spacing w:before="60" w:after="60"/>
        <w:ind w:left="709"/>
      </w:pPr>
      <w:r w:rsidRPr="00EB523E">
        <w:rPr>
          <w:rFonts w:ascii="Titillium" w:hAnsi="Titillium" w:cs="Calibri"/>
          <w:sz w:val="18"/>
          <w:szCs w:val="18"/>
        </w:rPr>
        <w:t xml:space="preserve">in caso di avvalimento premiale, contratto di avvalimento; </w:t>
      </w:r>
    </w:p>
    <w:p w14:paraId="05EF2B6D" w14:textId="0100D79D" w:rsidR="004C53A8" w:rsidRPr="00EB523E" w:rsidRDefault="0006740A" w:rsidP="00601972">
      <w:pPr>
        <w:pStyle w:val="Paragrafoelenco"/>
        <w:numPr>
          <w:ilvl w:val="0"/>
          <w:numId w:val="28"/>
        </w:numPr>
        <w:spacing w:before="60" w:after="60"/>
        <w:ind w:left="709"/>
        <w:rPr>
          <w:rFonts w:ascii="Titillium" w:hAnsi="Titillium" w:cs="Calibri"/>
          <w:i/>
          <w:sz w:val="18"/>
          <w:szCs w:val="18"/>
        </w:rPr>
      </w:pPr>
      <w:r w:rsidRPr="00EB523E">
        <w:rPr>
          <w:rFonts w:ascii="Titillium" w:hAnsi="Titillium" w:cs="Calibri"/>
          <w:i/>
          <w:sz w:val="18"/>
          <w:szCs w:val="18"/>
        </w:rPr>
        <w:t xml:space="preserve">… </w:t>
      </w:r>
      <w:r w:rsidR="00870286" w:rsidRPr="00EB523E">
        <w:rPr>
          <w:rFonts w:ascii="Titillium" w:hAnsi="Titillium" w:cs="Calibri"/>
          <w:i/>
          <w:sz w:val="18"/>
          <w:szCs w:val="18"/>
        </w:rPr>
        <w:t>[indicare ulteriori documenti eventualmente richiesti].</w:t>
      </w:r>
    </w:p>
    <w:p w14:paraId="13F1A7FE" w14:textId="77777777" w:rsidR="00F57774" w:rsidRPr="00EB523E" w:rsidRDefault="00F57774">
      <w:pPr>
        <w:spacing w:before="60" w:after="60"/>
        <w:rPr>
          <w:rFonts w:ascii="Titillium" w:hAnsi="Titillium" w:cs="Calibri"/>
          <w:sz w:val="18"/>
          <w:szCs w:val="18"/>
        </w:rPr>
      </w:pPr>
    </w:p>
    <w:p w14:paraId="436197AA" w14:textId="24376DE3" w:rsidR="004C53A8" w:rsidRPr="00EB523E" w:rsidRDefault="00870286">
      <w:pPr>
        <w:spacing w:before="60" w:after="60"/>
      </w:pPr>
      <w:r w:rsidRPr="00EB523E">
        <w:rPr>
          <w:rFonts w:ascii="Titillium" w:hAnsi="Titillium" w:cs="Calibri"/>
          <w:sz w:val="18"/>
          <w:szCs w:val="18"/>
        </w:rPr>
        <w:lastRenderedPageBreak/>
        <w:t xml:space="preserve">La relazione contiene una proposta tecnico-organizzativa che illustra, con riferimento ai criteri e sub-criteri di valutazione indicati nella tabella di cui al successivo punto </w:t>
      </w:r>
      <w:r w:rsidR="004E1925" w:rsidRPr="00EB523E">
        <w:rPr>
          <w:rFonts w:ascii="Titillium" w:hAnsi="Titillium" w:cs="Calibri"/>
          <w:sz w:val="18"/>
          <w:szCs w:val="18"/>
        </w:rPr>
        <w:fldChar w:fldCharType="begin"/>
      </w:r>
      <w:r w:rsidR="004E1925" w:rsidRPr="00EB523E">
        <w:rPr>
          <w:rFonts w:ascii="Titillium" w:hAnsi="Titillium" w:cs="Calibri"/>
          <w:sz w:val="18"/>
          <w:szCs w:val="18"/>
        </w:rPr>
        <w:instrText xml:space="preserve"> REF _Ref129786124 \r \h </w:instrText>
      </w:r>
      <w:r w:rsidR="00EB523E">
        <w:rPr>
          <w:rFonts w:ascii="Titillium" w:hAnsi="Titillium" w:cs="Calibri"/>
          <w:sz w:val="18"/>
          <w:szCs w:val="18"/>
        </w:rPr>
        <w:instrText xml:space="preserve"> \* MERGEFORMAT </w:instrText>
      </w:r>
      <w:r w:rsidR="004E1925" w:rsidRPr="00EB523E">
        <w:rPr>
          <w:rFonts w:ascii="Titillium" w:hAnsi="Titillium" w:cs="Calibri"/>
          <w:sz w:val="18"/>
          <w:szCs w:val="18"/>
        </w:rPr>
      </w:r>
      <w:r w:rsidR="004E1925" w:rsidRPr="00EB523E">
        <w:rPr>
          <w:rFonts w:ascii="Titillium" w:hAnsi="Titillium" w:cs="Calibri"/>
          <w:sz w:val="18"/>
          <w:szCs w:val="18"/>
        </w:rPr>
        <w:fldChar w:fldCharType="separate"/>
      </w:r>
      <w:r w:rsidR="00DD2F52" w:rsidRPr="00EB523E">
        <w:rPr>
          <w:rFonts w:ascii="Titillium" w:hAnsi="Titillium" w:cs="Calibri"/>
          <w:sz w:val="18"/>
          <w:szCs w:val="18"/>
        </w:rPr>
        <w:t>18.1</w:t>
      </w:r>
      <w:r w:rsidR="004E1925" w:rsidRPr="00EB523E">
        <w:rPr>
          <w:rFonts w:ascii="Titillium" w:hAnsi="Titillium" w:cs="Calibri"/>
          <w:sz w:val="18"/>
          <w:szCs w:val="18"/>
        </w:rPr>
        <w:fldChar w:fldCharType="end"/>
      </w:r>
      <w:r w:rsidRPr="00EB523E">
        <w:rPr>
          <w:rFonts w:ascii="Titillium" w:hAnsi="Titillium" w:cs="Calibri"/>
          <w:sz w:val="18"/>
          <w:szCs w:val="18"/>
        </w:rPr>
        <w:t xml:space="preserve">, i seguenti elementi: … </w:t>
      </w:r>
      <w:r w:rsidRPr="00EB523E">
        <w:rPr>
          <w:rFonts w:ascii="Titillium" w:hAnsi="Titillium" w:cs="Calibri"/>
          <w:i/>
          <w:sz w:val="18"/>
          <w:szCs w:val="18"/>
        </w:rPr>
        <w:t>[specificare, per ogni singolo criterio e sub-criterio di valutazione, gli elementi che il concorrente deve descrivere ai fini della valutazione dell’offerta tecnica, se ritenuto opportuno anche mediante rinvio ad apposito allegato</w:t>
      </w:r>
      <w:r w:rsidR="000853BC" w:rsidRPr="00EB523E">
        <w:rPr>
          <w:rFonts w:ascii="Titillium" w:hAnsi="Titillium" w:cs="Calibri"/>
          <w:i/>
          <w:sz w:val="18"/>
          <w:szCs w:val="18"/>
        </w:rPr>
        <w:t xml:space="preserve"> contenente l’indice richiesto per la relazione</w:t>
      </w:r>
      <w:r w:rsidRPr="00EB523E">
        <w:rPr>
          <w:rFonts w:ascii="Titillium" w:hAnsi="Titillium" w:cs="Calibri"/>
          <w:i/>
          <w:sz w:val="18"/>
          <w:szCs w:val="18"/>
        </w:rPr>
        <w:t>]</w:t>
      </w:r>
      <w:r w:rsidRPr="00EB523E">
        <w:rPr>
          <w:rFonts w:ascii="Titillium" w:hAnsi="Titillium" w:cs="Calibri"/>
          <w:sz w:val="18"/>
          <w:szCs w:val="18"/>
        </w:rPr>
        <w:t>.</w:t>
      </w:r>
    </w:p>
    <w:p w14:paraId="12042EE6" w14:textId="76DE4EE9" w:rsidR="004C53A8" w:rsidRPr="00EB523E" w:rsidRDefault="00870286">
      <w:pPr>
        <w:spacing w:before="60" w:after="60"/>
      </w:pPr>
      <w:r w:rsidRPr="00EB523E">
        <w:rPr>
          <w:rFonts w:ascii="Titillium" w:hAnsi="Titillium" w:cs="Calibri"/>
          <w:sz w:val="18"/>
          <w:szCs w:val="18"/>
        </w:rPr>
        <w:t>L’offerta tecnica deve rispettare</w:t>
      </w:r>
      <w:r w:rsidR="004E1925" w:rsidRPr="00EB523E">
        <w:rPr>
          <w:rFonts w:ascii="Titillium" w:hAnsi="Titillium" w:cs="Calibri"/>
          <w:sz w:val="18"/>
          <w:szCs w:val="18"/>
        </w:rPr>
        <w:t>,</w:t>
      </w:r>
      <w:r w:rsidRPr="00EB523E">
        <w:rPr>
          <w:rFonts w:ascii="Titillium" w:hAnsi="Titillium" w:cs="Calibri"/>
          <w:sz w:val="18"/>
          <w:szCs w:val="18"/>
        </w:rPr>
        <w:t xml:space="preserve"> </w:t>
      </w:r>
      <w:r w:rsidR="004E1925" w:rsidRPr="00EB523E">
        <w:rPr>
          <w:rFonts w:ascii="Titillium" w:hAnsi="Titillium" w:cs="Calibri"/>
          <w:sz w:val="18"/>
          <w:szCs w:val="18"/>
        </w:rPr>
        <w:t xml:space="preserve">pena l’esclusione dalla procedura di gara, </w:t>
      </w:r>
      <w:r w:rsidRPr="00EB523E">
        <w:rPr>
          <w:rFonts w:ascii="Titillium" w:hAnsi="Titillium" w:cs="Calibri"/>
          <w:sz w:val="18"/>
          <w:szCs w:val="18"/>
        </w:rPr>
        <w:t xml:space="preserve">le caratteristiche minime stabilite </w:t>
      </w:r>
      <w:r w:rsidR="004E1925" w:rsidRPr="00EB523E">
        <w:rPr>
          <w:rFonts w:ascii="Titillium" w:hAnsi="Titillium" w:cs="Calibri"/>
          <w:sz w:val="18"/>
          <w:szCs w:val="18"/>
        </w:rPr>
        <w:t>nei documenti di gara</w:t>
      </w:r>
      <w:r w:rsidRPr="00EB523E">
        <w:rPr>
          <w:rFonts w:ascii="Titillium" w:hAnsi="Titillium" w:cs="Calibri"/>
          <w:sz w:val="18"/>
          <w:szCs w:val="18"/>
        </w:rPr>
        <w:t>, nel rispetto del principio di equivalenza.</w:t>
      </w:r>
    </w:p>
    <w:p w14:paraId="395B372E" w14:textId="2FD8BDDA" w:rsidR="00535B75" w:rsidRPr="00EB523E" w:rsidRDefault="00535B75" w:rsidP="00535B75">
      <w:pPr>
        <w:spacing w:before="60" w:after="60"/>
        <w:rPr>
          <w:rFonts w:ascii="Titillium" w:hAnsi="Titillium"/>
          <w:bCs/>
          <w:iCs/>
          <w:sz w:val="18"/>
          <w:szCs w:val="18"/>
        </w:rPr>
      </w:pPr>
      <w:r w:rsidRPr="00EB523E">
        <w:rPr>
          <w:rFonts w:ascii="Titillium" w:hAnsi="Titillium"/>
          <w:b/>
          <w:i/>
          <w:sz w:val="18"/>
          <w:szCs w:val="18"/>
        </w:rPr>
        <w:t>[</w:t>
      </w:r>
      <w:r w:rsidR="00393AB7" w:rsidRPr="00EB523E">
        <w:rPr>
          <w:rFonts w:ascii="Titillium" w:hAnsi="Titillium"/>
          <w:b/>
          <w:i/>
          <w:sz w:val="18"/>
          <w:szCs w:val="18"/>
        </w:rPr>
        <w:t>N</w:t>
      </w:r>
      <w:r w:rsidRPr="00EB523E">
        <w:rPr>
          <w:rFonts w:ascii="Titillium" w:hAnsi="Titillium"/>
          <w:b/>
          <w:i/>
          <w:sz w:val="18"/>
          <w:szCs w:val="18"/>
        </w:rPr>
        <w:t xml:space="preserve">el caso in cui in forza di disposizioni legislative, regolamentari o amministrative, la prestazione del servizio sia riservata a una particolare professione:] </w:t>
      </w:r>
      <w:r w:rsidRPr="00EB523E">
        <w:rPr>
          <w:rFonts w:ascii="Titillium" w:hAnsi="Titillium"/>
          <w:bCs/>
          <w:iCs/>
          <w:sz w:val="18"/>
          <w:szCs w:val="18"/>
        </w:rPr>
        <w:t xml:space="preserve">In forza del ………. </w:t>
      </w:r>
      <w:r w:rsidRPr="00EB523E">
        <w:rPr>
          <w:rFonts w:ascii="Titillium" w:hAnsi="Titillium"/>
          <w:bCs/>
          <w:i/>
          <w:sz w:val="18"/>
          <w:szCs w:val="18"/>
        </w:rPr>
        <w:t>[indicare le disposizioni applicabili]</w:t>
      </w:r>
      <w:r w:rsidRPr="00EB523E">
        <w:rPr>
          <w:rFonts w:ascii="Titillium" w:hAnsi="Titillium"/>
          <w:bCs/>
          <w:iCs/>
          <w:sz w:val="18"/>
          <w:szCs w:val="18"/>
        </w:rPr>
        <w:t xml:space="preserve"> la prestazione del servizio è riservata a ………… </w:t>
      </w:r>
      <w:r w:rsidRPr="00EB523E">
        <w:rPr>
          <w:rFonts w:ascii="Titillium" w:hAnsi="Titillium"/>
          <w:bCs/>
          <w:i/>
          <w:sz w:val="18"/>
          <w:szCs w:val="18"/>
        </w:rPr>
        <w:t>[indicare la qualifica professionale].</w:t>
      </w:r>
    </w:p>
    <w:p w14:paraId="74A9F415" w14:textId="4408A4EE" w:rsidR="00535B75" w:rsidRPr="00EB523E" w:rsidRDefault="00870286" w:rsidP="00535B75">
      <w:pPr>
        <w:spacing w:before="60" w:after="60"/>
        <w:rPr>
          <w:rFonts w:ascii="Titillium" w:hAnsi="Titillium"/>
          <w:b/>
          <w:i/>
          <w:sz w:val="18"/>
          <w:szCs w:val="18"/>
        </w:rPr>
      </w:pPr>
      <w:r w:rsidRPr="00EB523E">
        <w:rPr>
          <w:rFonts w:ascii="Titillium" w:hAnsi="Titillium"/>
          <w:b/>
          <w:i/>
          <w:sz w:val="18"/>
          <w:szCs w:val="18"/>
        </w:rPr>
        <w:t xml:space="preserve">[Facoltativo: qualora sia necessario conoscere le qualifiche professionali dei lavoratori in ragione della tipologia delle prestazioni richieste nei servizi oggetto dell’appalto] </w:t>
      </w:r>
      <w:r w:rsidRPr="00EB523E">
        <w:rPr>
          <w:rFonts w:ascii="Titillium" w:hAnsi="Titillium" w:cs="Calibri"/>
          <w:sz w:val="18"/>
          <w:szCs w:val="18"/>
        </w:rPr>
        <w:t>L’operatore economico indica</w:t>
      </w:r>
      <w:r w:rsidR="00140144" w:rsidRPr="00EB523E">
        <w:rPr>
          <w:rFonts w:ascii="Titillium" w:hAnsi="Titillium" w:cs="Calibri"/>
          <w:sz w:val="18"/>
          <w:szCs w:val="18"/>
        </w:rPr>
        <w:t xml:space="preserve"> </w:t>
      </w:r>
      <w:r w:rsidRPr="00EB523E">
        <w:rPr>
          <w:rFonts w:ascii="Titillium" w:hAnsi="Titillium" w:cs="Calibri"/>
          <w:sz w:val="18"/>
          <w:szCs w:val="18"/>
        </w:rPr>
        <w:t xml:space="preserve">il nome e le qualifiche professionali delle persone fisiche incaricate delle seguenti prestazioni ... </w:t>
      </w:r>
      <w:r w:rsidRPr="00EB523E">
        <w:rPr>
          <w:rFonts w:ascii="Titillium" w:hAnsi="Titillium" w:cs="Calibri"/>
          <w:i/>
          <w:sz w:val="18"/>
          <w:szCs w:val="18"/>
        </w:rPr>
        <w:t>[la stazione appaltante individua le prestazioni in relazione alle quali, viste le loro peculiarità, ritiene necessario conoscere ex ante nominativo e qualifiche delle persone fisiche incaricate]</w:t>
      </w:r>
      <w:r w:rsidRPr="00EB523E">
        <w:rPr>
          <w:rFonts w:ascii="Titillium" w:hAnsi="Titillium" w:cs="Calibri"/>
          <w:sz w:val="18"/>
          <w:szCs w:val="18"/>
        </w:rPr>
        <w:t>.</w:t>
      </w:r>
      <w:r w:rsidR="00522B6F" w:rsidRPr="00EB523E">
        <w:rPr>
          <w:rFonts w:ascii="Titillium" w:hAnsi="Titillium"/>
          <w:b/>
          <w:i/>
          <w:sz w:val="18"/>
          <w:szCs w:val="18"/>
        </w:rPr>
        <w:t xml:space="preserve"> </w:t>
      </w:r>
    </w:p>
    <w:p w14:paraId="36168ED9" w14:textId="77BED8F4" w:rsidR="00762FC3" w:rsidRDefault="00762FC3" w:rsidP="001035D6">
      <w:pPr>
        <w:spacing w:before="60" w:after="60"/>
        <w:rPr>
          <w:rFonts w:ascii="Titillium" w:hAnsi="Titillium"/>
          <w:b/>
          <w:i/>
          <w:sz w:val="18"/>
          <w:szCs w:val="18"/>
        </w:rPr>
      </w:pPr>
      <w:r w:rsidRPr="00762FC3">
        <w:rPr>
          <w:rFonts w:ascii="Titillium" w:hAnsi="Titillium"/>
          <w:b/>
          <w:i/>
          <w:sz w:val="18"/>
          <w:szCs w:val="18"/>
        </w:rPr>
        <w:t xml:space="preserve">Ad eccezione dei contratti di fornitura senza posa in opera e dei servizi di natura intellettuale </w:t>
      </w:r>
      <w:r w:rsidRPr="00762FC3">
        <w:rPr>
          <w:rFonts w:ascii="Titillium" w:hAnsi="Titillium"/>
          <w:sz w:val="18"/>
          <w:szCs w:val="18"/>
        </w:rPr>
        <w:t>L’operatore economico che adotta un CCNL diverso da quello indicato all’articolo 3 inserisce la dichiarazione di equivalenze delle tutele e l’eventuale documentazione probatoria sulla equivalenza del proprio CCNL nella sezione della piattaforma relativa all’offerta tecnica</w:t>
      </w:r>
      <w:r w:rsidRPr="00762FC3">
        <w:rPr>
          <w:rFonts w:ascii="Titillium" w:hAnsi="Titillium"/>
          <w:b/>
          <w:i/>
          <w:sz w:val="18"/>
          <w:szCs w:val="18"/>
        </w:rPr>
        <w:t xml:space="preserve">. </w:t>
      </w:r>
    </w:p>
    <w:p w14:paraId="096214CE" w14:textId="3E0CA7BC" w:rsidR="0064462B" w:rsidRPr="00EB523E" w:rsidRDefault="001035D6" w:rsidP="001035D6">
      <w:pPr>
        <w:spacing w:before="60" w:after="60"/>
        <w:rPr>
          <w:rFonts w:ascii="Titillium" w:hAnsi="Titillium"/>
          <w:i/>
          <w:iCs/>
          <w:sz w:val="18"/>
          <w:szCs w:val="18"/>
        </w:rPr>
      </w:pPr>
      <w:r w:rsidRPr="00EB523E">
        <w:rPr>
          <w:rFonts w:ascii="Titillium" w:hAnsi="Titillium"/>
          <w:b/>
          <w:bCs/>
          <w:i/>
          <w:iCs/>
          <w:sz w:val="18"/>
          <w:szCs w:val="18"/>
        </w:rPr>
        <w:t>[</w:t>
      </w:r>
      <w:r w:rsidR="00106389" w:rsidRPr="00EB523E">
        <w:rPr>
          <w:rFonts w:ascii="Titillium" w:hAnsi="Titillium"/>
          <w:b/>
          <w:bCs/>
          <w:i/>
          <w:iCs/>
          <w:sz w:val="18"/>
          <w:szCs w:val="18"/>
        </w:rPr>
        <w:t xml:space="preserve">Se prevista </w:t>
      </w:r>
      <w:r w:rsidR="0064462B" w:rsidRPr="00EB523E">
        <w:rPr>
          <w:rFonts w:ascii="Titillium" w:hAnsi="Titillium"/>
          <w:b/>
          <w:bCs/>
          <w:i/>
          <w:iCs/>
          <w:sz w:val="18"/>
          <w:szCs w:val="18"/>
        </w:rPr>
        <w:t>la</w:t>
      </w:r>
      <w:r w:rsidR="00106389" w:rsidRPr="00EB523E">
        <w:rPr>
          <w:rFonts w:ascii="Titillium" w:hAnsi="Titillium"/>
          <w:b/>
          <w:bCs/>
          <w:i/>
          <w:iCs/>
          <w:sz w:val="18"/>
          <w:szCs w:val="18"/>
        </w:rPr>
        <w:t xml:space="preserve"> clausola sociale relativa alla stabilità occupazionale</w:t>
      </w:r>
      <w:r w:rsidRPr="00EB523E">
        <w:rPr>
          <w:rFonts w:ascii="Titillium" w:hAnsi="Titillium"/>
          <w:b/>
          <w:bCs/>
          <w:i/>
          <w:iCs/>
          <w:sz w:val="18"/>
          <w:szCs w:val="18"/>
        </w:rPr>
        <w:t xml:space="preserve">] </w:t>
      </w:r>
      <w:r w:rsidRPr="00EB523E">
        <w:rPr>
          <w:rFonts w:ascii="Titillium" w:hAnsi="Titillium"/>
          <w:sz w:val="18"/>
          <w:szCs w:val="18"/>
        </w:rPr>
        <w:t xml:space="preserve">Ai fini del rispetto della clausola sociale </w:t>
      </w:r>
      <w:r w:rsidR="00FB566D" w:rsidRPr="00EB523E">
        <w:rPr>
          <w:rFonts w:ascii="Titillium" w:hAnsi="Titillium"/>
          <w:sz w:val="18"/>
          <w:szCs w:val="18"/>
        </w:rPr>
        <w:t xml:space="preserve">sulla stabilità occupazionale </w:t>
      </w:r>
      <w:r w:rsidRPr="00EB523E">
        <w:rPr>
          <w:rFonts w:ascii="Titillium" w:hAnsi="Titillium"/>
          <w:sz w:val="18"/>
          <w:szCs w:val="18"/>
        </w:rPr>
        <w:t xml:space="preserve">di cui al punto </w:t>
      </w:r>
      <w:r w:rsidR="00106389" w:rsidRPr="00EB523E">
        <w:rPr>
          <w:rFonts w:ascii="Titillium" w:hAnsi="Titillium"/>
          <w:sz w:val="18"/>
          <w:szCs w:val="18"/>
        </w:rPr>
        <w:fldChar w:fldCharType="begin"/>
      </w:r>
      <w:r w:rsidR="00106389" w:rsidRPr="00EB523E">
        <w:rPr>
          <w:rFonts w:ascii="Titillium" w:hAnsi="Titillium"/>
          <w:sz w:val="18"/>
          <w:szCs w:val="18"/>
        </w:rPr>
        <w:instrText xml:space="preserve"> REF _Ref132050689 \r \h </w:instrText>
      </w:r>
      <w:r w:rsidR="009C6573" w:rsidRPr="00EB523E">
        <w:rPr>
          <w:rFonts w:ascii="Titillium" w:hAnsi="Titillium"/>
          <w:sz w:val="18"/>
          <w:szCs w:val="18"/>
        </w:rPr>
        <w:instrText xml:space="preserve"> \* MERGEFORMAT </w:instrText>
      </w:r>
      <w:r w:rsidR="00106389" w:rsidRPr="00EB523E">
        <w:rPr>
          <w:rFonts w:ascii="Titillium" w:hAnsi="Titillium"/>
          <w:sz w:val="18"/>
          <w:szCs w:val="18"/>
        </w:rPr>
      </w:r>
      <w:r w:rsidR="00106389" w:rsidRPr="00EB523E">
        <w:rPr>
          <w:rFonts w:ascii="Titillium" w:hAnsi="Titillium"/>
          <w:sz w:val="18"/>
          <w:szCs w:val="18"/>
        </w:rPr>
        <w:fldChar w:fldCharType="separate"/>
      </w:r>
      <w:r w:rsidR="00527049" w:rsidRPr="00EB523E">
        <w:rPr>
          <w:rFonts w:ascii="Titillium" w:hAnsi="Titillium"/>
          <w:sz w:val="18"/>
          <w:szCs w:val="18"/>
        </w:rPr>
        <w:t>9</w:t>
      </w:r>
      <w:r w:rsidR="00106389" w:rsidRPr="00EB523E">
        <w:rPr>
          <w:rFonts w:ascii="Titillium" w:hAnsi="Titillium"/>
          <w:sz w:val="18"/>
          <w:szCs w:val="18"/>
        </w:rPr>
        <w:fldChar w:fldCharType="end"/>
      </w:r>
      <w:r w:rsidRPr="00EB523E">
        <w:rPr>
          <w:rFonts w:ascii="Titillium" w:hAnsi="Titillium"/>
          <w:sz w:val="18"/>
          <w:szCs w:val="18"/>
        </w:rPr>
        <w:t>, il concorrente allega all</w:t>
      </w:r>
      <w:r w:rsidRPr="00EB523E">
        <w:rPr>
          <w:rFonts w:ascii="Titillium" w:hAnsi="Titillium" w:hint="eastAsia"/>
          <w:sz w:val="18"/>
          <w:szCs w:val="18"/>
        </w:rPr>
        <w:t>’</w:t>
      </w:r>
      <w:r w:rsidRPr="00EB523E">
        <w:rPr>
          <w:rFonts w:ascii="Titillium" w:hAnsi="Titillium"/>
          <w:sz w:val="18"/>
          <w:szCs w:val="18"/>
        </w:rPr>
        <w:t>offerta tecnica un progetto di assorbimento atto ad illustrare le concrete modalit</w:t>
      </w:r>
      <w:r w:rsidRPr="00EB523E">
        <w:rPr>
          <w:rFonts w:ascii="Titillium" w:hAnsi="Titillium" w:hint="eastAsia"/>
          <w:sz w:val="18"/>
          <w:szCs w:val="18"/>
        </w:rPr>
        <w:t>à</w:t>
      </w:r>
      <w:r w:rsidRPr="00EB523E">
        <w:rPr>
          <w:rFonts w:ascii="Titillium" w:hAnsi="Titillium"/>
          <w:sz w:val="18"/>
          <w:szCs w:val="18"/>
        </w:rPr>
        <w:t xml:space="preserve"> di applicazione della clausola sociale</w:t>
      </w:r>
      <w:r w:rsidR="0064462B" w:rsidRPr="00EB523E">
        <w:rPr>
          <w:rFonts w:ascii="Titillium" w:hAnsi="Titillium"/>
          <w:sz w:val="18"/>
          <w:szCs w:val="18"/>
        </w:rPr>
        <w:t xml:space="preserve"> </w:t>
      </w:r>
      <w:r w:rsidR="0064462B" w:rsidRPr="00EB523E">
        <w:rPr>
          <w:rFonts w:ascii="Titillium" w:hAnsi="Titillium"/>
          <w:i/>
          <w:iCs/>
          <w:sz w:val="18"/>
          <w:szCs w:val="18"/>
        </w:rPr>
        <w:t>[eliminare la clausola se la stazione appaltante ha optato per l’inserimento nella domanda di partecipazione];</w:t>
      </w:r>
    </w:p>
    <w:p w14:paraId="10F06130" w14:textId="3A5AC28B" w:rsidR="0064462B" w:rsidRPr="00EB523E" w:rsidRDefault="00FB566D" w:rsidP="001035D6">
      <w:pPr>
        <w:spacing w:before="60" w:after="60"/>
        <w:rPr>
          <w:rFonts w:ascii="Titillium" w:hAnsi="Titillium"/>
          <w:sz w:val="18"/>
          <w:szCs w:val="18"/>
        </w:rPr>
      </w:pPr>
      <w:r w:rsidRPr="00EB523E">
        <w:rPr>
          <w:rFonts w:ascii="Titillium" w:hAnsi="Titillium"/>
          <w:b/>
          <w:bCs/>
          <w:i/>
          <w:iCs/>
          <w:sz w:val="18"/>
          <w:szCs w:val="18"/>
        </w:rPr>
        <w:t>[Se prevista la clausola sociale per le pari opportunità generazionali, di genere e di inclusione lavorativa per le persone con disabilità o svantaggiate]</w:t>
      </w:r>
      <w:r w:rsidRPr="00EB523E">
        <w:rPr>
          <w:rFonts w:ascii="Titillium" w:hAnsi="Titillium"/>
          <w:i/>
          <w:iCs/>
          <w:sz w:val="18"/>
          <w:szCs w:val="18"/>
        </w:rPr>
        <w:t xml:space="preserve"> </w:t>
      </w:r>
      <w:r w:rsidRPr="00EB523E">
        <w:rPr>
          <w:rFonts w:ascii="Titillium" w:hAnsi="Titillium"/>
          <w:sz w:val="18"/>
          <w:szCs w:val="18"/>
        </w:rPr>
        <w:t xml:space="preserve">Ai fini del rispetto della clausola sociale per le pari opportunità generazionali, di genere e di inclusione lavorativa per le persone con disabilità o svantaggiate di cui al </w:t>
      </w:r>
      <w:r w:rsidR="00860210" w:rsidRPr="00EB523E">
        <w:rPr>
          <w:rFonts w:ascii="Titillium" w:hAnsi="Titillium"/>
          <w:sz w:val="18"/>
          <w:szCs w:val="18"/>
        </w:rPr>
        <w:t xml:space="preserve">punto </w:t>
      </w:r>
      <w:r w:rsidR="00860210" w:rsidRPr="00EB523E">
        <w:rPr>
          <w:rFonts w:ascii="Titillium" w:hAnsi="Titillium"/>
          <w:sz w:val="18"/>
          <w:szCs w:val="18"/>
        </w:rPr>
        <w:fldChar w:fldCharType="begin"/>
      </w:r>
      <w:r w:rsidR="00860210" w:rsidRPr="00EB523E">
        <w:rPr>
          <w:rFonts w:ascii="Titillium" w:hAnsi="Titillium"/>
          <w:sz w:val="18"/>
          <w:szCs w:val="18"/>
        </w:rPr>
        <w:instrText xml:space="preserve"> REF _Ref132050689 \r \h </w:instrText>
      </w:r>
      <w:r w:rsidR="00B35770" w:rsidRPr="00EB523E">
        <w:rPr>
          <w:rFonts w:ascii="Titillium" w:hAnsi="Titillium"/>
          <w:sz w:val="18"/>
          <w:szCs w:val="18"/>
        </w:rPr>
        <w:instrText xml:space="preserve"> \* MERGEFORMAT </w:instrText>
      </w:r>
      <w:r w:rsidR="00860210" w:rsidRPr="00EB523E">
        <w:rPr>
          <w:rFonts w:ascii="Titillium" w:hAnsi="Titillium"/>
          <w:sz w:val="18"/>
          <w:szCs w:val="18"/>
        </w:rPr>
      </w:r>
      <w:r w:rsidR="00860210" w:rsidRPr="00EB523E">
        <w:rPr>
          <w:rFonts w:ascii="Titillium" w:hAnsi="Titillium"/>
          <w:sz w:val="18"/>
          <w:szCs w:val="18"/>
        </w:rPr>
        <w:fldChar w:fldCharType="separate"/>
      </w:r>
      <w:r w:rsidR="00860210" w:rsidRPr="00EB523E">
        <w:rPr>
          <w:rFonts w:ascii="Titillium" w:hAnsi="Titillium"/>
          <w:sz w:val="18"/>
          <w:szCs w:val="18"/>
        </w:rPr>
        <w:t>9</w:t>
      </w:r>
      <w:r w:rsidR="00860210" w:rsidRPr="00EB523E">
        <w:rPr>
          <w:rFonts w:ascii="Titillium" w:hAnsi="Titillium"/>
          <w:sz w:val="18"/>
          <w:szCs w:val="18"/>
        </w:rPr>
        <w:fldChar w:fldCharType="end"/>
      </w:r>
      <w:r w:rsidR="00860210" w:rsidRPr="00EB523E">
        <w:rPr>
          <w:rFonts w:ascii="Titillium" w:hAnsi="Titillium"/>
          <w:sz w:val="18"/>
          <w:szCs w:val="18"/>
        </w:rPr>
        <w:t xml:space="preserve">, </w:t>
      </w:r>
      <w:r w:rsidRPr="00EB523E">
        <w:rPr>
          <w:rFonts w:ascii="Titillium" w:hAnsi="Titillium"/>
          <w:sz w:val="18"/>
          <w:szCs w:val="18"/>
        </w:rPr>
        <w:t xml:space="preserve">il concorrente …. </w:t>
      </w:r>
    </w:p>
    <w:p w14:paraId="700914B3" w14:textId="77777777" w:rsidR="0051425E" w:rsidRDefault="00A1783A" w:rsidP="0051425E">
      <w:pPr>
        <w:spacing w:before="60" w:after="60"/>
        <w:rPr>
          <w:rFonts w:ascii="Titillium" w:eastAsia="Calibri" w:hAnsi="Titillium"/>
          <w:color w:val="000000" w:themeColor="text1"/>
          <w:kern w:val="2"/>
          <w:sz w:val="18"/>
          <w:szCs w:val="18"/>
          <w:lang w:eastAsia="it-IT"/>
        </w:rPr>
      </w:pPr>
      <w:r w:rsidRPr="00EB523E">
        <w:rPr>
          <w:rFonts w:ascii="Titillium" w:hAnsi="Titillium" w:cs="Arial"/>
          <w:b/>
          <w:i/>
          <w:sz w:val="18"/>
          <w:szCs w:val="18"/>
        </w:rPr>
        <w:t>[</w:t>
      </w:r>
      <w:r w:rsidR="00D86312" w:rsidRPr="00EB523E">
        <w:rPr>
          <w:rFonts w:ascii="Titillium" w:hAnsi="Titillium" w:cs="Arial"/>
          <w:b/>
          <w:bCs/>
          <w:i/>
          <w:sz w:val="18"/>
          <w:szCs w:val="18"/>
        </w:rPr>
        <w:t xml:space="preserve">Per le procedure di gara </w:t>
      </w:r>
      <w:r w:rsidR="00922227" w:rsidRPr="00EB523E">
        <w:rPr>
          <w:rFonts w:ascii="Titillium" w:hAnsi="Titillium" w:cs="Arial"/>
          <w:b/>
          <w:bCs/>
          <w:i/>
          <w:sz w:val="18"/>
          <w:szCs w:val="18"/>
        </w:rPr>
        <w:t>riservate ai sensi dell’articolo 61 del codice e</w:t>
      </w:r>
      <w:r w:rsidR="00582A6D" w:rsidRPr="00EB523E">
        <w:rPr>
          <w:rFonts w:ascii="Titillium" w:hAnsi="Titillium" w:cs="Arial"/>
          <w:b/>
          <w:bCs/>
          <w:i/>
          <w:sz w:val="18"/>
          <w:szCs w:val="18"/>
        </w:rPr>
        <w:t>/o</w:t>
      </w:r>
      <w:r w:rsidR="00922227" w:rsidRPr="00EB523E">
        <w:rPr>
          <w:rFonts w:ascii="Titillium" w:hAnsi="Titillium" w:cs="Arial"/>
          <w:b/>
          <w:bCs/>
          <w:i/>
          <w:sz w:val="18"/>
          <w:szCs w:val="18"/>
        </w:rPr>
        <w:t xml:space="preserve"> per quelle </w:t>
      </w:r>
      <w:r w:rsidR="00D86312" w:rsidRPr="00EB523E">
        <w:rPr>
          <w:rFonts w:ascii="Titillium" w:hAnsi="Titillium" w:cs="Arial"/>
          <w:b/>
          <w:bCs/>
          <w:i/>
          <w:sz w:val="18"/>
          <w:szCs w:val="18"/>
        </w:rPr>
        <w:t xml:space="preserve">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00D86312" w:rsidRPr="00EB523E">
        <w:rPr>
          <w:rFonts w:ascii="Titillium" w:hAnsi="Titillium" w:cs="Courier New"/>
          <w:b/>
          <w:i/>
          <w:sz w:val="18"/>
          <w:szCs w:val="18"/>
        </w:rPr>
        <w:t>decreto legge 31 maggio 2021, n. 77, convertito, con modificazioni, dalla legge 29 luglio 2021, n. 108, n</w:t>
      </w:r>
      <w:r w:rsidRPr="00EB523E">
        <w:rPr>
          <w:rFonts w:ascii="Titillium" w:hAnsi="Titillium" w:cs="Arial"/>
          <w:b/>
          <w:i/>
          <w:sz w:val="18"/>
          <w:szCs w:val="18"/>
        </w:rPr>
        <w:t>el caso in cui la stazione appaltante scelga di richiedere la presentazione di tale dichiarazione nell’Offerta tecnica, anziché nella Domanda di partecipazione]</w:t>
      </w:r>
      <w:r w:rsidRPr="00EB523E">
        <w:rPr>
          <w:rFonts w:ascii="Titillium" w:hAnsi="Titillium" w:cs="Arial"/>
          <w:b/>
          <w:sz w:val="18"/>
          <w:szCs w:val="18"/>
        </w:rPr>
        <w:t xml:space="preserve"> </w:t>
      </w:r>
      <w:r w:rsidRPr="00EB523E">
        <w:rPr>
          <w:rFonts w:ascii="Titillium" w:hAnsi="Titillium" w:cs="Arial"/>
          <w:sz w:val="18"/>
          <w:szCs w:val="18"/>
        </w:rPr>
        <w:t xml:space="preserve">L’operatore economico dichiara di assumersi l’obbligo, in caso di aggiudicazione del contratto, di assicurare all’occupazione giovanile una quota di …. % </w:t>
      </w:r>
      <w:r w:rsidRPr="00EB523E">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Pr="00EB523E">
        <w:rPr>
          <w:rFonts w:ascii="Titillium" w:hAnsi="Titillium" w:cs="Arial"/>
          <w:sz w:val="18"/>
          <w:szCs w:val="18"/>
        </w:rPr>
        <w:t xml:space="preserve"> e a quella femminile una quota di …. % </w:t>
      </w:r>
      <w:r w:rsidRPr="00EB523E">
        <w:rPr>
          <w:rFonts w:ascii="Titillium" w:hAnsi="Titillium" w:cs="Arial"/>
          <w:i/>
          <w:iCs/>
          <w:sz w:val="18"/>
          <w:szCs w:val="18"/>
        </w:rPr>
        <w:t>[indicare la quota pari o superiore al 30% indicata dalla stazione appaltante ovvero quella inferiore in caso di deroga, ai sensi dell’articolo 47, comma 7, decreto legge n. 77/2021]</w:t>
      </w:r>
      <w:r w:rsidRPr="00EB523E">
        <w:rPr>
          <w:rFonts w:ascii="Titillium" w:hAnsi="Titillium" w:cs="Arial"/>
          <w:sz w:val="18"/>
          <w:szCs w:val="18"/>
        </w:rPr>
        <w:t xml:space="preserve"> delle assunzioni necessarie per l'esecuzione del contratto o per la realizzazione di attività ad esso connesse o strumentali.</w:t>
      </w:r>
      <w:r w:rsidR="0051425E" w:rsidRPr="0051425E">
        <w:rPr>
          <w:rFonts w:ascii="Titillium" w:eastAsia="Calibri" w:hAnsi="Titillium"/>
          <w:color w:val="000000" w:themeColor="text1"/>
          <w:kern w:val="2"/>
          <w:sz w:val="18"/>
          <w:szCs w:val="18"/>
          <w:lang w:eastAsia="it-IT"/>
        </w:rPr>
        <w:t xml:space="preserve"> </w:t>
      </w:r>
    </w:p>
    <w:p w14:paraId="2C38AD9C" w14:textId="382B4BD6" w:rsidR="0051425E" w:rsidRPr="00EB523E" w:rsidRDefault="0051425E" w:rsidP="0051425E">
      <w:pPr>
        <w:spacing w:before="60" w:after="60"/>
        <w:rPr>
          <w:rFonts w:ascii="Titillium" w:eastAsia="Calibri" w:hAnsi="Titillium"/>
          <w:color w:val="000000" w:themeColor="text1"/>
          <w:kern w:val="2"/>
          <w:sz w:val="18"/>
          <w:szCs w:val="18"/>
          <w:lang w:eastAsia="it-IT"/>
        </w:rPr>
      </w:pPr>
      <w:r w:rsidRPr="00EB523E">
        <w:rPr>
          <w:rFonts w:ascii="Titillium" w:eastAsia="Calibri" w:hAnsi="Titillium"/>
          <w:color w:val="000000" w:themeColor="text1"/>
          <w:kern w:val="2"/>
          <w:sz w:val="18"/>
          <w:szCs w:val="18"/>
          <w:lang w:eastAsia="it-IT"/>
        </w:rPr>
        <w:t>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33064ACA" w14:textId="183E92BE" w:rsidR="00A1783A" w:rsidRPr="00A1783A" w:rsidRDefault="00A1783A" w:rsidP="00A1783A">
      <w:pPr>
        <w:widowControl w:val="0"/>
        <w:spacing w:before="60" w:after="60"/>
        <w:rPr>
          <w:rFonts w:ascii="Titillium" w:hAnsi="Titillium" w:cs="Arial"/>
          <w:sz w:val="18"/>
          <w:szCs w:val="18"/>
        </w:rPr>
      </w:pPr>
    </w:p>
    <w:p w14:paraId="440A8046" w14:textId="77777777" w:rsidR="004C53A8" w:rsidRDefault="00870286" w:rsidP="00084AD6">
      <w:pPr>
        <w:pStyle w:val="Titolo2"/>
        <w:numPr>
          <w:ilvl w:val="0"/>
          <w:numId w:val="4"/>
        </w:numPr>
        <w:ind w:left="357" w:hanging="357"/>
      </w:pPr>
      <w:bookmarkStart w:id="1903" w:name="_Toc139549443"/>
      <w:r>
        <w:rPr>
          <w:rFonts w:ascii="Titillium" w:hAnsi="Titillium"/>
          <w:sz w:val="18"/>
          <w:szCs w:val="18"/>
          <w:lang w:val="it-IT"/>
        </w:rPr>
        <w:lastRenderedPageBreak/>
        <w:t>OFFERTA ECONOMICA</w:t>
      </w:r>
      <w:bookmarkEnd w:id="1903"/>
    </w:p>
    <w:p w14:paraId="61E7E5CE" w14:textId="6C37F7BE" w:rsidR="004C53A8" w:rsidRDefault="00870286">
      <w:pPr>
        <w:spacing w:before="60" w:after="60"/>
        <w:ind w:hanging="11"/>
      </w:pPr>
      <w:bookmarkStart w:id="1904" w:name="_Toc483316490"/>
      <w:bookmarkStart w:id="1905" w:name="_Toc483316359"/>
      <w:bookmarkStart w:id="1906" w:name="_Toc483316227"/>
      <w:bookmarkStart w:id="1907" w:name="_Toc483316022"/>
      <w:bookmarkStart w:id="1908" w:name="_Toc483302401"/>
      <w:bookmarkStart w:id="1909" w:name="_Toc483233684"/>
      <w:bookmarkStart w:id="1910" w:name="_Toc482979724"/>
      <w:bookmarkStart w:id="1911" w:name="_Toc482979626"/>
      <w:bookmarkStart w:id="1912" w:name="_Toc482979528"/>
      <w:bookmarkStart w:id="1913" w:name="_Toc482979420"/>
      <w:bookmarkStart w:id="1914" w:name="_Toc482979311"/>
      <w:bookmarkStart w:id="1915" w:name="_Toc482979202"/>
      <w:bookmarkStart w:id="1916" w:name="_Toc482979091"/>
      <w:bookmarkStart w:id="1917" w:name="_Toc482978983"/>
      <w:bookmarkStart w:id="1918" w:name="_Toc482978874"/>
      <w:bookmarkStart w:id="1919" w:name="_Toc482959755"/>
      <w:bookmarkStart w:id="1920" w:name="_Toc482959645"/>
      <w:bookmarkStart w:id="1921" w:name="_Toc482959535"/>
      <w:bookmarkStart w:id="1922" w:name="_Toc482712747"/>
      <w:bookmarkStart w:id="1923" w:name="_Toc482641301"/>
      <w:bookmarkStart w:id="1924" w:name="_Toc482633124"/>
      <w:bookmarkStart w:id="1925" w:name="_Toc482352283"/>
      <w:bookmarkStart w:id="1926" w:name="_Toc482352193"/>
      <w:bookmarkStart w:id="1927" w:name="_Toc482352103"/>
      <w:bookmarkStart w:id="1928" w:name="_Toc482352013"/>
      <w:bookmarkStart w:id="1929" w:name="_Toc482102149"/>
      <w:bookmarkStart w:id="1930" w:name="_Toc482102055"/>
      <w:bookmarkStart w:id="1931" w:name="_Toc482101960"/>
      <w:bookmarkStart w:id="1932" w:name="_Toc482101865"/>
      <w:bookmarkStart w:id="1933" w:name="_Toc482101772"/>
      <w:bookmarkStart w:id="1934" w:name="_Toc482101597"/>
      <w:bookmarkStart w:id="1935" w:name="_Toc482101482"/>
      <w:bookmarkStart w:id="1936" w:name="_Toc482101345"/>
      <w:bookmarkStart w:id="1937" w:name="_Toc482100919"/>
      <w:bookmarkStart w:id="1938" w:name="_Toc482100762"/>
      <w:bookmarkStart w:id="1939" w:name="_Toc482099045"/>
      <w:bookmarkStart w:id="1940" w:name="_Toc482097943"/>
      <w:bookmarkStart w:id="1941" w:name="_Toc482097751"/>
      <w:bookmarkStart w:id="1942" w:name="_Toc482097662"/>
      <w:bookmarkStart w:id="1943" w:name="_Toc482097573"/>
      <w:bookmarkStart w:id="1944" w:name="_Toc482025749"/>
      <w:bookmarkStart w:id="1945" w:name="_Toc483401270"/>
      <w:bookmarkStart w:id="1946" w:name="_Toc48332579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r>
        <w:rPr>
          <w:rFonts w:ascii="Titillium" w:hAnsi="Titillium" w:cs="Calibri"/>
          <w:sz w:val="18"/>
          <w:szCs w:val="18"/>
        </w:rPr>
        <w:t xml:space="preserve">L’operatore economico inserisce </w:t>
      </w:r>
      <w:r w:rsidRPr="0030072B">
        <w:rPr>
          <w:rFonts w:ascii="Titillium" w:hAnsi="Titillium" w:cs="Calibri"/>
          <w:i/>
          <w:iCs/>
          <w:sz w:val="18"/>
          <w:szCs w:val="18"/>
        </w:rPr>
        <w:t>[</w:t>
      </w:r>
      <w:r w:rsidR="0030072B">
        <w:rPr>
          <w:rFonts w:ascii="Titillium" w:hAnsi="Titillium" w:cs="Calibri"/>
          <w:i/>
          <w:iCs/>
          <w:sz w:val="18"/>
          <w:szCs w:val="18"/>
        </w:rPr>
        <w:t>i</w:t>
      </w:r>
      <w:r w:rsidR="0030072B" w:rsidRPr="00DD2F52">
        <w:rPr>
          <w:rFonts w:ascii="Titillium" w:hAnsi="Titillium" w:cs="Calibri"/>
          <w:i/>
          <w:iCs/>
          <w:sz w:val="18"/>
          <w:szCs w:val="18"/>
        </w:rPr>
        <w:t xml:space="preserve">n caso di gara </w:t>
      </w:r>
      <w:r w:rsidR="0030072B">
        <w:rPr>
          <w:rFonts w:ascii="Titillium" w:hAnsi="Titillium" w:cs="Calibri"/>
          <w:i/>
          <w:iCs/>
          <w:sz w:val="18"/>
          <w:szCs w:val="18"/>
        </w:rPr>
        <w:t>a</w:t>
      </w:r>
      <w:r w:rsidR="0030072B" w:rsidRPr="00DD2F52">
        <w:rPr>
          <w:rFonts w:ascii="Titillium" w:hAnsi="Titillium" w:cs="Calibri"/>
          <w:i/>
          <w:iCs/>
          <w:sz w:val="18"/>
          <w:szCs w:val="18"/>
        </w:rPr>
        <w:t xml:space="preserve"> lotti inserire</w:t>
      </w:r>
      <w:r>
        <w:rPr>
          <w:rFonts w:ascii="Titillium" w:hAnsi="Titillium" w:cs="Calibri"/>
          <w:sz w:val="18"/>
          <w:szCs w:val="18"/>
        </w:rPr>
        <w:t xml:space="preserve">: </w:t>
      </w:r>
      <w:r w:rsidR="0030072B">
        <w:rPr>
          <w:rFonts w:ascii="Titillium" w:hAnsi="Titillium" w:cs="Calibri"/>
          <w:sz w:val="18"/>
          <w:szCs w:val="18"/>
        </w:rPr>
        <w:t>“</w:t>
      </w:r>
      <w:r>
        <w:rPr>
          <w:rFonts w:ascii="Titillium" w:hAnsi="Titillium" w:cs="Calibri"/>
          <w:sz w:val="18"/>
          <w:szCs w:val="18"/>
        </w:rPr>
        <w:t>per ogni singolo lotto</w:t>
      </w:r>
      <w:r w:rsidR="0030072B">
        <w:rPr>
          <w:rFonts w:ascii="Titillium" w:hAnsi="Titillium" w:cs="Calibri"/>
          <w:sz w:val="18"/>
          <w:szCs w:val="18"/>
        </w:rPr>
        <w:t>”</w:t>
      </w:r>
      <w:r w:rsidRPr="0030072B">
        <w:rPr>
          <w:rFonts w:ascii="Titillium" w:hAnsi="Titillium" w:cs="Calibri"/>
          <w:i/>
          <w:iCs/>
          <w:sz w:val="18"/>
          <w:szCs w:val="18"/>
        </w:rPr>
        <w:t>]</w:t>
      </w:r>
      <w:r>
        <w:rPr>
          <w:rFonts w:ascii="Titillium" w:hAnsi="Titillium" w:cs="Calibri"/>
          <w:sz w:val="18"/>
          <w:szCs w:val="18"/>
        </w:rPr>
        <w:t xml:space="preserve"> la documentazione economica, nella Piattaforma secondo le seguenti modalità … [</w:t>
      </w:r>
      <w:r>
        <w:rPr>
          <w:rFonts w:ascii="Titillium" w:hAnsi="Titillium" w:cs="Calibri"/>
          <w:i/>
          <w:sz w:val="18"/>
          <w:szCs w:val="18"/>
        </w:rPr>
        <w:t>indica</w:t>
      </w:r>
      <w:r w:rsidR="0030072B">
        <w:rPr>
          <w:rFonts w:ascii="Titillium" w:hAnsi="Titillium" w:cs="Calibri"/>
          <w:i/>
          <w:sz w:val="18"/>
          <w:szCs w:val="18"/>
        </w:rPr>
        <w:t>re</w:t>
      </w:r>
      <w:r>
        <w:rPr>
          <w:rFonts w:ascii="Titillium" w:hAnsi="Titillium" w:cs="Calibri"/>
          <w:i/>
          <w:sz w:val="18"/>
          <w:szCs w:val="18"/>
        </w:rPr>
        <w:t xml:space="preserve"> le modalit</w:t>
      </w:r>
      <w:r w:rsidRPr="0030072B">
        <w:rPr>
          <w:rFonts w:ascii="Titillium" w:hAnsi="Titillium" w:cs="Calibri"/>
          <w:i/>
          <w:sz w:val="18"/>
          <w:szCs w:val="18"/>
        </w:rPr>
        <w:t>à].</w:t>
      </w:r>
      <w:r>
        <w:rPr>
          <w:rFonts w:ascii="Titillium" w:hAnsi="Titillium" w:cs="Calibri"/>
          <w:sz w:val="18"/>
          <w:szCs w:val="18"/>
        </w:rPr>
        <w:t xml:space="preserve"> L’offerta economica firmata secondo le modalità di cui al precedente </w:t>
      </w:r>
      <w:r w:rsidR="00EC60E5">
        <w:rPr>
          <w:rFonts w:ascii="Titillium" w:hAnsi="Titillium" w:cs="Calibri"/>
          <w:sz w:val="18"/>
          <w:szCs w:val="18"/>
        </w:rPr>
        <w:t>articolo</w:t>
      </w:r>
      <w:r>
        <w:rPr>
          <w:rFonts w:ascii="Titillium" w:hAnsi="Titillium" w:cs="Calibri"/>
          <w:sz w:val="18"/>
          <w:szCs w:val="18"/>
        </w:rPr>
        <w:t xml:space="preserve"> </w:t>
      </w:r>
      <w:r w:rsidR="006979A6">
        <w:rPr>
          <w:rFonts w:ascii="Titillium" w:hAnsi="Titillium" w:cs="Calibri"/>
          <w:sz w:val="18"/>
          <w:szCs w:val="18"/>
        </w:rPr>
        <w:fldChar w:fldCharType="begin"/>
      </w:r>
      <w:r w:rsidR="006979A6">
        <w:rPr>
          <w:rFonts w:ascii="Titillium" w:hAnsi="Titillium" w:cs="Calibri"/>
          <w:sz w:val="18"/>
          <w:szCs w:val="18"/>
        </w:rPr>
        <w:instrText xml:space="preserve"> REF _Ref129789908 \r \h </w:instrText>
      </w:r>
      <w:r w:rsidR="006979A6">
        <w:rPr>
          <w:rFonts w:ascii="Titillium" w:hAnsi="Titillium" w:cs="Calibri"/>
          <w:sz w:val="18"/>
          <w:szCs w:val="18"/>
        </w:rPr>
      </w:r>
      <w:r w:rsidR="006979A6">
        <w:rPr>
          <w:rFonts w:ascii="Titillium" w:hAnsi="Titillium" w:cs="Calibri"/>
          <w:sz w:val="18"/>
          <w:szCs w:val="18"/>
        </w:rPr>
        <w:fldChar w:fldCharType="separate"/>
      </w:r>
      <w:r w:rsidR="00527049">
        <w:rPr>
          <w:rFonts w:ascii="Titillium" w:hAnsi="Titillium" w:cs="Calibri"/>
          <w:sz w:val="18"/>
          <w:szCs w:val="18"/>
        </w:rPr>
        <w:t>15.1</w:t>
      </w:r>
      <w:r w:rsidR="006979A6">
        <w:rPr>
          <w:rFonts w:ascii="Titillium" w:hAnsi="Titillium" w:cs="Calibri"/>
          <w:sz w:val="18"/>
          <w:szCs w:val="18"/>
        </w:rPr>
        <w:fldChar w:fldCharType="end"/>
      </w:r>
      <w:r>
        <w:rPr>
          <w:rFonts w:ascii="Titillium" w:hAnsi="Titillium" w:cs="Calibri"/>
          <w:sz w:val="18"/>
          <w:szCs w:val="18"/>
        </w:rPr>
        <w:t xml:space="preserve">, deve </w:t>
      </w:r>
      <w:r w:rsidRPr="00140144">
        <w:rPr>
          <w:rFonts w:ascii="Titillium" w:hAnsi="Titillium" w:cs="Calibri"/>
          <w:sz w:val="18"/>
          <w:szCs w:val="18"/>
        </w:rPr>
        <w:t>indicare, a pena di esclusione, i seguenti elementi</w:t>
      </w:r>
      <w:r>
        <w:rPr>
          <w:rFonts w:ascii="Titillium" w:hAnsi="Titillium" w:cs="Calibri"/>
          <w:sz w:val="18"/>
          <w:szCs w:val="18"/>
        </w:rPr>
        <w:t>:</w:t>
      </w:r>
    </w:p>
    <w:p w14:paraId="1867EAA7" w14:textId="0405798A" w:rsidR="004C53A8" w:rsidRPr="00B1739C" w:rsidRDefault="00B1739C">
      <w:pPr>
        <w:numPr>
          <w:ilvl w:val="2"/>
          <w:numId w:val="3"/>
        </w:numPr>
        <w:spacing w:before="60" w:after="60"/>
        <w:ind w:left="284" w:hanging="284"/>
      </w:pPr>
      <w:r>
        <w:rPr>
          <w:rFonts w:ascii="Titillium" w:hAnsi="Titillium" w:cs="Arial"/>
          <w:i/>
          <w:sz w:val="18"/>
          <w:szCs w:val="18"/>
        </w:rPr>
        <w:t xml:space="preserve">….. </w:t>
      </w:r>
      <w:r w:rsidR="00870286" w:rsidRPr="00B1739C">
        <w:rPr>
          <w:rFonts w:ascii="Titillium" w:hAnsi="Titillium" w:cs="Arial"/>
          <w:i/>
          <w:sz w:val="18"/>
          <w:szCs w:val="18"/>
        </w:rPr>
        <w:t>[indicare il valore che la stazione</w:t>
      </w:r>
      <w:r w:rsidR="00D84BB7" w:rsidRPr="00B1739C">
        <w:rPr>
          <w:rFonts w:ascii="Titillium" w:hAnsi="Titillium" w:cs="Arial"/>
          <w:i/>
          <w:sz w:val="18"/>
          <w:szCs w:val="18"/>
        </w:rPr>
        <w:t xml:space="preserve"> appaltante intende richiedere, </w:t>
      </w:r>
      <w:r w:rsidR="00870286" w:rsidRPr="00B1739C">
        <w:rPr>
          <w:rFonts w:ascii="Titillium" w:hAnsi="Titillium" w:cs="Arial"/>
          <w:i/>
          <w:sz w:val="18"/>
          <w:szCs w:val="18"/>
        </w:rPr>
        <w:t xml:space="preserve">ad esempio: </w:t>
      </w:r>
      <w:r w:rsidR="00870286" w:rsidRPr="00B1739C">
        <w:rPr>
          <w:rFonts w:ascii="Titillium" w:hAnsi="Titillium" w:cs="Calibri"/>
          <w:i/>
          <w:sz w:val="18"/>
          <w:szCs w:val="18"/>
        </w:rPr>
        <w:t>prezzo complessivo, ribasso percentuale, prezzi unitari, etc. In caso di richiesta di offerta su una pluralità di beni o servizi, la stazione appaltante indica i singoli valori da richiedere per ciascuno di essi],</w:t>
      </w:r>
      <w:r w:rsidR="00870286" w:rsidRPr="00B1739C">
        <w:rPr>
          <w:rFonts w:ascii="Titillium" w:hAnsi="Titillium" w:cs="Calibri"/>
          <w:sz w:val="18"/>
          <w:szCs w:val="18"/>
        </w:rPr>
        <w:t xml:space="preserve"> al netto di</w:t>
      </w:r>
      <w:r w:rsidR="00870286" w:rsidRPr="00B1739C">
        <w:rPr>
          <w:rFonts w:ascii="Titillium" w:hAnsi="Titillium" w:cs="Calibri"/>
          <w:i/>
          <w:sz w:val="18"/>
          <w:szCs w:val="18"/>
        </w:rPr>
        <w:t xml:space="preserve"> </w:t>
      </w:r>
      <w:r w:rsidR="00870286" w:rsidRPr="00B1739C">
        <w:rPr>
          <w:rFonts w:ascii="Titillium" w:hAnsi="Titillium" w:cs="Calibri"/>
          <w:sz w:val="18"/>
          <w:szCs w:val="18"/>
        </w:rPr>
        <w:t xml:space="preserve">Iva, nonché degli oneri per la sicurezza dovuti a rischi da interferenze. </w:t>
      </w:r>
    </w:p>
    <w:p w14:paraId="65A1C1D6" w14:textId="281B80DF" w:rsidR="004C53A8" w:rsidRDefault="00870286">
      <w:pPr>
        <w:spacing w:before="60" w:after="60"/>
        <w:ind w:left="284"/>
        <w:rPr>
          <w:rFonts w:ascii="Titillium" w:hAnsi="Titillium" w:cs="Calibri"/>
          <w:sz w:val="18"/>
          <w:szCs w:val="18"/>
        </w:rPr>
      </w:pPr>
      <w:r>
        <w:rPr>
          <w:rFonts w:ascii="Titillium" w:hAnsi="Titillium" w:cs="Calibri"/>
          <w:sz w:val="18"/>
          <w:szCs w:val="18"/>
        </w:rPr>
        <w:t>Verranno prese in considerazione fino a</w:t>
      </w:r>
      <w:r w:rsidR="00D84BB7">
        <w:rPr>
          <w:rFonts w:ascii="Titillium" w:hAnsi="Titillium" w:cs="Calibri"/>
          <w:sz w:val="18"/>
          <w:szCs w:val="18"/>
        </w:rPr>
        <w:t xml:space="preserve"> </w:t>
      </w:r>
      <w:r w:rsidR="00D84BB7" w:rsidRPr="00EC60E5">
        <w:rPr>
          <w:rFonts w:ascii="Titillium" w:hAnsi="Titillium" w:cs="Calibri"/>
          <w:i/>
          <w:sz w:val="18"/>
          <w:szCs w:val="18"/>
        </w:rPr>
        <w:t>…</w:t>
      </w:r>
      <w:r w:rsidR="00E03B98" w:rsidRPr="00EC60E5">
        <w:rPr>
          <w:rFonts w:ascii="Titillium" w:hAnsi="Titillium" w:cs="Calibri"/>
          <w:i/>
          <w:sz w:val="18"/>
          <w:szCs w:val="18"/>
        </w:rPr>
        <w:t xml:space="preserve"> </w:t>
      </w:r>
      <w:r w:rsidRPr="00EC60E5">
        <w:rPr>
          <w:rFonts w:ascii="Titillium" w:hAnsi="Titillium" w:cs="Calibri"/>
          <w:i/>
          <w:sz w:val="18"/>
          <w:szCs w:val="18"/>
        </w:rPr>
        <w:t>[</w:t>
      </w:r>
      <w:r w:rsidRPr="00EC60E5">
        <w:rPr>
          <w:rFonts w:ascii="Titillium" w:hAnsi="Titillium" w:cs="Calibri"/>
          <w:i/>
          <w:iCs/>
          <w:sz w:val="18"/>
          <w:szCs w:val="18"/>
        </w:rPr>
        <w:t>indicare</w:t>
      </w:r>
      <w:r w:rsidR="00D84BB7" w:rsidRPr="00EC60E5">
        <w:rPr>
          <w:rFonts w:ascii="Titillium" w:hAnsi="Titillium" w:cs="Calibri"/>
          <w:i/>
          <w:iCs/>
          <w:sz w:val="18"/>
          <w:szCs w:val="18"/>
        </w:rPr>
        <w:t xml:space="preserve"> il numero]</w:t>
      </w:r>
      <w:r>
        <w:rPr>
          <w:rFonts w:ascii="Titillium" w:hAnsi="Titillium" w:cs="Calibri"/>
          <w:i/>
          <w:iCs/>
          <w:sz w:val="18"/>
          <w:szCs w:val="18"/>
        </w:rPr>
        <w:t xml:space="preserve"> </w:t>
      </w:r>
      <w:r w:rsidRPr="00E03B98">
        <w:rPr>
          <w:rFonts w:ascii="Titillium" w:hAnsi="Titillium" w:cs="Calibri"/>
          <w:iCs/>
          <w:sz w:val="18"/>
          <w:szCs w:val="18"/>
        </w:rPr>
        <w:t>cifre decimali</w:t>
      </w:r>
      <w:r w:rsidR="00E03B98">
        <w:rPr>
          <w:rFonts w:ascii="Titillium" w:hAnsi="Titillium" w:cs="Calibri"/>
          <w:sz w:val="18"/>
          <w:szCs w:val="18"/>
        </w:rPr>
        <w:t>;</w:t>
      </w:r>
    </w:p>
    <w:p w14:paraId="09961F4A" w14:textId="68553FCE" w:rsidR="004C53A8" w:rsidRPr="009C6573" w:rsidRDefault="00E509CC">
      <w:pPr>
        <w:numPr>
          <w:ilvl w:val="2"/>
          <w:numId w:val="3"/>
        </w:numPr>
        <w:spacing w:before="60" w:after="60"/>
        <w:ind w:left="284" w:hanging="284"/>
      </w:pPr>
      <w:r>
        <w:rPr>
          <w:rFonts w:ascii="Titillium" w:hAnsi="Titillium"/>
          <w:b/>
          <w:i/>
          <w:sz w:val="18"/>
          <w:szCs w:val="18"/>
        </w:rPr>
        <w:t>[</w:t>
      </w:r>
      <w:r w:rsidR="009C6573" w:rsidRPr="003B49E3">
        <w:rPr>
          <w:rFonts w:ascii="Titillium" w:hAnsi="Titillium"/>
          <w:b/>
          <w:i/>
          <w:sz w:val="18"/>
          <w:szCs w:val="18"/>
        </w:rPr>
        <w:t>Non applicabile ai servizi di natura intellettuale ed alle forniture senza posa in opera</w:t>
      </w:r>
      <w:r w:rsidR="009C6573">
        <w:rPr>
          <w:rFonts w:ascii="Titillium" w:hAnsi="Titillium"/>
          <w:b/>
          <w:i/>
          <w:sz w:val="18"/>
          <w:szCs w:val="18"/>
        </w:rPr>
        <w:t>]</w:t>
      </w:r>
      <w:r w:rsidR="00140144">
        <w:rPr>
          <w:rFonts w:ascii="Titillium" w:hAnsi="Titillium" w:cs="Calibri"/>
          <w:sz w:val="18"/>
          <w:szCs w:val="18"/>
        </w:rPr>
        <w:t xml:space="preserve"> </w:t>
      </w:r>
      <w:r w:rsidR="00870286">
        <w:rPr>
          <w:rFonts w:ascii="Titillium" w:hAnsi="Titillium" w:cs="Calibri"/>
          <w:sz w:val="18"/>
          <w:szCs w:val="18"/>
        </w:rPr>
        <w:t>la stima dei costi aziendali relativi alla salute ed alla sicurezza sui luoghi di lavoro</w:t>
      </w:r>
      <w:r w:rsidR="00E03B98">
        <w:rPr>
          <w:rFonts w:ascii="Titillium" w:hAnsi="Titillium" w:cs="Calibri"/>
          <w:sz w:val="18"/>
          <w:szCs w:val="18"/>
        </w:rPr>
        <w:t>;</w:t>
      </w:r>
      <w:r w:rsidR="00870286">
        <w:rPr>
          <w:rFonts w:ascii="Titillium" w:hAnsi="Titillium" w:cs="Calibri"/>
          <w:sz w:val="18"/>
          <w:szCs w:val="18"/>
        </w:rPr>
        <w:t xml:space="preserve"> </w:t>
      </w:r>
    </w:p>
    <w:p w14:paraId="2CB3559D" w14:textId="77777777" w:rsidR="009C6573" w:rsidRDefault="009C6573" w:rsidP="009C6573">
      <w:pPr>
        <w:spacing w:before="60" w:after="60"/>
      </w:pPr>
    </w:p>
    <w:p w14:paraId="5F3B069D" w14:textId="5B7D7CA7" w:rsidR="004C53A8" w:rsidRPr="00B1739C" w:rsidRDefault="00385633">
      <w:pPr>
        <w:numPr>
          <w:ilvl w:val="2"/>
          <w:numId w:val="3"/>
        </w:numPr>
        <w:spacing w:before="60" w:after="60"/>
        <w:ind w:left="284" w:hanging="284"/>
      </w:pPr>
      <w:r>
        <w:rPr>
          <w:rFonts w:ascii="Titillium" w:hAnsi="Titillium"/>
          <w:b/>
          <w:i/>
          <w:sz w:val="18"/>
          <w:szCs w:val="18"/>
        </w:rPr>
        <w:t>[</w:t>
      </w:r>
      <w:r w:rsidR="009C6573" w:rsidRPr="003B49E3">
        <w:rPr>
          <w:rFonts w:ascii="Titillium" w:hAnsi="Titillium"/>
          <w:b/>
          <w:i/>
          <w:sz w:val="18"/>
          <w:szCs w:val="18"/>
        </w:rPr>
        <w:t>Non applicabile ai servizi di natura intellettuale ed alle forniture senza posa in opera</w:t>
      </w:r>
      <w:r>
        <w:rPr>
          <w:rFonts w:ascii="Titillium" w:hAnsi="Titillium"/>
          <w:b/>
          <w:i/>
          <w:sz w:val="18"/>
          <w:szCs w:val="18"/>
        </w:rPr>
        <w:t>]</w:t>
      </w:r>
      <w:r>
        <w:rPr>
          <w:rFonts w:ascii="Titillium" w:hAnsi="Titillium" w:cs="Calibri"/>
          <w:sz w:val="18"/>
          <w:szCs w:val="18"/>
        </w:rPr>
        <w:t xml:space="preserve"> </w:t>
      </w:r>
      <w:r w:rsidR="00870286">
        <w:rPr>
          <w:rFonts w:ascii="Titillium" w:hAnsi="Titillium" w:cs="Calibri"/>
          <w:sz w:val="18"/>
          <w:szCs w:val="18"/>
        </w:rPr>
        <w:t>la stima dei costi d</w:t>
      </w:r>
      <w:r w:rsidR="00E03B98">
        <w:rPr>
          <w:rFonts w:ascii="Titillium" w:hAnsi="Titillium" w:cs="Calibri"/>
          <w:sz w:val="18"/>
          <w:szCs w:val="18"/>
        </w:rPr>
        <w:t>ella manodopera</w:t>
      </w:r>
      <w:r w:rsidR="00B1739C">
        <w:rPr>
          <w:rFonts w:ascii="Titillium" w:hAnsi="Titillium" w:cs="Calibri"/>
          <w:sz w:val="18"/>
          <w:szCs w:val="18"/>
        </w:rPr>
        <w:t>.</w:t>
      </w:r>
    </w:p>
    <w:p w14:paraId="6B46C8AF" w14:textId="644BF837" w:rsidR="00B1739C" w:rsidRDefault="00B1739C" w:rsidP="00B1739C">
      <w:pPr>
        <w:spacing w:before="60" w:after="60"/>
        <w:ind w:left="284"/>
        <w:rPr>
          <w:rFonts w:ascii="Titillium" w:hAnsi="Titillium" w:cs="Calibri"/>
          <w:bCs/>
          <w:iCs/>
          <w:sz w:val="18"/>
          <w:szCs w:val="18"/>
        </w:rPr>
      </w:pPr>
      <w:r w:rsidRPr="00D86312">
        <w:rPr>
          <w:rFonts w:ascii="Titillium" w:hAnsi="Titillium" w:cs="Calibri"/>
          <w:bCs/>
          <w:iCs/>
          <w:sz w:val="18"/>
          <w:szCs w:val="18"/>
        </w:rPr>
        <w:t>Ai sensi dell’art</w:t>
      </w:r>
      <w:r w:rsidR="006866C5">
        <w:rPr>
          <w:rFonts w:ascii="Titillium" w:hAnsi="Titillium" w:cs="Calibri"/>
          <w:bCs/>
          <w:iCs/>
          <w:sz w:val="18"/>
          <w:szCs w:val="18"/>
        </w:rPr>
        <w:t>icolo</w:t>
      </w:r>
      <w:r w:rsidRPr="00D86312">
        <w:rPr>
          <w:rFonts w:ascii="Titillium" w:hAnsi="Titillium" w:cs="Calibri"/>
          <w:bCs/>
          <w:iCs/>
          <w:sz w:val="18"/>
          <w:szCs w:val="18"/>
        </w:rPr>
        <w:t xml:space="preserve"> 41 comma 14 del Codice i costi della manodopera indicati </w:t>
      </w:r>
      <w:r w:rsidR="0078130E">
        <w:rPr>
          <w:rFonts w:ascii="Titillium" w:hAnsi="Titillium" w:cs="Calibri"/>
          <w:bCs/>
          <w:iCs/>
          <w:sz w:val="18"/>
          <w:szCs w:val="18"/>
        </w:rPr>
        <w:t xml:space="preserve">al punto </w:t>
      </w:r>
      <w:r w:rsidR="0078130E">
        <w:rPr>
          <w:rFonts w:ascii="Titillium" w:hAnsi="Titillium" w:cs="Calibri"/>
          <w:bCs/>
          <w:iCs/>
          <w:sz w:val="18"/>
          <w:szCs w:val="18"/>
        </w:rPr>
        <w:fldChar w:fldCharType="begin"/>
      </w:r>
      <w:r w:rsidR="0078130E">
        <w:rPr>
          <w:rFonts w:ascii="Titillium" w:hAnsi="Titillium" w:cs="Calibri"/>
          <w:bCs/>
          <w:iCs/>
          <w:sz w:val="18"/>
          <w:szCs w:val="18"/>
        </w:rPr>
        <w:instrText xml:space="preserve"> REF _Ref132304635 \r \h </w:instrText>
      </w:r>
      <w:r w:rsidR="0078130E">
        <w:rPr>
          <w:rFonts w:ascii="Titillium" w:hAnsi="Titillium" w:cs="Calibri"/>
          <w:bCs/>
          <w:iCs/>
          <w:sz w:val="18"/>
          <w:szCs w:val="18"/>
        </w:rPr>
      </w:r>
      <w:r w:rsidR="0078130E">
        <w:rPr>
          <w:rFonts w:ascii="Titillium" w:hAnsi="Titillium" w:cs="Calibri"/>
          <w:bCs/>
          <w:iCs/>
          <w:sz w:val="18"/>
          <w:szCs w:val="18"/>
        </w:rPr>
        <w:fldChar w:fldCharType="separate"/>
      </w:r>
      <w:r w:rsidR="0078130E">
        <w:rPr>
          <w:rFonts w:ascii="Titillium" w:hAnsi="Titillium" w:cs="Calibri"/>
          <w:bCs/>
          <w:iCs/>
          <w:sz w:val="18"/>
          <w:szCs w:val="18"/>
        </w:rPr>
        <w:t>3</w:t>
      </w:r>
      <w:r w:rsidR="0078130E">
        <w:rPr>
          <w:rFonts w:ascii="Titillium" w:hAnsi="Titillium" w:cs="Calibri"/>
          <w:bCs/>
          <w:iCs/>
          <w:sz w:val="18"/>
          <w:szCs w:val="18"/>
        </w:rPr>
        <w:fldChar w:fldCharType="end"/>
      </w:r>
      <w:r w:rsidRPr="00D86312">
        <w:rPr>
          <w:rFonts w:ascii="Titillium" w:hAnsi="Titillium" w:cs="Calibri"/>
          <w:bCs/>
          <w:iCs/>
          <w:sz w:val="18"/>
          <w:szCs w:val="18"/>
        </w:rPr>
        <w:t xml:space="preserve"> </w:t>
      </w:r>
      <w:r w:rsidR="00E509CC" w:rsidRPr="00D86312">
        <w:rPr>
          <w:rFonts w:ascii="Titillium" w:hAnsi="Titillium" w:cs="Calibri"/>
          <w:bCs/>
          <w:iCs/>
          <w:sz w:val="18"/>
          <w:szCs w:val="18"/>
        </w:rPr>
        <w:t xml:space="preserve">del presente disciplinare </w:t>
      </w:r>
      <w:r w:rsidRPr="00D86312">
        <w:rPr>
          <w:rFonts w:ascii="Titillium" w:hAnsi="Titillium" w:cs="Calibri"/>
          <w:bCs/>
          <w:iCs/>
          <w:sz w:val="18"/>
          <w:szCs w:val="18"/>
        </w:rPr>
        <w:t>non sono ribassabili. Resta la possibilità per l’operatore economico di dimostrare che il ribasso complessivo dell’importo deriva da una più efficiente organizzazione aziendale</w:t>
      </w:r>
      <w:r w:rsidR="00DA52BE">
        <w:rPr>
          <w:rFonts w:ascii="Titillium" w:hAnsi="Titillium" w:cs="Calibri"/>
          <w:bCs/>
          <w:iCs/>
          <w:sz w:val="18"/>
          <w:szCs w:val="18"/>
        </w:rPr>
        <w:t xml:space="preserve"> o da sgravi contributi</w:t>
      </w:r>
      <w:r w:rsidR="006866C5">
        <w:rPr>
          <w:rFonts w:ascii="Titillium" w:hAnsi="Titillium" w:cs="Calibri"/>
          <w:bCs/>
          <w:iCs/>
          <w:sz w:val="18"/>
          <w:szCs w:val="18"/>
        </w:rPr>
        <w:t>vi</w:t>
      </w:r>
      <w:r w:rsidR="00DA52BE">
        <w:rPr>
          <w:rFonts w:ascii="Titillium" w:hAnsi="Titillium" w:cs="Calibri"/>
          <w:bCs/>
          <w:iCs/>
          <w:sz w:val="18"/>
          <w:szCs w:val="18"/>
        </w:rPr>
        <w:t xml:space="preserve"> che non comportano penalizzazioni per la manodopera</w:t>
      </w:r>
      <w:r w:rsidRPr="00D86312">
        <w:rPr>
          <w:rFonts w:ascii="Titillium" w:hAnsi="Titillium" w:cs="Calibri"/>
          <w:bCs/>
          <w:iCs/>
          <w:sz w:val="18"/>
          <w:szCs w:val="18"/>
        </w:rPr>
        <w:t>.</w:t>
      </w:r>
    </w:p>
    <w:p w14:paraId="0E71B783" w14:textId="41D72C1C" w:rsidR="0024334B" w:rsidRDefault="00870286" w:rsidP="0024334B">
      <w:pPr>
        <w:numPr>
          <w:ilvl w:val="2"/>
          <w:numId w:val="3"/>
        </w:numPr>
        <w:spacing w:before="60" w:after="60"/>
        <w:ind w:left="284" w:hanging="284"/>
      </w:pPr>
      <w:r>
        <w:rPr>
          <w:rFonts w:ascii="Titillium" w:hAnsi="Titillium" w:cs="Calibri"/>
          <w:b/>
          <w:i/>
          <w:sz w:val="18"/>
          <w:szCs w:val="18"/>
        </w:rPr>
        <w:t>[Facoltativo]</w:t>
      </w:r>
      <w:r>
        <w:rPr>
          <w:rFonts w:ascii="Titillium" w:hAnsi="Titillium" w:cs="Arial"/>
          <w:sz w:val="18"/>
          <w:szCs w:val="18"/>
        </w:rPr>
        <w:t xml:space="preserve"> … </w:t>
      </w:r>
      <w:r w:rsidRPr="00EC60E5">
        <w:rPr>
          <w:rFonts w:ascii="Titillium" w:hAnsi="Titillium" w:cs="Arial"/>
          <w:i/>
          <w:sz w:val="18"/>
          <w:szCs w:val="18"/>
        </w:rPr>
        <w:t>[</w:t>
      </w:r>
      <w:r>
        <w:rPr>
          <w:rFonts w:ascii="Titillium" w:hAnsi="Titillium" w:cs="Arial"/>
          <w:i/>
          <w:sz w:val="18"/>
          <w:szCs w:val="18"/>
        </w:rPr>
        <w:t>indicare gli ulteriori elementi che gli operatori devono valorizzare i quali pur non concorrendo alla formazione dell’offerta economica oggetto di valutazione, servono a fissare alcuni prezzi unitari utili per eventuali proroghe/opzioni]</w:t>
      </w:r>
      <w:r w:rsidR="00E03B98">
        <w:rPr>
          <w:rFonts w:ascii="Titillium" w:hAnsi="Titillium" w:cs="Arial"/>
          <w:i/>
          <w:sz w:val="18"/>
          <w:szCs w:val="18"/>
        </w:rPr>
        <w:t>.</w:t>
      </w:r>
    </w:p>
    <w:p w14:paraId="32F1BBF3" w14:textId="3CE64807" w:rsidR="004C53A8" w:rsidRDefault="00870286">
      <w:pPr>
        <w:spacing w:before="60" w:after="60"/>
        <w:rPr>
          <w:rFonts w:ascii="Titillium" w:hAnsi="Titillium"/>
          <w:i/>
          <w:sz w:val="18"/>
          <w:szCs w:val="18"/>
        </w:rPr>
      </w:pPr>
      <w:r>
        <w:rPr>
          <w:rFonts w:ascii="Titillium" w:hAnsi="Titillium"/>
          <w:sz w:val="18"/>
          <w:szCs w:val="18"/>
        </w:rPr>
        <w:t>Sono inammissibili le offerte economiche che superino l’importo a base d’asta</w:t>
      </w:r>
      <w:r w:rsidR="00D9231F">
        <w:rPr>
          <w:rFonts w:ascii="Titillium" w:hAnsi="Titillium"/>
          <w:sz w:val="18"/>
          <w:szCs w:val="18"/>
        </w:rPr>
        <w:t xml:space="preserve"> </w:t>
      </w:r>
      <w:r w:rsidRPr="00B1739C">
        <w:rPr>
          <w:rFonts w:ascii="Titillium" w:hAnsi="Titillium"/>
          <w:bCs/>
          <w:i/>
          <w:sz w:val="18"/>
          <w:szCs w:val="18"/>
        </w:rPr>
        <w:t>[</w:t>
      </w:r>
      <w:r w:rsidR="00D9231F" w:rsidRPr="00B1739C">
        <w:rPr>
          <w:rFonts w:ascii="Titillium" w:hAnsi="Titillium"/>
          <w:bCs/>
          <w:i/>
          <w:sz w:val="18"/>
          <w:szCs w:val="18"/>
        </w:rPr>
        <w:t>i</w:t>
      </w:r>
      <w:r w:rsidR="00EF337C" w:rsidRPr="00B1739C">
        <w:rPr>
          <w:rFonts w:ascii="Titillium" w:hAnsi="Titillium"/>
          <w:bCs/>
          <w:i/>
          <w:sz w:val="18"/>
          <w:szCs w:val="18"/>
        </w:rPr>
        <w:t xml:space="preserve">n alternativa, </w:t>
      </w:r>
      <w:r w:rsidR="00EC60E5" w:rsidRPr="00B1739C">
        <w:rPr>
          <w:rFonts w:ascii="Titillium" w:hAnsi="Titillium"/>
          <w:bCs/>
          <w:i/>
          <w:sz w:val="18"/>
          <w:szCs w:val="18"/>
        </w:rPr>
        <w:t>i</w:t>
      </w:r>
      <w:r w:rsidRPr="00B1739C">
        <w:rPr>
          <w:rFonts w:ascii="Titillium" w:hAnsi="Titillium"/>
          <w:bCs/>
          <w:i/>
          <w:sz w:val="18"/>
          <w:szCs w:val="18"/>
        </w:rPr>
        <w:t xml:space="preserve">n caso di pubblicazione dei prezzi di riferimento dei beni o servizi </w:t>
      </w:r>
      <w:r w:rsidR="00EC60E5" w:rsidRPr="00B1739C">
        <w:rPr>
          <w:rFonts w:ascii="Titillium" w:hAnsi="Titillium"/>
          <w:bCs/>
          <w:i/>
          <w:sz w:val="18"/>
          <w:szCs w:val="18"/>
        </w:rPr>
        <w:t>relativi all’</w:t>
      </w:r>
      <w:r w:rsidRPr="00B1739C">
        <w:rPr>
          <w:rFonts w:ascii="Titillium" w:hAnsi="Titillium"/>
          <w:bCs/>
          <w:i/>
          <w:sz w:val="18"/>
          <w:szCs w:val="18"/>
        </w:rPr>
        <w:t>oggetto dell’appalto</w:t>
      </w:r>
      <w:r w:rsidR="00EC60E5" w:rsidRPr="00B1739C">
        <w:rPr>
          <w:rFonts w:ascii="Titillium" w:hAnsi="Titillium"/>
          <w:bCs/>
          <w:i/>
          <w:sz w:val="18"/>
          <w:szCs w:val="18"/>
        </w:rPr>
        <w:t>]</w:t>
      </w:r>
      <w:r w:rsidR="00D86312">
        <w:rPr>
          <w:rFonts w:ascii="Titillium" w:hAnsi="Titillium"/>
          <w:bCs/>
          <w:i/>
          <w:sz w:val="18"/>
          <w:szCs w:val="18"/>
        </w:rPr>
        <w:t>.</w:t>
      </w:r>
      <w:r w:rsidR="009519DD">
        <w:rPr>
          <w:rFonts w:ascii="Titillium" w:hAnsi="Titillium"/>
          <w:i/>
          <w:sz w:val="18"/>
          <w:szCs w:val="18"/>
        </w:rPr>
        <w:t xml:space="preserve"> </w:t>
      </w:r>
      <w:r w:rsidR="00EC60E5">
        <w:rPr>
          <w:rFonts w:ascii="Titillium" w:hAnsi="Titillium"/>
          <w:sz w:val="18"/>
          <w:szCs w:val="18"/>
        </w:rPr>
        <w:t xml:space="preserve">Sono inammissibili le offerte economiche che superino </w:t>
      </w:r>
      <w:r w:rsidR="00EC60E5" w:rsidRPr="00D86312">
        <w:rPr>
          <w:rFonts w:ascii="Titillium" w:hAnsi="Titillium"/>
          <w:sz w:val="18"/>
          <w:szCs w:val="18"/>
        </w:rPr>
        <w:t xml:space="preserve">l’importo a base d’asta </w:t>
      </w:r>
      <w:r w:rsidRPr="00D86312">
        <w:rPr>
          <w:rFonts w:ascii="Titillium" w:hAnsi="Titillium"/>
          <w:sz w:val="18"/>
          <w:szCs w:val="18"/>
        </w:rPr>
        <w:t xml:space="preserve">o che non siano formulate nel rispetto dei prezzi di riferimento indicati </w:t>
      </w:r>
      <w:r w:rsidR="0078130E">
        <w:rPr>
          <w:rFonts w:ascii="Titillium" w:hAnsi="Titillium" w:cs="Calibri"/>
          <w:bCs/>
          <w:iCs/>
          <w:sz w:val="18"/>
          <w:szCs w:val="18"/>
        </w:rPr>
        <w:t xml:space="preserve">al punto </w:t>
      </w:r>
      <w:r w:rsidR="0078130E">
        <w:rPr>
          <w:rFonts w:ascii="Titillium" w:hAnsi="Titillium" w:cs="Calibri"/>
          <w:bCs/>
          <w:iCs/>
          <w:sz w:val="18"/>
          <w:szCs w:val="18"/>
        </w:rPr>
        <w:fldChar w:fldCharType="begin"/>
      </w:r>
      <w:r w:rsidR="0078130E">
        <w:rPr>
          <w:rFonts w:ascii="Titillium" w:hAnsi="Titillium" w:cs="Calibri"/>
          <w:bCs/>
          <w:iCs/>
          <w:sz w:val="18"/>
          <w:szCs w:val="18"/>
        </w:rPr>
        <w:instrText xml:space="preserve"> REF _Ref132304635 \r \h </w:instrText>
      </w:r>
      <w:r w:rsidR="0078130E">
        <w:rPr>
          <w:rFonts w:ascii="Titillium" w:hAnsi="Titillium" w:cs="Calibri"/>
          <w:bCs/>
          <w:iCs/>
          <w:sz w:val="18"/>
          <w:szCs w:val="18"/>
        </w:rPr>
      </w:r>
      <w:r w:rsidR="0078130E">
        <w:rPr>
          <w:rFonts w:ascii="Titillium" w:hAnsi="Titillium" w:cs="Calibri"/>
          <w:bCs/>
          <w:iCs/>
          <w:sz w:val="18"/>
          <w:szCs w:val="18"/>
        </w:rPr>
        <w:fldChar w:fldCharType="separate"/>
      </w:r>
      <w:r w:rsidR="0078130E">
        <w:rPr>
          <w:rFonts w:ascii="Titillium" w:hAnsi="Titillium" w:cs="Calibri"/>
          <w:bCs/>
          <w:iCs/>
          <w:sz w:val="18"/>
          <w:szCs w:val="18"/>
        </w:rPr>
        <w:t>3</w:t>
      </w:r>
      <w:r w:rsidR="0078130E">
        <w:rPr>
          <w:rFonts w:ascii="Titillium" w:hAnsi="Titillium" w:cs="Calibri"/>
          <w:bCs/>
          <w:iCs/>
          <w:sz w:val="18"/>
          <w:szCs w:val="18"/>
        </w:rPr>
        <w:fldChar w:fldCharType="end"/>
      </w:r>
      <w:r w:rsidRPr="00D86312">
        <w:rPr>
          <w:rFonts w:ascii="Titillium" w:hAnsi="Titillium"/>
          <w:sz w:val="18"/>
          <w:szCs w:val="18"/>
        </w:rPr>
        <w:t xml:space="preserve"> del presente disciplinare</w:t>
      </w:r>
      <w:r w:rsidRPr="00D86312">
        <w:rPr>
          <w:rFonts w:ascii="Titillium" w:hAnsi="Titillium"/>
          <w:i/>
          <w:sz w:val="18"/>
          <w:szCs w:val="18"/>
        </w:rPr>
        <w:t>.</w:t>
      </w:r>
    </w:p>
    <w:p w14:paraId="4882DB57" w14:textId="7DDF555E" w:rsidR="0067210A" w:rsidRPr="0067210A" w:rsidRDefault="0067210A" w:rsidP="0067210A">
      <w:pPr>
        <w:pBdr>
          <w:top w:val="single" w:sz="4" w:space="1" w:color="auto"/>
          <w:left w:val="single" w:sz="4" w:space="4" w:color="auto"/>
          <w:bottom w:val="single" w:sz="4" w:space="1" w:color="auto"/>
          <w:right w:val="single" w:sz="4" w:space="4" w:color="auto"/>
        </w:pBdr>
        <w:spacing w:before="60" w:after="60"/>
        <w:rPr>
          <w:rFonts w:ascii="Titillium" w:hAnsi="Titillium"/>
          <w:iCs/>
          <w:sz w:val="18"/>
          <w:szCs w:val="18"/>
        </w:rPr>
      </w:pPr>
      <w:r>
        <w:rPr>
          <w:rFonts w:ascii="Titillium" w:hAnsi="Titillium"/>
          <w:i/>
          <w:sz w:val="18"/>
          <w:szCs w:val="18"/>
        </w:rPr>
        <w:t>N.B. Quando la stazione appaltante richiede l’indicazione di più valori che possono risultare discordanti (ad esempio prezzo e ribasso) indica anche un criterio di prevalenza.</w:t>
      </w:r>
    </w:p>
    <w:p w14:paraId="4FB1C7A3" w14:textId="77777777" w:rsidR="004C53A8" w:rsidRDefault="00870286" w:rsidP="00084AD6">
      <w:pPr>
        <w:pStyle w:val="Titolo2"/>
        <w:numPr>
          <w:ilvl w:val="0"/>
          <w:numId w:val="4"/>
        </w:numPr>
        <w:ind w:left="357" w:hanging="357"/>
        <w:rPr>
          <w:rFonts w:ascii="Titillium" w:hAnsi="Titillium"/>
          <w:sz w:val="18"/>
          <w:szCs w:val="18"/>
        </w:rPr>
      </w:pPr>
      <w:bookmarkStart w:id="1947" w:name="_Toc353990398"/>
      <w:bookmarkStart w:id="1948" w:name="_Ref498421982"/>
      <w:bookmarkStart w:id="1949" w:name="_Toc416423371"/>
      <w:bookmarkStart w:id="1950" w:name="_Toc406754188"/>
      <w:bookmarkStart w:id="1951" w:name="_Toc406058387"/>
      <w:bookmarkStart w:id="1952" w:name="_Toc403471279"/>
      <w:bookmarkStart w:id="1953" w:name="_Toc397422872"/>
      <w:bookmarkStart w:id="1954" w:name="_Toc397346831"/>
      <w:bookmarkStart w:id="1955" w:name="_Toc393706916"/>
      <w:bookmarkStart w:id="1956" w:name="_Toc393700843"/>
      <w:bookmarkStart w:id="1957" w:name="_Toc393283184"/>
      <w:bookmarkStart w:id="1958" w:name="_Toc393272668"/>
      <w:bookmarkStart w:id="1959" w:name="_Toc393272610"/>
      <w:bookmarkStart w:id="1960" w:name="_Toc393187854"/>
      <w:bookmarkStart w:id="1961" w:name="_Toc393112137"/>
      <w:bookmarkStart w:id="1962" w:name="_Toc393110573"/>
      <w:bookmarkStart w:id="1963" w:name="_Toc392577506"/>
      <w:bookmarkStart w:id="1964" w:name="_Toc391036065"/>
      <w:bookmarkStart w:id="1965" w:name="_Toc391035992"/>
      <w:bookmarkStart w:id="1966" w:name="_Toc380501879"/>
      <w:bookmarkStart w:id="1967" w:name="_Toc139549444"/>
      <w:bookmarkEnd w:id="1947"/>
      <w:r>
        <w:rPr>
          <w:rFonts w:ascii="Titillium" w:hAnsi="Titillium"/>
          <w:sz w:val="18"/>
          <w:szCs w:val="18"/>
        </w:rPr>
        <w:t>CRITERIO DI AGGIUDICAZIONE</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14:paraId="72449845" w14:textId="300280ED" w:rsidR="004C53A8" w:rsidRDefault="00870286">
      <w:pPr>
        <w:spacing w:before="60" w:after="60"/>
        <w:rPr>
          <w:rFonts w:ascii="Titillium" w:hAnsi="Titillium" w:cs="Calibri"/>
          <w:sz w:val="18"/>
          <w:szCs w:val="18"/>
          <w:lang w:eastAsia="it-IT"/>
        </w:rPr>
      </w:pPr>
      <w:r>
        <w:rPr>
          <w:rFonts w:ascii="Titillium" w:hAnsi="Titillium" w:cs="Calibri"/>
          <w:sz w:val="18"/>
          <w:szCs w:val="18"/>
          <w:lang w:eastAsia="it-IT"/>
        </w:rPr>
        <w:t>L’appalto è aggiudicato in base al criterio dell’offerta economicamente più vantaggiosa individuata sulla base del miglior rapporto qualità/prezzo.</w:t>
      </w:r>
    </w:p>
    <w:p w14:paraId="4C928A06" w14:textId="073F8ACB" w:rsidR="004C53A8" w:rsidRDefault="00870286">
      <w:pPr>
        <w:spacing w:before="60" w:after="60"/>
        <w:rPr>
          <w:rFonts w:ascii="Titillium" w:hAnsi="Titillium" w:cs="Calibri"/>
          <w:i/>
          <w:sz w:val="18"/>
          <w:szCs w:val="18"/>
          <w:lang w:eastAsia="it-IT"/>
        </w:rPr>
      </w:pPr>
      <w:r>
        <w:rPr>
          <w:rFonts w:ascii="Titillium" w:hAnsi="Titillium" w:cs="Calibri"/>
          <w:sz w:val="18"/>
          <w:szCs w:val="18"/>
          <w:lang w:eastAsia="it-IT"/>
        </w:rPr>
        <w:t xml:space="preserve">La valutazione dell’offerta tecnica e dell’offerta economica è effettuata in base ai seguenti punteggi </w:t>
      </w:r>
      <w:r>
        <w:rPr>
          <w:rFonts w:ascii="Titillium" w:hAnsi="Titillium" w:cs="Calibri"/>
          <w:i/>
          <w:sz w:val="18"/>
          <w:szCs w:val="18"/>
          <w:lang w:eastAsia="it-IT"/>
        </w:rPr>
        <w:t>[la stazione appaltante, valorizza gli elementi qualitativi dell’offerta e individua criteri tali da garantire un confronto concorrenziale effettivo sui profili tecnici].</w:t>
      </w:r>
    </w:p>
    <w:tbl>
      <w:tblPr>
        <w:tblW w:w="5000" w:type="pct"/>
        <w:tblLook w:val="04A0" w:firstRow="1" w:lastRow="0" w:firstColumn="1" w:lastColumn="0" w:noHBand="0" w:noVBand="1"/>
      </w:tblPr>
      <w:tblGrid>
        <w:gridCol w:w="4609"/>
        <w:gridCol w:w="4605"/>
      </w:tblGrid>
      <w:tr w:rsidR="004C53A8" w14:paraId="2E3F6BA5" w14:textId="77777777" w:rsidTr="007D2C48">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2CC5E4DE" w14:textId="77777777" w:rsidR="004C53A8" w:rsidRDefault="004C53A8">
            <w:pPr>
              <w:spacing w:before="60" w:after="60"/>
              <w:rPr>
                <w:rFonts w:ascii="Titillium" w:hAnsi="Titillium" w:cs="Calibri"/>
                <w:i/>
                <w:sz w:val="18"/>
                <w:szCs w:val="18"/>
                <w:lang w:eastAsia="it-IT"/>
              </w:rPr>
            </w:pP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3EE9E693" w14:textId="77777777" w:rsidR="004C53A8" w:rsidRDefault="00870286">
            <w:pPr>
              <w:spacing w:before="60" w:after="60"/>
              <w:jc w:val="center"/>
              <w:rPr>
                <w:rFonts w:ascii="Titillium" w:hAnsi="Titillium" w:cs="Calibri"/>
                <w:b/>
                <w:sz w:val="18"/>
                <w:szCs w:val="18"/>
                <w:lang w:eastAsia="it-IT"/>
              </w:rPr>
            </w:pPr>
            <w:r>
              <w:rPr>
                <w:rFonts w:ascii="Titillium" w:hAnsi="Titillium" w:cs="Calibri"/>
                <w:b/>
                <w:sz w:val="18"/>
                <w:szCs w:val="18"/>
                <w:lang w:eastAsia="it-IT"/>
              </w:rPr>
              <w:t>PUNTEGGIO MASSIMO</w:t>
            </w:r>
          </w:p>
        </w:tc>
      </w:tr>
      <w:tr w:rsidR="004C53A8" w14:paraId="461DCE14" w14:textId="77777777" w:rsidTr="007D2C48">
        <w:tc>
          <w:tcPr>
            <w:tcW w:w="2501" w:type="pct"/>
            <w:tcBorders>
              <w:top w:val="single" w:sz="4" w:space="0" w:color="000000"/>
              <w:left w:val="single" w:sz="4" w:space="0" w:color="000000"/>
              <w:bottom w:val="single" w:sz="4" w:space="0" w:color="000000"/>
              <w:right w:val="single" w:sz="4" w:space="0" w:color="000000"/>
            </w:tcBorders>
          </w:tcPr>
          <w:p w14:paraId="52117567" w14:textId="77777777" w:rsidR="004C53A8" w:rsidRDefault="00870286">
            <w:pPr>
              <w:spacing w:before="60" w:after="60"/>
              <w:jc w:val="center"/>
              <w:rPr>
                <w:rFonts w:ascii="Titillium" w:hAnsi="Titillium"/>
                <w:sz w:val="18"/>
                <w:szCs w:val="18"/>
                <w:lang w:eastAsia="it-IT"/>
              </w:rPr>
            </w:pPr>
            <w:r>
              <w:rPr>
                <w:rFonts w:ascii="Titillium" w:hAnsi="Titillium"/>
                <w:sz w:val="18"/>
                <w:szCs w:val="18"/>
                <w:lang w:eastAsia="it-IT"/>
              </w:rPr>
              <w:t>Offerta tecnica</w:t>
            </w:r>
          </w:p>
        </w:tc>
        <w:tc>
          <w:tcPr>
            <w:tcW w:w="2499" w:type="pct"/>
            <w:tcBorders>
              <w:top w:val="single" w:sz="4" w:space="0" w:color="000000"/>
              <w:left w:val="single" w:sz="4" w:space="0" w:color="000000"/>
              <w:bottom w:val="single" w:sz="4" w:space="0" w:color="000000"/>
              <w:right w:val="single" w:sz="4" w:space="0" w:color="000000"/>
            </w:tcBorders>
          </w:tcPr>
          <w:p w14:paraId="02D1CFCE" w14:textId="77777777" w:rsidR="004C53A8" w:rsidRDefault="00870286">
            <w:pPr>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4C53A8" w14:paraId="5D2BB62F" w14:textId="77777777" w:rsidTr="007D2C48">
        <w:tc>
          <w:tcPr>
            <w:tcW w:w="2501" w:type="pct"/>
            <w:tcBorders>
              <w:top w:val="single" w:sz="4" w:space="0" w:color="000000"/>
              <w:left w:val="single" w:sz="4" w:space="0" w:color="000000"/>
              <w:bottom w:val="single" w:sz="4" w:space="0" w:color="000000"/>
              <w:right w:val="single" w:sz="4" w:space="0" w:color="000000"/>
            </w:tcBorders>
          </w:tcPr>
          <w:p w14:paraId="0077B09C" w14:textId="77777777" w:rsidR="004C53A8" w:rsidRDefault="00870286">
            <w:pPr>
              <w:spacing w:before="60" w:after="60"/>
              <w:jc w:val="center"/>
              <w:rPr>
                <w:rFonts w:ascii="Titillium" w:hAnsi="Titillium"/>
                <w:sz w:val="18"/>
                <w:szCs w:val="18"/>
                <w:lang w:eastAsia="it-IT"/>
              </w:rPr>
            </w:pPr>
            <w:r>
              <w:rPr>
                <w:rFonts w:ascii="Titillium" w:hAnsi="Titillium"/>
                <w:sz w:val="18"/>
                <w:szCs w:val="18"/>
                <w:lang w:eastAsia="it-IT"/>
              </w:rPr>
              <w:t>Offerta economica</w:t>
            </w:r>
          </w:p>
        </w:tc>
        <w:tc>
          <w:tcPr>
            <w:tcW w:w="2499" w:type="pct"/>
            <w:tcBorders>
              <w:top w:val="single" w:sz="4" w:space="0" w:color="000000"/>
              <w:left w:val="single" w:sz="4" w:space="0" w:color="000000"/>
              <w:bottom w:val="single" w:sz="4" w:space="0" w:color="000000"/>
              <w:right w:val="single" w:sz="4" w:space="0" w:color="000000"/>
            </w:tcBorders>
          </w:tcPr>
          <w:p w14:paraId="0ABF04E7" w14:textId="5EF48820" w:rsidR="004C53A8" w:rsidRDefault="00870286">
            <w:pPr>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4C53A8" w14:paraId="4A3453B7" w14:textId="77777777" w:rsidTr="007D2C48">
        <w:tc>
          <w:tcPr>
            <w:tcW w:w="2501" w:type="pct"/>
            <w:tcBorders>
              <w:top w:val="single" w:sz="4" w:space="0" w:color="000000"/>
              <w:left w:val="single" w:sz="4" w:space="0" w:color="000000"/>
              <w:bottom w:val="single" w:sz="4" w:space="0" w:color="000000"/>
              <w:right w:val="single" w:sz="4" w:space="0" w:color="000000"/>
            </w:tcBorders>
            <w:shd w:val="clear" w:color="auto" w:fill="D9D9D9"/>
          </w:tcPr>
          <w:p w14:paraId="70F90B1D" w14:textId="77777777" w:rsidR="004C53A8" w:rsidRDefault="00870286">
            <w:pPr>
              <w:spacing w:before="60" w:after="60"/>
              <w:jc w:val="center"/>
              <w:rPr>
                <w:rFonts w:ascii="Titillium" w:hAnsi="Titillium" w:cs="Calibri"/>
                <w:sz w:val="18"/>
                <w:szCs w:val="18"/>
                <w:lang w:eastAsia="it-IT"/>
              </w:rPr>
            </w:pPr>
            <w:r>
              <w:rPr>
                <w:rFonts w:ascii="Titillium" w:hAnsi="Titillium" w:cs="Calibri"/>
                <w:sz w:val="18"/>
                <w:szCs w:val="18"/>
                <w:lang w:eastAsia="it-IT"/>
              </w:rPr>
              <w:t>TOTALE</w:t>
            </w:r>
          </w:p>
        </w:tc>
        <w:tc>
          <w:tcPr>
            <w:tcW w:w="2499" w:type="pct"/>
            <w:tcBorders>
              <w:top w:val="single" w:sz="4" w:space="0" w:color="000000"/>
              <w:left w:val="single" w:sz="4" w:space="0" w:color="000000"/>
              <w:bottom w:val="single" w:sz="4" w:space="0" w:color="000000"/>
              <w:right w:val="single" w:sz="4" w:space="0" w:color="000000"/>
            </w:tcBorders>
            <w:shd w:val="clear" w:color="auto" w:fill="D9D9D9"/>
          </w:tcPr>
          <w:p w14:paraId="1D2C5E8F" w14:textId="77777777" w:rsidR="004C53A8" w:rsidRDefault="00870286">
            <w:pPr>
              <w:spacing w:before="60" w:after="60"/>
              <w:jc w:val="center"/>
              <w:rPr>
                <w:rFonts w:ascii="Titillium" w:hAnsi="Titillium" w:cs="Calibri"/>
                <w:sz w:val="18"/>
                <w:szCs w:val="18"/>
                <w:lang w:eastAsia="it-IT"/>
              </w:rPr>
            </w:pPr>
            <w:r>
              <w:rPr>
                <w:rFonts w:ascii="Titillium" w:hAnsi="Titillium" w:cs="Calibri"/>
                <w:sz w:val="18"/>
                <w:szCs w:val="18"/>
                <w:lang w:eastAsia="it-IT"/>
              </w:rPr>
              <w:t>100</w:t>
            </w:r>
          </w:p>
        </w:tc>
      </w:tr>
    </w:tbl>
    <w:p w14:paraId="3F74023E" w14:textId="77777777" w:rsidR="0013560D" w:rsidRDefault="007D2C48" w:rsidP="00D86312">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lang w:eastAsia="it-IT"/>
        </w:rPr>
      </w:pPr>
      <w:r w:rsidRPr="00D86312">
        <w:rPr>
          <w:rFonts w:ascii="Titillium" w:hAnsi="Titillium" w:cs="Calibri"/>
          <w:i/>
          <w:sz w:val="18"/>
          <w:szCs w:val="18"/>
          <w:lang w:eastAsia="it-IT"/>
        </w:rPr>
        <w:t xml:space="preserve">N.B.: </w:t>
      </w:r>
      <w:r w:rsidR="00D86312">
        <w:rPr>
          <w:rFonts w:ascii="Titillium" w:hAnsi="Titillium" w:cs="Calibri"/>
          <w:i/>
          <w:sz w:val="18"/>
          <w:szCs w:val="18"/>
          <w:lang w:eastAsia="it-IT"/>
        </w:rPr>
        <w:t>Ai sensi de</w:t>
      </w:r>
      <w:r w:rsidRPr="00D86312">
        <w:rPr>
          <w:rFonts w:ascii="Titillium" w:hAnsi="Titillium" w:cs="Calibri"/>
          <w:i/>
          <w:sz w:val="18"/>
          <w:szCs w:val="18"/>
          <w:lang w:eastAsia="it-IT"/>
        </w:rPr>
        <w:t>ll’art</w:t>
      </w:r>
      <w:r w:rsidR="00D86312">
        <w:rPr>
          <w:rFonts w:ascii="Titillium" w:hAnsi="Titillium" w:cs="Calibri"/>
          <w:i/>
          <w:sz w:val="18"/>
          <w:szCs w:val="18"/>
          <w:lang w:eastAsia="it-IT"/>
        </w:rPr>
        <w:t xml:space="preserve">icolo </w:t>
      </w:r>
      <w:r w:rsidRPr="00D86312">
        <w:rPr>
          <w:rFonts w:ascii="Titillium" w:hAnsi="Titillium" w:cs="Calibri"/>
          <w:i/>
          <w:sz w:val="18"/>
          <w:szCs w:val="18"/>
          <w:lang w:eastAsia="it-IT"/>
        </w:rPr>
        <w:t xml:space="preserve">108 comma 4 </w:t>
      </w:r>
      <w:r w:rsidR="00D86312">
        <w:rPr>
          <w:rFonts w:ascii="Titillium" w:hAnsi="Titillium" w:cs="Calibri"/>
          <w:i/>
          <w:sz w:val="18"/>
          <w:szCs w:val="18"/>
          <w:lang w:eastAsia="it-IT"/>
        </w:rPr>
        <w:t xml:space="preserve">quando </w:t>
      </w:r>
      <w:r w:rsidR="00D86312" w:rsidRPr="00D86312">
        <w:rPr>
          <w:rFonts w:ascii="Titillium" w:hAnsi="Titillium" w:cs="Calibri"/>
          <w:i/>
          <w:sz w:val="18"/>
          <w:szCs w:val="18"/>
          <w:lang w:eastAsia="it-IT"/>
        </w:rPr>
        <w:t>i</w:t>
      </w:r>
      <w:r w:rsidR="00D86312">
        <w:rPr>
          <w:rFonts w:ascii="Titillium" w:hAnsi="Titillium" w:cs="Calibri"/>
          <w:i/>
          <w:sz w:val="18"/>
          <w:szCs w:val="18"/>
          <w:lang w:eastAsia="it-IT"/>
        </w:rPr>
        <w:t xml:space="preserve"> </w:t>
      </w:r>
      <w:r w:rsidR="00D86312" w:rsidRPr="00D86312">
        <w:rPr>
          <w:rFonts w:ascii="Titillium" w:hAnsi="Titillium" w:cs="Calibri"/>
          <w:i/>
          <w:sz w:val="18"/>
          <w:szCs w:val="18"/>
          <w:lang w:eastAsia="it-IT"/>
        </w:rPr>
        <w:t xml:space="preserve">beni e servizi informatici oggetto di appalto sono impiegati </w:t>
      </w:r>
      <w:r w:rsidR="00D86312">
        <w:rPr>
          <w:rFonts w:ascii="Titillium" w:hAnsi="Titillium" w:cs="Calibri"/>
          <w:i/>
          <w:sz w:val="18"/>
          <w:szCs w:val="18"/>
          <w:lang w:eastAsia="it-IT"/>
        </w:rPr>
        <w:t>in u</w:t>
      </w:r>
      <w:r w:rsidR="00D86312" w:rsidRPr="00D86312">
        <w:rPr>
          <w:rFonts w:ascii="Titillium" w:hAnsi="Titillium" w:cs="Calibri"/>
          <w:i/>
          <w:sz w:val="18"/>
          <w:szCs w:val="18"/>
          <w:lang w:eastAsia="it-IT"/>
        </w:rPr>
        <w:t>n</w:t>
      </w:r>
      <w:r w:rsidR="00D86312">
        <w:rPr>
          <w:rFonts w:ascii="Titillium" w:hAnsi="Titillium" w:cs="Calibri"/>
          <w:i/>
          <w:sz w:val="18"/>
          <w:szCs w:val="18"/>
          <w:lang w:eastAsia="it-IT"/>
        </w:rPr>
        <w:t xml:space="preserve"> </w:t>
      </w:r>
      <w:r w:rsidR="00D86312" w:rsidRPr="00D86312">
        <w:rPr>
          <w:rFonts w:ascii="Titillium" w:hAnsi="Titillium" w:cs="Calibri"/>
          <w:i/>
          <w:sz w:val="18"/>
          <w:szCs w:val="18"/>
          <w:lang w:eastAsia="it-IT"/>
        </w:rPr>
        <w:t>contesto connesso alla tutela degli interessi nazionali strategici,</w:t>
      </w:r>
      <w:r w:rsidR="00D86312">
        <w:rPr>
          <w:rFonts w:ascii="Titillium" w:hAnsi="Titillium" w:cs="Calibri"/>
          <w:i/>
          <w:sz w:val="18"/>
          <w:szCs w:val="18"/>
          <w:lang w:eastAsia="it-IT"/>
        </w:rPr>
        <w:t xml:space="preserve"> </w:t>
      </w:r>
      <w:r w:rsidR="00D86312" w:rsidRPr="00D86312">
        <w:rPr>
          <w:rFonts w:ascii="Titillium" w:hAnsi="Titillium" w:cs="Calibri"/>
          <w:i/>
          <w:sz w:val="18"/>
          <w:szCs w:val="18"/>
          <w:lang w:eastAsia="it-IT"/>
        </w:rPr>
        <w:t>la stazione appaltante stabilisce un t</w:t>
      </w:r>
      <w:r w:rsidR="00D86312">
        <w:rPr>
          <w:rFonts w:ascii="Titillium" w:hAnsi="Titillium" w:cs="Calibri"/>
          <w:i/>
          <w:sz w:val="18"/>
          <w:szCs w:val="18"/>
          <w:lang w:eastAsia="it-IT"/>
        </w:rPr>
        <w:t xml:space="preserve">etto massimo per il punteggio </w:t>
      </w:r>
      <w:r w:rsidR="00D86312" w:rsidRPr="00D86312">
        <w:rPr>
          <w:rFonts w:ascii="Titillium" w:hAnsi="Titillium" w:cs="Calibri"/>
          <w:i/>
          <w:sz w:val="18"/>
          <w:szCs w:val="18"/>
          <w:lang w:eastAsia="it-IT"/>
        </w:rPr>
        <w:t>economico entro il limite del</w:t>
      </w:r>
      <w:r w:rsidR="00D86312">
        <w:rPr>
          <w:rFonts w:ascii="Titillium" w:hAnsi="Titillium" w:cs="Calibri"/>
          <w:i/>
          <w:sz w:val="18"/>
          <w:szCs w:val="18"/>
          <w:lang w:eastAsia="it-IT"/>
        </w:rPr>
        <w:t xml:space="preserve"> 10 per cento. </w:t>
      </w:r>
    </w:p>
    <w:p w14:paraId="735E8570" w14:textId="75755192" w:rsidR="007D2C48" w:rsidRDefault="00D86312" w:rsidP="00D86312">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lang w:eastAsia="it-IT"/>
        </w:rPr>
      </w:pPr>
      <w:r>
        <w:rPr>
          <w:rFonts w:ascii="Titillium" w:hAnsi="Titillium" w:cs="Calibri"/>
          <w:i/>
          <w:sz w:val="18"/>
          <w:szCs w:val="18"/>
          <w:lang w:eastAsia="it-IT"/>
        </w:rPr>
        <w:t xml:space="preserve">Per i contratti </w:t>
      </w:r>
      <w:r w:rsidRPr="00D86312">
        <w:rPr>
          <w:rFonts w:ascii="Titillium" w:hAnsi="Titillium" w:cs="Calibri"/>
          <w:i/>
          <w:sz w:val="18"/>
          <w:szCs w:val="18"/>
          <w:lang w:eastAsia="it-IT"/>
        </w:rPr>
        <w:t>ad alta</w:t>
      </w:r>
      <w:r>
        <w:rPr>
          <w:rFonts w:ascii="Titillium" w:hAnsi="Titillium" w:cs="Calibri"/>
          <w:i/>
          <w:sz w:val="18"/>
          <w:szCs w:val="18"/>
          <w:lang w:eastAsia="it-IT"/>
        </w:rPr>
        <w:t xml:space="preserve"> intensità </w:t>
      </w:r>
      <w:r w:rsidRPr="00D86312">
        <w:rPr>
          <w:rFonts w:ascii="Titillium" w:hAnsi="Titillium" w:cs="Calibri"/>
          <w:i/>
          <w:sz w:val="18"/>
          <w:szCs w:val="18"/>
          <w:lang w:eastAsia="it-IT"/>
        </w:rPr>
        <w:t>di manodopera, la sta</w:t>
      </w:r>
      <w:r>
        <w:rPr>
          <w:rFonts w:ascii="Titillium" w:hAnsi="Titillium" w:cs="Calibri"/>
          <w:i/>
          <w:sz w:val="18"/>
          <w:szCs w:val="18"/>
          <w:lang w:eastAsia="it-IT"/>
        </w:rPr>
        <w:t xml:space="preserve">zione appaltante stabilisce un </w:t>
      </w:r>
      <w:r w:rsidRPr="00D86312">
        <w:rPr>
          <w:rFonts w:ascii="Titillium" w:hAnsi="Titillium" w:cs="Calibri"/>
          <w:i/>
          <w:sz w:val="18"/>
          <w:szCs w:val="18"/>
          <w:lang w:eastAsia="it-IT"/>
        </w:rPr>
        <w:t>tetto</w:t>
      </w:r>
      <w:r>
        <w:rPr>
          <w:rFonts w:ascii="Titillium" w:hAnsi="Titillium" w:cs="Calibri"/>
          <w:i/>
          <w:sz w:val="18"/>
          <w:szCs w:val="18"/>
          <w:lang w:eastAsia="it-IT"/>
        </w:rPr>
        <w:t xml:space="preserve"> </w:t>
      </w:r>
      <w:r w:rsidRPr="00D86312">
        <w:rPr>
          <w:rFonts w:ascii="Titillium" w:hAnsi="Titillium" w:cs="Calibri"/>
          <w:i/>
          <w:sz w:val="18"/>
          <w:szCs w:val="18"/>
          <w:lang w:eastAsia="it-IT"/>
        </w:rPr>
        <w:t>massimo per il punteggio economico entro il limite del 30 per cento</w:t>
      </w:r>
      <w:r w:rsidR="00D23775">
        <w:rPr>
          <w:rFonts w:ascii="Titillium" w:hAnsi="Titillium" w:cs="Calibri"/>
          <w:i/>
          <w:sz w:val="18"/>
          <w:szCs w:val="18"/>
          <w:lang w:eastAsia="it-IT"/>
        </w:rPr>
        <w:t>.</w:t>
      </w:r>
    </w:p>
    <w:p w14:paraId="145F3377" w14:textId="77777777" w:rsidR="006A351C" w:rsidRDefault="006A351C" w:rsidP="00D9231F">
      <w:pPr>
        <w:spacing w:before="60" w:after="60"/>
        <w:rPr>
          <w:rFonts w:ascii="Titillium" w:hAnsi="Titillium" w:cs="Calibri"/>
          <w:i/>
          <w:sz w:val="18"/>
          <w:szCs w:val="18"/>
          <w:lang w:eastAsia="it-IT"/>
        </w:rPr>
      </w:pPr>
    </w:p>
    <w:p w14:paraId="420AF086" w14:textId="18EA792D" w:rsidR="004C53A8" w:rsidRDefault="004C667D" w:rsidP="00084AD6">
      <w:pPr>
        <w:pStyle w:val="Titolo3"/>
        <w:numPr>
          <w:ilvl w:val="1"/>
          <w:numId w:val="4"/>
        </w:numPr>
        <w:ind w:left="426" w:hanging="426"/>
      </w:pPr>
      <w:bookmarkStart w:id="1968" w:name="_Ref497226940"/>
      <w:bookmarkStart w:id="1969" w:name="_Ref497226908"/>
      <w:bookmarkStart w:id="1970" w:name="_Ref129786124"/>
      <w:bookmarkStart w:id="1971" w:name="_Toc139549445"/>
      <w:r>
        <w:rPr>
          <w:rFonts w:ascii="Titillium" w:hAnsi="Titillium"/>
          <w:iCs/>
          <w:caps w:val="0"/>
          <w:sz w:val="18"/>
          <w:szCs w:val="18"/>
        </w:rPr>
        <w:lastRenderedPageBreak/>
        <w:t>CRITERI DI VALUTAZIONE DELL’OFFERTA TECNICA</w:t>
      </w:r>
      <w:bookmarkEnd w:id="1968"/>
      <w:bookmarkEnd w:id="1969"/>
      <w:bookmarkEnd w:id="1970"/>
      <w:bookmarkEnd w:id="1971"/>
    </w:p>
    <w:p w14:paraId="6E839A6E" w14:textId="3DC18B20" w:rsidR="00A213AB" w:rsidRDefault="00A213AB" w:rsidP="00A213AB">
      <w:pPr>
        <w:spacing w:before="60" w:after="60"/>
        <w:rPr>
          <w:rFonts w:ascii="Titillium" w:hAnsi="Titillium" w:cs="Calibri"/>
          <w:sz w:val="18"/>
          <w:szCs w:val="18"/>
          <w:lang w:eastAsia="it-IT"/>
        </w:rPr>
      </w:pPr>
      <w:r>
        <w:rPr>
          <w:rFonts w:ascii="Titillium" w:hAnsi="Titillium" w:cs="Calibri"/>
          <w:sz w:val="18"/>
          <w:szCs w:val="18"/>
          <w:lang w:eastAsia="it-IT"/>
        </w:rPr>
        <w:t>Il punteggio dell’offerta tecnica è attribuito sulla base dei criteri di valutazione elencati nella sottostante tabella</w:t>
      </w:r>
      <w:r>
        <w:rPr>
          <w:rFonts w:ascii="Titillium" w:hAnsi="Titillium"/>
          <w:sz w:val="18"/>
          <w:szCs w:val="18"/>
        </w:rPr>
        <w:t xml:space="preserve"> con</w:t>
      </w:r>
      <w:r>
        <w:rPr>
          <w:rFonts w:ascii="Titillium" w:hAnsi="Titillium" w:cs="Calibri"/>
          <w:sz w:val="18"/>
          <w:szCs w:val="18"/>
          <w:lang w:eastAsia="it-IT"/>
        </w:rPr>
        <w:t xml:space="preserve"> la relativa ripartizione dei punteggi.</w:t>
      </w:r>
    </w:p>
    <w:p w14:paraId="49C86FF6" w14:textId="77777777" w:rsidR="00A213AB" w:rsidRPr="00041A5C" w:rsidRDefault="00A213AB" w:rsidP="00A213AB">
      <w:pPr>
        <w:spacing w:before="60" w:after="60"/>
        <w:rPr>
          <w:rFonts w:ascii="Titillium" w:hAnsi="Titillium" w:cs="Calibri"/>
          <w:sz w:val="18"/>
          <w:szCs w:val="18"/>
          <w:lang w:eastAsia="it-IT"/>
        </w:rPr>
      </w:pPr>
      <w:r w:rsidRPr="00041A5C">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 commissione giudicatrice.</w:t>
      </w:r>
    </w:p>
    <w:p w14:paraId="297C0FE7" w14:textId="77777777" w:rsidR="00A213AB" w:rsidRPr="00041A5C" w:rsidRDefault="00A213AB" w:rsidP="00A213AB">
      <w:pPr>
        <w:spacing w:before="60" w:after="60"/>
        <w:rPr>
          <w:rFonts w:ascii="Titillium" w:hAnsi="Titillium" w:cs="Calibri"/>
          <w:sz w:val="18"/>
          <w:szCs w:val="18"/>
          <w:lang w:eastAsia="it-IT"/>
        </w:rPr>
      </w:pPr>
      <w:r w:rsidRPr="00041A5C">
        <w:rPr>
          <w:rFonts w:ascii="Titillium" w:hAnsi="Titillium" w:cs="Calibri"/>
          <w:sz w:val="18"/>
          <w:szCs w:val="18"/>
          <w:lang w:eastAsia="it-IT"/>
        </w:rPr>
        <w:t>Nella colonna identificata con la lettera Q vengono indicati i “Punteggi quantitativi”, vale a dire i punteggi il cui coefficiente è attribuito mediante applicazione di una formula matematica.</w:t>
      </w:r>
    </w:p>
    <w:p w14:paraId="177ADB1A" w14:textId="77777777" w:rsidR="00A213AB" w:rsidRDefault="00A213AB" w:rsidP="00A213AB">
      <w:pPr>
        <w:spacing w:before="60" w:after="60"/>
        <w:rPr>
          <w:rFonts w:ascii="Titillium" w:hAnsi="Titillium" w:cs="Calibri"/>
          <w:sz w:val="18"/>
          <w:szCs w:val="18"/>
          <w:lang w:eastAsia="it-IT"/>
        </w:rPr>
      </w:pPr>
      <w:r w:rsidRPr="00041A5C">
        <w:rPr>
          <w:rFonts w:ascii="Titillium" w:hAnsi="Titillium" w:cs="Calibri"/>
          <w:sz w:val="18"/>
          <w:szCs w:val="18"/>
          <w:lang w:eastAsia="it-IT"/>
        </w:rPr>
        <w:t>Nella colonna identificata dalla lettera T vengono indicati i “Punteggi tabellari”, vale a dire i punteggi fissi e predefiniti che saranno attribuiti o non attribuiti in ragione dell’offerta o mancata offerta di quanto specificamente richiesto.</w:t>
      </w:r>
      <w:r>
        <w:rPr>
          <w:rFonts w:ascii="Titillium" w:hAnsi="Titillium" w:cs="Calibri"/>
          <w:sz w:val="18"/>
          <w:szCs w:val="18"/>
          <w:lang w:eastAsia="it-IT"/>
        </w:rPr>
        <w:t xml:space="preserve"> </w:t>
      </w:r>
    </w:p>
    <w:p w14:paraId="5F34212D" w14:textId="77777777" w:rsidR="00A213AB" w:rsidRDefault="00A213AB" w:rsidP="00A213AB">
      <w:pPr>
        <w:spacing w:before="120" w:after="60"/>
        <w:rPr>
          <w:rFonts w:ascii="Titillium" w:hAnsi="Titillium"/>
          <w:b/>
          <w:i/>
          <w:sz w:val="18"/>
          <w:szCs w:val="18"/>
          <w:lang w:eastAsia="it-IT"/>
        </w:rPr>
      </w:pPr>
      <w:r>
        <w:rPr>
          <w:rFonts w:ascii="Titillium" w:hAnsi="Titillium"/>
          <w:b/>
          <w:i/>
          <w:sz w:val="18"/>
          <w:szCs w:val="18"/>
          <w:lang w:eastAsia="it-IT"/>
        </w:rPr>
        <w:t>Tabella dei criteri discrezionali (D), quantitativi (Q) e tabellari (T) di valutazione dell’offerta tecnica</w:t>
      </w:r>
    </w:p>
    <w:tbl>
      <w:tblPr>
        <w:tblW w:w="5056" w:type="pct"/>
        <w:tblInd w:w="-108" w:type="dxa"/>
        <w:tblLook w:val="04A0" w:firstRow="1" w:lastRow="0" w:firstColumn="1" w:lastColumn="0" w:noHBand="0" w:noVBand="1"/>
      </w:tblPr>
      <w:tblGrid>
        <w:gridCol w:w="446"/>
        <w:gridCol w:w="1763"/>
        <w:gridCol w:w="925"/>
        <w:gridCol w:w="456"/>
        <w:gridCol w:w="498"/>
        <w:gridCol w:w="2065"/>
        <w:gridCol w:w="1058"/>
        <w:gridCol w:w="1067"/>
        <w:gridCol w:w="1039"/>
      </w:tblGrid>
      <w:tr w:rsidR="00A213AB" w14:paraId="560F1114" w14:textId="77777777" w:rsidTr="009A683A">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9A60B"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n°</w:t>
            </w: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3E703" w14:textId="77777777" w:rsidR="00A213AB" w:rsidRDefault="00A213AB" w:rsidP="009A683A">
            <w:pPr>
              <w:spacing w:before="60" w:after="60" w:line="240" w:lineRule="auto"/>
              <w:jc w:val="center"/>
              <w:rPr>
                <w:rFonts w:ascii="Titillium" w:hAnsi="Titillium" w:cs="Calibri"/>
                <w:bCs/>
                <w:smallCaps/>
                <w:sz w:val="18"/>
                <w:szCs w:val="18"/>
                <w:lang w:eastAsia="it-IT"/>
              </w:rPr>
            </w:pPr>
            <w:r>
              <w:rPr>
                <w:rFonts w:ascii="Titillium" w:hAnsi="Titillium" w:cs="Calibri"/>
                <w:bCs/>
                <w:smallCaps/>
                <w:sz w:val="18"/>
                <w:szCs w:val="18"/>
                <w:lang w:eastAsia="it-IT"/>
              </w:rPr>
              <w:t>criteri di valutazione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23109"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w:t>
            </w:r>
            <w:proofErr w:type="spellStart"/>
            <w:r>
              <w:rPr>
                <w:rFonts w:ascii="Titillium" w:hAnsi="Titillium"/>
                <w:bCs/>
                <w:smallCaps/>
                <w:color w:val="000000"/>
                <w:sz w:val="18"/>
                <w:szCs w:val="18"/>
              </w:rPr>
              <w:t>max</w:t>
            </w:r>
            <w:proofErr w:type="spellEnd"/>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14F00309" w14:textId="77777777" w:rsidR="00A213AB" w:rsidRDefault="00A213AB" w:rsidP="009A683A">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11ECD" w14:textId="77777777" w:rsidR="00A213AB" w:rsidRDefault="00A213AB" w:rsidP="009A683A">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77098"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sub-criteri di valutazione</w:t>
            </w: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A7540F"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D </w:t>
            </w:r>
            <w:proofErr w:type="spellStart"/>
            <w:r>
              <w:rPr>
                <w:rFonts w:ascii="Titillium" w:hAnsi="Titillium"/>
                <w:bCs/>
                <w:smallCaps/>
                <w:color w:val="000000"/>
                <w:sz w:val="18"/>
                <w:szCs w:val="18"/>
              </w:rPr>
              <w:t>max</w:t>
            </w:r>
            <w:proofErr w:type="spellEnd"/>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5078F2"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Q </w:t>
            </w:r>
            <w:proofErr w:type="spellStart"/>
            <w:r>
              <w:rPr>
                <w:rFonts w:ascii="Titillium" w:hAnsi="Titillium"/>
                <w:bCs/>
                <w:smallCaps/>
                <w:color w:val="000000"/>
                <w:sz w:val="18"/>
                <w:szCs w:val="18"/>
              </w:rPr>
              <w:t>max</w:t>
            </w:r>
            <w:proofErr w:type="spellEnd"/>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CD047"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 xml:space="preserve">punti T </w:t>
            </w:r>
            <w:proofErr w:type="spellStart"/>
            <w:r>
              <w:rPr>
                <w:rFonts w:ascii="Titillium" w:hAnsi="Titillium"/>
                <w:bCs/>
                <w:smallCaps/>
                <w:color w:val="000000"/>
                <w:sz w:val="18"/>
                <w:szCs w:val="18"/>
              </w:rPr>
              <w:t>max</w:t>
            </w:r>
            <w:proofErr w:type="spellEnd"/>
          </w:p>
        </w:tc>
      </w:tr>
      <w:tr w:rsidR="00A213AB" w14:paraId="6776F6D7" w14:textId="77777777" w:rsidTr="009A683A">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B0F0B94"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1</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2B3BE20B" w14:textId="77777777" w:rsidR="00A213AB" w:rsidRDefault="00A213AB" w:rsidP="009A683A">
            <w:pPr>
              <w:spacing w:before="60" w:after="60" w:line="240" w:lineRule="auto"/>
              <w:jc w:val="center"/>
            </w:pPr>
            <w:r>
              <w:rPr>
                <w:rFonts w:ascii="Titillium" w:hAnsi="Titillium"/>
                <w:bCs/>
                <w:sz w:val="18"/>
                <w:szCs w:val="18"/>
              </w:rPr>
              <w:t xml:space="preserve">… </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335B7918"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574150EE"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7FCA91AD"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1.1</w:t>
            </w:r>
          </w:p>
        </w:tc>
        <w:tc>
          <w:tcPr>
            <w:tcW w:w="2177" w:type="dxa"/>
            <w:tcBorders>
              <w:top w:val="single" w:sz="4" w:space="0" w:color="000000"/>
              <w:left w:val="single" w:sz="4" w:space="0" w:color="000000"/>
              <w:bottom w:val="single" w:sz="4" w:space="0" w:color="000000"/>
              <w:right w:val="single" w:sz="4" w:space="0" w:color="000000"/>
            </w:tcBorders>
            <w:vAlign w:val="center"/>
          </w:tcPr>
          <w:p w14:paraId="1943842C"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E325C3B"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D0931E0"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64CB548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391C833C" w14:textId="77777777" w:rsidTr="009A683A">
        <w:tc>
          <w:tcPr>
            <w:tcW w:w="451" w:type="dxa"/>
            <w:vMerge/>
            <w:tcBorders>
              <w:top w:val="single" w:sz="4" w:space="0" w:color="000000"/>
              <w:left w:val="single" w:sz="4" w:space="0" w:color="000000"/>
              <w:bottom w:val="single" w:sz="4" w:space="0" w:color="000000"/>
              <w:right w:val="single" w:sz="4" w:space="0" w:color="000000"/>
            </w:tcBorders>
            <w:vAlign w:val="center"/>
          </w:tcPr>
          <w:p w14:paraId="59E88599" w14:textId="77777777" w:rsidR="00A213AB" w:rsidRDefault="00A213AB" w:rsidP="009A683A"/>
        </w:tc>
        <w:tc>
          <w:tcPr>
            <w:tcW w:w="1841" w:type="dxa"/>
            <w:vMerge/>
            <w:tcBorders>
              <w:top w:val="single" w:sz="4" w:space="0" w:color="000000"/>
              <w:left w:val="single" w:sz="4" w:space="0" w:color="000000"/>
              <w:bottom w:val="single" w:sz="4" w:space="0" w:color="000000"/>
              <w:right w:val="single" w:sz="4" w:space="0" w:color="000000"/>
            </w:tcBorders>
            <w:vAlign w:val="center"/>
          </w:tcPr>
          <w:p w14:paraId="485A2336" w14:textId="77777777" w:rsidR="00A213AB" w:rsidRDefault="00A213AB" w:rsidP="009A683A"/>
        </w:tc>
        <w:tc>
          <w:tcPr>
            <w:tcW w:w="962" w:type="dxa"/>
            <w:vMerge/>
            <w:tcBorders>
              <w:top w:val="single" w:sz="4" w:space="0" w:color="000000"/>
              <w:left w:val="single" w:sz="4" w:space="0" w:color="000000"/>
              <w:bottom w:val="single" w:sz="4" w:space="0" w:color="000000"/>
              <w:right w:val="single" w:sz="4" w:space="0" w:color="000000"/>
            </w:tcBorders>
            <w:vAlign w:val="center"/>
          </w:tcPr>
          <w:p w14:paraId="4505A649" w14:textId="77777777" w:rsidR="00A213AB" w:rsidRDefault="00A213AB" w:rsidP="009A683A"/>
        </w:tc>
        <w:tc>
          <w:tcPr>
            <w:tcW w:w="482" w:type="dxa"/>
            <w:tcBorders>
              <w:top w:val="single" w:sz="4" w:space="0" w:color="000000"/>
              <w:left w:val="single" w:sz="4" w:space="0" w:color="000000"/>
              <w:bottom w:val="single" w:sz="4" w:space="0" w:color="000000"/>
              <w:right w:val="single" w:sz="4" w:space="0" w:color="000000"/>
            </w:tcBorders>
          </w:tcPr>
          <w:p w14:paraId="04C905EE"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2EF532E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1.2</w:t>
            </w:r>
          </w:p>
        </w:tc>
        <w:tc>
          <w:tcPr>
            <w:tcW w:w="2177" w:type="dxa"/>
            <w:tcBorders>
              <w:top w:val="single" w:sz="4" w:space="0" w:color="000000"/>
              <w:left w:val="single" w:sz="4" w:space="0" w:color="000000"/>
              <w:bottom w:val="single" w:sz="4" w:space="0" w:color="000000"/>
              <w:right w:val="single" w:sz="4" w:space="0" w:color="000000"/>
            </w:tcBorders>
            <w:vAlign w:val="center"/>
          </w:tcPr>
          <w:p w14:paraId="0FAED802" w14:textId="77777777" w:rsidR="00A213AB" w:rsidRDefault="00A213AB" w:rsidP="009A683A">
            <w:pPr>
              <w:spacing w:before="60" w:after="60" w:line="240" w:lineRule="auto"/>
              <w:jc w:val="center"/>
              <w:rPr>
                <w:rFonts w:ascii="Titillium" w:hAnsi="Titillium"/>
                <w:i/>
                <w:sz w:val="18"/>
                <w:szCs w:val="18"/>
              </w:rPr>
            </w:pPr>
            <w:r>
              <w:rPr>
                <w:rFonts w:ascii="Titillium" w:hAnsi="Titillium"/>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1A18384"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C3F4108"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51AEC731"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0AA8AECC" w14:textId="77777777" w:rsidTr="009A683A">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5E365DF"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2</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4FC7E404"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42835CA6"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4486150F"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66E2C89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2.1</w:t>
            </w:r>
          </w:p>
        </w:tc>
        <w:tc>
          <w:tcPr>
            <w:tcW w:w="2177" w:type="dxa"/>
            <w:tcBorders>
              <w:top w:val="single" w:sz="4" w:space="0" w:color="000000"/>
              <w:left w:val="single" w:sz="4" w:space="0" w:color="000000"/>
              <w:bottom w:val="single" w:sz="4" w:space="0" w:color="000000"/>
              <w:right w:val="single" w:sz="4" w:space="0" w:color="000000"/>
            </w:tcBorders>
            <w:vAlign w:val="center"/>
          </w:tcPr>
          <w:p w14:paraId="253681DB" w14:textId="77777777" w:rsidR="00A213AB" w:rsidRDefault="00A213AB" w:rsidP="009A683A">
            <w:pPr>
              <w:spacing w:before="60" w:after="60" w:line="240" w:lineRule="auto"/>
              <w:jc w:val="center"/>
              <w:rPr>
                <w:rFonts w:ascii="Titillium" w:hAnsi="Titillium"/>
                <w:bCs/>
                <w:i/>
                <w:sz w:val="18"/>
                <w:szCs w:val="18"/>
              </w:rPr>
            </w:pPr>
            <w:r>
              <w:rPr>
                <w:rFonts w:ascii="Titillium" w:hAnsi="Titillium"/>
                <w:bCs/>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3720741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31285C5"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28A2DA9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690CD204" w14:textId="77777777" w:rsidTr="009A683A">
        <w:tc>
          <w:tcPr>
            <w:tcW w:w="451" w:type="dxa"/>
            <w:vMerge/>
            <w:tcBorders>
              <w:top w:val="single" w:sz="4" w:space="0" w:color="000000"/>
              <w:left w:val="single" w:sz="4" w:space="0" w:color="000000"/>
              <w:bottom w:val="single" w:sz="4" w:space="0" w:color="000000"/>
              <w:right w:val="single" w:sz="4" w:space="0" w:color="000000"/>
            </w:tcBorders>
            <w:vAlign w:val="center"/>
          </w:tcPr>
          <w:p w14:paraId="044676B8" w14:textId="77777777" w:rsidR="00A213AB" w:rsidRDefault="00A213AB" w:rsidP="009A683A"/>
        </w:tc>
        <w:tc>
          <w:tcPr>
            <w:tcW w:w="1841" w:type="dxa"/>
            <w:vMerge/>
            <w:tcBorders>
              <w:top w:val="single" w:sz="4" w:space="0" w:color="000000"/>
              <w:left w:val="single" w:sz="4" w:space="0" w:color="000000"/>
              <w:bottom w:val="single" w:sz="4" w:space="0" w:color="000000"/>
              <w:right w:val="single" w:sz="4" w:space="0" w:color="000000"/>
            </w:tcBorders>
            <w:vAlign w:val="center"/>
          </w:tcPr>
          <w:p w14:paraId="1E452393" w14:textId="77777777" w:rsidR="00A213AB" w:rsidRDefault="00A213AB" w:rsidP="009A683A"/>
        </w:tc>
        <w:tc>
          <w:tcPr>
            <w:tcW w:w="962" w:type="dxa"/>
            <w:vMerge/>
            <w:tcBorders>
              <w:top w:val="single" w:sz="4" w:space="0" w:color="000000"/>
              <w:left w:val="single" w:sz="4" w:space="0" w:color="000000"/>
              <w:bottom w:val="single" w:sz="4" w:space="0" w:color="000000"/>
              <w:right w:val="single" w:sz="4" w:space="0" w:color="000000"/>
            </w:tcBorders>
            <w:vAlign w:val="center"/>
          </w:tcPr>
          <w:p w14:paraId="5D7270C1" w14:textId="77777777" w:rsidR="00A213AB" w:rsidRDefault="00A213AB" w:rsidP="009A683A"/>
        </w:tc>
        <w:tc>
          <w:tcPr>
            <w:tcW w:w="482" w:type="dxa"/>
            <w:tcBorders>
              <w:top w:val="single" w:sz="4" w:space="0" w:color="000000"/>
              <w:left w:val="single" w:sz="4" w:space="0" w:color="000000"/>
              <w:bottom w:val="single" w:sz="4" w:space="0" w:color="000000"/>
              <w:right w:val="single" w:sz="4" w:space="0" w:color="000000"/>
            </w:tcBorders>
          </w:tcPr>
          <w:p w14:paraId="0A5C785B"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1881DF2D"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2.2</w:t>
            </w:r>
          </w:p>
        </w:tc>
        <w:tc>
          <w:tcPr>
            <w:tcW w:w="2177" w:type="dxa"/>
            <w:tcBorders>
              <w:top w:val="single" w:sz="4" w:space="0" w:color="000000"/>
              <w:left w:val="single" w:sz="4" w:space="0" w:color="000000"/>
              <w:bottom w:val="single" w:sz="4" w:space="0" w:color="000000"/>
              <w:right w:val="single" w:sz="4" w:space="0" w:color="000000"/>
            </w:tcBorders>
            <w:vAlign w:val="center"/>
          </w:tcPr>
          <w:p w14:paraId="495B89F4"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57C82FDA"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35E0B2B6"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0834B4E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3105A384" w14:textId="77777777" w:rsidTr="009A683A">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E1C3F6" w14:textId="77777777" w:rsidR="00A213AB" w:rsidRDefault="00A213AB" w:rsidP="009A683A">
            <w:pPr>
              <w:spacing w:before="60" w:after="60" w:line="240" w:lineRule="auto"/>
              <w:jc w:val="center"/>
              <w:rPr>
                <w:rFonts w:ascii="Titillium" w:hAnsi="Titillium"/>
                <w:sz w:val="18"/>
                <w:szCs w:val="18"/>
                <w:lang w:eastAsia="it-IT"/>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78C69"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Totale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25C07"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100</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3BD1681D" w14:textId="77777777" w:rsidR="00A213AB" w:rsidRDefault="00A213AB" w:rsidP="009A683A">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3E5D7" w14:textId="77777777" w:rsidR="00A213AB" w:rsidRDefault="00A213AB" w:rsidP="009A683A">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569FC" w14:textId="77777777" w:rsidR="00A213AB" w:rsidRDefault="00A213AB" w:rsidP="009A683A">
            <w:pPr>
              <w:spacing w:before="60" w:after="60" w:line="240" w:lineRule="auto"/>
              <w:jc w:val="center"/>
              <w:rPr>
                <w:rFonts w:ascii="Titillium" w:hAnsi="Titillium"/>
                <w:sz w:val="18"/>
                <w:szCs w:val="18"/>
                <w:lang w:eastAsia="it-IT"/>
              </w:rPr>
            </w:pP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FAC35" w14:textId="77777777" w:rsidR="00A213AB" w:rsidRDefault="00A213AB" w:rsidP="009A683A">
            <w:pPr>
              <w:spacing w:before="60" w:after="60" w:line="240" w:lineRule="auto"/>
              <w:rPr>
                <w:rFonts w:ascii="Titillium" w:hAnsi="Titillium"/>
                <w:sz w:val="18"/>
                <w:szCs w:val="18"/>
                <w:lang w:eastAsia="it-IT"/>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1E47EA" w14:textId="77777777" w:rsidR="00A213AB" w:rsidRDefault="00A213AB" w:rsidP="009A683A">
            <w:pPr>
              <w:spacing w:before="60" w:after="60" w:line="240" w:lineRule="auto"/>
              <w:rPr>
                <w:rFonts w:ascii="Titillium" w:hAnsi="Titillium"/>
                <w:sz w:val="18"/>
                <w:szCs w:val="18"/>
                <w:lang w:eastAsia="it-IT"/>
              </w:rPr>
            </w:pP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9D3F7" w14:textId="77777777" w:rsidR="00A213AB" w:rsidRDefault="00A213AB" w:rsidP="009A683A">
            <w:pPr>
              <w:spacing w:before="60" w:after="60" w:line="240" w:lineRule="auto"/>
              <w:rPr>
                <w:rFonts w:ascii="Titillium" w:hAnsi="Titillium"/>
                <w:sz w:val="18"/>
                <w:szCs w:val="18"/>
                <w:lang w:eastAsia="it-IT"/>
              </w:rPr>
            </w:pPr>
          </w:p>
        </w:tc>
      </w:tr>
    </w:tbl>
    <w:p w14:paraId="405ED14D" w14:textId="23582449" w:rsidR="00A213AB" w:rsidRDefault="00A213AB" w:rsidP="00A213AB">
      <w:pPr>
        <w:spacing w:before="120" w:after="60"/>
        <w:rPr>
          <w:rFonts w:ascii="Titillium" w:hAnsi="Titillium"/>
          <w:sz w:val="18"/>
          <w:szCs w:val="18"/>
          <w:lang w:eastAsia="it-IT"/>
        </w:rPr>
      </w:pPr>
    </w:p>
    <w:p w14:paraId="03056790" w14:textId="4EB7CCF0" w:rsidR="00050774" w:rsidRDefault="00EF19B1" w:rsidP="00EF19B1">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lang w:eastAsia="it-IT"/>
        </w:rPr>
      </w:pPr>
      <w:r w:rsidRPr="00F16718">
        <w:rPr>
          <w:rFonts w:ascii="Titillium" w:hAnsi="Titillium" w:cs="Arial"/>
          <w:i/>
          <w:sz w:val="18"/>
          <w:szCs w:val="18"/>
        </w:rPr>
        <w:t xml:space="preserve">N.B: </w:t>
      </w:r>
      <w:r>
        <w:rPr>
          <w:rFonts w:ascii="Titillium" w:hAnsi="Titillium" w:cs="Calibri"/>
          <w:i/>
          <w:iCs/>
          <w:sz w:val="18"/>
          <w:szCs w:val="18"/>
          <w:lang w:eastAsia="it-IT"/>
        </w:rPr>
        <w:t xml:space="preserve">nell’individuare </w:t>
      </w:r>
      <w:r w:rsidR="00050774">
        <w:rPr>
          <w:rFonts w:ascii="Titillium" w:hAnsi="Titillium" w:cs="Calibri"/>
          <w:i/>
          <w:iCs/>
          <w:sz w:val="18"/>
          <w:szCs w:val="18"/>
          <w:lang w:eastAsia="it-IT"/>
        </w:rPr>
        <w:t>gli elementi di valutazione dell’offerta tecnica la stazione appaltante:</w:t>
      </w:r>
    </w:p>
    <w:p w14:paraId="4759720E" w14:textId="019D2A1D" w:rsidR="00EF19B1" w:rsidRPr="00763512" w:rsidRDefault="00050774" w:rsidP="00EF19B1">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lang w:eastAsia="it-IT"/>
        </w:rPr>
      </w:pPr>
      <w:r>
        <w:rPr>
          <w:rFonts w:ascii="Titillium" w:hAnsi="Titillium" w:cs="Calibri"/>
          <w:i/>
          <w:iCs/>
          <w:sz w:val="18"/>
          <w:szCs w:val="18"/>
          <w:lang w:eastAsia="it-IT"/>
        </w:rPr>
        <w:t xml:space="preserve"> - in</w:t>
      </w:r>
      <w:r w:rsidR="00EF19B1">
        <w:rPr>
          <w:rFonts w:ascii="Titillium" w:hAnsi="Titillium" w:cs="Calibri"/>
          <w:i/>
          <w:iCs/>
          <w:sz w:val="18"/>
          <w:szCs w:val="18"/>
          <w:lang w:eastAsia="it-IT"/>
        </w:rPr>
        <w:t xml:space="preserve"> caso</w:t>
      </w:r>
      <w:r w:rsidR="00EF19B1" w:rsidRPr="00763512">
        <w:rPr>
          <w:rFonts w:ascii="Titillium" w:hAnsi="Titillium" w:cs="Calibri"/>
          <w:i/>
          <w:iCs/>
          <w:sz w:val="18"/>
          <w:szCs w:val="18"/>
          <w:lang w:eastAsia="it-IT"/>
        </w:rPr>
        <w:t xml:space="preserve"> di servizi e forniture per i quali è vigente un decreto sui CAM, </w:t>
      </w:r>
      <w:r>
        <w:rPr>
          <w:rFonts w:ascii="Titillium" w:hAnsi="Titillium" w:cs="Calibri"/>
          <w:i/>
          <w:iCs/>
          <w:sz w:val="18"/>
          <w:szCs w:val="18"/>
          <w:lang w:eastAsia="it-IT"/>
        </w:rPr>
        <w:t>tiene</w:t>
      </w:r>
      <w:r w:rsidR="00EF19B1" w:rsidRPr="00763512">
        <w:rPr>
          <w:rFonts w:ascii="Titillium" w:hAnsi="Titillium" w:cs="Calibri"/>
          <w:i/>
          <w:iCs/>
          <w:sz w:val="18"/>
          <w:szCs w:val="18"/>
          <w:lang w:eastAsia="it-IT"/>
        </w:rPr>
        <w:t xml:space="preserve"> conto dei criteri premianti </w:t>
      </w:r>
      <w:r w:rsidR="00EF19B1">
        <w:rPr>
          <w:rFonts w:ascii="Titillium" w:hAnsi="Titillium" w:cs="Calibri"/>
          <w:i/>
          <w:iCs/>
          <w:sz w:val="18"/>
          <w:szCs w:val="18"/>
          <w:lang w:eastAsia="it-IT"/>
        </w:rPr>
        <w:t xml:space="preserve">ivi </w:t>
      </w:r>
      <w:r w:rsidR="00EF19B1" w:rsidRPr="00763512">
        <w:rPr>
          <w:rFonts w:ascii="Titillium" w:hAnsi="Titillium" w:cs="Calibri"/>
          <w:i/>
          <w:iCs/>
          <w:sz w:val="18"/>
          <w:szCs w:val="18"/>
          <w:lang w:eastAsia="it-IT"/>
        </w:rPr>
        <w:t>indicati</w:t>
      </w:r>
      <w:r>
        <w:rPr>
          <w:rFonts w:ascii="Titillium" w:hAnsi="Titillium" w:cs="Calibri"/>
          <w:i/>
          <w:iCs/>
          <w:sz w:val="18"/>
          <w:szCs w:val="18"/>
          <w:lang w:eastAsia="it-IT"/>
        </w:rPr>
        <w:t>;</w:t>
      </w:r>
    </w:p>
    <w:p w14:paraId="4D79585B" w14:textId="3E0183D1" w:rsidR="00EF19B1" w:rsidRDefault="00050774" w:rsidP="00EF19B1">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lang w:eastAsia="it-IT"/>
        </w:rPr>
      </w:pPr>
      <w:r>
        <w:rPr>
          <w:rFonts w:ascii="Titillium" w:hAnsi="Titillium" w:cs="Calibri"/>
          <w:i/>
          <w:iCs/>
          <w:sz w:val="18"/>
          <w:szCs w:val="18"/>
          <w:lang w:eastAsia="it-IT"/>
        </w:rPr>
        <w:t xml:space="preserve"> - </w:t>
      </w:r>
      <w:r w:rsidRPr="00763512">
        <w:rPr>
          <w:rFonts w:ascii="Titillium" w:hAnsi="Titillium" w:cs="Calibri"/>
          <w:i/>
          <w:iCs/>
          <w:sz w:val="18"/>
          <w:szCs w:val="18"/>
          <w:lang w:eastAsia="it-IT"/>
        </w:rPr>
        <w:t>può valorizzare</w:t>
      </w:r>
      <w:r>
        <w:rPr>
          <w:rFonts w:ascii="Titillium" w:hAnsi="Titillium" w:cs="Calibri"/>
          <w:i/>
          <w:iCs/>
          <w:sz w:val="18"/>
          <w:szCs w:val="18"/>
          <w:lang w:eastAsia="it-IT"/>
        </w:rPr>
        <w:t xml:space="preserve"> </w:t>
      </w:r>
      <w:r w:rsidRPr="00763512">
        <w:rPr>
          <w:rFonts w:ascii="Titillium" w:hAnsi="Titillium" w:cs="Calibri"/>
          <w:i/>
          <w:iCs/>
          <w:sz w:val="18"/>
          <w:szCs w:val="18"/>
          <w:lang w:eastAsia="it-IT"/>
        </w:rPr>
        <w:t>il possesso di un'etichettatura specifica nel rispetto delle condizioni indicate all’allegato II.5</w:t>
      </w:r>
      <w:r>
        <w:rPr>
          <w:rFonts w:ascii="Titillium" w:hAnsi="Titillium" w:cs="Calibri"/>
          <w:i/>
          <w:iCs/>
          <w:sz w:val="18"/>
          <w:szCs w:val="18"/>
          <w:lang w:eastAsia="it-IT"/>
        </w:rPr>
        <w:t xml:space="preserve"> qualora </w:t>
      </w:r>
      <w:r w:rsidR="00EF19B1" w:rsidRPr="00763512">
        <w:rPr>
          <w:rFonts w:ascii="Titillium" w:hAnsi="Titillium" w:cs="Calibri"/>
          <w:i/>
          <w:iCs/>
          <w:sz w:val="18"/>
          <w:szCs w:val="18"/>
          <w:lang w:eastAsia="it-IT"/>
        </w:rPr>
        <w:t>intenda acquistare forniture o servizi con specifiche caratteristiche ambientali, sociali o di altro tipo</w:t>
      </w:r>
      <w:r>
        <w:rPr>
          <w:rFonts w:ascii="Titillium" w:hAnsi="Titillium" w:cs="Calibri"/>
          <w:i/>
          <w:iCs/>
          <w:sz w:val="18"/>
          <w:szCs w:val="18"/>
          <w:lang w:eastAsia="it-IT"/>
        </w:rPr>
        <w:t>;</w:t>
      </w:r>
    </w:p>
    <w:p w14:paraId="6181E2DC" w14:textId="01F3A07F" w:rsidR="00050774" w:rsidRDefault="00050774" w:rsidP="00050774">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rPr>
      </w:pPr>
      <w:r>
        <w:rPr>
          <w:rFonts w:ascii="Titillium" w:hAnsi="Titillium" w:cs="Calibri"/>
          <w:i/>
          <w:iCs/>
          <w:sz w:val="18"/>
          <w:szCs w:val="18"/>
          <w:lang w:eastAsia="it-IT"/>
        </w:rPr>
        <w:t xml:space="preserve"> - </w:t>
      </w:r>
      <w:r w:rsidR="00695C3E">
        <w:rPr>
          <w:rFonts w:ascii="Titillium" w:hAnsi="Titillium" w:cs="Calibri"/>
          <w:i/>
          <w:iCs/>
          <w:sz w:val="18"/>
          <w:szCs w:val="18"/>
          <w:lang w:eastAsia="it-IT"/>
        </w:rPr>
        <w:t>individua il maggior punteggio da attribuire alle imp</w:t>
      </w:r>
      <w:r w:rsidR="005B4764">
        <w:rPr>
          <w:rFonts w:ascii="Titillium" w:hAnsi="Titillium" w:cs="Calibri"/>
          <w:i/>
          <w:iCs/>
          <w:sz w:val="18"/>
          <w:szCs w:val="18"/>
          <w:lang w:eastAsia="it-IT"/>
        </w:rPr>
        <w:t>r</w:t>
      </w:r>
      <w:r w:rsidR="00695C3E">
        <w:rPr>
          <w:rFonts w:ascii="Titillium" w:hAnsi="Titillium" w:cs="Calibri"/>
          <w:i/>
          <w:iCs/>
          <w:sz w:val="18"/>
          <w:szCs w:val="18"/>
          <w:lang w:eastAsia="it-IT"/>
        </w:rPr>
        <w:t xml:space="preserve">ese che attestano il possesso della certificazione </w:t>
      </w:r>
      <w:r w:rsidR="009432DD">
        <w:rPr>
          <w:rFonts w:ascii="Titillium" w:hAnsi="Titillium" w:cs="Calibri"/>
          <w:i/>
          <w:iCs/>
          <w:sz w:val="18"/>
          <w:szCs w:val="18"/>
          <w:lang w:eastAsia="it-IT"/>
        </w:rPr>
        <w:t>della parità di genere di cui all’articolo 46-bis del decreto legislativo n. 196/2006 (Codice delle pari opportunità)</w:t>
      </w:r>
      <w:r w:rsidR="00143EE6">
        <w:rPr>
          <w:rFonts w:ascii="Titillium" w:hAnsi="Titillium" w:cs="Calibri"/>
          <w:i/>
          <w:iCs/>
          <w:sz w:val="18"/>
          <w:szCs w:val="18"/>
          <w:lang w:eastAsia="it-IT"/>
        </w:rPr>
        <w:t>. Si richiamano le indicazioni fornite dall’ANAC con il Comunicato del Presidente del 30/11/2022</w:t>
      </w:r>
      <w:r w:rsidR="009432DD">
        <w:rPr>
          <w:rFonts w:ascii="Titillium" w:hAnsi="Titillium" w:cs="Calibri"/>
          <w:i/>
          <w:iCs/>
          <w:sz w:val="18"/>
          <w:szCs w:val="18"/>
          <w:lang w:eastAsia="it-IT"/>
        </w:rPr>
        <w:t xml:space="preserve"> </w:t>
      </w:r>
    </w:p>
    <w:p w14:paraId="441D12EF" w14:textId="76E230CA" w:rsidR="00050774" w:rsidRPr="00763512" w:rsidRDefault="00050774" w:rsidP="00EF19B1">
      <w:pPr>
        <w:pBdr>
          <w:top w:val="single" w:sz="4" w:space="1" w:color="auto"/>
          <w:left w:val="single" w:sz="4" w:space="4" w:color="auto"/>
          <w:bottom w:val="single" w:sz="4" w:space="1" w:color="auto"/>
          <w:right w:val="single" w:sz="4" w:space="4" w:color="auto"/>
        </w:pBdr>
        <w:spacing w:before="60" w:after="60"/>
        <w:rPr>
          <w:rFonts w:ascii="Titillium" w:hAnsi="Titillium" w:cs="Calibri"/>
          <w:i/>
          <w:iCs/>
          <w:sz w:val="18"/>
          <w:szCs w:val="18"/>
          <w:lang w:eastAsia="it-IT"/>
        </w:rPr>
      </w:pPr>
      <w:r>
        <w:rPr>
          <w:rFonts w:ascii="Titillium" w:hAnsi="Titillium" w:cs="Calibri"/>
          <w:i/>
          <w:sz w:val="18"/>
          <w:szCs w:val="18"/>
        </w:rPr>
        <w:t>Pe</w:t>
      </w:r>
      <w:r>
        <w:rPr>
          <w:rFonts w:ascii="Titillium" w:hAnsi="Titillium" w:cs="Arial"/>
          <w:bCs/>
          <w:i/>
          <w:sz w:val="18"/>
          <w:szCs w:val="18"/>
        </w:rPr>
        <w:t xml:space="preserve">r le procedure di gara </w:t>
      </w:r>
      <w:r w:rsidR="00AC56CE">
        <w:rPr>
          <w:rFonts w:ascii="Titillium" w:hAnsi="Titillium" w:cs="Arial"/>
          <w:bCs/>
          <w:i/>
          <w:sz w:val="18"/>
          <w:szCs w:val="18"/>
        </w:rPr>
        <w:t>riservate ai sensi dell’articolo 61 del codice e</w:t>
      </w:r>
      <w:r w:rsidR="00582A6D">
        <w:rPr>
          <w:rFonts w:ascii="Titillium" w:hAnsi="Titillium" w:cs="Arial"/>
          <w:bCs/>
          <w:i/>
          <w:sz w:val="18"/>
          <w:szCs w:val="18"/>
        </w:rPr>
        <w:t>/o</w:t>
      </w:r>
      <w:r w:rsidR="00B71B93">
        <w:rPr>
          <w:rFonts w:ascii="Titillium" w:hAnsi="Titillium" w:cs="Arial"/>
          <w:bCs/>
          <w:i/>
          <w:sz w:val="18"/>
          <w:szCs w:val="18"/>
        </w:rPr>
        <w:t xml:space="preserve"> </w:t>
      </w:r>
      <w:r w:rsidR="00AC56CE">
        <w:rPr>
          <w:rFonts w:ascii="Titillium" w:hAnsi="Titillium" w:cs="Arial"/>
          <w:bCs/>
          <w:i/>
          <w:sz w:val="18"/>
          <w:szCs w:val="18"/>
        </w:rPr>
        <w:t xml:space="preserve">per quelle </w:t>
      </w:r>
      <w:r>
        <w:rPr>
          <w:rFonts w:ascii="Titillium" w:hAnsi="Titillium" w:cs="Arial"/>
          <w:bCs/>
          <w:i/>
          <w:sz w:val="18"/>
          <w:szCs w:val="18"/>
        </w:rPr>
        <w:t xml:space="preserve">afferenti </w:t>
      </w:r>
      <w:r w:rsidR="006866C5">
        <w:rPr>
          <w:rFonts w:ascii="Titillium" w:hAnsi="Titillium" w:cs="Arial"/>
          <w:bCs/>
          <w:i/>
          <w:sz w:val="18"/>
          <w:szCs w:val="18"/>
        </w:rPr>
        <w:t>a</w:t>
      </w:r>
      <w:r>
        <w:rPr>
          <w:rFonts w:ascii="Titillium" w:hAnsi="Titillium" w:cs="Arial"/>
          <w:bCs/>
          <w:i/>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Pr>
          <w:rFonts w:ascii="Titillium" w:hAnsi="Titillium" w:cs="Courier New"/>
          <w:i/>
          <w:sz w:val="18"/>
          <w:szCs w:val="18"/>
        </w:rPr>
        <w:t>decreto legge 31 maggio 2021, n. 77, convertito, con modificazioni, dalla legge 29 luglio 2021, n. 108</w:t>
      </w:r>
      <w:r>
        <w:rPr>
          <w:rFonts w:ascii="Titillium" w:hAnsi="Titillium" w:cs="Arial"/>
          <w:i/>
          <w:sz w:val="18"/>
          <w:szCs w:val="18"/>
        </w:rPr>
        <w:t>, le</w:t>
      </w:r>
      <w:r>
        <w:rPr>
          <w:rFonts w:ascii="Titillium" w:hAnsi="Titillium" w:cs="Calibri"/>
          <w:i/>
          <w:sz w:val="18"/>
          <w:szCs w:val="18"/>
        </w:rPr>
        <w:t xml:space="preserve"> stazioni appaltanti</w:t>
      </w:r>
      <w:r>
        <w:rPr>
          <w:rFonts w:ascii="Titillium" w:hAnsi="Titillium" w:cs="Courier New"/>
          <w:i/>
          <w:sz w:val="18"/>
          <w:szCs w:val="18"/>
        </w:rPr>
        <w:t xml:space="preserve">, </w:t>
      </w:r>
      <w:r w:rsidR="00B71B93">
        <w:rPr>
          <w:rFonts w:ascii="Titillium" w:hAnsi="Titillium" w:cs="Calibri"/>
          <w:i/>
          <w:sz w:val="18"/>
          <w:szCs w:val="18"/>
        </w:rPr>
        <w:t xml:space="preserve">inseriscono </w:t>
      </w:r>
      <w:r>
        <w:rPr>
          <w:rFonts w:ascii="Titillium" w:hAnsi="Titillium" w:cs="Calibri"/>
          <w:i/>
          <w:sz w:val="18"/>
          <w:szCs w:val="18"/>
        </w:rPr>
        <w:t xml:space="preserve">nei bandi di gara, negli avvisi e negli inviti, le clausole che introducono come ulteriori requisiti premiali dell’offerta (di cui </w:t>
      </w:r>
      <w:r>
        <w:rPr>
          <w:rFonts w:ascii="Titillium" w:hAnsi="Titillium" w:cs="Arial"/>
          <w:bCs/>
          <w:i/>
          <w:sz w:val="18"/>
          <w:szCs w:val="18"/>
        </w:rPr>
        <w:t xml:space="preserve">all’articolo 47, commi 4 e 5, decreto legge 77/2021) </w:t>
      </w:r>
      <w:r>
        <w:rPr>
          <w:rFonts w:ascii="Titillium" w:hAnsi="Titillium" w:cs="Calibri"/>
          <w:i/>
          <w:sz w:val="18"/>
          <w:szCs w:val="18"/>
        </w:rPr>
        <w:t>criteri orientati a promuovere l'imprenditoria giovanile, l’inclusione lavorativa delle persone disabili, la parità di genere e l'assunzione</w:t>
      </w:r>
      <w:r>
        <w:rPr>
          <w:rFonts w:ascii="Titillium" w:hAnsi="Titillium" w:cs="Arial"/>
          <w:i/>
          <w:sz w:val="18"/>
          <w:szCs w:val="18"/>
        </w:rPr>
        <w:t xml:space="preserve"> di giovani, con età inferiore a trentasei anni, e di donne. A tal fine, le stazioni appaltanti preved</w:t>
      </w:r>
      <w:r w:rsidR="00331F80">
        <w:rPr>
          <w:rFonts w:ascii="Titillium" w:hAnsi="Titillium" w:cs="Arial"/>
          <w:i/>
          <w:sz w:val="18"/>
          <w:szCs w:val="18"/>
        </w:rPr>
        <w:t>ono</w:t>
      </w:r>
      <w:r>
        <w:rPr>
          <w:rFonts w:ascii="Titillium" w:hAnsi="Titillium" w:cs="Arial"/>
          <w:i/>
          <w:sz w:val="18"/>
          <w:szCs w:val="18"/>
        </w:rPr>
        <w:t xml:space="preserve"> l’attribuzione di punteggi aggiuntivi in favore del concorrente che si trovi in una o più delle situazioni di cui </w:t>
      </w:r>
      <w:r w:rsidR="00AC56CE">
        <w:rPr>
          <w:rFonts w:ascii="Titillium" w:hAnsi="Titillium" w:cs="Arial"/>
          <w:i/>
          <w:sz w:val="18"/>
          <w:szCs w:val="18"/>
        </w:rPr>
        <w:t>alle linee guida adottate dal Dipartimento per le pari opportunità ai sensi de</w:t>
      </w:r>
      <w:r>
        <w:rPr>
          <w:rFonts w:ascii="Titillium" w:hAnsi="Titillium" w:cs="Arial"/>
          <w:i/>
          <w:sz w:val="18"/>
          <w:szCs w:val="18"/>
        </w:rPr>
        <w:t>ll’articolo 47, comma 5, decreto legge 77/21</w:t>
      </w:r>
      <w:r w:rsidR="00AC56CE">
        <w:rPr>
          <w:rFonts w:ascii="Titillium" w:hAnsi="Titillium" w:cs="Arial"/>
          <w:i/>
          <w:sz w:val="18"/>
          <w:szCs w:val="18"/>
        </w:rPr>
        <w:t xml:space="preserve">, per i contratti PNRR e dell’allegato II.3 per le procedure riservate ex articolo 61 del codice. </w:t>
      </w:r>
      <w:r>
        <w:rPr>
          <w:rFonts w:ascii="Titillium" w:hAnsi="Titillium" w:cs="Arial"/>
          <w:i/>
          <w:sz w:val="18"/>
          <w:szCs w:val="18"/>
        </w:rPr>
        <w:t xml:space="preserve"> </w:t>
      </w:r>
    </w:p>
    <w:p w14:paraId="102904AF" w14:textId="77777777" w:rsidR="00EF19B1" w:rsidRDefault="00EF19B1" w:rsidP="00A213AB">
      <w:pPr>
        <w:spacing w:before="120" w:after="60"/>
        <w:rPr>
          <w:rFonts w:ascii="Titillium" w:hAnsi="Titillium"/>
          <w:sz w:val="18"/>
          <w:szCs w:val="18"/>
          <w:lang w:eastAsia="it-IT"/>
        </w:rPr>
      </w:pPr>
    </w:p>
    <w:p w14:paraId="0A32E20D" w14:textId="1F5F5215" w:rsidR="005D6FBF" w:rsidRDefault="00A213AB" w:rsidP="00A213AB">
      <w:pPr>
        <w:spacing w:before="120" w:after="60"/>
        <w:rPr>
          <w:rFonts w:ascii="Titillium" w:hAnsi="Titillium"/>
          <w:i/>
          <w:sz w:val="18"/>
          <w:szCs w:val="18"/>
        </w:rPr>
      </w:pPr>
      <w:r>
        <w:rPr>
          <w:rFonts w:ascii="Titillium" w:hAnsi="Titillium"/>
          <w:b/>
          <w:i/>
          <w:sz w:val="18"/>
          <w:szCs w:val="18"/>
        </w:rPr>
        <w:t xml:space="preserve">[Facoltativo: soglia di sbarramento al punteggio tecnico] </w:t>
      </w:r>
      <w:r>
        <w:rPr>
          <w:rFonts w:ascii="Titillium" w:hAnsi="Titillium" w:cs="Calibri"/>
          <w:sz w:val="18"/>
          <w:szCs w:val="18"/>
          <w:lang w:eastAsia="it-IT"/>
        </w:rPr>
        <w:t xml:space="preserve">Il </w:t>
      </w:r>
      <w:r w:rsidRPr="009519DD">
        <w:rPr>
          <w:rFonts w:ascii="Titillium" w:hAnsi="Titillium" w:cs="Calibri"/>
          <w:sz w:val="18"/>
          <w:szCs w:val="18"/>
          <w:lang w:eastAsia="it-IT"/>
        </w:rPr>
        <w:t>concorrente è escluso dalla</w:t>
      </w:r>
      <w:r>
        <w:rPr>
          <w:rFonts w:ascii="Titillium" w:hAnsi="Titillium" w:cs="Calibri"/>
          <w:sz w:val="18"/>
          <w:szCs w:val="18"/>
          <w:lang w:eastAsia="it-IT"/>
        </w:rPr>
        <w:t xml:space="preserve"> gara nel caso in cui consegua un punteggio inferiore alla </w:t>
      </w:r>
      <w:r>
        <w:rPr>
          <w:rFonts w:ascii="Titillium" w:hAnsi="Titillium"/>
          <w:sz w:val="18"/>
          <w:szCs w:val="18"/>
        </w:rPr>
        <w:t>soglia minima di sbarramento pari a ...</w:t>
      </w:r>
      <w:r>
        <w:rPr>
          <w:rFonts w:ascii="Titillium" w:hAnsi="Titillium"/>
          <w:i/>
          <w:sz w:val="18"/>
          <w:szCs w:val="18"/>
        </w:rPr>
        <w:t xml:space="preserve"> [indicare la/le soglie di punteggio]</w:t>
      </w:r>
      <w:r>
        <w:rPr>
          <w:rFonts w:ascii="Titillium" w:hAnsi="Titillium"/>
          <w:sz w:val="18"/>
          <w:szCs w:val="18"/>
        </w:rPr>
        <w:t xml:space="preserve"> per … </w:t>
      </w:r>
      <w:r>
        <w:rPr>
          <w:rFonts w:ascii="Titillium" w:hAnsi="Titillium"/>
          <w:i/>
          <w:sz w:val="18"/>
          <w:szCs w:val="18"/>
        </w:rPr>
        <w:t>[indicare “il punteggio tecnico complessivo” oppure indicare “i seguenti criteri: …”, specificando i criteri su cui applicare lo sbarramento</w:t>
      </w:r>
      <w:r w:rsidR="005D6FBF">
        <w:rPr>
          <w:rFonts w:ascii="Titillium" w:hAnsi="Titillium"/>
          <w:i/>
          <w:sz w:val="18"/>
          <w:szCs w:val="18"/>
        </w:rPr>
        <w:t>].</w:t>
      </w:r>
    </w:p>
    <w:p w14:paraId="1090425B" w14:textId="504BE5B0" w:rsidR="00A213AB" w:rsidRDefault="005D6FBF" w:rsidP="00A213AB">
      <w:pPr>
        <w:spacing w:before="120" w:after="60"/>
        <w:rPr>
          <w:rFonts w:ascii="Titillium" w:hAnsi="Titillium" w:cs="Calibri"/>
          <w:sz w:val="18"/>
          <w:szCs w:val="18"/>
          <w:lang w:eastAsia="it-IT"/>
        </w:rPr>
      </w:pPr>
      <w:r>
        <w:rPr>
          <w:rFonts w:ascii="Titillium" w:hAnsi="Titillium" w:cs="Calibri"/>
          <w:i/>
          <w:sz w:val="18"/>
          <w:szCs w:val="18"/>
          <w:lang w:eastAsia="it-IT"/>
        </w:rPr>
        <w:t>[</w:t>
      </w:r>
      <w:r w:rsidR="00A213AB" w:rsidRPr="0056756A">
        <w:rPr>
          <w:rFonts w:ascii="Titillium" w:hAnsi="Titillium" w:cs="Calibri"/>
          <w:i/>
          <w:sz w:val="18"/>
          <w:szCs w:val="18"/>
          <w:lang w:eastAsia="it-IT"/>
        </w:rPr>
        <w:t>Nel caso in cui sia prevista una riparametrazione dei punteggi tecnici]</w:t>
      </w:r>
      <w:r w:rsidR="00A213AB">
        <w:rPr>
          <w:rFonts w:ascii="Titillium" w:hAnsi="Titillium" w:cs="Calibri"/>
          <w:i/>
          <w:sz w:val="18"/>
          <w:szCs w:val="18"/>
          <w:lang w:eastAsia="it-IT"/>
        </w:rPr>
        <w:t xml:space="preserve"> </w:t>
      </w:r>
      <w:r w:rsidR="00A213AB">
        <w:rPr>
          <w:rFonts w:ascii="Titillium" w:hAnsi="Titillium" w:cs="Calibri"/>
          <w:sz w:val="18"/>
          <w:szCs w:val="18"/>
          <w:lang w:eastAsia="it-IT"/>
        </w:rPr>
        <w:t xml:space="preserve">Il superamento della soglia di sbarramento è calcolato prima della riparametrazione di cui </w:t>
      </w:r>
      <w:r w:rsidR="00A213AB" w:rsidRPr="005D6FBF">
        <w:rPr>
          <w:rFonts w:ascii="Titillium" w:hAnsi="Titillium" w:cs="Calibri"/>
          <w:sz w:val="18"/>
          <w:szCs w:val="18"/>
          <w:lang w:eastAsia="it-IT"/>
        </w:rPr>
        <w:t xml:space="preserve">al punto </w:t>
      </w:r>
      <w:r w:rsidR="00050774" w:rsidRPr="005D6FBF">
        <w:rPr>
          <w:rFonts w:ascii="Titillium" w:hAnsi="Titillium" w:cs="Calibri"/>
          <w:sz w:val="18"/>
          <w:szCs w:val="18"/>
          <w:lang w:eastAsia="it-IT"/>
        </w:rPr>
        <w:fldChar w:fldCharType="begin"/>
      </w:r>
      <w:r w:rsidR="00050774" w:rsidRPr="005D6FBF">
        <w:rPr>
          <w:rFonts w:ascii="Titillium" w:hAnsi="Titillium" w:cs="Calibri"/>
          <w:sz w:val="18"/>
          <w:szCs w:val="18"/>
          <w:lang w:eastAsia="it-IT"/>
        </w:rPr>
        <w:instrText xml:space="preserve"> REF _Ref497226795 \r \h </w:instrText>
      </w:r>
      <w:r>
        <w:rPr>
          <w:rFonts w:ascii="Titillium" w:hAnsi="Titillium" w:cs="Calibri"/>
          <w:sz w:val="18"/>
          <w:szCs w:val="18"/>
          <w:lang w:eastAsia="it-IT"/>
        </w:rPr>
        <w:instrText xml:space="preserve"> \* MERGEFORMAT </w:instrText>
      </w:r>
      <w:r w:rsidR="00050774" w:rsidRPr="005D6FBF">
        <w:rPr>
          <w:rFonts w:ascii="Titillium" w:hAnsi="Titillium" w:cs="Calibri"/>
          <w:sz w:val="18"/>
          <w:szCs w:val="18"/>
          <w:lang w:eastAsia="it-IT"/>
        </w:rPr>
      </w:r>
      <w:r w:rsidR="00050774" w:rsidRPr="005D6FBF">
        <w:rPr>
          <w:rFonts w:ascii="Titillium" w:hAnsi="Titillium" w:cs="Calibri"/>
          <w:sz w:val="18"/>
          <w:szCs w:val="18"/>
          <w:lang w:eastAsia="it-IT"/>
        </w:rPr>
        <w:fldChar w:fldCharType="separate"/>
      </w:r>
      <w:r w:rsidR="00527049">
        <w:rPr>
          <w:rFonts w:ascii="Titillium" w:hAnsi="Titillium" w:cs="Calibri"/>
          <w:sz w:val="18"/>
          <w:szCs w:val="18"/>
          <w:lang w:eastAsia="it-IT"/>
        </w:rPr>
        <w:t>18.4</w:t>
      </w:r>
      <w:r w:rsidR="00050774" w:rsidRPr="005D6FBF">
        <w:rPr>
          <w:rFonts w:ascii="Titillium" w:hAnsi="Titillium" w:cs="Calibri"/>
          <w:sz w:val="18"/>
          <w:szCs w:val="18"/>
          <w:lang w:eastAsia="it-IT"/>
        </w:rPr>
        <w:fldChar w:fldCharType="end"/>
      </w:r>
      <w:r w:rsidR="00A213AB" w:rsidRPr="005D6FBF">
        <w:rPr>
          <w:rFonts w:ascii="Titillium" w:hAnsi="Titillium" w:cs="Calibri"/>
          <w:sz w:val="18"/>
          <w:szCs w:val="18"/>
          <w:lang w:eastAsia="it-IT"/>
        </w:rPr>
        <w:t>.</w:t>
      </w:r>
    </w:p>
    <w:p w14:paraId="540C1579" w14:textId="2C64BDCE" w:rsidR="004C53A8" w:rsidRDefault="00ED1BBB" w:rsidP="00084AD6">
      <w:pPr>
        <w:pStyle w:val="Titolo3"/>
        <w:numPr>
          <w:ilvl w:val="1"/>
          <w:numId w:val="4"/>
        </w:numPr>
        <w:ind w:left="426" w:hanging="426"/>
      </w:pPr>
      <w:bookmarkStart w:id="1972" w:name="_Toc139549446"/>
      <w:r>
        <w:rPr>
          <w:rFonts w:ascii="Titillium" w:hAnsi="Titillium"/>
          <w:iCs/>
          <w:caps w:val="0"/>
          <w:sz w:val="18"/>
          <w:szCs w:val="18"/>
          <w:lang w:val="it-IT"/>
        </w:rPr>
        <w:lastRenderedPageBreak/>
        <w:t>M</w:t>
      </w:r>
      <w:r w:rsidR="004C667D">
        <w:rPr>
          <w:rFonts w:ascii="Titillium" w:hAnsi="Titillium"/>
          <w:iCs/>
          <w:caps w:val="0"/>
          <w:sz w:val="18"/>
          <w:szCs w:val="18"/>
        </w:rPr>
        <w:t>ETODO DI ATTRIBUZIONE DEL COEFFICIENTE PER IL CALCOLO DEL PUNTEGGIO DELL’OFFERTA TECNICA</w:t>
      </w:r>
      <w:bookmarkEnd w:id="1972"/>
    </w:p>
    <w:p w14:paraId="6EA0ABDB" w14:textId="3569BAEE" w:rsidR="004C53A8" w:rsidRDefault="00870286">
      <w:pPr>
        <w:spacing w:before="60" w:after="60"/>
        <w:rPr>
          <w:rFonts w:ascii="Titillium" w:hAnsi="Titillium"/>
          <w:i/>
          <w:sz w:val="18"/>
          <w:szCs w:val="18"/>
        </w:rPr>
      </w:pPr>
      <w:r>
        <w:rPr>
          <w:rFonts w:ascii="Titillium" w:hAnsi="Titillium"/>
          <w:b/>
          <w:i/>
          <w:sz w:val="18"/>
          <w:szCs w:val="18"/>
        </w:rPr>
        <w:t>[In caso di criteri qualitativi]</w:t>
      </w:r>
      <w:r>
        <w:rPr>
          <w:rFonts w:ascii="Titillium" w:hAnsi="Titillium"/>
          <w:sz w:val="18"/>
          <w:szCs w:val="18"/>
        </w:rPr>
        <w:t xml:space="preserve"> A ciascuno degli elementi qualitativi cui è assegnato un punteggio discrezionale nella colonna “D” della tabella, è attribuito un coefficiente sulla base del metodo … </w:t>
      </w:r>
      <w:r w:rsidRPr="00A87259">
        <w:rPr>
          <w:rFonts w:ascii="Titillium" w:hAnsi="Titillium"/>
          <w:i/>
          <w:sz w:val="18"/>
          <w:szCs w:val="18"/>
        </w:rPr>
        <w:t>[</w:t>
      </w:r>
      <w:r>
        <w:rPr>
          <w:rFonts w:ascii="Titillium" w:hAnsi="Titillium"/>
          <w:i/>
          <w:sz w:val="18"/>
          <w:szCs w:val="18"/>
        </w:rPr>
        <w:t>indicare il metodo ad esempio: attribuzione discrezionale di un coefficiente variabile da zero ad uno da parte di ciascun commissario oppure confronto a coppie, etc.].</w:t>
      </w:r>
    </w:p>
    <w:p w14:paraId="3435164D" w14:textId="77777777" w:rsidR="00C83F64" w:rsidRDefault="00C83F64">
      <w:pPr>
        <w:spacing w:before="60" w:after="60"/>
        <w:rPr>
          <w:rFonts w:ascii="Titillium" w:hAnsi="Titillium"/>
          <w:i/>
          <w:sz w:val="18"/>
          <w:szCs w:val="18"/>
        </w:rPr>
      </w:pPr>
    </w:p>
    <w:p w14:paraId="0D11F2DF" w14:textId="1046650D" w:rsidR="00C83F64" w:rsidRDefault="00C83F64" w:rsidP="00C83F64">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Pr>
          <w:rFonts w:ascii="Titillium" w:hAnsi="Titillium"/>
          <w:i/>
          <w:sz w:val="18"/>
          <w:szCs w:val="18"/>
        </w:rPr>
        <w:t>N.B. Ove la stazione appaltante ricorra al metodo di attribuzione discrezionale del coefficiente variabile da zero ad uno, deve specificare nel bando il valore del coefficiente relativo ai diversi livelli di valutazione ( per esempio: Ottimo = 1; buono = 0,8; adeguato = 0,6 etc.) precisando, inoltre, il metodo di calcolo del coefficiente unico da attribuire all’offerta in relazione al sub-criterio esaminato (per esempio: “la commissione calcola la media aritmetica dei coefficienti attribuiti dai singoli commissari all’offerta in relazione al sub-criterio in esame, al fine di ottenere il coefficiente medio da applicare al medesimo”).</w:t>
      </w:r>
    </w:p>
    <w:p w14:paraId="5CE18436" w14:textId="77777777" w:rsidR="004C53A8" w:rsidRDefault="004C53A8">
      <w:pPr>
        <w:spacing w:before="60" w:after="60"/>
        <w:rPr>
          <w:rFonts w:ascii="Titillium" w:hAnsi="Titillium"/>
          <w:i/>
          <w:sz w:val="18"/>
          <w:szCs w:val="18"/>
        </w:rPr>
      </w:pPr>
    </w:p>
    <w:p w14:paraId="5299E84D" w14:textId="36BB140A" w:rsidR="004C53A8" w:rsidRDefault="00870286">
      <w:pPr>
        <w:spacing w:before="60" w:after="60"/>
      </w:pPr>
      <w:r>
        <w:rPr>
          <w:rFonts w:ascii="Titillium" w:hAnsi="Titillium"/>
          <w:b/>
          <w:i/>
          <w:sz w:val="18"/>
          <w:szCs w:val="18"/>
        </w:rPr>
        <w:t>[In caso di criteri quantitativi]</w:t>
      </w:r>
      <w:r>
        <w:rPr>
          <w:rFonts w:ascii="Titillium" w:hAnsi="Titillium"/>
          <w:sz w:val="18"/>
          <w:szCs w:val="18"/>
        </w:rPr>
        <w:t xml:space="preserve"> A ciascuno degli elementi quantitativi cui è assegnato un punteggio nella colonna “Q” della tabella, è attribuito un coefficiente, variabile tra zero e uno, sulla base del metodo …. </w:t>
      </w:r>
      <w:r w:rsidRPr="00A87259">
        <w:rPr>
          <w:rFonts w:ascii="Titillium" w:hAnsi="Titillium"/>
          <w:i/>
          <w:sz w:val="18"/>
          <w:szCs w:val="18"/>
        </w:rPr>
        <w:t>[</w:t>
      </w:r>
      <w:r>
        <w:rPr>
          <w:rFonts w:ascii="Titillium" w:hAnsi="Titillium"/>
          <w:i/>
          <w:sz w:val="18"/>
          <w:szCs w:val="18"/>
        </w:rPr>
        <w:t>indicare il metodo prescelto –- ad esempio: interpolazione lineare, metodo bilineare, formule non lineari, formule indipendenti, etc.].</w:t>
      </w:r>
    </w:p>
    <w:p w14:paraId="7571C642" w14:textId="77777777" w:rsidR="004C53A8" w:rsidRDefault="00870286">
      <w:pPr>
        <w:spacing w:before="60" w:after="60"/>
      </w:pPr>
      <w:r>
        <w:rPr>
          <w:rFonts w:ascii="Titillium" w:hAnsi="Titillium"/>
          <w:b/>
          <w:i/>
          <w:sz w:val="18"/>
          <w:szCs w:val="18"/>
        </w:rPr>
        <w:t xml:space="preserve">[In caso di criteri tabellari] </w:t>
      </w:r>
      <w:r>
        <w:rPr>
          <w:rFonts w:ascii="Titillium" w:hAnsi="Titillium"/>
          <w:sz w:val="18"/>
          <w:szCs w:val="18"/>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28CFCE96" w14:textId="4E43CB65" w:rsidR="004C53A8" w:rsidRDefault="004C667D" w:rsidP="00084AD6">
      <w:pPr>
        <w:pStyle w:val="Titolo3"/>
        <w:numPr>
          <w:ilvl w:val="1"/>
          <w:numId w:val="4"/>
        </w:numPr>
        <w:ind w:left="426" w:hanging="426"/>
      </w:pPr>
      <w:bookmarkStart w:id="1973" w:name="_Ref498421792"/>
      <w:bookmarkStart w:id="1974" w:name="_Toc139549447"/>
      <w:r>
        <w:rPr>
          <w:rFonts w:ascii="Titillium" w:hAnsi="Titillium"/>
          <w:iCs/>
          <w:caps w:val="0"/>
          <w:sz w:val="18"/>
          <w:szCs w:val="18"/>
        </w:rPr>
        <w:t>METODO DI ATTRIBUZIONE DEL COEFFICIENTE PER IL CALCOLO DEL PUNTEGGIO DELL’OFFERTA ECONOMICA</w:t>
      </w:r>
      <w:bookmarkEnd w:id="1973"/>
      <w:bookmarkEnd w:id="1974"/>
      <w:r>
        <w:rPr>
          <w:rFonts w:ascii="Titillium" w:hAnsi="Titillium"/>
          <w:iCs/>
          <w:caps w:val="0"/>
          <w:sz w:val="18"/>
          <w:szCs w:val="18"/>
        </w:rPr>
        <w:t xml:space="preserve"> </w:t>
      </w:r>
    </w:p>
    <w:p w14:paraId="473506AA" w14:textId="77777777" w:rsidR="004C53A8" w:rsidRDefault="00870286">
      <w:pPr>
        <w:spacing w:before="60" w:after="60"/>
      </w:pPr>
      <w:r>
        <w:rPr>
          <w:rFonts w:ascii="Titillium" w:hAnsi="Titillium"/>
          <w:sz w:val="18"/>
          <w:szCs w:val="18"/>
        </w:rPr>
        <w:t xml:space="preserve">Quanto all’offerta economica, è attribuito all’elemento economico un coefficiente, variabile da zero ad uno, calcolato tramite la </w:t>
      </w:r>
      <w:r>
        <w:rPr>
          <w:rFonts w:ascii="Titillium" w:hAnsi="Titillium"/>
          <w:i/>
          <w:sz w:val="18"/>
          <w:szCs w:val="18"/>
        </w:rPr>
        <w:t>[selezionare una delle formule di seguito indicate]:</w:t>
      </w:r>
    </w:p>
    <w:p w14:paraId="584D8E1C" w14:textId="77777777" w:rsidR="004C53A8" w:rsidRDefault="00870286">
      <w:pPr>
        <w:spacing w:before="60" w:after="60"/>
      </w:pPr>
      <w:r>
        <w:rPr>
          <w:rFonts w:ascii="Titillium" w:hAnsi="Titillium"/>
          <w:b/>
          <w:sz w:val="18"/>
          <w:szCs w:val="18"/>
        </w:rPr>
        <w:t>Formula con interpolazione lineare</w:t>
      </w:r>
    </w:p>
    <w:p w14:paraId="3251A6A8" w14:textId="43AEF994" w:rsidR="004C53A8" w:rsidRPr="00DF6104" w:rsidRDefault="00C85664">
      <w:pPr>
        <w:spacing w:before="60" w:after="60"/>
      </w:pPr>
      <m:oMathPara>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max</m:t>
                  </m:r>
                </m:sub>
              </m:sSub>
            </m:den>
          </m:f>
        </m:oMath>
      </m:oMathPara>
    </w:p>
    <w:p w14:paraId="017356BF" w14:textId="77777777" w:rsidR="004C53A8" w:rsidRPr="00DF6104" w:rsidRDefault="00870286">
      <w:pPr>
        <w:spacing w:before="60" w:after="60"/>
        <w:rPr>
          <w:rFonts w:ascii="Titillium" w:hAnsi="Titillium"/>
          <w:sz w:val="18"/>
          <w:szCs w:val="18"/>
        </w:rPr>
      </w:pPr>
      <w:r w:rsidRPr="00DF6104">
        <w:rPr>
          <w:rFonts w:ascii="Titillium" w:hAnsi="Titillium"/>
          <w:sz w:val="18"/>
          <w:szCs w:val="18"/>
        </w:rPr>
        <w:t>dove</w:t>
      </w:r>
    </w:p>
    <w:p w14:paraId="40D39D73" w14:textId="77777777" w:rsidR="004C53A8" w:rsidRPr="00DF6104" w:rsidRDefault="00C8566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870286" w:rsidRPr="00DF6104">
        <w:rPr>
          <w:rFonts w:ascii="Titillium" w:hAnsi="Titillium"/>
          <w:sz w:val="18"/>
          <w:szCs w:val="18"/>
        </w:rPr>
        <w:t xml:space="preserve"> = coefficiente attribuito al concorrente i-esimo</w:t>
      </w:r>
    </w:p>
    <w:p w14:paraId="114C2A3C" w14:textId="2AA97F3B" w:rsidR="004C53A8" w:rsidRDefault="00C8566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870286" w:rsidRPr="00DF6104">
        <w:rPr>
          <w:rFonts w:ascii="Titillium" w:hAnsi="Titillium"/>
          <w:sz w:val="18"/>
          <w:szCs w:val="18"/>
        </w:rPr>
        <w:t xml:space="preserve"> = ribasso percentuale del concorrente i-esimo</w:t>
      </w:r>
    </w:p>
    <w:p w14:paraId="31FCFC7D" w14:textId="6A37B5AF" w:rsidR="004C53A8" w:rsidRDefault="00C8566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870286">
        <w:rPr>
          <w:rFonts w:ascii="Titillium" w:hAnsi="Titillium"/>
          <w:sz w:val="18"/>
          <w:szCs w:val="18"/>
        </w:rPr>
        <w:t xml:space="preserve"> = ribasso percentuale più conveniente</w:t>
      </w:r>
    </w:p>
    <w:p w14:paraId="516F2632" w14:textId="77777777" w:rsidR="004C53A8" w:rsidRDefault="004C53A8">
      <w:pPr>
        <w:spacing w:before="60" w:after="60"/>
        <w:rPr>
          <w:rFonts w:ascii="Titillium" w:hAnsi="Titillium"/>
          <w:i/>
          <w:sz w:val="18"/>
          <w:szCs w:val="18"/>
        </w:rPr>
      </w:pPr>
    </w:p>
    <w:p w14:paraId="30191D63" w14:textId="77777777" w:rsidR="004C53A8" w:rsidRDefault="00870286">
      <w:pPr>
        <w:spacing w:before="60" w:after="60"/>
        <w:rPr>
          <w:rFonts w:ascii="Titillium" w:hAnsi="Titillium"/>
          <w:b/>
          <w:i/>
          <w:sz w:val="18"/>
          <w:szCs w:val="18"/>
        </w:rPr>
      </w:pPr>
      <w:r>
        <w:rPr>
          <w:rFonts w:ascii="Titillium" w:hAnsi="Titillium"/>
          <w:b/>
          <w:i/>
          <w:sz w:val="18"/>
          <w:szCs w:val="18"/>
        </w:rPr>
        <w:t xml:space="preserve"> [o in alternativa] </w:t>
      </w:r>
    </w:p>
    <w:p w14:paraId="4E8934E8" w14:textId="77777777" w:rsidR="004C53A8" w:rsidRDefault="00870286">
      <w:pPr>
        <w:spacing w:before="60" w:after="60"/>
        <w:rPr>
          <w:rFonts w:ascii="Titillium" w:hAnsi="Titillium"/>
          <w:b/>
          <w:sz w:val="18"/>
          <w:szCs w:val="18"/>
        </w:rPr>
      </w:pPr>
      <w:r>
        <w:rPr>
          <w:rFonts w:ascii="Titillium" w:hAnsi="Titillium"/>
          <w:b/>
          <w:sz w:val="18"/>
          <w:szCs w:val="18"/>
        </w:rPr>
        <w:t xml:space="preserve">Formula “bilineare” </w:t>
      </w:r>
    </w:p>
    <w:p w14:paraId="00BF8F3D" w14:textId="77777777" w:rsidR="004C53A8" w:rsidRDefault="00C85664">
      <w:pPr>
        <w:spacing w:before="60" w:after="60"/>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soglia</m:t>
                              </m:r>
                            </m:sub>
                          </m:sSub>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1-X</m:t>
                      </m:r>
                    </m:e>
                  </m:d>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num>
                        <m:den>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m:t>
                  </m:r>
                  <m:sSub>
                    <m:sSubPr>
                      <m:ctrlPr>
                        <w:rPr>
                          <w:rFonts w:ascii="Cambria Math" w:hAnsi="Cambria Math"/>
                        </w:rPr>
                      </m:ctrlPr>
                    </m:sSubPr>
                    <m:e>
                      <m:r>
                        <w:rPr>
                          <w:rFonts w:ascii="Cambria Math" w:hAnsi="Cambria Math"/>
                        </w:rPr>
                        <m:t>A</m:t>
                      </m:r>
                    </m:e>
                    <m:sub>
                      <m:r>
                        <w:rPr>
                          <w:rFonts w:ascii="Cambria Math" w:hAnsi="Cambria Math"/>
                        </w:rPr>
                        <m:t>soglia</m:t>
                      </m:r>
                    </m:sub>
                  </m:sSub>
                </m:e>
              </m:eqArr>
            </m:e>
          </m:d>
        </m:oMath>
      </m:oMathPara>
    </w:p>
    <w:p w14:paraId="4FE6BA4D" w14:textId="77777777" w:rsidR="004C53A8" w:rsidRDefault="00870286">
      <w:pPr>
        <w:spacing w:before="60" w:after="60"/>
        <w:rPr>
          <w:rFonts w:ascii="Titillium" w:hAnsi="Titillium"/>
          <w:sz w:val="18"/>
          <w:szCs w:val="18"/>
        </w:rPr>
      </w:pPr>
      <w:r>
        <w:rPr>
          <w:rFonts w:ascii="Titillium" w:hAnsi="Titillium"/>
          <w:sz w:val="18"/>
          <w:szCs w:val="18"/>
        </w:rPr>
        <w:t>dove</w:t>
      </w:r>
    </w:p>
    <w:p w14:paraId="6185FD14" w14:textId="77777777" w:rsidR="004C53A8" w:rsidRDefault="00C8566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870286">
        <w:rPr>
          <w:rFonts w:ascii="Titillium" w:hAnsi="Titillium"/>
          <w:sz w:val="18"/>
          <w:szCs w:val="18"/>
        </w:rPr>
        <w:t xml:space="preserve"> = coefficiente attribuito al concorrente i-esimo</w:t>
      </w:r>
    </w:p>
    <w:p w14:paraId="6C4ADD27" w14:textId="77777777" w:rsidR="004C53A8" w:rsidRDefault="00C8566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870286">
        <w:rPr>
          <w:rFonts w:ascii="Titillium" w:hAnsi="Titillium"/>
          <w:sz w:val="18"/>
          <w:szCs w:val="18"/>
        </w:rPr>
        <w:t xml:space="preserve"> = ribasso percentuale del concorrente i-esimo</w:t>
      </w:r>
    </w:p>
    <w:p w14:paraId="0F1308CC" w14:textId="77777777" w:rsidR="004C53A8" w:rsidRDefault="00C8566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soglia</m:t>
            </m:r>
          </m:sub>
        </m:sSub>
      </m:oMath>
      <w:r w:rsidR="00870286">
        <w:rPr>
          <w:rFonts w:ascii="Titillium" w:hAnsi="Titillium"/>
          <w:sz w:val="18"/>
          <w:szCs w:val="18"/>
        </w:rPr>
        <w:t>= media percentuale dei valori del ribasso percentuale offerto dai concorrenti</w:t>
      </w:r>
    </w:p>
    <w:p w14:paraId="684535AD" w14:textId="77777777" w:rsidR="004C53A8" w:rsidRDefault="00870286">
      <w:pPr>
        <w:spacing w:before="60" w:after="60"/>
      </w:pPr>
      <w:r>
        <w:rPr>
          <w:rFonts w:ascii="Titillium" w:hAnsi="Titillium"/>
          <w:sz w:val="18"/>
          <w:szCs w:val="18"/>
        </w:rPr>
        <w:t xml:space="preserve">X = 0,80 oppure 0,85 oppure 0,90 </w:t>
      </w:r>
      <w:r>
        <w:rPr>
          <w:rFonts w:ascii="Titillium" w:hAnsi="Titillium"/>
          <w:i/>
          <w:sz w:val="18"/>
          <w:szCs w:val="18"/>
        </w:rPr>
        <w:t>[indicare nei documenti di gara la percentuale applicata</w:t>
      </w:r>
      <w:r>
        <w:rPr>
          <w:rFonts w:ascii="Titillium" w:hAnsi="Titillium"/>
          <w:sz w:val="18"/>
          <w:szCs w:val="18"/>
        </w:rPr>
        <w:t>]</w:t>
      </w:r>
    </w:p>
    <w:p w14:paraId="42291732" w14:textId="77777777" w:rsidR="004C53A8" w:rsidRDefault="00C8566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870286">
        <w:rPr>
          <w:rFonts w:ascii="Titillium" w:hAnsi="Titillium"/>
          <w:sz w:val="18"/>
          <w:szCs w:val="18"/>
        </w:rPr>
        <w:t xml:space="preserve"> = valore del ribasso più conveniente</w:t>
      </w:r>
    </w:p>
    <w:p w14:paraId="548E4F42" w14:textId="2C1B8EA6" w:rsidR="00DF6104" w:rsidRDefault="00DF6104">
      <w:pPr>
        <w:spacing w:before="60" w:after="60"/>
        <w:rPr>
          <w:rFonts w:ascii="Titillium" w:hAnsi="Titillium"/>
          <w:b/>
          <w:i/>
          <w:sz w:val="18"/>
          <w:szCs w:val="18"/>
        </w:rPr>
      </w:pPr>
    </w:p>
    <w:p w14:paraId="57EFD7DB" w14:textId="77777777" w:rsidR="00DF6104" w:rsidRPr="00DF6104" w:rsidRDefault="00DF6104" w:rsidP="00DF6104">
      <w:pPr>
        <w:spacing w:before="60" w:after="60"/>
        <w:rPr>
          <w:rFonts w:ascii="Titillium" w:hAnsi="Titillium"/>
          <w:b/>
          <w:i/>
          <w:sz w:val="18"/>
          <w:szCs w:val="18"/>
        </w:rPr>
      </w:pPr>
      <w:r w:rsidRPr="00DF6104">
        <w:rPr>
          <w:rFonts w:ascii="Titillium" w:hAnsi="Titillium"/>
          <w:b/>
          <w:i/>
          <w:sz w:val="18"/>
          <w:szCs w:val="18"/>
        </w:rPr>
        <w:lastRenderedPageBreak/>
        <w:t xml:space="preserve">[o in alternativa] </w:t>
      </w:r>
    </w:p>
    <w:p w14:paraId="2738CA25" w14:textId="77777777" w:rsidR="00DF6104" w:rsidRPr="00DF6104" w:rsidRDefault="00DF6104" w:rsidP="00DF6104">
      <w:pPr>
        <w:spacing w:before="60" w:after="60"/>
        <w:rPr>
          <w:rFonts w:ascii="Titillium" w:hAnsi="Titillium"/>
          <w:b/>
          <w:sz w:val="18"/>
          <w:szCs w:val="18"/>
        </w:rPr>
      </w:pPr>
      <w:r w:rsidRPr="00DF6104">
        <w:rPr>
          <w:rFonts w:ascii="Titillium" w:hAnsi="Titillium"/>
          <w:b/>
          <w:sz w:val="18"/>
          <w:szCs w:val="18"/>
        </w:rPr>
        <w:t xml:space="preserve">Formula “quadratica” </w:t>
      </w:r>
    </w:p>
    <w:p w14:paraId="48AFC243" w14:textId="77777777" w:rsidR="00DF6104" w:rsidRDefault="00C85664" w:rsidP="00DF6104">
      <w:pPr>
        <w:spacing w:before="60" w:after="60"/>
        <w:jc w:val="center"/>
        <w:rPr>
          <w:rFonts w:ascii="Titillium" w:hAnsi="Titillium"/>
          <w:b/>
          <w:i/>
          <w:sz w:val="18"/>
          <w:szCs w:val="18"/>
        </w:rPr>
      </w:pPr>
      <m:oMathPara>
        <m:oMath>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i</m:t>
              </m:r>
            </m:sub>
          </m:sSub>
          <m:r>
            <m:rPr>
              <m:sty m:val="bi"/>
            </m:rPr>
            <w:rPr>
              <w:rFonts w:ascii="Cambria Math" w:hAnsi="Cambria Math"/>
              <w:sz w:val="18"/>
              <w:szCs w:val="18"/>
            </w:rPr>
            <m:t>=</m:t>
          </m:r>
          <m:sSup>
            <m:sSupPr>
              <m:ctrlPr>
                <w:rPr>
                  <w:rFonts w:ascii="Cambria Math" w:hAnsi="Cambria Math"/>
                  <w:b/>
                  <w:i/>
                  <w:sz w:val="18"/>
                  <w:szCs w:val="18"/>
                </w:rPr>
              </m:ctrlPr>
            </m:sSupPr>
            <m:e>
              <m:d>
                <m:dPr>
                  <m:ctrlPr>
                    <w:rPr>
                      <w:rFonts w:ascii="Cambria Math" w:hAnsi="Cambria Math"/>
                      <w:b/>
                      <w:i/>
                      <w:sz w:val="18"/>
                      <w:szCs w:val="18"/>
                    </w:rPr>
                  </m:ctrlPr>
                </m:dPr>
                <m:e>
                  <m:f>
                    <m:fPr>
                      <m:ctrlPr>
                        <w:rPr>
                          <w:rFonts w:ascii="Cambria Math" w:hAnsi="Cambria Math"/>
                          <w:b/>
                          <w:i/>
                          <w:sz w:val="18"/>
                          <w:szCs w:val="18"/>
                        </w:rPr>
                      </m:ctrlPr>
                    </m:fPr>
                    <m:num>
                      <m:sSub>
                        <m:sSubPr>
                          <m:ctrlPr>
                            <w:rPr>
                              <w:rFonts w:ascii="Cambria Math" w:hAnsi="Cambria Math"/>
                              <w:b/>
                              <w:i/>
                              <w:sz w:val="18"/>
                              <w:szCs w:val="18"/>
                            </w:rPr>
                          </m:ctrlPr>
                        </m:sSubPr>
                        <m:e>
                          <m:r>
                            <m:rPr>
                              <m:sty m:val="bi"/>
                            </m:rPr>
                            <w:rPr>
                              <w:rFonts w:ascii="Cambria Math" w:hAnsi="Cambria Math"/>
                              <w:sz w:val="18"/>
                              <w:szCs w:val="18"/>
                            </w:rPr>
                            <m:t>A</m:t>
                          </m:r>
                        </m:e>
                        <m:sub>
                          <m:r>
                            <m:rPr>
                              <m:sty m:val="bi"/>
                            </m:rPr>
                            <w:rPr>
                              <w:rFonts w:ascii="Cambria Math" w:hAnsi="Cambria Math"/>
                              <w:sz w:val="18"/>
                              <w:szCs w:val="18"/>
                            </w:rPr>
                            <m:t>i</m:t>
                          </m:r>
                        </m:sub>
                      </m:sSub>
                    </m:num>
                    <m:den>
                      <m:sSub>
                        <m:sSubPr>
                          <m:ctrlPr>
                            <w:rPr>
                              <w:rFonts w:ascii="Cambria Math" w:hAnsi="Cambria Math"/>
                              <w:b/>
                              <w:i/>
                              <w:sz w:val="18"/>
                              <w:szCs w:val="18"/>
                            </w:rPr>
                          </m:ctrlPr>
                        </m:sSubPr>
                        <m:e>
                          <m:r>
                            <m:rPr>
                              <m:sty m:val="bi"/>
                            </m:rPr>
                            <w:rPr>
                              <w:rFonts w:ascii="Cambria Math" w:hAnsi="Cambria Math"/>
                              <w:sz w:val="18"/>
                              <w:szCs w:val="18"/>
                            </w:rPr>
                            <m:t>A</m:t>
                          </m:r>
                        </m:e>
                        <m:sub>
                          <m:r>
                            <m:rPr>
                              <m:sty m:val="bi"/>
                            </m:rPr>
                            <w:rPr>
                              <w:rFonts w:ascii="Cambria Math" w:hAnsi="Cambria Math"/>
                              <w:sz w:val="18"/>
                              <w:szCs w:val="18"/>
                            </w:rPr>
                            <m:t>max</m:t>
                          </m:r>
                        </m:sub>
                      </m:sSub>
                    </m:den>
                  </m:f>
                </m:e>
              </m:d>
            </m:e>
            <m:sup>
              <m:r>
                <m:rPr>
                  <m:sty m:val="bi"/>
                </m:rPr>
                <w:rPr>
                  <w:rFonts w:ascii="Cambria Math" w:hAnsi="Cambria Math"/>
                  <w:sz w:val="18"/>
                  <w:szCs w:val="18"/>
                </w:rPr>
                <m:t>∝</m:t>
              </m:r>
            </m:sup>
          </m:sSup>
        </m:oMath>
      </m:oMathPara>
    </w:p>
    <w:p w14:paraId="0494D852" w14:textId="77777777" w:rsidR="00DF6104" w:rsidRPr="00DF6104" w:rsidRDefault="00DF6104" w:rsidP="00DF6104">
      <w:pPr>
        <w:spacing w:before="60" w:after="60"/>
        <w:rPr>
          <w:rFonts w:ascii="Titillium" w:hAnsi="Titillium"/>
          <w:sz w:val="18"/>
          <w:szCs w:val="18"/>
        </w:rPr>
      </w:pPr>
      <w:r w:rsidRPr="00DF6104">
        <w:rPr>
          <w:rFonts w:ascii="Titillium" w:hAnsi="Titillium"/>
          <w:sz w:val="18"/>
          <w:szCs w:val="18"/>
        </w:rPr>
        <w:t>dove</w:t>
      </w:r>
    </w:p>
    <w:p w14:paraId="5D3B7D0E" w14:textId="77777777" w:rsidR="00DF6104" w:rsidRPr="00DF6104" w:rsidRDefault="00C85664" w:rsidP="00DF610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DF6104" w:rsidRPr="00DF6104">
        <w:rPr>
          <w:rFonts w:ascii="Titillium" w:hAnsi="Titillium"/>
          <w:sz w:val="18"/>
          <w:szCs w:val="18"/>
        </w:rPr>
        <w:t xml:space="preserve"> = coefficiente attribuito al concorrente i-esimo</w:t>
      </w:r>
    </w:p>
    <w:p w14:paraId="4E3975ED" w14:textId="77777777" w:rsidR="00DF6104" w:rsidRDefault="00C85664" w:rsidP="00DF610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DF6104" w:rsidRPr="00DF6104">
        <w:rPr>
          <w:rFonts w:ascii="Titillium" w:hAnsi="Titillium"/>
          <w:sz w:val="18"/>
          <w:szCs w:val="18"/>
        </w:rPr>
        <w:t xml:space="preserve"> = ribasso percentuale del concorrente i-esimo</w:t>
      </w:r>
    </w:p>
    <w:p w14:paraId="0D6DD7E6" w14:textId="77777777" w:rsidR="00DF6104" w:rsidRDefault="00C85664" w:rsidP="00DF610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DF6104">
        <w:rPr>
          <w:rFonts w:ascii="Titillium" w:hAnsi="Titillium"/>
          <w:sz w:val="18"/>
          <w:szCs w:val="18"/>
        </w:rPr>
        <w:t xml:space="preserve"> = ribasso percentuale più conveniente</w:t>
      </w:r>
    </w:p>
    <w:p w14:paraId="383C352C" w14:textId="78B58BBD" w:rsidR="00DF6104" w:rsidRPr="00DF6104" w:rsidRDefault="00DF6104">
      <w:pPr>
        <w:spacing w:before="60" w:after="60"/>
        <w:rPr>
          <w:rFonts w:ascii="Titillium" w:hAnsi="Titillium"/>
          <w:sz w:val="18"/>
          <w:szCs w:val="18"/>
          <w:u w:val="single"/>
        </w:rPr>
      </w:pPr>
      <w:r>
        <w:rPr>
          <w:rFonts w:ascii="Courier New" w:hAnsi="Courier New" w:cs="Courier New"/>
          <w:b/>
          <w:i/>
          <w:sz w:val="18"/>
          <w:szCs w:val="18"/>
        </w:rPr>
        <w:t>α</w:t>
      </w:r>
      <w:r>
        <w:rPr>
          <w:rFonts w:ascii="Titillium" w:hAnsi="Titillium"/>
          <w:b/>
          <w:i/>
          <w:sz w:val="18"/>
          <w:szCs w:val="18"/>
        </w:rPr>
        <w:t xml:space="preserve"> = </w:t>
      </w:r>
      <w:r>
        <w:rPr>
          <w:rFonts w:ascii="Titillium" w:hAnsi="Titillium"/>
          <w:sz w:val="18"/>
          <w:szCs w:val="18"/>
        </w:rPr>
        <w:t xml:space="preserve"> coefficiente tale per cui </w:t>
      </w:r>
      <m:oMath>
        <m:r>
          <w:rPr>
            <w:rFonts w:ascii="Cambria Math" w:hAnsi="Cambria Math"/>
            <w:sz w:val="18"/>
            <w:szCs w:val="18"/>
          </w:rPr>
          <m:t>0&lt;∝&lt;1</m:t>
        </m:r>
      </m:oMath>
    </w:p>
    <w:p w14:paraId="11DB1187" w14:textId="77777777" w:rsidR="00DF6104" w:rsidRDefault="00DF6104">
      <w:pPr>
        <w:spacing w:before="60" w:after="60"/>
        <w:rPr>
          <w:rFonts w:ascii="Titillium" w:hAnsi="Titillium"/>
          <w:b/>
          <w:i/>
          <w:sz w:val="18"/>
          <w:szCs w:val="18"/>
        </w:rPr>
      </w:pPr>
    </w:p>
    <w:p w14:paraId="3D6BC1D7" w14:textId="0D03A782" w:rsidR="004C53A8" w:rsidRPr="00A73BEB" w:rsidRDefault="004C53A8">
      <w:pPr>
        <w:spacing w:before="60" w:after="60"/>
        <w:rPr>
          <w:rFonts w:ascii="Titillium" w:hAnsi="Titillium"/>
          <w:sz w:val="18"/>
          <w:szCs w:val="18"/>
        </w:rPr>
      </w:pPr>
    </w:p>
    <w:tbl>
      <w:tblPr>
        <w:tblStyle w:val="Grigliatabella"/>
        <w:tblW w:w="0" w:type="auto"/>
        <w:tblLook w:val="04A0" w:firstRow="1" w:lastRow="0" w:firstColumn="1" w:lastColumn="0" w:noHBand="0" w:noVBand="1"/>
      </w:tblPr>
      <w:tblGrid>
        <w:gridCol w:w="9214"/>
      </w:tblGrid>
      <w:tr w:rsidR="00A365D1" w14:paraId="769A7F80" w14:textId="77777777" w:rsidTr="00A365D1">
        <w:tc>
          <w:tcPr>
            <w:tcW w:w="9214" w:type="dxa"/>
          </w:tcPr>
          <w:p w14:paraId="002A6CBF" w14:textId="3FF81E83" w:rsidR="00A365D1" w:rsidRPr="0030072B" w:rsidRDefault="00A365D1" w:rsidP="004E0EEA">
            <w:pPr>
              <w:spacing w:before="60" w:after="60"/>
              <w:rPr>
                <w:rFonts w:ascii="Titillium" w:hAnsi="Titillium"/>
                <w:i/>
                <w:iCs/>
                <w:sz w:val="18"/>
                <w:szCs w:val="18"/>
              </w:rPr>
            </w:pPr>
            <w:r w:rsidRPr="0030072B">
              <w:rPr>
                <w:rFonts w:ascii="Titillium" w:hAnsi="Titillium"/>
                <w:i/>
                <w:iCs/>
                <w:sz w:val="18"/>
                <w:szCs w:val="18"/>
              </w:rPr>
              <w:t xml:space="preserve">N.B. La formula bilineare viene normalmente utilizzata per scongiurare il rischio di ribassi eccessivi. Nel caso di ribassi tutti concentrati intorno alla media si potrebbe determinare un premio eccessivo per il ribasso maggiore, con un risultato opposto rispetto a quello desiderato con l’utilizzo della formula bilineare. La stazione appaltante dovrebbe valutare ciò nella predisposizione della documentazione di gara, favorendo per quei </w:t>
            </w:r>
            <w:r w:rsidR="002A721F" w:rsidRPr="0030072B">
              <w:rPr>
                <w:rFonts w:ascii="Titillium" w:hAnsi="Titillium"/>
                <w:i/>
                <w:iCs/>
                <w:sz w:val="18"/>
                <w:szCs w:val="18"/>
              </w:rPr>
              <w:t xml:space="preserve">possibili casi formule alternative, quali la formula quadratica con un coefficiente </w:t>
            </w:r>
            <w:r w:rsidR="002A721F" w:rsidRPr="0030072B">
              <w:rPr>
                <w:rFonts w:ascii="Courier New" w:hAnsi="Courier New" w:cs="Courier New"/>
                <w:i/>
                <w:iCs/>
                <w:sz w:val="18"/>
                <w:szCs w:val="18"/>
              </w:rPr>
              <w:t>α</w:t>
            </w:r>
            <w:r w:rsidR="002A721F" w:rsidRPr="0030072B">
              <w:rPr>
                <w:rFonts w:ascii="Titillium" w:hAnsi="Titillium"/>
                <w:i/>
                <w:iCs/>
                <w:sz w:val="18"/>
                <w:szCs w:val="18"/>
              </w:rPr>
              <w:t xml:space="preserve">&lt;1. </w:t>
            </w:r>
            <w:r w:rsidR="00C911CD" w:rsidRPr="0030072B">
              <w:rPr>
                <w:rFonts w:ascii="Titillium" w:hAnsi="Titillium"/>
                <w:i/>
                <w:iCs/>
                <w:sz w:val="18"/>
                <w:szCs w:val="18"/>
              </w:rPr>
              <w:t xml:space="preserve"> Ulteriori </w:t>
            </w:r>
            <w:r w:rsidR="004E0EEA" w:rsidRPr="0030072B">
              <w:rPr>
                <w:rFonts w:ascii="Titillium" w:hAnsi="Titillium"/>
                <w:i/>
                <w:iCs/>
                <w:sz w:val="18"/>
                <w:szCs w:val="18"/>
              </w:rPr>
              <w:t>indicazioni sono contenute</w:t>
            </w:r>
            <w:r w:rsidR="00C911CD" w:rsidRPr="0030072B">
              <w:rPr>
                <w:rFonts w:ascii="Titillium" w:hAnsi="Titillium"/>
                <w:i/>
                <w:iCs/>
                <w:sz w:val="18"/>
                <w:szCs w:val="18"/>
              </w:rPr>
              <w:t xml:space="preserve"> nella Relazione Illustrativa.</w:t>
            </w:r>
          </w:p>
        </w:tc>
      </w:tr>
    </w:tbl>
    <w:p w14:paraId="0254C32C" w14:textId="77777777" w:rsidR="007A654B" w:rsidRPr="00A73BEB" w:rsidRDefault="007A654B">
      <w:pPr>
        <w:spacing w:before="60" w:after="60"/>
        <w:rPr>
          <w:rFonts w:ascii="Titillium" w:hAnsi="Titillium"/>
          <w:szCs w:val="24"/>
        </w:rPr>
      </w:pPr>
    </w:p>
    <w:p w14:paraId="69F8256D" w14:textId="77777777" w:rsidR="004C53A8" w:rsidRDefault="00870286">
      <w:pPr>
        <w:spacing w:before="60" w:after="60"/>
        <w:rPr>
          <w:rFonts w:ascii="Titillium" w:hAnsi="Titillium"/>
          <w:b/>
          <w:i/>
          <w:sz w:val="18"/>
          <w:szCs w:val="18"/>
        </w:rPr>
      </w:pPr>
      <w:r>
        <w:rPr>
          <w:rFonts w:ascii="Titillium" w:hAnsi="Titillium"/>
          <w:b/>
          <w:i/>
          <w:sz w:val="18"/>
          <w:szCs w:val="18"/>
        </w:rPr>
        <w:t>[o in alternativa]</w:t>
      </w:r>
    </w:p>
    <w:p w14:paraId="6FC0BC02" w14:textId="1BB4AF6E" w:rsidR="004C53A8" w:rsidRDefault="00870286">
      <w:pPr>
        <w:spacing w:before="60" w:after="60"/>
        <w:rPr>
          <w:rFonts w:ascii="Titillium" w:hAnsi="Titillium"/>
          <w:i/>
          <w:sz w:val="18"/>
          <w:szCs w:val="18"/>
        </w:rPr>
      </w:pPr>
      <w:r>
        <w:rPr>
          <w:rFonts w:ascii="Titillium" w:hAnsi="Titillium"/>
          <w:b/>
          <w:sz w:val="18"/>
          <w:szCs w:val="18"/>
        </w:rPr>
        <w:t xml:space="preserve">Formula “…”   </w:t>
      </w:r>
      <w:r>
        <w:rPr>
          <w:rFonts w:ascii="Titillium" w:hAnsi="Titillium"/>
          <w:i/>
          <w:sz w:val="18"/>
          <w:szCs w:val="18"/>
        </w:rPr>
        <w:t>[Riportare la formula non lineare/indipendente prescelta</w:t>
      </w:r>
      <w:r w:rsidRPr="0013560D">
        <w:rPr>
          <w:rFonts w:ascii="Titillium" w:hAnsi="Titillium"/>
          <w:i/>
          <w:sz w:val="18"/>
          <w:szCs w:val="18"/>
        </w:rPr>
        <w:t>].</w:t>
      </w:r>
    </w:p>
    <w:p w14:paraId="122400D1" w14:textId="5FCB48F5" w:rsidR="00205E05" w:rsidRDefault="00205E05">
      <w:pPr>
        <w:spacing w:before="60" w:after="60"/>
        <w:rPr>
          <w:rFonts w:ascii="Titillium" w:hAnsi="Titillium"/>
          <w:i/>
          <w:sz w:val="18"/>
          <w:szCs w:val="18"/>
        </w:rPr>
      </w:pPr>
    </w:p>
    <w:p w14:paraId="14BAC103" w14:textId="40203792" w:rsidR="00C83F64" w:rsidRDefault="00C83F64" w:rsidP="00C83F64">
      <w:pPr>
        <w:pBdr>
          <w:top w:val="single" w:sz="4" w:space="1" w:color="auto"/>
          <w:left w:val="single" w:sz="4" w:space="4" w:color="auto"/>
          <w:bottom w:val="single" w:sz="4" w:space="1" w:color="auto"/>
          <w:right w:val="single" w:sz="4" w:space="4" w:color="auto"/>
        </w:pBdr>
        <w:spacing w:before="60" w:after="60"/>
        <w:rPr>
          <w:rFonts w:ascii="Titillium" w:hAnsi="Titillium"/>
          <w:i/>
          <w:sz w:val="18"/>
          <w:szCs w:val="18"/>
        </w:rPr>
      </w:pPr>
      <w:r w:rsidRPr="005D2838">
        <w:rPr>
          <w:rFonts w:ascii="Titillium" w:hAnsi="Titillium"/>
          <w:i/>
          <w:sz w:val="18"/>
          <w:szCs w:val="18"/>
        </w:rPr>
        <w:t>N.B.</w:t>
      </w:r>
      <w:r w:rsidRPr="00A87259">
        <w:rPr>
          <w:rFonts w:ascii="Titillium" w:hAnsi="Titillium"/>
          <w:i/>
          <w:sz w:val="18"/>
          <w:szCs w:val="18"/>
        </w:rPr>
        <w:t xml:space="preserve"> Nel caso in cui l’oggetto dell’appalto sia costituito da una pluralità di beni o servizi per ciascuno dei quali sia richiesta un’offerta economica da parte dei concorrenti, la stazione appaltante può calcolare il punteggio dell’offerta economica sul ribasso medio complessivo o sui singoli ribassi. Le due opzioni non sono equivalenti e conducono a risultati differenti. Il ribasso medio permette di premiare l’offerta complessivamente più conveniente per la stazione appaltante, il ribasso sulle singole voci può permettere di avere una quotazione dei singoli beni o servizi (che potrebbe essere utile</w:t>
      </w:r>
      <w:r>
        <w:rPr>
          <w:rFonts w:ascii="Titillium" w:hAnsi="Titillium"/>
          <w:i/>
          <w:sz w:val="18"/>
          <w:szCs w:val="18"/>
        </w:rPr>
        <w:t>,</w:t>
      </w:r>
      <w:r w:rsidRPr="00A87259">
        <w:rPr>
          <w:rFonts w:ascii="Titillium" w:hAnsi="Titillium"/>
          <w:i/>
          <w:sz w:val="18"/>
          <w:szCs w:val="18"/>
        </w:rPr>
        <w:t xml:space="preserve"> ad esempio per la richiesta di servizi supplementari), ma rischia di distorcere l’esito della gara, ad esempio perché si valuta eccessivamente il punteggio ottenuto per un’offerta “marginale”.</w:t>
      </w:r>
    </w:p>
    <w:p w14:paraId="2CC0986B" w14:textId="77777777" w:rsidR="00205E05" w:rsidRPr="00205E05" w:rsidRDefault="00205E05">
      <w:pPr>
        <w:spacing w:before="60" w:after="60"/>
      </w:pPr>
    </w:p>
    <w:p w14:paraId="4FF98AC4" w14:textId="208D130B" w:rsidR="004C53A8" w:rsidRDefault="00C83F64" w:rsidP="00084AD6">
      <w:pPr>
        <w:pStyle w:val="Titolo3"/>
        <w:numPr>
          <w:ilvl w:val="1"/>
          <w:numId w:val="4"/>
        </w:numPr>
        <w:ind w:left="426" w:hanging="426"/>
      </w:pPr>
      <w:bookmarkStart w:id="1975" w:name="_Ref497226795"/>
      <w:bookmarkStart w:id="1976" w:name="_Toc139549448"/>
      <w:r>
        <w:rPr>
          <w:rFonts w:ascii="Titillium" w:hAnsi="Titillium"/>
          <w:iCs/>
          <w:caps w:val="0"/>
          <w:sz w:val="18"/>
          <w:szCs w:val="18"/>
          <w:lang w:val="it-IT"/>
        </w:rPr>
        <w:t xml:space="preserve">METODO DI </w:t>
      </w:r>
      <w:r w:rsidR="004C667D">
        <w:rPr>
          <w:rFonts w:ascii="Titillium" w:hAnsi="Titillium"/>
          <w:iCs/>
          <w:caps w:val="0"/>
          <w:sz w:val="18"/>
          <w:szCs w:val="18"/>
        </w:rPr>
        <w:t>CALCOLO DEI PUNTEGGI</w:t>
      </w:r>
      <w:bookmarkEnd w:id="1975"/>
      <w:bookmarkEnd w:id="1976"/>
    </w:p>
    <w:p w14:paraId="334D6CBA" w14:textId="19ED80FE" w:rsidR="004C53A8" w:rsidRDefault="00870286">
      <w:pPr>
        <w:spacing w:before="60" w:after="60"/>
      </w:pPr>
      <w:r>
        <w:rPr>
          <w:rFonts w:ascii="Titillium" w:hAnsi="Titillium"/>
          <w:sz w:val="18"/>
          <w:szCs w:val="18"/>
        </w:rPr>
        <w:t>La commissione, terminata l’attribuzione dei coefficienti agli elementi qualitativi e quantitativi, procede, in relazione a ciascuna offerta, all’attribuzione dei punteggi per ogni singolo criterio secondo il seguente metodo: ... [</w:t>
      </w:r>
      <w:r>
        <w:rPr>
          <w:rFonts w:ascii="Titillium" w:hAnsi="Titillium"/>
          <w:i/>
          <w:sz w:val="18"/>
          <w:szCs w:val="18"/>
        </w:rPr>
        <w:t xml:space="preserve">indicare, motivando la scelta, uno dei metodi - aggregativo compensatore, </w:t>
      </w:r>
      <w:proofErr w:type="spellStart"/>
      <w:r>
        <w:rPr>
          <w:rFonts w:ascii="Titillium" w:hAnsi="Titillium"/>
          <w:i/>
          <w:sz w:val="18"/>
          <w:szCs w:val="18"/>
        </w:rPr>
        <w:t>Electre</w:t>
      </w:r>
      <w:proofErr w:type="spellEnd"/>
      <w:r>
        <w:rPr>
          <w:rFonts w:ascii="Titillium" w:hAnsi="Titillium"/>
          <w:i/>
          <w:sz w:val="18"/>
          <w:szCs w:val="18"/>
        </w:rPr>
        <w:t xml:space="preserve">, metodo AHP, </w:t>
      </w:r>
      <w:proofErr w:type="spellStart"/>
      <w:r>
        <w:rPr>
          <w:rFonts w:ascii="Titillium" w:hAnsi="Titillium"/>
          <w:i/>
          <w:sz w:val="18"/>
          <w:szCs w:val="18"/>
        </w:rPr>
        <w:t>Topsis</w:t>
      </w:r>
      <w:proofErr w:type="spellEnd"/>
      <w:r>
        <w:rPr>
          <w:rFonts w:ascii="Titillium" w:hAnsi="Titillium"/>
          <w:i/>
          <w:sz w:val="18"/>
          <w:szCs w:val="18"/>
        </w:rPr>
        <w:t xml:space="preserve"> o altri].</w:t>
      </w:r>
    </w:p>
    <w:p w14:paraId="3C50E826" w14:textId="77777777" w:rsidR="004C53A8" w:rsidRDefault="004C53A8">
      <w:pPr>
        <w:spacing w:before="60" w:after="60"/>
        <w:rPr>
          <w:rFonts w:ascii="Titillium" w:hAnsi="Titillium" w:cs="Calibri"/>
          <w:b/>
          <w:i/>
          <w:szCs w:val="24"/>
          <w:lang w:eastAsia="it-IT"/>
        </w:rPr>
      </w:pPr>
    </w:p>
    <w:p w14:paraId="06E6C5B6" w14:textId="73A1D385" w:rsidR="004C53A8" w:rsidRDefault="00870286">
      <w:pPr>
        <w:spacing w:before="60" w:after="60"/>
      </w:pPr>
      <w:r>
        <w:rPr>
          <w:rFonts w:ascii="Titillium" w:hAnsi="Titillium" w:cs="Calibri"/>
          <w:b/>
          <w:i/>
          <w:sz w:val="18"/>
          <w:szCs w:val="18"/>
          <w:lang w:eastAsia="it-IT"/>
        </w:rPr>
        <w:t xml:space="preserve">[In caso di scelta del metodo aggregativo-compensatore] </w:t>
      </w:r>
      <w:r>
        <w:rPr>
          <w:rFonts w:ascii="Titillium" w:hAnsi="Titillium"/>
          <w:sz w:val="18"/>
          <w:szCs w:val="18"/>
        </w:rPr>
        <w:t xml:space="preserve">Il punteggio per il concorrente </w:t>
      </w:r>
      <w:r>
        <w:rPr>
          <w:rFonts w:ascii="Titillium" w:hAnsi="Titillium"/>
          <w:i/>
          <w:sz w:val="18"/>
          <w:szCs w:val="18"/>
        </w:rPr>
        <w:t>i-esimo</w:t>
      </w:r>
      <w:r>
        <w:rPr>
          <w:rFonts w:ascii="Titillium" w:hAnsi="Titillium"/>
          <w:sz w:val="18"/>
          <w:szCs w:val="18"/>
        </w:rPr>
        <w:t xml:space="preserve"> è dato dalla seguente formula:</w:t>
      </w:r>
    </w:p>
    <w:p w14:paraId="5E3B8AAB" w14:textId="77777777" w:rsidR="004C53A8" w:rsidRDefault="00C85664">
      <w:pPr>
        <w:spacing w:before="60" w:after="60"/>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nary>
            <m:naryPr>
              <m:chr m:val="∑"/>
              <m:ctrlPr>
                <w:rPr>
                  <w:rFonts w:ascii="Cambria Math" w:hAnsi="Cambria Math"/>
                </w:rPr>
              </m:ctrlPr>
            </m:naryPr>
            <m:sub>
              <m:r>
                <w:rPr>
                  <w:rFonts w:ascii="Cambria Math" w:hAnsi="Cambria Math"/>
                </w:rPr>
                <m:t>x=1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xi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e>
          </m:nary>
        </m:oMath>
      </m:oMathPara>
    </w:p>
    <w:p w14:paraId="2D439AC3" w14:textId="77777777" w:rsidR="004C53A8" w:rsidRDefault="00870286">
      <w:pPr>
        <w:spacing w:before="60" w:after="60"/>
        <w:rPr>
          <w:rFonts w:ascii="Titillium" w:hAnsi="Titillium"/>
          <w:sz w:val="18"/>
          <w:szCs w:val="18"/>
        </w:rPr>
      </w:pPr>
      <w:r>
        <w:rPr>
          <w:rFonts w:ascii="Titillium" w:hAnsi="Titillium"/>
          <w:sz w:val="18"/>
          <w:szCs w:val="18"/>
        </w:rPr>
        <w:t>dove</w:t>
      </w:r>
    </w:p>
    <w:p w14:paraId="1595001C" w14:textId="77777777" w:rsidR="004C53A8" w:rsidRDefault="00C85664">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870286">
        <w:rPr>
          <w:rFonts w:ascii="Titillium" w:hAnsi="Titillium"/>
          <w:sz w:val="18"/>
          <w:szCs w:val="18"/>
        </w:rPr>
        <w:t xml:space="preserve">= punteggio del concorrente </w:t>
      </w:r>
      <w:r w:rsidR="00870286">
        <w:rPr>
          <w:rFonts w:ascii="Titillium" w:hAnsi="Titillium"/>
          <w:i/>
          <w:sz w:val="18"/>
          <w:szCs w:val="18"/>
        </w:rPr>
        <w:t>i-esimo</w:t>
      </w:r>
    </w:p>
    <w:p w14:paraId="103200C6" w14:textId="77777777" w:rsidR="004C53A8" w:rsidRDefault="00C8566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xi</m:t>
            </m:r>
          </m:sub>
        </m:sSub>
      </m:oMath>
      <w:r w:rsidR="00870286">
        <w:rPr>
          <w:rFonts w:ascii="Titillium" w:hAnsi="Titillium"/>
          <w:sz w:val="18"/>
          <w:szCs w:val="18"/>
        </w:rPr>
        <w:t xml:space="preserve"> = coefficiente criterio di valutazione X per il concorrente </w:t>
      </w:r>
      <w:r w:rsidR="00870286">
        <w:rPr>
          <w:rFonts w:ascii="Titillium" w:hAnsi="Titillium"/>
          <w:i/>
          <w:sz w:val="18"/>
          <w:szCs w:val="18"/>
        </w:rPr>
        <w:t>i-esimo</w:t>
      </w:r>
    </w:p>
    <w:p w14:paraId="69547429" w14:textId="77777777" w:rsidR="004C53A8" w:rsidRDefault="00C85664">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m:t>
        </m:r>
      </m:oMath>
      <w:r w:rsidR="00870286">
        <w:rPr>
          <w:rFonts w:ascii="Titillium" w:hAnsi="Titillium"/>
          <w:sz w:val="18"/>
          <w:szCs w:val="18"/>
        </w:rPr>
        <w:t xml:space="preserve"> punteggio criterio X</w:t>
      </w:r>
    </w:p>
    <w:p w14:paraId="67F926A1" w14:textId="77777777" w:rsidR="004C53A8" w:rsidRDefault="00870286">
      <w:pPr>
        <w:spacing w:before="60" w:after="60"/>
      </w:pPr>
      <w:r>
        <w:rPr>
          <w:rFonts w:ascii="Titillium" w:hAnsi="Titillium"/>
          <w:sz w:val="18"/>
          <w:szCs w:val="18"/>
        </w:rPr>
        <w:t>X = 1, 2, …, n [</w:t>
      </w:r>
      <w:r>
        <w:rPr>
          <w:rFonts w:ascii="Titillium" w:hAnsi="Titillium"/>
          <w:i/>
          <w:sz w:val="18"/>
          <w:szCs w:val="18"/>
        </w:rPr>
        <w:t>indicare il valore di n, ovvero il numero di criteri di valutazione</w:t>
      </w:r>
      <w:r>
        <w:rPr>
          <w:rFonts w:ascii="Titillium" w:hAnsi="Titillium"/>
          <w:sz w:val="18"/>
          <w:szCs w:val="18"/>
        </w:rPr>
        <w:t>]</w:t>
      </w:r>
    </w:p>
    <w:p w14:paraId="5C4BD13E" w14:textId="5BD25FD3" w:rsidR="004C53A8" w:rsidRDefault="00870286">
      <w:pPr>
        <w:spacing w:before="120" w:after="60"/>
      </w:pPr>
      <w:bookmarkStart w:id="1977" w:name="_Toc416423372"/>
      <w:bookmarkStart w:id="1978" w:name="_Toc406754189"/>
      <w:bookmarkStart w:id="1979" w:name="_Toc406058388"/>
      <w:bookmarkStart w:id="1980" w:name="_Toc403471280"/>
      <w:bookmarkStart w:id="1981" w:name="_Toc397422873"/>
      <w:bookmarkStart w:id="1982" w:name="_Toc397346832"/>
      <w:bookmarkStart w:id="1983" w:name="_Toc393706917"/>
      <w:bookmarkStart w:id="1984" w:name="_Toc393700844"/>
      <w:bookmarkStart w:id="1985" w:name="_Toc393283185"/>
      <w:bookmarkStart w:id="1986" w:name="_Toc393272669"/>
      <w:bookmarkStart w:id="1987" w:name="_Toc393272611"/>
      <w:bookmarkStart w:id="1988" w:name="_Toc393187855"/>
      <w:bookmarkStart w:id="1989" w:name="_Toc393112138"/>
      <w:bookmarkStart w:id="1990" w:name="_Toc393110574"/>
      <w:bookmarkStart w:id="1991" w:name="_Toc392577507"/>
      <w:bookmarkStart w:id="1992" w:name="_Toc391036066"/>
      <w:bookmarkStart w:id="1993" w:name="_Toc391035993"/>
      <w:bookmarkStart w:id="1994" w:name="_Toc380501880"/>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r>
        <w:rPr>
          <w:rFonts w:ascii="Titillium" w:eastAsia="SimSun" w:hAnsi="Titillium"/>
          <w:b/>
          <w:i/>
          <w:sz w:val="18"/>
          <w:szCs w:val="18"/>
        </w:rPr>
        <w:lastRenderedPageBreak/>
        <w:t>[</w:t>
      </w:r>
      <w:r>
        <w:rPr>
          <w:rFonts w:ascii="Titillium" w:hAnsi="Titillium" w:cs="Calibri"/>
          <w:b/>
          <w:i/>
          <w:sz w:val="18"/>
          <w:szCs w:val="18"/>
          <w:lang w:eastAsia="it-IT"/>
        </w:rPr>
        <w:t>In caso di scelta di un metodo diverso dall’aggregativo compensatore</w:t>
      </w:r>
      <w:r>
        <w:rPr>
          <w:rFonts w:ascii="Titillium" w:eastAsia="SimSun" w:hAnsi="Titillium"/>
          <w:b/>
          <w:i/>
          <w:sz w:val="18"/>
          <w:szCs w:val="18"/>
        </w:rPr>
        <w:t>]</w:t>
      </w:r>
    </w:p>
    <w:p w14:paraId="63A720CC" w14:textId="07EDB054" w:rsidR="004C53A8" w:rsidRDefault="00870286">
      <w:pPr>
        <w:spacing w:before="60" w:after="60"/>
      </w:pPr>
      <w:r>
        <w:rPr>
          <w:rFonts w:ascii="Titillium" w:hAnsi="Titillium"/>
          <w:sz w:val="18"/>
          <w:szCs w:val="18"/>
        </w:rPr>
        <w:t xml:space="preserve">Il punteggio è dato </w:t>
      </w:r>
      <w:r>
        <w:rPr>
          <w:rFonts w:ascii="Titillium" w:hAnsi="Titillium"/>
          <w:i/>
          <w:sz w:val="18"/>
          <w:szCs w:val="18"/>
        </w:rPr>
        <w:t>... [indicare il metodo di calcolo prescelto,].</w:t>
      </w:r>
    </w:p>
    <w:p w14:paraId="1DA213D1" w14:textId="5A68DADC" w:rsidR="004C53A8" w:rsidRPr="00436E4D" w:rsidRDefault="00507CF7">
      <w:pPr>
        <w:spacing w:before="120" w:after="60"/>
      </w:pPr>
      <w:r w:rsidRPr="00436E4D">
        <w:rPr>
          <w:rFonts w:ascii="Titillium" w:hAnsi="Titillium"/>
          <w:b/>
          <w:i/>
          <w:sz w:val="18"/>
          <w:szCs w:val="18"/>
        </w:rPr>
        <w:t xml:space="preserve">[Facoltativo: I </w:t>
      </w:r>
      <w:r w:rsidR="00870286" w:rsidRPr="00436E4D">
        <w:rPr>
          <w:rFonts w:ascii="Titillium" w:hAnsi="Titillium"/>
          <w:b/>
          <w:i/>
          <w:sz w:val="18"/>
          <w:szCs w:val="18"/>
        </w:rPr>
        <w:t>riparametrazione]</w:t>
      </w:r>
      <w:r w:rsidR="00870286" w:rsidRPr="00436E4D">
        <w:rPr>
          <w:rFonts w:ascii="Titillium" w:hAnsi="Titillium"/>
          <w:sz w:val="18"/>
          <w:szCs w:val="18"/>
        </w:rPr>
        <w:t xml:space="preserve"> Al fine di non alterare i pesi stabiliti tra i vari criteri, se nel singolo criterio nessun concorrente ottiene il punteggio massimo, tale punteggio viene riparametrato </w:t>
      </w:r>
      <w:r w:rsidR="00ED1BBB" w:rsidRPr="00436E4D">
        <w:rPr>
          <w:rFonts w:ascii="Titillium" w:hAnsi="Titillium"/>
          <w:sz w:val="18"/>
          <w:szCs w:val="18"/>
        </w:rPr>
        <w:t>attribuendo all’offerta del concorrente che ha ottenuto il punteggio più alto per il criterio il punteggio massimo previsto e alle offerte degli altri concorrenti un punteggio proporzionale decrescente.</w:t>
      </w:r>
    </w:p>
    <w:p w14:paraId="6DDF0D5E" w14:textId="323AAE57" w:rsidR="004C53A8" w:rsidRDefault="00870286">
      <w:pPr>
        <w:spacing w:before="120" w:after="60"/>
      </w:pPr>
      <w:r w:rsidRPr="00436E4D">
        <w:rPr>
          <w:rFonts w:ascii="Titillium" w:hAnsi="Titillium"/>
          <w:b/>
          <w:i/>
          <w:sz w:val="18"/>
          <w:szCs w:val="18"/>
        </w:rPr>
        <w:t xml:space="preserve">[Facoltativo: II riparametrazione] </w:t>
      </w:r>
      <w:r w:rsidRPr="00436E4D">
        <w:rPr>
          <w:rFonts w:ascii="Titillium" w:hAnsi="Titillium"/>
          <w:sz w:val="18"/>
          <w:szCs w:val="18"/>
        </w:rPr>
        <w:t>Al fine di non alterare i pesi stabiliti tra i vari criteri, se nel punteggio</w:t>
      </w:r>
      <w:r w:rsidR="00ED1BBB" w:rsidRPr="00436E4D">
        <w:rPr>
          <w:rFonts w:ascii="Titillium" w:hAnsi="Titillium"/>
          <w:sz w:val="18"/>
          <w:szCs w:val="18"/>
        </w:rPr>
        <w:t xml:space="preserve"> per l’offerta</w:t>
      </w:r>
      <w:r w:rsidRPr="00436E4D">
        <w:rPr>
          <w:rFonts w:ascii="Titillium" w:hAnsi="Titillium"/>
          <w:sz w:val="18"/>
          <w:szCs w:val="18"/>
        </w:rPr>
        <w:t xml:space="preserve"> tecnic</w:t>
      </w:r>
      <w:r w:rsidR="00ED1BBB" w:rsidRPr="00436E4D">
        <w:rPr>
          <w:rFonts w:ascii="Titillium" w:hAnsi="Titillium"/>
          <w:sz w:val="18"/>
          <w:szCs w:val="18"/>
        </w:rPr>
        <w:t>a</w:t>
      </w:r>
      <w:r w:rsidRPr="00436E4D">
        <w:rPr>
          <w:rFonts w:ascii="Titillium" w:hAnsi="Titillium"/>
          <w:sz w:val="18"/>
          <w:szCs w:val="18"/>
        </w:rPr>
        <w:t xml:space="preserve"> complessiv</w:t>
      </w:r>
      <w:r w:rsidR="00ED1BBB" w:rsidRPr="00436E4D">
        <w:rPr>
          <w:rFonts w:ascii="Titillium" w:hAnsi="Titillium"/>
          <w:sz w:val="18"/>
          <w:szCs w:val="18"/>
        </w:rPr>
        <w:t>a</w:t>
      </w:r>
      <w:r w:rsidRPr="00436E4D">
        <w:rPr>
          <w:rFonts w:ascii="Titillium" w:hAnsi="Titillium"/>
          <w:sz w:val="18"/>
          <w:szCs w:val="18"/>
        </w:rPr>
        <w:t xml:space="preserve"> nessun concorrente ottiene il punteggio massimo, tale punteggio viene nuovamente riparametrato </w:t>
      </w:r>
      <w:r w:rsidR="00ED1BBB" w:rsidRPr="00436E4D">
        <w:rPr>
          <w:rFonts w:ascii="Titillium" w:hAnsi="Titillium"/>
          <w:sz w:val="18"/>
          <w:szCs w:val="18"/>
        </w:rPr>
        <w:t>attribuendo all’offerta del concorrente che ha ottenuto il punteggio complessivo più alto per l’offerta tecnica il punteggio massimo previsto e alle offerte degli altri concorrenti un punteggio proporzionale decrescente.</w:t>
      </w:r>
    </w:p>
    <w:p w14:paraId="5356E833" w14:textId="77777777" w:rsidR="00F61D09" w:rsidRDefault="00F61D09" w:rsidP="00554E2F">
      <w:pPr>
        <w:pStyle w:val="Default"/>
        <w:spacing w:before="60" w:after="60"/>
        <w:rPr>
          <w:rFonts w:ascii="Titillium" w:hAnsi="Titillium" w:cs="Garamond"/>
          <w:sz w:val="18"/>
          <w:szCs w:val="18"/>
        </w:rPr>
      </w:pPr>
    </w:p>
    <w:p w14:paraId="1B4334CA" w14:textId="48F08C75" w:rsidR="004C53A8" w:rsidRDefault="00870286" w:rsidP="00084AD6">
      <w:pPr>
        <w:pStyle w:val="Titolo2"/>
        <w:numPr>
          <w:ilvl w:val="0"/>
          <w:numId w:val="4"/>
        </w:numPr>
        <w:tabs>
          <w:tab w:val="left" w:pos="6521"/>
        </w:tabs>
        <w:spacing w:before="60" w:after="60"/>
        <w:ind w:left="357" w:hanging="357"/>
        <w:rPr>
          <w:rFonts w:ascii="Titillium" w:hAnsi="Titillium"/>
          <w:sz w:val="18"/>
          <w:szCs w:val="18"/>
          <w:lang w:val="it-IT"/>
        </w:rPr>
      </w:pPr>
      <w:bookmarkStart w:id="1995" w:name="_Toc4034712801"/>
      <w:bookmarkStart w:id="1996" w:name="_Toc3974228731"/>
      <w:bookmarkStart w:id="1997" w:name="_Toc3973468321"/>
      <w:bookmarkStart w:id="1998" w:name="_Toc3937069171"/>
      <w:bookmarkStart w:id="1999" w:name="_Toc3937008441"/>
      <w:bookmarkStart w:id="2000" w:name="_Toc3932831851"/>
      <w:bookmarkStart w:id="2001" w:name="_Toc3932726691"/>
      <w:bookmarkStart w:id="2002" w:name="_Toc3932726111"/>
      <w:bookmarkStart w:id="2003" w:name="_Toc3931878551"/>
      <w:bookmarkStart w:id="2004" w:name="_Toc3931121381"/>
      <w:bookmarkStart w:id="2005" w:name="_Toc3931105741"/>
      <w:bookmarkStart w:id="2006" w:name="_Toc3925775071"/>
      <w:bookmarkStart w:id="2007" w:name="_Toc3910360661"/>
      <w:bookmarkStart w:id="2008" w:name="_Toc3910359931"/>
      <w:bookmarkStart w:id="2009" w:name="_Toc3805018801"/>
      <w:bookmarkStart w:id="2010" w:name="_Toc485218331"/>
      <w:bookmarkStart w:id="2011" w:name="_Toc484688895"/>
      <w:bookmarkStart w:id="2012" w:name="_Toc484688340"/>
      <w:bookmarkStart w:id="2013" w:name="_Toc484605471"/>
      <w:bookmarkStart w:id="2014" w:name="_Toc484605347"/>
      <w:bookmarkStart w:id="2015" w:name="_Toc484526628"/>
      <w:bookmarkStart w:id="2016" w:name="_Toc484449133"/>
      <w:bookmarkStart w:id="2017" w:name="_Toc484449009"/>
      <w:bookmarkStart w:id="2018" w:name="_Toc484448885"/>
      <w:bookmarkStart w:id="2019" w:name="_Toc484448762"/>
      <w:bookmarkStart w:id="2020" w:name="_Toc484448638"/>
      <w:bookmarkStart w:id="2021" w:name="_Toc484448514"/>
      <w:bookmarkStart w:id="2022" w:name="_Toc484448390"/>
      <w:bookmarkStart w:id="2023" w:name="_Toc484448266"/>
      <w:bookmarkStart w:id="2024" w:name="_Toc484448142"/>
      <w:bookmarkStart w:id="2025" w:name="_Toc484440482"/>
      <w:bookmarkStart w:id="2026" w:name="_Toc484440122"/>
      <w:bookmarkStart w:id="2027" w:name="_Toc484439998"/>
      <w:bookmarkStart w:id="2028" w:name="_Toc484439875"/>
      <w:bookmarkStart w:id="2029" w:name="_Toc484438955"/>
      <w:bookmarkStart w:id="2030" w:name="_Toc484438831"/>
      <w:bookmarkStart w:id="2031" w:name="_Toc484438707"/>
      <w:bookmarkStart w:id="2032" w:name="_Toc484429132"/>
      <w:bookmarkStart w:id="2033" w:name="_Toc484428962"/>
      <w:bookmarkStart w:id="2034" w:name="_Toc484097788"/>
      <w:bookmarkStart w:id="2035" w:name="_Toc484011714"/>
      <w:bookmarkStart w:id="2036" w:name="_Toc484011239"/>
      <w:bookmarkStart w:id="2037" w:name="_Toc484011117"/>
      <w:bookmarkStart w:id="2038" w:name="_Toc484010995"/>
      <w:bookmarkStart w:id="2039" w:name="_Toc484010871"/>
      <w:bookmarkStart w:id="2040" w:name="_Toc484010749"/>
      <w:bookmarkStart w:id="2041" w:name="_Toc483906999"/>
      <w:bookmarkStart w:id="2042" w:name="_Toc483571622"/>
      <w:bookmarkStart w:id="2043" w:name="_Toc483571501"/>
      <w:bookmarkStart w:id="2044" w:name="_Toc483474071"/>
      <w:bookmarkStart w:id="2045" w:name="_Toc483401275"/>
      <w:bookmarkStart w:id="2046" w:name="_Toc483325797"/>
      <w:bookmarkStart w:id="2047" w:name="_Toc483316494"/>
      <w:bookmarkStart w:id="2048" w:name="_Toc483316363"/>
      <w:bookmarkStart w:id="2049" w:name="_Toc483316231"/>
      <w:bookmarkStart w:id="2050" w:name="_Toc483316026"/>
      <w:bookmarkStart w:id="2051" w:name="_Toc483302405"/>
      <w:bookmarkStart w:id="2052" w:name="_Toc483233688"/>
      <w:bookmarkStart w:id="2053" w:name="_Toc482979728"/>
      <w:bookmarkStart w:id="2054" w:name="_Toc482979630"/>
      <w:bookmarkStart w:id="2055" w:name="_Toc482979532"/>
      <w:bookmarkStart w:id="2056" w:name="_Toc482979424"/>
      <w:bookmarkStart w:id="2057" w:name="_Toc482979315"/>
      <w:bookmarkStart w:id="2058" w:name="_Toc482979206"/>
      <w:bookmarkStart w:id="2059" w:name="_Toc482979095"/>
      <w:bookmarkStart w:id="2060" w:name="_Toc482978987"/>
      <w:bookmarkStart w:id="2061" w:name="_Toc482978878"/>
      <w:bookmarkStart w:id="2062" w:name="_Toc482959759"/>
      <w:bookmarkStart w:id="2063" w:name="_Toc482959649"/>
      <w:bookmarkStart w:id="2064" w:name="_Toc482959539"/>
      <w:bookmarkStart w:id="2065" w:name="_Toc482712751"/>
      <w:bookmarkStart w:id="2066" w:name="_Toc482641305"/>
      <w:bookmarkStart w:id="2067" w:name="_Toc482633128"/>
      <w:bookmarkStart w:id="2068" w:name="_Toc482352287"/>
      <w:bookmarkStart w:id="2069" w:name="_Toc482352197"/>
      <w:bookmarkStart w:id="2070" w:name="_Toc482352107"/>
      <w:bookmarkStart w:id="2071" w:name="_Toc482352017"/>
      <w:bookmarkStart w:id="2072" w:name="_Toc482102153"/>
      <w:bookmarkStart w:id="2073" w:name="_Toc482102059"/>
      <w:bookmarkStart w:id="2074" w:name="_Toc482101964"/>
      <w:bookmarkStart w:id="2075" w:name="_Toc482101869"/>
      <w:bookmarkStart w:id="2076" w:name="_Toc482101776"/>
      <w:bookmarkStart w:id="2077" w:name="_Toc482101601"/>
      <w:bookmarkStart w:id="2078" w:name="_Toc482101486"/>
      <w:bookmarkStart w:id="2079" w:name="_Toc482101349"/>
      <w:bookmarkStart w:id="2080" w:name="_Toc482100923"/>
      <w:bookmarkStart w:id="2081" w:name="_Toc482100766"/>
      <w:bookmarkStart w:id="2082" w:name="_Toc482099049"/>
      <w:bookmarkStart w:id="2083" w:name="_Toc482097947"/>
      <w:bookmarkStart w:id="2084" w:name="_Toc482097755"/>
      <w:bookmarkStart w:id="2085" w:name="_Toc482097666"/>
      <w:bookmarkStart w:id="2086" w:name="_Toc482097577"/>
      <w:bookmarkStart w:id="2087" w:name="_Toc482025753"/>
      <w:bookmarkStart w:id="2088" w:name="_Toc481772380"/>
      <w:bookmarkStart w:id="2089" w:name="_Toc481772316"/>
      <w:bookmarkStart w:id="2090" w:name="_Toc481511317"/>
      <w:bookmarkStart w:id="2091" w:name="_Toc481511273"/>
      <w:bookmarkStart w:id="2092" w:name="_Toc481511213"/>
      <w:bookmarkStart w:id="2093" w:name="_Toc481511168"/>
      <w:bookmarkStart w:id="2094" w:name="_Toc481511110"/>
      <w:bookmarkStart w:id="2095" w:name="_Toc481165531"/>
      <w:bookmarkStart w:id="2096" w:name="_Toc481165222"/>
      <w:bookmarkStart w:id="2097" w:name="_Toc481160021"/>
      <w:bookmarkStart w:id="2098" w:name="_Toc481159876"/>
      <w:bookmarkStart w:id="2099" w:name="_Toc481159824"/>
      <w:bookmarkStart w:id="2100" w:name="_Toc481159767"/>
      <w:bookmarkStart w:id="2101" w:name="_Toc481159721"/>
      <w:bookmarkStart w:id="2102" w:name="_Toc481159382"/>
      <w:bookmarkStart w:id="2103" w:name="_Toc481158988"/>
      <w:bookmarkStart w:id="2104" w:name="_Toc4164233721"/>
      <w:bookmarkStart w:id="2105" w:name="_Toc4067541891"/>
      <w:bookmarkStart w:id="2106" w:name="_Toc4060583881"/>
      <w:bookmarkStart w:id="2107" w:name="_Ref129797347"/>
      <w:bookmarkStart w:id="2108" w:name="_Toc139549449"/>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Pr>
          <w:rFonts w:ascii="Titillium" w:hAnsi="Titillium"/>
          <w:sz w:val="18"/>
          <w:szCs w:val="18"/>
          <w:lang w:val="it-IT"/>
        </w:rPr>
        <w:t>COMMISSIONE GIUDICATRICE</w:t>
      </w:r>
      <w:bookmarkEnd w:id="2107"/>
      <w:bookmarkEnd w:id="2108"/>
    </w:p>
    <w:p w14:paraId="7C4CEA91" w14:textId="2B7E881B" w:rsidR="004C53A8" w:rsidRDefault="00870286">
      <w:pPr>
        <w:tabs>
          <w:tab w:val="left" w:pos="6521"/>
        </w:tabs>
        <w:spacing w:before="120" w:after="60"/>
      </w:pPr>
      <w:r>
        <w:rPr>
          <w:rFonts w:ascii="Titillium" w:hAnsi="Titillium" w:cs="Calibri"/>
          <w:sz w:val="18"/>
          <w:szCs w:val="18"/>
        </w:rPr>
        <w:t>La com</w:t>
      </w:r>
      <w:r w:rsidR="00A87259">
        <w:rPr>
          <w:rFonts w:ascii="Titillium" w:hAnsi="Titillium" w:cs="Calibri"/>
          <w:sz w:val="18"/>
          <w:szCs w:val="18"/>
        </w:rPr>
        <w:t>missione giudicatrice è nominata</w:t>
      </w:r>
      <w:r>
        <w:rPr>
          <w:rFonts w:ascii="Titillium" w:hAnsi="Titillium" w:cs="Calibri"/>
          <w:sz w:val="18"/>
          <w:szCs w:val="18"/>
        </w:rPr>
        <w:t xml:space="preserve"> dopo la scadenza del termine per la presentazione delle offerte ed è composta da un numero dispari pari a n. ... [</w:t>
      </w:r>
      <w:r>
        <w:rPr>
          <w:rFonts w:ascii="Titillium" w:hAnsi="Titillium" w:cs="Calibri"/>
          <w:i/>
          <w:sz w:val="18"/>
          <w:szCs w:val="18"/>
        </w:rPr>
        <w:t xml:space="preserve">min. 3 </w:t>
      </w:r>
      <w:proofErr w:type="spellStart"/>
      <w:r>
        <w:rPr>
          <w:rFonts w:ascii="Titillium" w:hAnsi="Titillium" w:cs="Calibri"/>
          <w:i/>
          <w:sz w:val="18"/>
          <w:szCs w:val="18"/>
        </w:rPr>
        <w:t>max</w:t>
      </w:r>
      <w:proofErr w:type="spellEnd"/>
      <w:r>
        <w:rPr>
          <w:rFonts w:ascii="Titillium" w:hAnsi="Titillium" w:cs="Calibri"/>
          <w:i/>
          <w:sz w:val="18"/>
          <w:szCs w:val="18"/>
        </w:rPr>
        <w:t xml:space="preserve"> 5</w:t>
      </w:r>
      <w:r>
        <w:rPr>
          <w:rFonts w:ascii="Titillium" w:hAnsi="Titillium" w:cs="Calibri"/>
          <w:sz w:val="18"/>
          <w:szCs w:val="18"/>
        </w:rPr>
        <w:t xml:space="preserve">] membri, esperti nello specifico settore cui si riferisce l’oggetto del contratto. In capo ai commissari non devono sussistere cause ostative alla nomina ai sensi </w:t>
      </w:r>
      <w:r w:rsidRPr="00992D8F">
        <w:rPr>
          <w:rFonts w:ascii="Titillium" w:hAnsi="Titillium" w:cs="Calibri"/>
          <w:sz w:val="18"/>
          <w:szCs w:val="18"/>
        </w:rPr>
        <w:t xml:space="preserve">dell’articolo </w:t>
      </w:r>
      <w:r w:rsidR="00535A74" w:rsidRPr="00992D8F">
        <w:rPr>
          <w:rFonts w:ascii="Titillium" w:hAnsi="Titillium" w:cs="Calibri"/>
          <w:sz w:val="18"/>
          <w:szCs w:val="18"/>
        </w:rPr>
        <w:t>93 comma 5</w:t>
      </w:r>
      <w:r w:rsidRPr="00992D8F">
        <w:rPr>
          <w:rFonts w:ascii="Titillium" w:hAnsi="Titillium" w:cs="Calibri"/>
          <w:sz w:val="18"/>
          <w:szCs w:val="18"/>
        </w:rPr>
        <w:t xml:space="preserve"> del Codice. A tal fine </w:t>
      </w:r>
      <w:r w:rsidR="00A87259" w:rsidRPr="00992D8F">
        <w:rPr>
          <w:rFonts w:ascii="Titillium" w:hAnsi="Titillium" w:cs="Calibri"/>
          <w:sz w:val="18"/>
          <w:szCs w:val="18"/>
        </w:rPr>
        <w:t>viene richiesta,</w:t>
      </w:r>
      <w:r w:rsidRPr="00992D8F">
        <w:rPr>
          <w:rFonts w:ascii="Titillium" w:hAnsi="Titillium" w:cs="Calibri"/>
          <w:sz w:val="18"/>
          <w:szCs w:val="18"/>
        </w:rPr>
        <w:t xml:space="preserve"> prima del conferimento dell’incarico</w:t>
      </w:r>
      <w:r w:rsidR="00A87259" w:rsidRPr="00992D8F">
        <w:rPr>
          <w:rFonts w:ascii="Titillium" w:hAnsi="Titillium" w:cs="Calibri"/>
          <w:sz w:val="18"/>
          <w:szCs w:val="18"/>
        </w:rPr>
        <w:t>,</w:t>
      </w:r>
      <w:r w:rsidRPr="00992D8F">
        <w:rPr>
          <w:rFonts w:ascii="Titillium" w:hAnsi="Titillium" w:cs="Calibri"/>
          <w:sz w:val="18"/>
          <w:szCs w:val="18"/>
        </w:rPr>
        <w:t xml:space="preserve"> apposita dichiarazione.</w:t>
      </w:r>
      <w:r>
        <w:rPr>
          <w:rFonts w:ascii="Titillium" w:hAnsi="Titillium" w:cs="Calibri"/>
          <w:sz w:val="18"/>
          <w:szCs w:val="24"/>
        </w:rPr>
        <w:t xml:space="preserve"> </w:t>
      </w:r>
    </w:p>
    <w:p w14:paraId="2DCFBDEE" w14:textId="09D1F371" w:rsidR="004C53A8" w:rsidRDefault="00870286">
      <w:pPr>
        <w:pStyle w:val="Default"/>
        <w:spacing w:before="60" w:after="60"/>
      </w:pPr>
      <w:r w:rsidRPr="007F087A">
        <w:rPr>
          <w:rFonts w:ascii="Titillium" w:hAnsi="Titillium" w:cs="Garamond"/>
          <w:sz w:val="18"/>
          <w:szCs w:val="18"/>
        </w:rPr>
        <w:t>La composizione della commissione giudicatrice e i</w:t>
      </w:r>
      <w:r w:rsidR="00A87259" w:rsidRPr="007F087A">
        <w:rPr>
          <w:rFonts w:ascii="Titillium" w:hAnsi="Titillium" w:cs="Garamond"/>
          <w:sz w:val="18"/>
          <w:szCs w:val="18"/>
        </w:rPr>
        <w:t xml:space="preserve"> curricula dei componenti</w:t>
      </w:r>
      <w:r w:rsidRPr="007F087A">
        <w:rPr>
          <w:rFonts w:ascii="Titillium" w:hAnsi="Titillium" w:cs="Garamond"/>
          <w:sz w:val="18"/>
          <w:szCs w:val="18"/>
        </w:rPr>
        <w:t xml:space="preserve"> sono pubblicati</w:t>
      </w:r>
      <w:r w:rsidR="006229B3" w:rsidRPr="007F087A">
        <w:rPr>
          <w:rFonts w:ascii="Titillium" w:hAnsi="Titillium" w:cs="Garamond"/>
          <w:sz w:val="18"/>
          <w:szCs w:val="18"/>
        </w:rPr>
        <w:t xml:space="preserve"> sul </w:t>
      </w:r>
      <w:r w:rsidR="003B4B59" w:rsidRPr="007F087A">
        <w:rPr>
          <w:rFonts w:ascii="Titillium" w:hAnsi="Titillium" w:cs="Garamond"/>
          <w:sz w:val="18"/>
          <w:szCs w:val="18"/>
        </w:rPr>
        <w:t xml:space="preserve">sito </w:t>
      </w:r>
      <w:r w:rsidR="00436E4D">
        <w:rPr>
          <w:rFonts w:ascii="Titillium" w:hAnsi="Titillium" w:cs="Garamond"/>
          <w:sz w:val="18"/>
          <w:szCs w:val="18"/>
        </w:rPr>
        <w:t xml:space="preserve">istituzionale </w:t>
      </w:r>
      <w:r w:rsidRPr="007F087A">
        <w:rPr>
          <w:rFonts w:ascii="Titillium" w:hAnsi="Titillium" w:cs="Garamond"/>
          <w:sz w:val="18"/>
          <w:szCs w:val="18"/>
        </w:rPr>
        <w:t>nella sezione “Amministrazione trasparente”</w:t>
      </w:r>
      <w:r w:rsidR="00507CF7" w:rsidRPr="007F087A">
        <w:rPr>
          <w:rFonts w:ascii="Titillium" w:hAnsi="Titillium" w:cs="Garamond"/>
          <w:sz w:val="18"/>
          <w:szCs w:val="18"/>
        </w:rPr>
        <w:t>.</w:t>
      </w:r>
    </w:p>
    <w:p w14:paraId="7E9BD1A6" w14:textId="7F5ADBEA" w:rsidR="000154AA" w:rsidRDefault="00870286" w:rsidP="007F087A">
      <w:pPr>
        <w:spacing w:before="60" w:after="60"/>
        <w:rPr>
          <w:rFonts w:ascii="Titillium" w:hAnsi="Titillium" w:cs="Calibri"/>
          <w:sz w:val="18"/>
          <w:szCs w:val="18"/>
        </w:rPr>
      </w:pPr>
      <w:r w:rsidRPr="00992D8F">
        <w:rPr>
          <w:rFonts w:ascii="Titillium" w:hAnsi="Titillium" w:cs="Calibri"/>
          <w:sz w:val="18"/>
          <w:szCs w:val="18"/>
        </w:rPr>
        <w:t>La commissione giudicatrice è responsabile della valutazione delle offerte tecniche ed economiche dei concorrent</w:t>
      </w:r>
      <w:r w:rsidR="00507CF7" w:rsidRPr="00992D8F">
        <w:rPr>
          <w:rFonts w:ascii="Titillium" w:hAnsi="Titillium" w:cs="Calibri"/>
          <w:sz w:val="18"/>
          <w:szCs w:val="18"/>
        </w:rPr>
        <w:t>i</w:t>
      </w:r>
      <w:r w:rsidR="007F087A" w:rsidRPr="00992D8F">
        <w:rPr>
          <w:rFonts w:ascii="Titillium" w:hAnsi="Titillium" w:cs="Calibri"/>
          <w:sz w:val="18"/>
          <w:szCs w:val="18"/>
        </w:rPr>
        <w:t>, può riunirsi con modalità telematiche che salvaguardino la riservatezza delle comunicazioni ed opera attraverso la piattaforma di approvvigionamento digitale.</w:t>
      </w:r>
      <w:r w:rsidR="007F087A" w:rsidRPr="007F087A">
        <w:rPr>
          <w:rFonts w:ascii="Titillium" w:hAnsi="Titillium" w:cs="Calibri"/>
          <w:sz w:val="18"/>
          <w:szCs w:val="18"/>
        </w:rPr>
        <w:t xml:space="preserve"> </w:t>
      </w:r>
    </w:p>
    <w:p w14:paraId="15B613AD" w14:textId="54BCABFC" w:rsidR="004C53A8" w:rsidRDefault="00507CF7">
      <w:pPr>
        <w:spacing w:before="60" w:after="60"/>
        <w:rPr>
          <w:rFonts w:ascii="Titillium" w:hAnsi="Titillium" w:cs="Calibri"/>
          <w:sz w:val="18"/>
          <w:szCs w:val="18"/>
        </w:rPr>
      </w:pPr>
      <w:r w:rsidRPr="00331144">
        <w:rPr>
          <w:rFonts w:ascii="Titillium" w:hAnsi="Titillium" w:cs="Calibri"/>
          <w:b/>
          <w:i/>
          <w:sz w:val="18"/>
          <w:szCs w:val="18"/>
        </w:rPr>
        <w:t>[Facoltativo]</w:t>
      </w:r>
      <w:r>
        <w:rPr>
          <w:rFonts w:ascii="Titillium" w:hAnsi="Titillium" w:cs="Calibri"/>
          <w:sz w:val="18"/>
          <w:szCs w:val="18"/>
        </w:rPr>
        <w:t xml:space="preserve"> Il RUP si avvale dell’ausilio della commissione giudicatrice </w:t>
      </w:r>
      <w:r w:rsidRPr="0013560D">
        <w:rPr>
          <w:rFonts w:ascii="Titillium" w:hAnsi="Titillium" w:cs="Calibri"/>
          <w:sz w:val="18"/>
          <w:szCs w:val="18"/>
        </w:rPr>
        <w:t xml:space="preserve">ai fini della </w:t>
      </w:r>
      <w:r w:rsidR="00870286" w:rsidRPr="0013560D">
        <w:rPr>
          <w:rFonts w:ascii="Titillium" w:hAnsi="Titillium" w:cs="Calibri"/>
          <w:sz w:val="18"/>
          <w:szCs w:val="18"/>
        </w:rPr>
        <w:t>verifica della documentazione amministrativa e dell’anomalia delle offerte</w:t>
      </w:r>
      <w:r w:rsidRPr="0013560D">
        <w:rPr>
          <w:rFonts w:ascii="Titillium" w:hAnsi="Titillium" w:cs="Calibri"/>
          <w:sz w:val="18"/>
          <w:szCs w:val="18"/>
        </w:rPr>
        <w:t>.</w:t>
      </w:r>
    </w:p>
    <w:p w14:paraId="5CB180B9" w14:textId="77777777" w:rsidR="004C53A8" w:rsidRDefault="004C53A8">
      <w:pPr>
        <w:tabs>
          <w:tab w:val="left" w:pos="851"/>
        </w:tabs>
        <w:spacing w:before="60" w:after="60"/>
        <w:rPr>
          <w:rFonts w:ascii="Titillium" w:hAnsi="Titillium" w:cs="Calibri"/>
          <w:szCs w:val="24"/>
        </w:rPr>
      </w:pPr>
    </w:p>
    <w:p w14:paraId="20A420C3" w14:textId="72872E95" w:rsidR="004C53A8" w:rsidRDefault="00870286" w:rsidP="00084AD6">
      <w:pPr>
        <w:pStyle w:val="Titolo2"/>
        <w:numPr>
          <w:ilvl w:val="0"/>
          <w:numId w:val="4"/>
        </w:numPr>
        <w:spacing w:before="60" w:after="60"/>
        <w:ind w:left="357" w:hanging="357"/>
      </w:pPr>
      <w:bookmarkStart w:id="2109" w:name="_Ref130243943"/>
      <w:bookmarkStart w:id="2110" w:name="_Toc139549450"/>
      <w:r>
        <w:rPr>
          <w:rFonts w:ascii="Titillium" w:hAnsi="Titillium"/>
          <w:sz w:val="18"/>
          <w:szCs w:val="18"/>
          <w:lang w:val="it-IT"/>
        </w:rPr>
        <w:t xml:space="preserve">SVOLGIMENTO </w:t>
      </w:r>
      <w:r w:rsidR="0025449B">
        <w:rPr>
          <w:rFonts w:ascii="Titillium" w:hAnsi="Titillium"/>
          <w:sz w:val="18"/>
          <w:szCs w:val="18"/>
          <w:lang w:val="it-IT"/>
        </w:rPr>
        <w:t xml:space="preserve">DELLE </w:t>
      </w:r>
      <w:r>
        <w:rPr>
          <w:rFonts w:ascii="Titillium" w:hAnsi="Titillium"/>
          <w:sz w:val="18"/>
          <w:szCs w:val="18"/>
          <w:lang w:val="it-IT"/>
        </w:rPr>
        <w:t>OPERAZIONI DI GARA</w:t>
      </w:r>
      <w:bookmarkEnd w:id="2109"/>
      <w:bookmarkEnd w:id="2110"/>
      <w:r>
        <w:rPr>
          <w:rFonts w:ascii="Titillium" w:hAnsi="Titillium"/>
          <w:sz w:val="18"/>
          <w:szCs w:val="18"/>
          <w:lang w:val="it-IT"/>
        </w:rPr>
        <w:t xml:space="preserve"> </w:t>
      </w:r>
    </w:p>
    <w:p w14:paraId="3AB68DBE" w14:textId="6E9E5309" w:rsidR="006229B3" w:rsidRPr="0013560D" w:rsidRDefault="006229B3" w:rsidP="006229B3">
      <w:pPr>
        <w:spacing w:before="60" w:after="60"/>
        <w:rPr>
          <w:rFonts w:ascii="Titillium" w:hAnsi="Titillium" w:cs="Calibri"/>
          <w:sz w:val="18"/>
          <w:szCs w:val="18"/>
        </w:rPr>
      </w:pPr>
      <w:r w:rsidRPr="0013560D">
        <w:rPr>
          <w:rFonts w:ascii="Titillium" w:hAnsi="Titillium" w:cs="Calibri"/>
          <w:sz w:val="18"/>
          <w:szCs w:val="18"/>
        </w:rPr>
        <w:t xml:space="preserve">La prima </w:t>
      </w:r>
      <w:r w:rsidR="0013560D">
        <w:rPr>
          <w:rFonts w:ascii="Titillium" w:hAnsi="Titillium" w:cs="Calibri"/>
          <w:sz w:val="18"/>
          <w:szCs w:val="18"/>
        </w:rPr>
        <w:t>sessione</w:t>
      </w:r>
      <w:r w:rsidRPr="0013560D">
        <w:rPr>
          <w:rFonts w:ascii="Titillium" w:hAnsi="Titillium" w:cs="Calibri"/>
          <w:sz w:val="18"/>
          <w:szCs w:val="18"/>
        </w:rPr>
        <w:t xml:space="preserve"> ha luogo il giorno … </w:t>
      </w:r>
      <w:r w:rsidRPr="0013560D">
        <w:rPr>
          <w:rFonts w:ascii="Titillium" w:hAnsi="Titillium" w:cs="Calibri"/>
          <w:i/>
          <w:sz w:val="18"/>
          <w:szCs w:val="18"/>
        </w:rPr>
        <w:t>[indicare il giorno]</w:t>
      </w:r>
      <w:r w:rsidRPr="0013560D">
        <w:rPr>
          <w:rFonts w:ascii="Titillium" w:hAnsi="Titillium" w:cs="Calibri"/>
          <w:sz w:val="18"/>
          <w:szCs w:val="18"/>
        </w:rPr>
        <w:t xml:space="preserve">, alle ore … </w:t>
      </w:r>
      <w:r w:rsidRPr="0013560D">
        <w:rPr>
          <w:rFonts w:ascii="Titillium" w:hAnsi="Titillium" w:cs="Calibri"/>
          <w:i/>
          <w:sz w:val="18"/>
          <w:szCs w:val="18"/>
        </w:rPr>
        <w:t>[indicare l’ora]</w:t>
      </w:r>
      <w:r w:rsidRPr="0013560D">
        <w:rPr>
          <w:rFonts w:ascii="Titillium" w:hAnsi="Titillium" w:cs="Calibri"/>
          <w:sz w:val="18"/>
          <w:szCs w:val="18"/>
        </w:rPr>
        <w:t>.</w:t>
      </w:r>
    </w:p>
    <w:p w14:paraId="323992C2" w14:textId="37E4812A" w:rsidR="00314F24" w:rsidRPr="0013560D" w:rsidRDefault="003259D0" w:rsidP="006229B3">
      <w:pPr>
        <w:spacing w:before="60" w:after="60"/>
        <w:rPr>
          <w:rFonts w:ascii="Titillium" w:hAnsi="Titillium" w:cs="Calibri"/>
          <w:sz w:val="18"/>
          <w:szCs w:val="18"/>
        </w:rPr>
      </w:pPr>
      <w:r w:rsidRPr="0013560D">
        <w:rPr>
          <w:rFonts w:ascii="Titillium" w:hAnsi="Titillium" w:cs="Calibri"/>
          <w:sz w:val="18"/>
          <w:szCs w:val="18"/>
        </w:rPr>
        <w:t>La Piattaforma consente</w:t>
      </w:r>
      <w:r w:rsidR="00314F24" w:rsidRPr="0013560D">
        <w:rPr>
          <w:rFonts w:ascii="Titillium" w:hAnsi="Titillium" w:cs="Calibri"/>
          <w:sz w:val="18"/>
          <w:szCs w:val="18"/>
        </w:rPr>
        <w:t xml:space="preserve"> </w:t>
      </w:r>
      <w:r w:rsidR="00900AFC">
        <w:rPr>
          <w:rFonts w:ascii="Titillium" w:hAnsi="Titillium" w:cs="Calibri"/>
          <w:sz w:val="18"/>
          <w:szCs w:val="18"/>
        </w:rPr>
        <w:t>lo svolgimento</w:t>
      </w:r>
      <w:r w:rsidR="00314F24" w:rsidRPr="0013560D">
        <w:rPr>
          <w:rFonts w:ascii="Titillium" w:hAnsi="Titillium" w:cs="Calibri"/>
          <w:sz w:val="18"/>
          <w:szCs w:val="18"/>
        </w:rPr>
        <w:t xml:space="preserve"> delle </w:t>
      </w:r>
      <w:r w:rsidR="0013560D">
        <w:rPr>
          <w:rFonts w:ascii="Titillium" w:hAnsi="Titillium" w:cs="Calibri"/>
          <w:sz w:val="18"/>
          <w:szCs w:val="18"/>
        </w:rPr>
        <w:t>sessioni</w:t>
      </w:r>
      <w:r w:rsidR="00314F24" w:rsidRPr="0013560D">
        <w:rPr>
          <w:rFonts w:ascii="Titillium" w:hAnsi="Titillium" w:cs="Calibri"/>
          <w:sz w:val="18"/>
          <w:szCs w:val="18"/>
        </w:rPr>
        <w:t xml:space="preserve"> di gara preordinate all’</w:t>
      </w:r>
      <w:r w:rsidR="00900AFC">
        <w:rPr>
          <w:rFonts w:ascii="Titillium" w:hAnsi="Titillium" w:cs="Calibri"/>
          <w:sz w:val="18"/>
          <w:szCs w:val="18"/>
        </w:rPr>
        <w:t>esame</w:t>
      </w:r>
      <w:r w:rsidR="00314F24" w:rsidRPr="0013560D">
        <w:rPr>
          <w:rFonts w:ascii="Titillium" w:hAnsi="Titillium" w:cs="Calibri"/>
          <w:sz w:val="18"/>
          <w:szCs w:val="18"/>
        </w:rPr>
        <w:t>:</w:t>
      </w:r>
    </w:p>
    <w:p w14:paraId="65BFE142" w14:textId="18695966" w:rsidR="00314F24" w:rsidRPr="0013560D" w:rsidRDefault="00314F24" w:rsidP="00314F24">
      <w:pPr>
        <w:spacing w:before="60" w:after="60"/>
        <w:rPr>
          <w:rFonts w:ascii="Titillium" w:hAnsi="Titillium" w:cs="Calibri"/>
          <w:sz w:val="18"/>
          <w:szCs w:val="18"/>
        </w:rPr>
      </w:pPr>
      <w:r w:rsidRPr="0013560D">
        <w:rPr>
          <w:rFonts w:ascii="Titillium" w:hAnsi="Titillium" w:cs="Calibri"/>
          <w:sz w:val="18"/>
          <w:szCs w:val="18"/>
        </w:rPr>
        <w:t>•</w:t>
      </w:r>
      <w:r w:rsidRPr="0013560D">
        <w:rPr>
          <w:rFonts w:ascii="Titillium" w:hAnsi="Titillium" w:cs="Calibri"/>
          <w:sz w:val="18"/>
          <w:szCs w:val="18"/>
        </w:rPr>
        <w:tab/>
        <w:t>della documentazione amministrativa;</w:t>
      </w:r>
    </w:p>
    <w:p w14:paraId="0D319771" w14:textId="1C2108A0" w:rsidR="00314F24" w:rsidRPr="0013560D" w:rsidRDefault="00314F24" w:rsidP="00314F24">
      <w:pPr>
        <w:spacing w:before="60" w:after="60"/>
        <w:rPr>
          <w:rFonts w:ascii="Titillium" w:hAnsi="Titillium" w:cs="Calibri"/>
          <w:sz w:val="18"/>
          <w:szCs w:val="18"/>
        </w:rPr>
      </w:pPr>
      <w:r w:rsidRPr="0013560D">
        <w:rPr>
          <w:rFonts w:ascii="Titillium" w:hAnsi="Titillium" w:cs="Calibri"/>
          <w:sz w:val="18"/>
          <w:szCs w:val="18"/>
        </w:rPr>
        <w:t>•</w:t>
      </w:r>
      <w:r w:rsidRPr="0013560D">
        <w:rPr>
          <w:rFonts w:ascii="Titillium" w:hAnsi="Titillium" w:cs="Calibri"/>
          <w:sz w:val="18"/>
          <w:szCs w:val="18"/>
        </w:rPr>
        <w:tab/>
        <w:t>delle offerte tecniche;</w:t>
      </w:r>
    </w:p>
    <w:p w14:paraId="428B8432" w14:textId="543BEDF1" w:rsidR="00314F24" w:rsidRPr="0013560D" w:rsidRDefault="00314F24" w:rsidP="00314F24">
      <w:pPr>
        <w:spacing w:before="60" w:after="60"/>
        <w:rPr>
          <w:rFonts w:ascii="Titillium" w:hAnsi="Titillium" w:cs="Calibri"/>
          <w:sz w:val="18"/>
          <w:szCs w:val="18"/>
        </w:rPr>
      </w:pPr>
      <w:r w:rsidRPr="0013560D">
        <w:rPr>
          <w:rFonts w:ascii="Titillium" w:hAnsi="Titillium" w:cs="Calibri"/>
          <w:sz w:val="18"/>
          <w:szCs w:val="18"/>
        </w:rPr>
        <w:t>•</w:t>
      </w:r>
      <w:r w:rsidRPr="0013560D">
        <w:rPr>
          <w:rFonts w:ascii="Titillium" w:hAnsi="Titillium" w:cs="Calibri"/>
          <w:sz w:val="18"/>
          <w:szCs w:val="18"/>
        </w:rPr>
        <w:tab/>
        <w:t>delle offerte economiche</w:t>
      </w:r>
      <w:r w:rsidR="00900AFC">
        <w:rPr>
          <w:rFonts w:ascii="Titillium" w:hAnsi="Titillium" w:cs="Calibri"/>
          <w:sz w:val="18"/>
          <w:szCs w:val="18"/>
        </w:rPr>
        <w:t>.</w:t>
      </w:r>
    </w:p>
    <w:p w14:paraId="48843B4E" w14:textId="207C71B4" w:rsidR="00314F24" w:rsidRDefault="00900AFC">
      <w:pPr>
        <w:spacing w:before="60" w:after="60"/>
        <w:rPr>
          <w:rFonts w:ascii="Titillium" w:hAnsi="Titillium" w:cs="Calibri"/>
          <w:sz w:val="18"/>
          <w:szCs w:val="18"/>
        </w:rPr>
      </w:pPr>
      <w:r>
        <w:rPr>
          <w:rFonts w:ascii="Titillium" w:hAnsi="Titillium" w:cs="Calibri"/>
          <w:sz w:val="18"/>
          <w:szCs w:val="18"/>
        </w:rPr>
        <w:t xml:space="preserve">La piattaforma garantisce il rispetto delle disposizioni del codice in materia di </w:t>
      </w:r>
      <w:r w:rsidR="006229B3" w:rsidRPr="0013560D">
        <w:rPr>
          <w:rFonts w:ascii="Titillium" w:hAnsi="Titillium" w:cs="Calibri"/>
          <w:sz w:val="18"/>
          <w:szCs w:val="18"/>
        </w:rPr>
        <w:t>riservatezza delle</w:t>
      </w:r>
      <w:r>
        <w:rPr>
          <w:rFonts w:ascii="Titillium" w:hAnsi="Titillium" w:cs="Calibri"/>
          <w:sz w:val="18"/>
          <w:szCs w:val="18"/>
        </w:rPr>
        <w:t xml:space="preserve"> operazioni e delle informazioni relative alla procedura di gara</w:t>
      </w:r>
      <w:r w:rsidR="008F3A30">
        <w:rPr>
          <w:rFonts w:ascii="Titillium" w:hAnsi="Titillium" w:cs="Calibri"/>
          <w:sz w:val="18"/>
          <w:szCs w:val="18"/>
        </w:rPr>
        <w:t>, nonché il rispetto dei principi di trasparenza.</w:t>
      </w:r>
    </w:p>
    <w:p w14:paraId="0B29541C" w14:textId="15068A1C" w:rsidR="00DC448A" w:rsidRDefault="00870286" w:rsidP="00DC448A">
      <w:pPr>
        <w:spacing w:before="60" w:after="60"/>
        <w:rPr>
          <w:rFonts w:ascii="Titillium" w:eastAsia="SimSun" w:hAnsi="Titillium" w:cs="Calibri"/>
          <w:sz w:val="18"/>
          <w:szCs w:val="18"/>
        </w:rPr>
      </w:pPr>
      <w:r>
        <w:rPr>
          <w:rFonts w:ascii="Titillium" w:eastAsia="SimSun" w:hAnsi="Titillium" w:cs="Calibri"/>
          <w:b/>
          <w:i/>
          <w:sz w:val="18"/>
          <w:szCs w:val="18"/>
        </w:rPr>
        <w:t>[Facoltativo</w:t>
      </w:r>
      <w:r w:rsidR="0020371D">
        <w:rPr>
          <w:rFonts w:ascii="Titillium" w:eastAsia="SimSun" w:hAnsi="Titillium" w:cs="Calibri"/>
          <w:b/>
          <w:i/>
          <w:sz w:val="18"/>
          <w:szCs w:val="18"/>
        </w:rPr>
        <w:t xml:space="preserve">] </w:t>
      </w:r>
      <w:r w:rsidR="0020371D">
        <w:rPr>
          <w:rFonts w:ascii="Titillium" w:eastAsia="SimSun" w:hAnsi="Titillium" w:cs="Calibri"/>
          <w:b/>
          <w:iCs/>
          <w:sz w:val="18"/>
          <w:szCs w:val="18"/>
        </w:rPr>
        <w:t>Inversione procedimentale:</w:t>
      </w:r>
      <w:r w:rsidR="009C5C3C">
        <w:rPr>
          <w:rFonts w:ascii="Titillium" w:eastAsia="SimSun" w:hAnsi="Titillium" w:cs="Calibri"/>
          <w:sz w:val="18"/>
          <w:szCs w:val="18"/>
        </w:rPr>
        <w:t xml:space="preserve"> </w:t>
      </w:r>
      <w:r w:rsidR="0020371D">
        <w:rPr>
          <w:rFonts w:ascii="Titillium" w:eastAsia="SimSun" w:hAnsi="Titillium" w:cs="Calibri"/>
          <w:sz w:val="18"/>
          <w:szCs w:val="18"/>
        </w:rPr>
        <w:t>l</w:t>
      </w:r>
      <w:r w:rsidR="009C5C3C">
        <w:rPr>
          <w:rFonts w:ascii="Titillium" w:eastAsia="SimSun" w:hAnsi="Titillium" w:cs="Calibri"/>
          <w:sz w:val="18"/>
          <w:szCs w:val="18"/>
        </w:rPr>
        <w:t xml:space="preserve">a stazione appaltante ha </w:t>
      </w:r>
      <w:r w:rsidR="007034A1">
        <w:rPr>
          <w:rFonts w:ascii="Titillium" w:eastAsia="SimSun" w:hAnsi="Titillium" w:cs="Calibri"/>
          <w:sz w:val="18"/>
          <w:szCs w:val="18"/>
        </w:rPr>
        <w:t>stabilito</w:t>
      </w:r>
      <w:r w:rsidR="009C5C3C">
        <w:rPr>
          <w:rFonts w:ascii="Titillium" w:eastAsia="SimSun" w:hAnsi="Titillium" w:cs="Calibri"/>
          <w:sz w:val="18"/>
          <w:szCs w:val="18"/>
        </w:rPr>
        <w:t xml:space="preserve"> di ricorre</w:t>
      </w:r>
      <w:r w:rsidR="00E67F93">
        <w:rPr>
          <w:rFonts w:ascii="Titillium" w:eastAsia="SimSun" w:hAnsi="Titillium" w:cs="Calibri"/>
          <w:sz w:val="18"/>
          <w:szCs w:val="18"/>
        </w:rPr>
        <w:t>re</w:t>
      </w:r>
      <w:r w:rsidR="009C5C3C">
        <w:rPr>
          <w:rFonts w:ascii="Titillium" w:eastAsia="SimSun" w:hAnsi="Titillium" w:cs="Calibri"/>
          <w:sz w:val="18"/>
          <w:szCs w:val="18"/>
        </w:rPr>
        <w:t xml:space="preserve"> all’inversione procedimentale</w:t>
      </w:r>
      <w:r w:rsidR="006405D2">
        <w:rPr>
          <w:rFonts w:ascii="Titillium" w:eastAsia="SimSun" w:hAnsi="Titillium" w:cs="Calibri"/>
          <w:sz w:val="18"/>
          <w:szCs w:val="18"/>
        </w:rPr>
        <w:t xml:space="preserve"> </w:t>
      </w:r>
      <w:r w:rsidR="00F810E5" w:rsidRPr="00F810E5">
        <w:rPr>
          <w:rFonts w:ascii="Titillium" w:eastAsia="SimSun" w:hAnsi="Titillium" w:cs="Calibri"/>
          <w:i/>
          <w:iCs/>
          <w:sz w:val="18"/>
          <w:szCs w:val="18"/>
        </w:rPr>
        <w:t xml:space="preserve">[o, in alternativa] </w:t>
      </w:r>
      <w:r w:rsidR="00F810E5" w:rsidRPr="00F810E5">
        <w:rPr>
          <w:rFonts w:ascii="Titillium" w:eastAsia="SimSun" w:hAnsi="Titillium" w:cs="Calibri"/>
          <w:sz w:val="18"/>
          <w:szCs w:val="18"/>
        </w:rPr>
        <w:t>la stazione appaltante si riserva la facoltà di ricorrere all’inversione procedimentale e di esercitare tale facoltà dopo la scadenza del termine per la presentazione delle offerte</w:t>
      </w:r>
      <w:r w:rsidR="005342D9">
        <w:rPr>
          <w:rFonts w:ascii="Titillium" w:eastAsia="SimSun" w:hAnsi="Titillium" w:cs="Calibri"/>
          <w:sz w:val="18"/>
          <w:szCs w:val="18"/>
        </w:rPr>
        <w:t xml:space="preserve"> [</w:t>
      </w:r>
      <w:r w:rsidR="005342D9" w:rsidRPr="005342D9">
        <w:rPr>
          <w:rFonts w:ascii="Titillium" w:eastAsia="SimSun" w:hAnsi="Titillium" w:cs="Calibri"/>
          <w:i/>
          <w:sz w:val="18"/>
          <w:szCs w:val="18"/>
        </w:rPr>
        <w:t xml:space="preserve">indicare i casi in cui si eserciterà tale facoltà, ad esempio, </w:t>
      </w:r>
      <w:r w:rsidR="0030072B">
        <w:rPr>
          <w:rFonts w:ascii="Titillium" w:eastAsia="SimSun" w:hAnsi="Titillium" w:cs="Calibri"/>
          <w:i/>
          <w:sz w:val="18"/>
          <w:szCs w:val="18"/>
        </w:rPr>
        <w:t>“</w:t>
      </w:r>
      <w:r w:rsidR="005342D9" w:rsidRPr="005342D9">
        <w:rPr>
          <w:rFonts w:ascii="Titillium" w:eastAsia="SimSun" w:hAnsi="Titillium" w:cs="Calibri"/>
          <w:i/>
          <w:sz w:val="18"/>
          <w:szCs w:val="18"/>
        </w:rPr>
        <w:t xml:space="preserve">nel caso in cui le offerte pervenute </w:t>
      </w:r>
      <w:r w:rsidR="005342D9">
        <w:rPr>
          <w:rFonts w:ascii="Titillium" w:eastAsia="SimSun" w:hAnsi="Titillium" w:cs="Calibri"/>
          <w:i/>
          <w:sz w:val="18"/>
          <w:szCs w:val="18"/>
        </w:rPr>
        <w:t>siano superiori a ………</w:t>
      </w:r>
      <w:r w:rsidR="0030072B">
        <w:rPr>
          <w:rFonts w:ascii="Titillium" w:eastAsia="SimSun" w:hAnsi="Titillium" w:cs="Calibri"/>
          <w:i/>
          <w:sz w:val="18"/>
          <w:szCs w:val="18"/>
        </w:rPr>
        <w:t>”</w:t>
      </w:r>
      <w:r w:rsidR="005342D9">
        <w:rPr>
          <w:rFonts w:ascii="Titillium" w:eastAsia="SimSun" w:hAnsi="Titillium" w:cs="Calibri"/>
          <w:i/>
          <w:sz w:val="18"/>
          <w:szCs w:val="18"/>
        </w:rPr>
        <w:t xml:space="preserve"> indicare il numero</w:t>
      </w:r>
      <w:r w:rsidR="005342D9" w:rsidRPr="0030072B">
        <w:rPr>
          <w:rFonts w:ascii="Titillium" w:eastAsia="SimSun" w:hAnsi="Titillium" w:cs="Calibri"/>
          <w:i/>
          <w:iCs/>
          <w:sz w:val="18"/>
          <w:szCs w:val="18"/>
        </w:rPr>
        <w:t>]</w:t>
      </w:r>
    </w:p>
    <w:p w14:paraId="437B0E51" w14:textId="607A8C6A" w:rsidR="004C53A8" w:rsidRDefault="00913C1B">
      <w:pPr>
        <w:spacing w:before="60" w:after="60"/>
        <w:rPr>
          <w:rFonts w:ascii="Titillium" w:eastAsia="SimSun" w:hAnsi="Titillium"/>
          <w:bCs/>
          <w:iCs/>
          <w:sz w:val="18"/>
          <w:szCs w:val="18"/>
        </w:rPr>
      </w:pPr>
      <w:r>
        <w:rPr>
          <w:rFonts w:ascii="Titillium" w:eastAsia="SimSun" w:hAnsi="Titillium" w:cs="Calibri"/>
          <w:sz w:val="18"/>
          <w:szCs w:val="18"/>
        </w:rPr>
        <w:t xml:space="preserve">Con l’inversione procedimentale si </w:t>
      </w:r>
      <w:r w:rsidR="00870286">
        <w:rPr>
          <w:rFonts w:ascii="Titillium" w:eastAsia="SimSun" w:hAnsi="Titillium"/>
          <w:bCs/>
          <w:iCs/>
          <w:sz w:val="18"/>
          <w:szCs w:val="18"/>
        </w:rPr>
        <w:t xml:space="preserve">procede prima alla valutazione dell’offerta tecnica, poi alla valutazione dell’offerta economica, di tutti i concorrenti, poi, alla </w:t>
      </w:r>
      <w:r w:rsidR="00870286" w:rsidRPr="00C87621">
        <w:rPr>
          <w:rFonts w:ascii="Titillium" w:eastAsia="SimSun" w:hAnsi="Titillium"/>
          <w:bCs/>
          <w:iCs/>
          <w:sz w:val="18"/>
          <w:szCs w:val="18"/>
        </w:rPr>
        <w:t>verifica della</w:t>
      </w:r>
      <w:r w:rsidR="00B76CCF" w:rsidRPr="00C87621">
        <w:rPr>
          <w:rFonts w:ascii="Titillium" w:eastAsia="SimSun" w:hAnsi="Titillium"/>
          <w:bCs/>
          <w:iCs/>
          <w:sz w:val="18"/>
          <w:szCs w:val="18"/>
        </w:rPr>
        <w:t xml:space="preserve"> documentazione amministrativa </w:t>
      </w:r>
      <w:r w:rsidR="00870286" w:rsidRPr="00C87621">
        <w:rPr>
          <w:rFonts w:ascii="Titillium" w:eastAsia="SimSun" w:hAnsi="Titillium"/>
          <w:bCs/>
          <w:iCs/>
          <w:sz w:val="18"/>
          <w:szCs w:val="18"/>
        </w:rPr>
        <w:t xml:space="preserve">del </w:t>
      </w:r>
      <w:r w:rsidR="00870286" w:rsidRPr="009C6573">
        <w:rPr>
          <w:rFonts w:ascii="Titillium" w:eastAsia="SimSun" w:hAnsi="Titillium"/>
          <w:bCs/>
          <w:iCs/>
          <w:sz w:val="18"/>
          <w:szCs w:val="18"/>
        </w:rPr>
        <w:t>concorrente primo in graduatoria</w:t>
      </w:r>
      <w:r w:rsidR="00870286">
        <w:rPr>
          <w:rFonts w:ascii="Titillium" w:eastAsia="SimSun" w:hAnsi="Titillium"/>
          <w:bCs/>
          <w:iCs/>
          <w:sz w:val="18"/>
          <w:szCs w:val="18"/>
        </w:rPr>
        <w:t xml:space="preserve">. </w:t>
      </w:r>
      <w:r w:rsidR="00870286" w:rsidRPr="00922FC9">
        <w:rPr>
          <w:rFonts w:ascii="Titillium" w:eastAsia="SimSun" w:hAnsi="Titillium"/>
          <w:bCs/>
          <w:iCs/>
          <w:sz w:val="18"/>
          <w:szCs w:val="18"/>
        </w:rPr>
        <w:t>La verifica dell’anomalia avviene dopo le operazioni della commissione di gara</w:t>
      </w:r>
      <w:r w:rsidR="006405D2">
        <w:rPr>
          <w:rFonts w:ascii="Titillium" w:eastAsia="SimSun" w:hAnsi="Titillium"/>
          <w:bCs/>
          <w:iCs/>
          <w:sz w:val="18"/>
          <w:szCs w:val="18"/>
        </w:rPr>
        <w:t xml:space="preserve"> </w:t>
      </w:r>
      <w:r w:rsidR="00922FC9" w:rsidRPr="006405D2">
        <w:rPr>
          <w:rFonts w:ascii="Titillium" w:eastAsia="SimSun" w:hAnsi="Titillium"/>
          <w:b/>
          <w:bCs/>
          <w:i/>
          <w:sz w:val="18"/>
          <w:szCs w:val="18"/>
        </w:rPr>
        <w:t>[</w:t>
      </w:r>
      <w:r w:rsidR="006405D2">
        <w:rPr>
          <w:rFonts w:ascii="Titillium" w:eastAsia="SimSun" w:hAnsi="Titillium"/>
          <w:b/>
          <w:bCs/>
          <w:i/>
          <w:sz w:val="18"/>
          <w:szCs w:val="18"/>
        </w:rPr>
        <w:t>i</w:t>
      </w:r>
      <w:r w:rsidR="000F3274" w:rsidRPr="006405D2">
        <w:rPr>
          <w:rFonts w:ascii="Titillium" w:eastAsia="SimSun" w:hAnsi="Titillium"/>
          <w:b/>
          <w:bCs/>
          <w:i/>
          <w:sz w:val="18"/>
          <w:szCs w:val="18"/>
        </w:rPr>
        <w:t>n alternativa</w:t>
      </w:r>
      <w:r w:rsidR="00922FC9" w:rsidRPr="006405D2">
        <w:rPr>
          <w:rFonts w:ascii="Titillium" w:eastAsia="SimSun" w:hAnsi="Titillium"/>
          <w:b/>
          <w:bCs/>
          <w:i/>
          <w:sz w:val="18"/>
          <w:szCs w:val="18"/>
        </w:rPr>
        <w:t>]</w:t>
      </w:r>
      <w:r w:rsidR="000F3274">
        <w:rPr>
          <w:rFonts w:ascii="Titillium" w:eastAsia="SimSun" w:hAnsi="Titillium"/>
          <w:bCs/>
          <w:iCs/>
          <w:sz w:val="18"/>
          <w:szCs w:val="18"/>
        </w:rPr>
        <w:t xml:space="preserve"> </w:t>
      </w:r>
      <w:r>
        <w:rPr>
          <w:rFonts w:ascii="Titillium" w:eastAsia="SimSun" w:hAnsi="Titillium" w:cs="Calibri"/>
          <w:sz w:val="18"/>
          <w:szCs w:val="18"/>
        </w:rPr>
        <w:t xml:space="preserve">Con l’inversione procedimentale si </w:t>
      </w:r>
      <w:r w:rsidR="004548C0" w:rsidRPr="004548C0">
        <w:rPr>
          <w:rFonts w:ascii="Titillium" w:eastAsia="SimSun" w:hAnsi="Titillium"/>
          <w:bCs/>
          <w:iCs/>
          <w:sz w:val="18"/>
          <w:szCs w:val="18"/>
        </w:rPr>
        <w:t xml:space="preserve">procede prima alla valutazione dell’offerta tecnica, poi alla valutazione dell’offerta economica di tutti i concorrenti, poi, alla </w:t>
      </w:r>
      <w:r w:rsidR="005A3ACC">
        <w:rPr>
          <w:rFonts w:ascii="Titillium" w:eastAsia="SimSun" w:hAnsi="Titillium"/>
          <w:bCs/>
          <w:iCs/>
          <w:sz w:val="18"/>
          <w:szCs w:val="18"/>
        </w:rPr>
        <w:t>verifica dell</w:t>
      </w:r>
      <w:r w:rsidR="00922FC9">
        <w:rPr>
          <w:rFonts w:ascii="Titillium" w:eastAsia="SimSun" w:hAnsi="Titillium"/>
          <w:bCs/>
          <w:iCs/>
          <w:sz w:val="18"/>
          <w:szCs w:val="18"/>
        </w:rPr>
        <w:t xml:space="preserve">’anomalia </w:t>
      </w:r>
      <w:r w:rsidR="004548C0">
        <w:rPr>
          <w:rFonts w:ascii="Titillium" w:eastAsia="SimSun" w:hAnsi="Titillium"/>
          <w:bCs/>
          <w:iCs/>
          <w:sz w:val="18"/>
          <w:szCs w:val="18"/>
        </w:rPr>
        <w:t xml:space="preserve">e, infine, alla </w:t>
      </w:r>
      <w:r w:rsidR="004548C0" w:rsidRPr="004548C0">
        <w:rPr>
          <w:rFonts w:ascii="Titillium" w:eastAsia="SimSun" w:hAnsi="Titillium"/>
          <w:bCs/>
          <w:iCs/>
          <w:sz w:val="18"/>
          <w:szCs w:val="18"/>
        </w:rPr>
        <w:t>verifica della documentazione amministrativa</w:t>
      </w:r>
      <w:r w:rsidR="00992D8F">
        <w:rPr>
          <w:rFonts w:ascii="Titillium" w:eastAsia="SimSun" w:hAnsi="Titillium"/>
          <w:bCs/>
          <w:iCs/>
          <w:sz w:val="18"/>
          <w:szCs w:val="18"/>
        </w:rPr>
        <w:t xml:space="preserve"> del concorrente primo in graduatoria</w:t>
      </w:r>
      <w:r w:rsidR="009C5604">
        <w:rPr>
          <w:rFonts w:ascii="Titillium" w:eastAsia="SimSun" w:hAnsi="Titillium"/>
          <w:bCs/>
          <w:iCs/>
          <w:sz w:val="18"/>
          <w:szCs w:val="18"/>
        </w:rPr>
        <w:t xml:space="preserve"> </w:t>
      </w:r>
      <w:r w:rsidR="009C5604" w:rsidRPr="009C5604">
        <w:rPr>
          <w:rFonts w:ascii="Titillium" w:eastAsia="SimSun" w:hAnsi="Titillium"/>
          <w:b/>
          <w:i/>
          <w:sz w:val="18"/>
          <w:szCs w:val="18"/>
        </w:rPr>
        <w:t>[in alternativa]</w:t>
      </w:r>
      <w:r w:rsidR="009C5604">
        <w:rPr>
          <w:rFonts w:ascii="Titillium" w:eastAsia="SimSun" w:hAnsi="Titillium"/>
          <w:bCs/>
          <w:iCs/>
          <w:sz w:val="18"/>
          <w:szCs w:val="18"/>
        </w:rPr>
        <w:t xml:space="preserve"> </w:t>
      </w:r>
      <w:r w:rsidR="009C5604">
        <w:rPr>
          <w:rFonts w:ascii="Titillium" w:eastAsia="SimSun" w:hAnsi="Titillium" w:cs="Calibri"/>
          <w:sz w:val="18"/>
          <w:szCs w:val="18"/>
        </w:rPr>
        <w:t xml:space="preserve">Con l’inversione procedimentale si </w:t>
      </w:r>
      <w:r w:rsidR="009C5604">
        <w:rPr>
          <w:rFonts w:ascii="Titillium" w:eastAsia="SimSun" w:hAnsi="Titillium"/>
          <w:bCs/>
          <w:iCs/>
          <w:sz w:val="18"/>
          <w:szCs w:val="18"/>
        </w:rPr>
        <w:t xml:space="preserve">procede prima alla valutazione dell’offerta tecnica, poi alla valutazione dell’offerta economica, di tutti i concorrenti, poi </w:t>
      </w:r>
      <w:r w:rsidR="0078130E">
        <w:rPr>
          <w:rFonts w:ascii="Titillium" w:eastAsia="SimSun" w:hAnsi="Titillium"/>
          <w:bCs/>
          <w:iCs/>
          <w:sz w:val="18"/>
          <w:szCs w:val="18"/>
        </w:rPr>
        <w:t>alla</w:t>
      </w:r>
      <w:r w:rsidR="009C5604" w:rsidRPr="004548C0">
        <w:rPr>
          <w:rFonts w:ascii="Titillium" w:eastAsia="SimSun" w:hAnsi="Titillium"/>
          <w:bCs/>
          <w:iCs/>
          <w:sz w:val="18"/>
          <w:szCs w:val="18"/>
        </w:rPr>
        <w:t xml:space="preserve"> </w:t>
      </w:r>
      <w:r w:rsidR="009C5604">
        <w:rPr>
          <w:rFonts w:ascii="Titillium" w:eastAsia="SimSun" w:hAnsi="Titillium"/>
          <w:bCs/>
          <w:iCs/>
          <w:sz w:val="18"/>
          <w:szCs w:val="18"/>
        </w:rPr>
        <w:t>verifica dell’anomalia e, in parallelo, alla verifica della documentazione amministrativa del concorrente primo in graduatoria.</w:t>
      </w:r>
    </w:p>
    <w:p w14:paraId="62A0F807" w14:textId="77777777" w:rsidR="00992D8F" w:rsidRDefault="00992D8F">
      <w:pPr>
        <w:spacing w:before="60" w:after="60"/>
      </w:pPr>
    </w:p>
    <w:p w14:paraId="722DEC88" w14:textId="77777777" w:rsidR="004C53A8" w:rsidRDefault="00870286" w:rsidP="00084AD6">
      <w:pPr>
        <w:pStyle w:val="Titolo2"/>
        <w:numPr>
          <w:ilvl w:val="0"/>
          <w:numId w:val="4"/>
        </w:numPr>
        <w:spacing w:before="60" w:after="60"/>
        <w:ind w:left="357" w:hanging="357"/>
        <w:rPr>
          <w:rFonts w:ascii="Titillium" w:hAnsi="Titillium"/>
          <w:sz w:val="18"/>
          <w:szCs w:val="18"/>
          <w:lang w:val="it-IT"/>
        </w:rPr>
      </w:pPr>
      <w:bookmarkStart w:id="2111" w:name="_Ref132303128"/>
      <w:bookmarkStart w:id="2112" w:name="_Toc139549451"/>
      <w:r>
        <w:rPr>
          <w:rFonts w:ascii="Titillium" w:hAnsi="Titillium"/>
          <w:sz w:val="18"/>
          <w:szCs w:val="18"/>
          <w:lang w:val="it-IT"/>
        </w:rPr>
        <w:lastRenderedPageBreak/>
        <w:t>VERIFICA DOCUMENTAZIONE AMMINISTRATIVA</w:t>
      </w:r>
      <w:bookmarkEnd w:id="2111"/>
      <w:bookmarkEnd w:id="2112"/>
    </w:p>
    <w:p w14:paraId="0C259926" w14:textId="741EA6D0" w:rsidR="004C53A8" w:rsidRPr="0035693B" w:rsidRDefault="00870286">
      <w:pPr>
        <w:spacing w:before="60" w:after="60"/>
        <w:rPr>
          <w:i/>
          <w:strike/>
        </w:rPr>
      </w:pPr>
      <w:r w:rsidRPr="0035693B">
        <w:rPr>
          <w:rFonts w:ascii="Titillium" w:eastAsia="SimSun" w:hAnsi="Titillium" w:cs="Calibri"/>
          <w:b/>
          <w:i/>
          <w:sz w:val="18"/>
          <w:szCs w:val="18"/>
        </w:rPr>
        <w:t>[</w:t>
      </w:r>
      <w:r w:rsidR="00596FC8" w:rsidRPr="0035693B">
        <w:rPr>
          <w:rFonts w:ascii="Titillium" w:eastAsia="SimSun" w:hAnsi="Titillium" w:cs="Calibri"/>
          <w:b/>
          <w:i/>
          <w:sz w:val="18"/>
          <w:szCs w:val="18"/>
        </w:rPr>
        <w:t>E</w:t>
      </w:r>
      <w:r w:rsidR="006405D2" w:rsidRPr="0035693B">
        <w:rPr>
          <w:rFonts w:ascii="Titillium" w:eastAsia="SimSun" w:hAnsi="Titillium" w:cs="Calibri"/>
          <w:b/>
          <w:i/>
          <w:sz w:val="18"/>
          <w:szCs w:val="18"/>
        </w:rPr>
        <w:t xml:space="preserve">liminare questo articolo </w:t>
      </w:r>
      <w:r w:rsidR="00596FC8" w:rsidRPr="0035693B">
        <w:rPr>
          <w:rFonts w:ascii="Titillium" w:eastAsia="SimSun" w:hAnsi="Titillium" w:cs="Calibri"/>
          <w:b/>
          <w:i/>
          <w:sz w:val="18"/>
          <w:szCs w:val="18"/>
        </w:rPr>
        <w:t>se si ricorre</w:t>
      </w:r>
      <w:r w:rsidR="006405D2" w:rsidRPr="0035693B">
        <w:rPr>
          <w:rFonts w:ascii="Titillium" w:eastAsia="SimSun" w:hAnsi="Titillium" w:cs="Calibri"/>
          <w:b/>
          <w:i/>
          <w:sz w:val="18"/>
          <w:szCs w:val="18"/>
        </w:rPr>
        <w:t xml:space="preserve"> </w:t>
      </w:r>
      <w:r w:rsidR="00596FC8" w:rsidRPr="0035693B">
        <w:rPr>
          <w:rFonts w:ascii="Titillium" w:eastAsia="SimSun" w:hAnsi="Titillium" w:cs="Calibri"/>
          <w:b/>
          <w:i/>
          <w:sz w:val="18"/>
          <w:szCs w:val="18"/>
        </w:rPr>
        <w:t>all</w:t>
      </w:r>
      <w:r w:rsidR="006405D2" w:rsidRPr="0035693B">
        <w:rPr>
          <w:rFonts w:ascii="Titillium" w:eastAsia="SimSun" w:hAnsi="Titillium" w:cs="Calibri"/>
          <w:b/>
          <w:i/>
          <w:sz w:val="18"/>
          <w:szCs w:val="18"/>
        </w:rPr>
        <w:t>’inversione procedimentale</w:t>
      </w:r>
      <w:r w:rsidRPr="0035693B">
        <w:rPr>
          <w:rFonts w:ascii="Titillium" w:eastAsia="SimSun" w:hAnsi="Titillium"/>
          <w:b/>
          <w:bCs/>
          <w:i/>
          <w:sz w:val="18"/>
          <w:szCs w:val="18"/>
        </w:rPr>
        <w:t>]</w:t>
      </w:r>
    </w:p>
    <w:p w14:paraId="1F2D0319" w14:textId="405E32B2" w:rsidR="004C53A8" w:rsidRPr="0035693B" w:rsidRDefault="00CB214A">
      <w:pPr>
        <w:spacing w:before="60" w:after="60"/>
      </w:pPr>
      <w:r w:rsidRPr="0035693B">
        <w:rPr>
          <w:rFonts w:ascii="Titillium" w:hAnsi="Titillium" w:cs="Calibri"/>
          <w:sz w:val="18"/>
          <w:szCs w:val="18"/>
        </w:rPr>
        <w:t>Il/la</w:t>
      </w:r>
      <w:r w:rsidR="00870286" w:rsidRPr="0035693B">
        <w:rPr>
          <w:rFonts w:ascii="Titillium" w:hAnsi="Titillium" w:cs="Calibri"/>
          <w:sz w:val="18"/>
          <w:szCs w:val="18"/>
        </w:rPr>
        <w:t xml:space="preserve"> … </w:t>
      </w:r>
      <w:r w:rsidR="00870286" w:rsidRPr="0035693B">
        <w:rPr>
          <w:rFonts w:ascii="Titillium" w:hAnsi="Titillium" w:cs="Calibri"/>
          <w:i/>
          <w:sz w:val="18"/>
          <w:szCs w:val="18"/>
        </w:rPr>
        <w:t>[</w:t>
      </w:r>
      <w:r w:rsidR="008C4CFF" w:rsidRPr="0035693B">
        <w:rPr>
          <w:rFonts w:ascii="Titillium" w:hAnsi="Titillium" w:cs="Calibri"/>
          <w:i/>
          <w:sz w:val="18"/>
          <w:szCs w:val="18"/>
        </w:rPr>
        <w:t>scegliere tra RUP</w:t>
      </w:r>
      <w:r w:rsidR="008C4CFF" w:rsidRPr="0035693B">
        <w:t xml:space="preserve">, </w:t>
      </w:r>
      <w:r w:rsidR="008C4CFF" w:rsidRPr="0035693B">
        <w:rPr>
          <w:rFonts w:ascii="Titillium" w:hAnsi="Titillium" w:cs="Garamond"/>
          <w:i/>
          <w:sz w:val="18"/>
          <w:szCs w:val="18"/>
        </w:rPr>
        <w:t>responsabile di fase, apposito ufficio o servizio a ciò deputato, sulla base delle disposizioni organizzative proprie della stazione appaltante</w:t>
      </w:r>
      <w:r w:rsidR="00B76CCF" w:rsidRPr="0035693B">
        <w:rPr>
          <w:rFonts w:ascii="Titillium" w:hAnsi="Titillium" w:cs="Garamond"/>
          <w:sz w:val="18"/>
          <w:szCs w:val="18"/>
        </w:rPr>
        <w:t>]</w:t>
      </w:r>
      <w:r w:rsidR="00870286" w:rsidRPr="0035693B">
        <w:rPr>
          <w:rFonts w:ascii="Titillium" w:hAnsi="Titillium" w:cs="Calibri"/>
          <w:sz w:val="18"/>
          <w:szCs w:val="18"/>
        </w:rPr>
        <w:t xml:space="preserve"> accede </w:t>
      </w:r>
      <w:r w:rsidR="00B76CCF" w:rsidRPr="0035693B">
        <w:rPr>
          <w:rFonts w:ascii="Titillium" w:hAnsi="Titillium" w:cs="Calibri"/>
          <w:sz w:val="18"/>
          <w:szCs w:val="18"/>
        </w:rPr>
        <w:t xml:space="preserve">alla </w:t>
      </w:r>
      <w:r w:rsidR="00994C13" w:rsidRPr="0035693B">
        <w:rPr>
          <w:rFonts w:ascii="Titillium" w:hAnsi="Titillium" w:cs="Calibri"/>
          <w:sz w:val="18"/>
          <w:szCs w:val="18"/>
        </w:rPr>
        <w:t>d</w:t>
      </w:r>
      <w:r w:rsidR="00870286" w:rsidRPr="0035693B">
        <w:rPr>
          <w:rFonts w:ascii="Titillium" w:hAnsi="Titillium" w:cs="Calibri"/>
          <w:sz w:val="18"/>
          <w:szCs w:val="18"/>
        </w:rPr>
        <w:t>ocumentazione amministr</w:t>
      </w:r>
      <w:r w:rsidR="00B76CCF" w:rsidRPr="0035693B">
        <w:rPr>
          <w:rFonts w:ascii="Titillium" w:hAnsi="Titillium" w:cs="Calibri"/>
          <w:sz w:val="18"/>
          <w:szCs w:val="18"/>
        </w:rPr>
        <w:t>ativa</w:t>
      </w:r>
      <w:r w:rsidR="00870286" w:rsidRPr="0035693B">
        <w:rPr>
          <w:rFonts w:ascii="Titillium" w:hAnsi="Titillium" w:cs="Calibri"/>
          <w:sz w:val="18"/>
          <w:szCs w:val="18"/>
        </w:rPr>
        <w:t xml:space="preserve"> di ciascun concorrente, mentre l’offerta tecnica e l’offerta economica restano, chiuse, segrete e bloccate dal sistema, e procede a: </w:t>
      </w:r>
    </w:p>
    <w:p w14:paraId="1CDC8C55" w14:textId="77777777" w:rsidR="004C53A8" w:rsidRPr="0035693B" w:rsidRDefault="00870286" w:rsidP="0022153A">
      <w:pPr>
        <w:numPr>
          <w:ilvl w:val="0"/>
          <w:numId w:val="8"/>
        </w:numPr>
        <w:tabs>
          <w:tab w:val="left" w:pos="851"/>
        </w:tabs>
        <w:spacing w:before="60" w:after="60"/>
        <w:ind w:left="426"/>
        <w:rPr>
          <w:rFonts w:ascii="Titillium" w:hAnsi="Titillium" w:cs="Calibri"/>
          <w:sz w:val="18"/>
          <w:szCs w:val="18"/>
        </w:rPr>
      </w:pPr>
      <w:r w:rsidRPr="0035693B">
        <w:rPr>
          <w:rFonts w:ascii="Titillium" w:hAnsi="Titillium" w:cs="Calibri"/>
          <w:sz w:val="18"/>
          <w:szCs w:val="18"/>
        </w:rPr>
        <w:t>controllare la completezza della documentazione amministrativa presentata;</w:t>
      </w:r>
    </w:p>
    <w:p w14:paraId="5396CF20" w14:textId="3D5E44FD" w:rsidR="001215DB" w:rsidRPr="0035693B" w:rsidRDefault="00870286" w:rsidP="0022153A">
      <w:pPr>
        <w:pStyle w:val="Paragrafoelenco"/>
        <w:numPr>
          <w:ilvl w:val="0"/>
          <w:numId w:val="8"/>
        </w:numPr>
        <w:tabs>
          <w:tab w:val="left" w:pos="851"/>
        </w:tabs>
        <w:spacing w:before="60" w:after="60"/>
        <w:ind w:left="426"/>
        <w:rPr>
          <w:rFonts w:ascii="Titillium" w:hAnsi="Titillium" w:cs="Calibri"/>
          <w:sz w:val="18"/>
          <w:szCs w:val="18"/>
        </w:rPr>
      </w:pPr>
      <w:r w:rsidRPr="0035693B">
        <w:rPr>
          <w:rFonts w:ascii="Titillium" w:hAnsi="Titillium" w:cs="Calibri"/>
          <w:sz w:val="18"/>
          <w:szCs w:val="18"/>
        </w:rPr>
        <w:t>verificare la conformità della documentazione amministrativa a quanto richiesto nel presente disciplinare</w:t>
      </w:r>
      <w:r w:rsidR="001215DB" w:rsidRPr="0035693B">
        <w:rPr>
          <w:rFonts w:ascii="Titillium" w:hAnsi="Titillium" w:cs="Calibri"/>
          <w:sz w:val="18"/>
          <w:szCs w:val="18"/>
        </w:rPr>
        <w:t>;</w:t>
      </w:r>
    </w:p>
    <w:p w14:paraId="5A374360" w14:textId="7DEEDDFC" w:rsidR="002D6EEC" w:rsidRPr="0035693B" w:rsidRDefault="001215DB" w:rsidP="002D6EEC">
      <w:pPr>
        <w:pStyle w:val="Paragrafoelenco"/>
        <w:numPr>
          <w:ilvl w:val="0"/>
          <w:numId w:val="8"/>
        </w:numPr>
        <w:tabs>
          <w:tab w:val="left" w:pos="851"/>
        </w:tabs>
        <w:spacing w:before="60" w:after="60"/>
        <w:ind w:left="426"/>
        <w:rPr>
          <w:rFonts w:ascii="Titillium" w:hAnsi="Titillium" w:cs="Calibri"/>
          <w:sz w:val="18"/>
          <w:szCs w:val="18"/>
        </w:rPr>
      </w:pPr>
      <w:r w:rsidRPr="0035693B">
        <w:rPr>
          <w:rFonts w:ascii="Titillium" w:hAnsi="Titillium" w:cs="Calibri"/>
          <w:sz w:val="18"/>
          <w:szCs w:val="18"/>
        </w:rPr>
        <w:t xml:space="preserve">attivare la procedura di soccorso istruttorio di cui al precedente punto </w:t>
      </w:r>
      <w:r w:rsidRPr="0035693B">
        <w:rPr>
          <w:rFonts w:ascii="Titillium" w:hAnsi="Titillium" w:cs="Calibri"/>
          <w:sz w:val="18"/>
          <w:szCs w:val="18"/>
        </w:rPr>
        <w:fldChar w:fldCharType="begin"/>
      </w:r>
      <w:r w:rsidRPr="0035693B">
        <w:rPr>
          <w:rFonts w:ascii="Titillium" w:hAnsi="Titillium" w:cs="Calibri"/>
          <w:sz w:val="18"/>
          <w:szCs w:val="18"/>
        </w:rPr>
        <w:instrText xml:space="preserve"> REF _Ref129796272 \r \h </w:instrText>
      </w:r>
      <w:r w:rsidR="00856DEF" w:rsidRPr="0035693B">
        <w:instrText xml:space="preserve"> \* MERGEFORMAT </w:instrText>
      </w:r>
      <w:r w:rsidRPr="0035693B">
        <w:rPr>
          <w:rFonts w:ascii="Titillium" w:hAnsi="Titillium" w:cs="Calibri"/>
          <w:sz w:val="18"/>
          <w:szCs w:val="18"/>
        </w:rPr>
      </w:r>
      <w:r w:rsidRPr="0035693B">
        <w:rPr>
          <w:rFonts w:ascii="Titillium" w:hAnsi="Titillium" w:cs="Calibri"/>
          <w:sz w:val="18"/>
          <w:szCs w:val="18"/>
        </w:rPr>
        <w:fldChar w:fldCharType="separate"/>
      </w:r>
      <w:r w:rsidRPr="0035693B">
        <w:rPr>
          <w:rFonts w:ascii="Titillium" w:hAnsi="Titillium" w:cs="Calibri"/>
          <w:sz w:val="18"/>
          <w:szCs w:val="18"/>
        </w:rPr>
        <w:t>14</w:t>
      </w:r>
      <w:r w:rsidRPr="0035693B">
        <w:rPr>
          <w:rFonts w:ascii="Titillium" w:hAnsi="Titillium" w:cs="Calibri"/>
          <w:sz w:val="18"/>
          <w:szCs w:val="18"/>
        </w:rPr>
        <w:fldChar w:fldCharType="end"/>
      </w:r>
      <w:r w:rsidR="002D6EEC" w:rsidRPr="0035693B">
        <w:rPr>
          <w:rFonts w:ascii="Titillium" w:hAnsi="Titillium" w:cs="Calibri"/>
          <w:sz w:val="18"/>
          <w:szCs w:val="18"/>
        </w:rPr>
        <w:t xml:space="preserve">. </w:t>
      </w:r>
    </w:p>
    <w:p w14:paraId="4E3E954A" w14:textId="01C82F0A" w:rsidR="004C53A8" w:rsidRPr="002D6EEC" w:rsidRDefault="002D6EEC" w:rsidP="002D6EEC">
      <w:pPr>
        <w:tabs>
          <w:tab w:val="left" w:pos="851"/>
        </w:tabs>
        <w:spacing w:before="60" w:after="60"/>
        <w:ind w:left="66"/>
        <w:rPr>
          <w:rFonts w:ascii="Titillium" w:hAnsi="Titillium" w:cs="Calibri"/>
          <w:sz w:val="18"/>
          <w:szCs w:val="18"/>
        </w:rPr>
      </w:pPr>
      <w:r w:rsidRPr="0035693B">
        <w:rPr>
          <w:rFonts w:ascii="Titillium" w:hAnsi="Titillium" w:cs="Calibri"/>
          <w:sz w:val="18"/>
          <w:szCs w:val="18"/>
        </w:rPr>
        <w:t xml:space="preserve">Gli eventuali </w:t>
      </w:r>
      <w:r w:rsidR="003D0441" w:rsidRPr="0035693B">
        <w:rPr>
          <w:rFonts w:ascii="Titillium" w:hAnsi="Titillium" w:cs="Calibri"/>
          <w:sz w:val="18"/>
          <w:szCs w:val="18"/>
        </w:rPr>
        <w:t xml:space="preserve">provvedimenti di esclusione dalla procedura di gara sono comunicati </w:t>
      </w:r>
      <w:r w:rsidR="00626907" w:rsidRPr="0035693B">
        <w:rPr>
          <w:rFonts w:ascii="Titillium" w:hAnsi="Titillium" w:cs="Calibri"/>
          <w:sz w:val="18"/>
          <w:szCs w:val="18"/>
        </w:rPr>
        <w:t>entro cinque giorni dalla loro adozione.</w:t>
      </w:r>
      <w:r w:rsidR="00626907" w:rsidRPr="0035693B" w:rsidDel="00626907">
        <w:t xml:space="preserve"> </w:t>
      </w:r>
      <w:r w:rsidR="004965EA" w:rsidRPr="0035693B">
        <w:rPr>
          <w:rFonts w:ascii="Titillium" w:hAnsi="Titillium" w:cs="Calibri"/>
          <w:sz w:val="18"/>
          <w:szCs w:val="18"/>
        </w:rPr>
        <w:t>È fatta salva la possibilità</w:t>
      </w:r>
      <w:r w:rsidR="00870286" w:rsidRPr="0035693B">
        <w:rPr>
          <w:rFonts w:ascii="Titillium" w:hAnsi="Titillium" w:cs="Calibri"/>
          <w:sz w:val="18"/>
          <w:szCs w:val="18"/>
        </w:rPr>
        <w:t xml:space="preserve"> di chiedere agli offerenti, in qualsiasi momento nel corso della procedura, di presentare tutti i documenti complementari o parte di essi, qualora questo sia necessario per assicurare il corretto svolgimento della procedura.</w:t>
      </w:r>
      <w:r w:rsidR="00870286" w:rsidRPr="002D6EEC">
        <w:rPr>
          <w:rFonts w:ascii="Titillium" w:hAnsi="Titillium" w:cs="Calibri"/>
          <w:sz w:val="18"/>
          <w:szCs w:val="18"/>
        </w:rPr>
        <w:t xml:space="preserve"> </w:t>
      </w:r>
    </w:p>
    <w:p w14:paraId="51A3F517" w14:textId="15082581" w:rsidR="004C53A8" w:rsidRDefault="00870286" w:rsidP="00084AD6">
      <w:pPr>
        <w:pStyle w:val="Titolo2"/>
        <w:numPr>
          <w:ilvl w:val="0"/>
          <w:numId w:val="4"/>
        </w:numPr>
        <w:spacing w:before="60" w:after="60"/>
        <w:ind w:left="357" w:hanging="357"/>
        <w:rPr>
          <w:rFonts w:ascii="Titillium" w:hAnsi="Titillium"/>
          <w:sz w:val="18"/>
          <w:szCs w:val="18"/>
          <w:lang w:val="it-IT"/>
        </w:rPr>
      </w:pPr>
      <w:bookmarkStart w:id="2113" w:name="_Ref132303065"/>
      <w:bookmarkStart w:id="2114" w:name="_Ref138148356"/>
      <w:bookmarkStart w:id="2115" w:name="_Toc139549452"/>
      <w:r>
        <w:rPr>
          <w:rFonts w:ascii="Titillium" w:hAnsi="Titillium"/>
          <w:sz w:val="18"/>
          <w:szCs w:val="18"/>
          <w:lang w:val="it-IT"/>
        </w:rPr>
        <w:t>VALUTAZIONE DELLE OFFERTE TECNICHE ED ECONOMICHE</w:t>
      </w:r>
      <w:bookmarkEnd w:id="2113"/>
      <w:bookmarkEnd w:id="2114"/>
      <w:bookmarkEnd w:id="2115"/>
    </w:p>
    <w:p w14:paraId="0C7DA990" w14:textId="31D8C4D7" w:rsidR="00775FBF" w:rsidRDefault="00775FBF">
      <w:pPr>
        <w:spacing w:before="60" w:after="60"/>
        <w:rPr>
          <w:rFonts w:ascii="Titillium" w:hAnsi="Titillium" w:cs="Calibri"/>
          <w:sz w:val="18"/>
          <w:szCs w:val="18"/>
        </w:rPr>
      </w:pPr>
      <w:r w:rsidRPr="00685E87">
        <w:rPr>
          <w:rFonts w:ascii="Titillium" w:hAnsi="Titillium" w:cs="Calibri"/>
          <w:sz w:val="18"/>
          <w:szCs w:val="18"/>
        </w:rPr>
        <w:t xml:space="preserve">La data e l’ora in cui si procede all’apertura delle offerte tecniche </w:t>
      </w:r>
      <w:r w:rsidR="006D2A5E" w:rsidRPr="00685E87">
        <w:rPr>
          <w:rFonts w:ascii="Titillium" w:hAnsi="Titillium" w:cs="Calibri"/>
          <w:i/>
          <w:sz w:val="18"/>
          <w:szCs w:val="18"/>
        </w:rPr>
        <w:t xml:space="preserve">[nel caso di gara a più lotti: relativamente a ciascun singolo lotto] </w:t>
      </w:r>
      <w:r w:rsidRPr="00685E87">
        <w:rPr>
          <w:rFonts w:ascii="Titillium" w:hAnsi="Titillium" w:cs="Calibri"/>
          <w:sz w:val="18"/>
          <w:szCs w:val="18"/>
        </w:rPr>
        <w:t>sono comunicate tramite la Piattaforma ai concorrenti ammessi</w:t>
      </w:r>
      <w:r w:rsidR="005A0708" w:rsidRPr="00685E87">
        <w:rPr>
          <w:rFonts w:ascii="Titillium" w:hAnsi="Titillium" w:cs="Calibri"/>
          <w:sz w:val="18"/>
          <w:szCs w:val="18"/>
        </w:rPr>
        <w:t xml:space="preserve"> a</w:t>
      </w:r>
      <w:r w:rsidR="00E54899">
        <w:rPr>
          <w:rFonts w:ascii="Titillium" w:hAnsi="Titillium" w:cs="Calibri"/>
          <w:sz w:val="18"/>
          <w:szCs w:val="18"/>
        </w:rPr>
        <w:t>lla present</w:t>
      </w:r>
      <w:r w:rsidR="00FD043B">
        <w:rPr>
          <w:rFonts w:ascii="Titillium" w:hAnsi="Titillium" w:cs="Calibri"/>
          <w:sz w:val="18"/>
          <w:szCs w:val="18"/>
        </w:rPr>
        <w:t xml:space="preserve">e </w:t>
      </w:r>
      <w:r w:rsidR="00E54899">
        <w:rPr>
          <w:rFonts w:ascii="Titillium" w:hAnsi="Titillium" w:cs="Calibri"/>
          <w:sz w:val="18"/>
          <w:szCs w:val="18"/>
        </w:rPr>
        <w:t>fase di gara</w:t>
      </w:r>
      <w:r w:rsidRPr="00685E87">
        <w:rPr>
          <w:rFonts w:ascii="Titillium" w:hAnsi="Titillium" w:cs="Calibri"/>
          <w:sz w:val="18"/>
          <w:szCs w:val="18"/>
        </w:rPr>
        <w:t>.</w:t>
      </w:r>
    </w:p>
    <w:p w14:paraId="4EB883FE" w14:textId="403E2EBA" w:rsidR="004C53A8" w:rsidRDefault="00AE5B00">
      <w:pPr>
        <w:spacing w:before="60" w:after="60"/>
        <w:rPr>
          <w:rFonts w:ascii="Titillium" w:hAnsi="Titillium" w:cs="Calibri"/>
          <w:sz w:val="18"/>
          <w:szCs w:val="18"/>
        </w:rPr>
      </w:pPr>
      <w:r w:rsidRPr="00CE407B">
        <w:rPr>
          <w:rFonts w:ascii="Titillium" w:hAnsi="Titillium" w:cs="Calibri"/>
          <w:i/>
          <w:sz w:val="18"/>
          <w:szCs w:val="18"/>
        </w:rPr>
        <w:t>[Scegliere tra il RUP e l</w:t>
      </w:r>
      <w:r w:rsidR="00870286" w:rsidRPr="00CE407B">
        <w:rPr>
          <w:rFonts w:ascii="Titillium" w:hAnsi="Titillium" w:cs="Calibri"/>
          <w:i/>
          <w:sz w:val="18"/>
          <w:szCs w:val="18"/>
        </w:rPr>
        <w:t>a</w:t>
      </w:r>
      <w:r w:rsidR="00870286">
        <w:rPr>
          <w:rFonts w:ascii="Titillium" w:hAnsi="Titillium" w:cs="Calibri"/>
          <w:sz w:val="18"/>
          <w:szCs w:val="18"/>
        </w:rPr>
        <w:t xml:space="preserve"> commissione giudicatrice</w:t>
      </w:r>
      <w:r w:rsidR="00626907">
        <w:rPr>
          <w:rFonts w:ascii="Titillium" w:hAnsi="Titillium" w:cs="Calibri"/>
          <w:sz w:val="18"/>
          <w:szCs w:val="18"/>
        </w:rPr>
        <w:t>]</w:t>
      </w:r>
      <w:r w:rsidR="00870286">
        <w:rPr>
          <w:rFonts w:ascii="Titillium" w:hAnsi="Titillium" w:cs="Calibri"/>
          <w:sz w:val="18"/>
          <w:szCs w:val="18"/>
        </w:rPr>
        <w:t xml:space="preserve"> </w:t>
      </w:r>
      <w:r w:rsidR="00626907">
        <w:rPr>
          <w:rFonts w:ascii="Titillium" w:hAnsi="Titillium" w:cs="Calibri"/>
          <w:sz w:val="18"/>
          <w:szCs w:val="18"/>
        </w:rPr>
        <w:t xml:space="preserve">… </w:t>
      </w:r>
      <w:r w:rsidR="00870286">
        <w:rPr>
          <w:rFonts w:ascii="Titillium" w:hAnsi="Titillium" w:cs="Calibri"/>
          <w:sz w:val="18"/>
          <w:szCs w:val="18"/>
        </w:rPr>
        <w:t>procede</w:t>
      </w:r>
      <w:r w:rsidR="004965EA">
        <w:rPr>
          <w:rFonts w:ascii="Titillium" w:hAnsi="Titillium" w:cs="Calibri"/>
          <w:sz w:val="18"/>
          <w:szCs w:val="18"/>
        </w:rPr>
        <w:t xml:space="preserv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sidR="00870286">
        <w:rPr>
          <w:rFonts w:ascii="Titillium" w:hAnsi="Titillium" w:cs="Calibri"/>
          <w:sz w:val="18"/>
          <w:szCs w:val="18"/>
        </w:rPr>
        <w:t>all</w:t>
      </w:r>
      <w:r w:rsidR="006D2A5E">
        <w:rPr>
          <w:rFonts w:ascii="Titillium" w:hAnsi="Titillium" w:cs="Calibri"/>
          <w:sz w:val="18"/>
          <w:szCs w:val="18"/>
        </w:rPr>
        <w:t>’</w:t>
      </w:r>
      <w:r w:rsidR="005A0708">
        <w:rPr>
          <w:rFonts w:ascii="Titillium" w:hAnsi="Titillium" w:cs="Calibri"/>
          <w:sz w:val="18"/>
          <w:szCs w:val="18"/>
        </w:rPr>
        <w:t>a</w:t>
      </w:r>
      <w:r w:rsidR="006D2A5E">
        <w:rPr>
          <w:rFonts w:ascii="Titillium" w:hAnsi="Titillium" w:cs="Calibri"/>
          <w:sz w:val="18"/>
          <w:szCs w:val="18"/>
        </w:rPr>
        <w:t>pertura</w:t>
      </w:r>
      <w:r>
        <w:rPr>
          <w:rFonts w:ascii="Titillium" w:hAnsi="Titillium" w:cs="Calibri"/>
          <w:sz w:val="18"/>
          <w:szCs w:val="18"/>
        </w:rPr>
        <w:t xml:space="preserve"> delle offerte presentate. </w:t>
      </w:r>
      <w:r w:rsidR="00626907">
        <w:rPr>
          <w:rFonts w:ascii="Titillium" w:hAnsi="Titillium" w:cs="Calibri"/>
          <w:sz w:val="18"/>
          <w:szCs w:val="18"/>
        </w:rPr>
        <w:t xml:space="preserve"> La commissione giudicatrice </w:t>
      </w:r>
      <w:r>
        <w:rPr>
          <w:rFonts w:ascii="Titillium" w:hAnsi="Titillium" w:cs="Calibri"/>
          <w:sz w:val="18"/>
          <w:szCs w:val="18"/>
        </w:rPr>
        <w:t>procede all’</w:t>
      </w:r>
      <w:r w:rsidR="006D2A5E">
        <w:rPr>
          <w:rFonts w:ascii="Titillium" w:hAnsi="Titillium" w:cs="Calibri"/>
          <w:sz w:val="18"/>
          <w:szCs w:val="18"/>
        </w:rPr>
        <w:t>esame</w:t>
      </w:r>
      <w:r w:rsidR="005A0708">
        <w:rPr>
          <w:rFonts w:ascii="Titillium" w:hAnsi="Titillium" w:cs="Calibri"/>
          <w:sz w:val="18"/>
          <w:szCs w:val="18"/>
        </w:rPr>
        <w:t xml:space="preserve"> e valutazione delle offerte presentate dai concorrenti </w:t>
      </w:r>
      <w:r w:rsidR="00870286">
        <w:rPr>
          <w:rFonts w:ascii="Titillium" w:hAnsi="Titillium" w:cs="Calibri"/>
          <w:sz w:val="18"/>
          <w:szCs w:val="18"/>
        </w:rPr>
        <w:t>e all’assegnazione dei relativi punteggi applicando i criteri e le formule indicati nel bando e nel presente disciplinare.</w:t>
      </w:r>
      <w:r w:rsidR="004965EA">
        <w:rPr>
          <w:rFonts w:ascii="Titillium" w:hAnsi="Titillium" w:cs="Calibri"/>
          <w:sz w:val="18"/>
          <w:szCs w:val="18"/>
        </w:rPr>
        <w:t xml:space="preserve"> </w:t>
      </w:r>
      <w:r w:rsidR="005A0708">
        <w:rPr>
          <w:rFonts w:ascii="Titillium" w:hAnsi="Titillium" w:cs="Calibri"/>
          <w:sz w:val="18"/>
          <w:szCs w:val="18"/>
        </w:rPr>
        <w:t>G</w:t>
      </w:r>
      <w:r w:rsidR="004965EA">
        <w:rPr>
          <w:rFonts w:ascii="Titillium" w:hAnsi="Titillium" w:cs="Calibri"/>
          <w:sz w:val="18"/>
          <w:szCs w:val="18"/>
        </w:rPr>
        <w:t>li esiti d</w:t>
      </w:r>
      <w:r w:rsidR="005A0708">
        <w:rPr>
          <w:rFonts w:ascii="Titillium" w:hAnsi="Titillium" w:cs="Calibri"/>
          <w:sz w:val="18"/>
          <w:szCs w:val="18"/>
        </w:rPr>
        <w:t>ella valutazione sono registrati dalla Piattaforma</w:t>
      </w:r>
      <w:r w:rsidR="004965EA">
        <w:rPr>
          <w:rFonts w:ascii="Titillium" w:hAnsi="Titillium" w:cs="Calibri"/>
          <w:sz w:val="18"/>
          <w:szCs w:val="18"/>
        </w:rPr>
        <w:t>.</w:t>
      </w:r>
    </w:p>
    <w:p w14:paraId="43D0A819" w14:textId="77777777" w:rsidR="005A0708" w:rsidRPr="006D2A5E" w:rsidRDefault="005A0708" w:rsidP="005A0708">
      <w:pPr>
        <w:spacing w:before="60" w:after="60"/>
        <w:rPr>
          <w:rFonts w:ascii="Titillium" w:hAnsi="Titillium" w:cs="Calibri"/>
          <w:b/>
          <w:i/>
          <w:sz w:val="18"/>
          <w:szCs w:val="18"/>
        </w:rPr>
      </w:pPr>
      <w:r w:rsidRPr="006D2A5E">
        <w:rPr>
          <w:rFonts w:ascii="Titillium" w:hAnsi="Titillium" w:cs="Calibri"/>
          <w:b/>
          <w:i/>
          <w:sz w:val="18"/>
          <w:szCs w:val="18"/>
        </w:rPr>
        <w:t>[In alternativa in caso di inversione procedimentale]</w:t>
      </w:r>
    </w:p>
    <w:p w14:paraId="12874442" w14:textId="677CB0E3" w:rsidR="005A0708" w:rsidRPr="005A0708" w:rsidRDefault="005A0708" w:rsidP="005A0708">
      <w:pPr>
        <w:spacing w:before="60" w:after="60"/>
        <w:rPr>
          <w:rFonts w:ascii="Titillium" w:hAnsi="Titillium" w:cs="Calibri"/>
          <w:sz w:val="18"/>
          <w:szCs w:val="18"/>
        </w:rPr>
      </w:pPr>
      <w:r w:rsidRPr="00775FBF">
        <w:rPr>
          <w:rFonts w:ascii="Titillium" w:hAnsi="Titillium" w:cs="Calibri"/>
          <w:sz w:val="18"/>
          <w:szCs w:val="18"/>
        </w:rPr>
        <w:t xml:space="preserve">La data e l’ora in cui si procede all’apertura delle offerte tecniche </w:t>
      </w:r>
      <w:r w:rsidR="006D2A5E" w:rsidRPr="006D2A5E">
        <w:rPr>
          <w:rFonts w:ascii="Titillium" w:hAnsi="Titillium" w:cs="Calibri"/>
          <w:i/>
          <w:sz w:val="18"/>
          <w:szCs w:val="18"/>
        </w:rPr>
        <w:t xml:space="preserve">[nel caso di gara a più lotti: relativamente a ciascun singolo </w:t>
      </w:r>
      <w:r w:rsidR="006D2A5E" w:rsidRPr="0013560D">
        <w:rPr>
          <w:rFonts w:ascii="Titillium" w:hAnsi="Titillium" w:cs="Calibri"/>
          <w:i/>
          <w:sz w:val="18"/>
          <w:szCs w:val="18"/>
        </w:rPr>
        <w:t>lotto]</w:t>
      </w:r>
      <w:r w:rsidR="006D2A5E" w:rsidRPr="0013560D">
        <w:rPr>
          <w:rFonts w:ascii="Titillium" w:hAnsi="Titillium" w:cs="Calibri"/>
          <w:sz w:val="18"/>
          <w:szCs w:val="18"/>
        </w:rPr>
        <w:t xml:space="preserve"> </w:t>
      </w:r>
      <w:r w:rsidRPr="0013560D">
        <w:rPr>
          <w:rFonts w:ascii="Titillium" w:hAnsi="Titillium" w:cs="Calibri"/>
          <w:sz w:val="18"/>
          <w:szCs w:val="18"/>
        </w:rPr>
        <w:t>sono comunicate tramite la Piattaforma ai concorrenti che hanno presentato la domanda di partecipazione nei termini</w:t>
      </w:r>
      <w:r>
        <w:rPr>
          <w:rFonts w:ascii="Titillium" w:hAnsi="Titillium" w:cs="Calibri"/>
          <w:sz w:val="18"/>
          <w:szCs w:val="18"/>
        </w:rPr>
        <w:t xml:space="preserve"> previsti dal bando di gara</w:t>
      </w:r>
      <w:r w:rsidRPr="00775FBF">
        <w:rPr>
          <w:rFonts w:ascii="Titillium" w:hAnsi="Titillium" w:cs="Calibri"/>
          <w:sz w:val="18"/>
          <w:szCs w:val="18"/>
        </w:rPr>
        <w:t>.</w:t>
      </w:r>
      <w:r>
        <w:rPr>
          <w:rFonts w:ascii="Titillium" w:hAnsi="Titillium" w:cs="Calibri"/>
          <w:sz w:val="18"/>
          <w:szCs w:val="18"/>
        </w:rPr>
        <w:t xml:space="preserve"> </w:t>
      </w:r>
    </w:p>
    <w:p w14:paraId="36CD960F" w14:textId="0D759038" w:rsidR="005A0708" w:rsidRDefault="005A0708" w:rsidP="005A0708">
      <w:pPr>
        <w:spacing w:before="60" w:after="60"/>
        <w:rPr>
          <w:rFonts w:ascii="Titillium" w:hAnsi="Titillium" w:cs="Calibri"/>
          <w:sz w:val="18"/>
          <w:szCs w:val="18"/>
        </w:rPr>
      </w:pPr>
      <w:r w:rsidRPr="005A0708">
        <w:rPr>
          <w:rFonts w:ascii="Titillium" w:hAnsi="Titillium" w:cs="Calibri"/>
          <w:sz w:val="18"/>
          <w:szCs w:val="18"/>
        </w:rPr>
        <w:t xml:space="preserve">La commissione giudicatrice procede </w:t>
      </w:r>
      <w:r w:rsidR="006D2A5E" w:rsidRPr="003762B8">
        <w:rPr>
          <w:rFonts w:ascii="Titillium" w:hAnsi="Titillium" w:cs="Calibri"/>
          <w:i/>
          <w:sz w:val="18"/>
          <w:szCs w:val="18"/>
        </w:rPr>
        <w:t>[</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sidRPr="005A0708">
        <w:rPr>
          <w:rFonts w:ascii="Titillium" w:hAnsi="Titillium" w:cs="Calibri"/>
          <w:sz w:val="18"/>
          <w:szCs w:val="18"/>
        </w:rPr>
        <w:t>a</w:t>
      </w:r>
      <w:r w:rsidR="00FB566D">
        <w:rPr>
          <w:rFonts w:ascii="Titillium" w:hAnsi="Titillium" w:cs="Calibri"/>
          <w:sz w:val="18"/>
          <w:szCs w:val="18"/>
        </w:rPr>
        <w:t>d apertura,</w:t>
      </w:r>
      <w:r w:rsidR="00FB566D" w:rsidRPr="005A0708">
        <w:rPr>
          <w:rFonts w:ascii="Titillium" w:hAnsi="Titillium" w:cs="Calibri"/>
          <w:sz w:val="18"/>
          <w:szCs w:val="18"/>
        </w:rPr>
        <w:t xml:space="preserve"> esame</w:t>
      </w:r>
      <w:r w:rsidRPr="005A0708">
        <w:rPr>
          <w:rFonts w:ascii="Titillium" w:hAnsi="Titillium" w:cs="Calibri"/>
          <w:sz w:val="18"/>
          <w:szCs w:val="18"/>
        </w:rPr>
        <w:t xml:space="preserve"> e</w:t>
      </w:r>
      <w:r w:rsidR="00BD13B0">
        <w:rPr>
          <w:rFonts w:ascii="Titillium" w:hAnsi="Titillium" w:cs="Calibri"/>
          <w:sz w:val="18"/>
          <w:szCs w:val="18"/>
        </w:rPr>
        <w:t xml:space="preserve"> </w:t>
      </w:r>
      <w:r w:rsidRPr="005A0708">
        <w:rPr>
          <w:rFonts w:ascii="Titillium" w:hAnsi="Titillium" w:cs="Calibri"/>
          <w:sz w:val="18"/>
          <w:szCs w:val="18"/>
        </w:rPr>
        <w:t>valutazione delle offerte tecniche e all’assegnazione dei relativi punteggi applicando i criteri e le formule indicati nel bando e nel presente disciplinare. Gli esiti della valutazione sono registrati dalla Piattaforma</w:t>
      </w:r>
      <w:r>
        <w:rPr>
          <w:rFonts w:ascii="Titillium" w:hAnsi="Titillium" w:cs="Calibri"/>
          <w:sz w:val="18"/>
          <w:szCs w:val="18"/>
        </w:rPr>
        <w:t>.</w:t>
      </w:r>
    </w:p>
    <w:p w14:paraId="17AC871C" w14:textId="7DC5F6D4" w:rsidR="004C53A8" w:rsidRDefault="00870286">
      <w:pPr>
        <w:spacing w:before="60" w:after="60"/>
        <w:rPr>
          <w:rFonts w:ascii="Titillium" w:hAnsi="Titillium" w:cs="Calibri"/>
          <w:sz w:val="18"/>
          <w:szCs w:val="18"/>
        </w:rPr>
      </w:pPr>
      <w:r w:rsidRPr="00BD13B0">
        <w:rPr>
          <w:rFonts w:ascii="Titillium" w:hAnsi="Titillium" w:cs="Calibri"/>
          <w:b/>
          <w:i/>
          <w:sz w:val="18"/>
          <w:szCs w:val="18"/>
        </w:rPr>
        <w:t>[</w:t>
      </w:r>
      <w:r w:rsidRPr="00BD13B0">
        <w:rPr>
          <w:rFonts w:ascii="Titillium" w:hAnsi="Titillium"/>
          <w:b/>
          <w:i/>
          <w:sz w:val="18"/>
          <w:szCs w:val="18"/>
        </w:rPr>
        <w:t xml:space="preserve">Facoltativo: </w:t>
      </w:r>
      <w:r w:rsidRPr="00BD13B0">
        <w:rPr>
          <w:rFonts w:ascii="Titillium" w:hAnsi="Titillium" w:cs="Calibri"/>
          <w:b/>
          <w:i/>
          <w:sz w:val="18"/>
          <w:szCs w:val="18"/>
        </w:rPr>
        <w:t xml:space="preserve">in caso riparametrazione] </w:t>
      </w:r>
      <w:r w:rsidRPr="00BD13B0">
        <w:rPr>
          <w:rFonts w:ascii="Titillium" w:hAnsi="Titillium" w:cs="Calibri"/>
          <w:sz w:val="18"/>
          <w:szCs w:val="18"/>
        </w:rPr>
        <w:t xml:space="preserve">La commissione procede alla riparametrazione dei punteggi secondo quanto indicato al punto </w:t>
      </w:r>
      <w:r w:rsidR="00FB566D">
        <w:rPr>
          <w:rFonts w:ascii="Titillium" w:hAnsi="Titillium" w:cs="Calibri"/>
          <w:sz w:val="18"/>
          <w:szCs w:val="18"/>
        </w:rPr>
        <w:fldChar w:fldCharType="begin"/>
      </w:r>
      <w:r w:rsidR="00FB566D">
        <w:rPr>
          <w:rFonts w:ascii="Titillium" w:hAnsi="Titillium" w:cs="Calibri"/>
          <w:sz w:val="18"/>
          <w:szCs w:val="18"/>
        </w:rPr>
        <w:instrText xml:space="preserve"> REF _Ref497226795 \r \h </w:instrText>
      </w:r>
      <w:r w:rsidR="00FB566D">
        <w:rPr>
          <w:rFonts w:ascii="Titillium" w:hAnsi="Titillium" w:cs="Calibri"/>
          <w:sz w:val="18"/>
          <w:szCs w:val="18"/>
        </w:rPr>
      </w:r>
      <w:r w:rsidR="00FB566D">
        <w:rPr>
          <w:rFonts w:ascii="Titillium" w:hAnsi="Titillium" w:cs="Calibri"/>
          <w:sz w:val="18"/>
          <w:szCs w:val="18"/>
        </w:rPr>
        <w:fldChar w:fldCharType="separate"/>
      </w:r>
      <w:r w:rsidR="00527049">
        <w:rPr>
          <w:rFonts w:ascii="Titillium" w:hAnsi="Titillium" w:cs="Calibri"/>
          <w:sz w:val="18"/>
          <w:szCs w:val="18"/>
        </w:rPr>
        <w:t>18.4</w:t>
      </w:r>
      <w:r w:rsidR="00FB566D">
        <w:rPr>
          <w:rFonts w:ascii="Titillium" w:hAnsi="Titillium" w:cs="Calibri"/>
          <w:sz w:val="18"/>
          <w:szCs w:val="18"/>
        </w:rPr>
        <w:fldChar w:fldCharType="end"/>
      </w:r>
      <w:r w:rsidRPr="00BD13B0">
        <w:rPr>
          <w:rFonts w:ascii="Titillium" w:hAnsi="Titillium" w:cs="Calibri"/>
          <w:sz w:val="18"/>
          <w:szCs w:val="18"/>
        </w:rPr>
        <w:t>.</w:t>
      </w:r>
    </w:p>
    <w:p w14:paraId="50C7FCDC" w14:textId="1115E7EC" w:rsidR="004C53A8" w:rsidRDefault="00870286">
      <w:pPr>
        <w:rPr>
          <w:rFonts w:ascii="Titillium" w:hAnsi="Titillium"/>
          <w:sz w:val="20"/>
          <w:szCs w:val="20"/>
        </w:rPr>
      </w:pPr>
      <w:r>
        <w:rPr>
          <w:rFonts w:ascii="Titillium" w:hAnsi="Titillium" w:cs="Calibri"/>
          <w:sz w:val="18"/>
          <w:szCs w:val="18"/>
        </w:rPr>
        <w:t xml:space="preserve">La commissione </w:t>
      </w:r>
      <w:r w:rsidR="006D2A5E">
        <w:rPr>
          <w:rFonts w:ascii="Titillium" w:hAnsi="Titillium" w:cs="Calibri"/>
          <w:sz w:val="18"/>
          <w:szCs w:val="18"/>
        </w:rPr>
        <w:t xml:space="preserve">giudicatrice </w:t>
      </w:r>
      <w:r>
        <w:rPr>
          <w:rFonts w:ascii="Titillium" w:hAnsi="Titillium" w:cs="Calibri"/>
          <w:sz w:val="18"/>
          <w:szCs w:val="18"/>
        </w:rPr>
        <w:t>rende visibile ai concorrenti</w:t>
      </w:r>
      <w:r w:rsidR="004965EA">
        <w:rPr>
          <w:rFonts w:ascii="Titillium" w:hAnsi="Titillium" w:cs="Calibri"/>
          <w:sz w:val="18"/>
          <w:szCs w:val="18"/>
        </w:rPr>
        <w:t>, con le modalità di cui al</w:t>
      </w:r>
      <w:r w:rsidR="005B2AEB">
        <w:rPr>
          <w:rFonts w:ascii="Titillium" w:hAnsi="Titillium" w:cs="Calibri"/>
          <w:sz w:val="18"/>
          <w:szCs w:val="18"/>
        </w:rPr>
        <w:t>l’ar</w:t>
      </w:r>
      <w:r w:rsidR="009519DD">
        <w:rPr>
          <w:rFonts w:ascii="Titillium" w:hAnsi="Titillium" w:cs="Calibri"/>
          <w:sz w:val="18"/>
          <w:szCs w:val="18"/>
        </w:rPr>
        <w:t>t</w:t>
      </w:r>
      <w:r w:rsidR="005B2AEB">
        <w:rPr>
          <w:rFonts w:ascii="Titillium" w:hAnsi="Titillium" w:cs="Calibri"/>
          <w:sz w:val="18"/>
          <w:szCs w:val="18"/>
        </w:rPr>
        <w:t>icolo</w:t>
      </w:r>
      <w:r w:rsidR="004965EA">
        <w:rPr>
          <w:rFonts w:ascii="Titillium" w:hAnsi="Titillium" w:cs="Calibri"/>
          <w:sz w:val="18"/>
          <w:szCs w:val="18"/>
        </w:rPr>
        <w:t xml:space="preserve"> </w:t>
      </w:r>
      <w:r w:rsidR="0025449B">
        <w:rPr>
          <w:rFonts w:ascii="Titillium" w:hAnsi="Titillium" w:cs="Calibri"/>
          <w:sz w:val="18"/>
          <w:szCs w:val="18"/>
        </w:rPr>
        <w:fldChar w:fldCharType="begin"/>
      </w:r>
      <w:r w:rsidR="0025449B">
        <w:rPr>
          <w:rFonts w:ascii="Titillium" w:hAnsi="Titillium" w:cs="Calibri"/>
          <w:sz w:val="18"/>
          <w:szCs w:val="18"/>
        </w:rPr>
        <w:instrText xml:space="preserve"> REF _Ref130243943 \r \h </w:instrText>
      </w:r>
      <w:r w:rsidR="0025449B">
        <w:rPr>
          <w:rFonts w:ascii="Titillium" w:hAnsi="Titillium" w:cs="Calibri"/>
          <w:sz w:val="18"/>
          <w:szCs w:val="18"/>
        </w:rPr>
      </w:r>
      <w:r w:rsidR="0025449B">
        <w:rPr>
          <w:rFonts w:ascii="Titillium" w:hAnsi="Titillium" w:cs="Calibri"/>
          <w:sz w:val="18"/>
          <w:szCs w:val="18"/>
        </w:rPr>
        <w:fldChar w:fldCharType="separate"/>
      </w:r>
      <w:r w:rsidR="00527049">
        <w:rPr>
          <w:rFonts w:ascii="Titillium" w:hAnsi="Titillium" w:cs="Calibri"/>
          <w:sz w:val="18"/>
          <w:szCs w:val="18"/>
        </w:rPr>
        <w:t>20</w:t>
      </w:r>
      <w:r w:rsidR="0025449B">
        <w:rPr>
          <w:rFonts w:ascii="Titillium" w:hAnsi="Titillium" w:cs="Calibri"/>
          <w:sz w:val="18"/>
          <w:szCs w:val="18"/>
        </w:rPr>
        <w:fldChar w:fldCharType="end"/>
      </w:r>
      <w:r>
        <w:rPr>
          <w:rFonts w:ascii="Titillium" w:hAnsi="Titillium" w:cs="Calibri"/>
          <w:sz w:val="18"/>
          <w:szCs w:val="18"/>
        </w:rPr>
        <w:t xml:space="preserve">: </w:t>
      </w:r>
    </w:p>
    <w:p w14:paraId="233C6CE6" w14:textId="77777777" w:rsidR="004C53A8" w:rsidRDefault="00870286" w:rsidP="0025449B">
      <w:pPr>
        <w:ind w:left="284"/>
        <w:rPr>
          <w:rFonts w:ascii="Titillium" w:hAnsi="Titillium"/>
          <w:sz w:val="20"/>
          <w:szCs w:val="20"/>
        </w:rPr>
      </w:pPr>
      <w:r>
        <w:rPr>
          <w:rFonts w:ascii="Titillium" w:hAnsi="Titillium" w:cs="Calibri"/>
          <w:sz w:val="18"/>
          <w:szCs w:val="18"/>
        </w:rPr>
        <w:t>a) i punteggi tecnici attribuiti alle singole offerte tecniche;</w:t>
      </w:r>
    </w:p>
    <w:p w14:paraId="59A25897" w14:textId="77777777" w:rsidR="006D2A5E" w:rsidRDefault="00870286" w:rsidP="0025449B">
      <w:pPr>
        <w:ind w:left="284"/>
        <w:rPr>
          <w:rFonts w:ascii="Titillium" w:hAnsi="Titillium" w:cs="Calibri"/>
          <w:sz w:val="18"/>
          <w:szCs w:val="18"/>
        </w:rPr>
      </w:pPr>
      <w:r>
        <w:rPr>
          <w:rFonts w:ascii="Titillium" w:hAnsi="Titillium" w:cs="Calibri"/>
          <w:sz w:val="18"/>
          <w:szCs w:val="18"/>
        </w:rPr>
        <w:t>b) le eventuali esclusioni dalla gara dei concorrenti</w:t>
      </w:r>
      <w:r w:rsidR="006D2A5E">
        <w:rPr>
          <w:rFonts w:ascii="Titillium" w:hAnsi="Titillium" w:cs="Calibri"/>
          <w:sz w:val="18"/>
          <w:szCs w:val="18"/>
        </w:rPr>
        <w:t>.</w:t>
      </w:r>
    </w:p>
    <w:p w14:paraId="602A7963" w14:textId="0A482E52" w:rsidR="004C53A8" w:rsidRDefault="009B0C28">
      <w:pPr>
        <w:rPr>
          <w:rFonts w:ascii="Titillium" w:hAnsi="Titillium"/>
          <w:sz w:val="20"/>
          <w:szCs w:val="20"/>
        </w:rPr>
      </w:pPr>
      <w:r>
        <w:rPr>
          <w:rFonts w:ascii="Titillium" w:hAnsi="Titillium" w:cs="Calibri"/>
          <w:sz w:val="18"/>
          <w:szCs w:val="18"/>
        </w:rPr>
        <w:t>Al termine delle operazioni di cui sopra la Piattaforma consente la prosecuzione della procedura ai soli concorrenti ammessi alla valutazione delle offerte economiche.</w:t>
      </w:r>
      <w:r w:rsidR="00870286">
        <w:rPr>
          <w:rFonts w:ascii="Titillium" w:hAnsi="Titillium" w:cs="Calibri"/>
          <w:sz w:val="18"/>
          <w:szCs w:val="18"/>
        </w:rPr>
        <w:t xml:space="preserve"> </w:t>
      </w:r>
    </w:p>
    <w:p w14:paraId="61953F7D" w14:textId="3F7F5316" w:rsidR="004C53A8" w:rsidRDefault="00A65180" w:rsidP="008F6C85">
      <w:pPr>
        <w:rPr>
          <w:rFonts w:ascii="Titillium" w:hAnsi="Titillium"/>
          <w:sz w:val="18"/>
          <w:szCs w:val="18"/>
        </w:rPr>
      </w:pPr>
      <w:r>
        <w:rPr>
          <w:rFonts w:ascii="Titillium" w:hAnsi="Titillium" w:cs="Calibri"/>
          <w:sz w:val="18"/>
          <w:szCs w:val="18"/>
        </w:rPr>
        <w:t>La</w:t>
      </w:r>
      <w:r w:rsidR="00870286">
        <w:rPr>
          <w:rFonts w:ascii="Titillium" w:hAnsi="Titillium" w:cs="Calibri"/>
          <w:sz w:val="18"/>
          <w:szCs w:val="18"/>
        </w:rPr>
        <w:t xml:space="preserve"> commissione </w:t>
      </w:r>
      <w:r w:rsidR="009B0C28">
        <w:rPr>
          <w:rFonts w:ascii="Titillium" w:hAnsi="Titillium" w:cs="Calibri"/>
          <w:sz w:val="18"/>
          <w:szCs w:val="18"/>
        </w:rPr>
        <w:t xml:space="preserve">giudicatrice </w:t>
      </w:r>
      <w:r w:rsidR="00870286">
        <w:rPr>
          <w:rFonts w:ascii="Titillium" w:hAnsi="Titillium" w:cs="Calibri"/>
          <w:sz w:val="18"/>
          <w:szCs w:val="18"/>
        </w:rPr>
        <w:t>procede</w:t>
      </w:r>
      <w:r w:rsidR="009B0C28" w:rsidRPr="009B0C28">
        <w:rPr>
          <w:rFonts w:ascii="Titillium" w:hAnsi="Titillium" w:cs="Calibri"/>
          <w:sz w:val="18"/>
          <w:szCs w:val="18"/>
        </w:rPr>
        <w:t xml:space="preserve"> </w:t>
      </w:r>
      <w:r w:rsidR="009B0C28" w:rsidRPr="008F6C85">
        <w:rPr>
          <w:rFonts w:ascii="Titillium" w:hAnsi="Titillium" w:cs="Calibri"/>
          <w:i/>
          <w:sz w:val="18"/>
          <w:szCs w:val="18"/>
        </w:rPr>
        <w:t>[nel caso di gara a più lotti: relativamente a ciascun singolo lotto]</w:t>
      </w:r>
      <w:r w:rsidR="009B0C28" w:rsidRPr="009B0C28">
        <w:rPr>
          <w:rFonts w:ascii="Titillium" w:hAnsi="Titillium" w:cs="Calibri"/>
          <w:sz w:val="18"/>
          <w:szCs w:val="18"/>
        </w:rPr>
        <w:t xml:space="preserve"> all’apertura </w:t>
      </w:r>
      <w:r w:rsidR="00FB566D">
        <w:rPr>
          <w:rFonts w:ascii="Titillium" w:hAnsi="Titillium" w:cs="Calibri"/>
          <w:sz w:val="18"/>
          <w:szCs w:val="18"/>
        </w:rPr>
        <w:t>e</w:t>
      </w:r>
      <w:r w:rsidR="00870286">
        <w:rPr>
          <w:rFonts w:ascii="Titillium" w:hAnsi="Titillium" w:cs="Calibri"/>
          <w:sz w:val="18"/>
          <w:szCs w:val="18"/>
        </w:rPr>
        <w:t xml:space="preserve"> alla valutazione delle </w:t>
      </w:r>
      <w:r w:rsidR="00870286">
        <w:rPr>
          <w:rFonts w:ascii="Titilium" w:hAnsi="Titilium" w:cs="Calibri"/>
          <w:sz w:val="18"/>
          <w:szCs w:val="18"/>
        </w:rPr>
        <w:t>of</w:t>
      </w:r>
      <w:r w:rsidR="00870286">
        <w:rPr>
          <w:rFonts w:ascii="Titillium" w:hAnsi="Titillium" w:cs="Calibri"/>
          <w:sz w:val="18"/>
          <w:szCs w:val="18"/>
        </w:rPr>
        <w:t xml:space="preserve">ferte economiche, secondo i criteri e le modalità descritte </w:t>
      </w:r>
      <w:r w:rsidR="00A676A9">
        <w:rPr>
          <w:rFonts w:ascii="Titillium" w:hAnsi="Titillium" w:cs="Calibri"/>
          <w:sz w:val="18"/>
          <w:szCs w:val="18"/>
        </w:rPr>
        <w:t>nel disciplinare e,</w:t>
      </w:r>
      <w:r w:rsidR="007C2CBB">
        <w:rPr>
          <w:rFonts w:ascii="Titillium" w:hAnsi="Titillium" w:cs="Calibri"/>
          <w:sz w:val="18"/>
          <w:szCs w:val="18"/>
        </w:rPr>
        <w:t xml:space="preserve"> successivamente</w:t>
      </w:r>
      <w:r w:rsidR="00A676A9">
        <w:rPr>
          <w:rFonts w:ascii="Titillium" w:hAnsi="Titillium" w:cs="Calibri"/>
          <w:sz w:val="18"/>
          <w:szCs w:val="18"/>
        </w:rPr>
        <w:t>,</w:t>
      </w:r>
      <w:r w:rsidR="007C2CBB">
        <w:rPr>
          <w:rFonts w:ascii="Titillium" w:hAnsi="Titillium" w:cs="Calibri"/>
          <w:sz w:val="18"/>
          <w:szCs w:val="18"/>
        </w:rPr>
        <w:t xml:space="preserve"> </w:t>
      </w:r>
      <w:r w:rsidR="00870286">
        <w:rPr>
          <w:rFonts w:ascii="Titillium" w:hAnsi="Titillium"/>
          <w:sz w:val="18"/>
          <w:szCs w:val="18"/>
        </w:rPr>
        <w:t xml:space="preserve">all’individuazione dell’unico parametro numerico finale per la formulazione della graduatoria. </w:t>
      </w:r>
    </w:p>
    <w:p w14:paraId="35B17DDF" w14:textId="77777777" w:rsidR="004C53A8" w:rsidRDefault="00870286">
      <w:pPr>
        <w:spacing w:before="60" w:after="60"/>
      </w:pPr>
      <w:r>
        <w:rPr>
          <w:rFonts w:ascii="Titillium" w:hAnsi="Titillium" w:cs="Calibri"/>
          <w:sz w:val="18"/>
          <w:szCs w:val="18"/>
        </w:rPr>
        <w:t xml:space="preserve">Nel caso in cui le offerte di due o più concorrenti ottengano lo stesso punteggio complessivo, ma punteggi differenti per il prezzo e per tutti gli altri elementi di valutazione, è collocato primo in graduatoria il concorrente che ha ottenuto il miglior punteggio sul … </w:t>
      </w:r>
      <w:r>
        <w:rPr>
          <w:rFonts w:ascii="Titillium" w:hAnsi="Titillium" w:cs="Calibri"/>
          <w:i/>
          <w:sz w:val="18"/>
          <w:szCs w:val="18"/>
        </w:rPr>
        <w:t>[</w:t>
      </w:r>
      <w:r>
        <w:rPr>
          <w:rFonts w:ascii="Titillium" w:hAnsi="Titillium"/>
          <w:i/>
          <w:sz w:val="18"/>
          <w:szCs w:val="18"/>
          <w:lang w:eastAsia="it-IT"/>
        </w:rPr>
        <w:t>scegliere tra prezzo</w:t>
      </w:r>
      <w:r>
        <w:rPr>
          <w:rFonts w:ascii="Titillium" w:hAnsi="Titillium"/>
          <w:sz w:val="18"/>
          <w:szCs w:val="18"/>
          <w:lang w:eastAsia="it-IT"/>
        </w:rPr>
        <w:t xml:space="preserve"> </w:t>
      </w:r>
      <w:r>
        <w:rPr>
          <w:rFonts w:ascii="Titillium" w:hAnsi="Titillium"/>
          <w:i/>
          <w:sz w:val="18"/>
          <w:szCs w:val="18"/>
          <w:lang w:eastAsia="it-IT"/>
        </w:rPr>
        <w:t>o offerta tecnica].</w:t>
      </w:r>
    </w:p>
    <w:p w14:paraId="75369738" w14:textId="0FBA8E4E" w:rsidR="004C53A8" w:rsidRDefault="00870286">
      <w:pPr>
        <w:spacing w:before="60" w:after="60"/>
      </w:pPr>
      <w:r w:rsidRPr="0013560D">
        <w:rPr>
          <w:rFonts w:ascii="Titillium" w:hAnsi="Titillium" w:cs="Calibri"/>
          <w:sz w:val="18"/>
          <w:szCs w:val="18"/>
        </w:rPr>
        <w:t xml:space="preserve">Nel caso in cui le offerte di due o più concorrenti ottengano lo stesso punteggio complessivo e gli stessi punteggi parziali per il prezzo e per l’offerta tecnica, </w:t>
      </w:r>
      <w:r w:rsidR="00C25436" w:rsidRPr="0013560D">
        <w:rPr>
          <w:rFonts w:ascii="Titillium" w:hAnsi="Titillium" w:cs="Calibri"/>
          <w:sz w:val="18"/>
          <w:szCs w:val="18"/>
        </w:rPr>
        <w:t>i predetti concorrenti</w:t>
      </w:r>
      <w:r w:rsidR="00005305" w:rsidRPr="0013560D">
        <w:rPr>
          <w:rFonts w:ascii="Titillium" w:hAnsi="Titillium" w:cs="Calibri"/>
          <w:sz w:val="18"/>
          <w:szCs w:val="18"/>
        </w:rPr>
        <w:t>, su richiesta della stazione appaltante, presentano un’offerta migliorativa</w:t>
      </w:r>
      <w:r w:rsidR="00C25436" w:rsidRPr="0013560D">
        <w:rPr>
          <w:rFonts w:ascii="Titillium" w:hAnsi="Titillium" w:cs="Calibri"/>
          <w:sz w:val="18"/>
          <w:szCs w:val="18"/>
        </w:rPr>
        <w:t xml:space="preserve"> </w:t>
      </w:r>
      <w:r w:rsidR="00005305" w:rsidRPr="0013560D">
        <w:rPr>
          <w:rFonts w:ascii="Titillium" w:hAnsi="Titillium" w:cs="Calibri"/>
          <w:sz w:val="18"/>
          <w:szCs w:val="18"/>
        </w:rPr>
        <w:t xml:space="preserve">sul prezzo </w:t>
      </w:r>
      <w:r w:rsidR="00994C0B" w:rsidRPr="0013560D">
        <w:rPr>
          <w:rFonts w:ascii="Titillium" w:hAnsi="Titillium" w:cs="Calibri"/>
          <w:sz w:val="18"/>
          <w:szCs w:val="18"/>
        </w:rPr>
        <w:t>entro …</w:t>
      </w:r>
      <w:r w:rsidR="00005305" w:rsidRPr="0013560D">
        <w:rPr>
          <w:rFonts w:ascii="Titillium" w:hAnsi="Titillium" w:cs="Calibri"/>
          <w:sz w:val="18"/>
          <w:szCs w:val="18"/>
        </w:rPr>
        <w:t xml:space="preserve"> </w:t>
      </w:r>
      <w:r w:rsidR="00005305" w:rsidRPr="0013560D">
        <w:rPr>
          <w:rFonts w:ascii="Titillium" w:hAnsi="Titillium" w:cs="Calibri"/>
          <w:i/>
          <w:sz w:val="18"/>
          <w:szCs w:val="18"/>
        </w:rPr>
        <w:t>[indicare il termine perentorio di presentazione dell’offerta migliorativa]</w:t>
      </w:r>
      <w:r w:rsidR="00005305" w:rsidRPr="0013560D">
        <w:rPr>
          <w:rFonts w:ascii="Titillium" w:hAnsi="Titillium" w:cs="Calibri"/>
          <w:sz w:val="18"/>
          <w:szCs w:val="18"/>
        </w:rPr>
        <w:t xml:space="preserve">. </w:t>
      </w:r>
      <w:r w:rsidR="00C25436" w:rsidRPr="0013560D">
        <w:rPr>
          <w:rFonts w:ascii="Titillium" w:hAnsi="Titillium" w:cs="Calibri"/>
          <w:sz w:val="18"/>
          <w:szCs w:val="18"/>
        </w:rPr>
        <w:t>La richiesta è</w:t>
      </w:r>
      <w:r w:rsidR="00C25436" w:rsidRPr="00A65180">
        <w:rPr>
          <w:rFonts w:ascii="Titillium" w:hAnsi="Titillium" w:cs="Calibri"/>
          <w:sz w:val="18"/>
          <w:szCs w:val="18"/>
        </w:rPr>
        <w:t xml:space="preserve"> effettuata secondo le modalità previste </w:t>
      </w:r>
      <w:r w:rsidR="0078130E">
        <w:rPr>
          <w:rFonts w:ascii="Titillium" w:hAnsi="Titillium" w:cs="Calibri"/>
          <w:sz w:val="18"/>
          <w:szCs w:val="18"/>
        </w:rPr>
        <w:t xml:space="preserve">al punto </w:t>
      </w:r>
      <w:r w:rsidR="0078130E">
        <w:rPr>
          <w:rFonts w:ascii="Titillium" w:hAnsi="Titillium" w:cs="Calibri"/>
          <w:sz w:val="18"/>
          <w:szCs w:val="18"/>
        </w:rPr>
        <w:fldChar w:fldCharType="begin"/>
      </w:r>
      <w:r w:rsidR="0078130E">
        <w:rPr>
          <w:rFonts w:ascii="Titillium" w:hAnsi="Titillium" w:cs="Calibri"/>
          <w:sz w:val="18"/>
          <w:szCs w:val="18"/>
        </w:rPr>
        <w:instrText xml:space="preserve"> REF _Ref132304898 \r \h </w:instrText>
      </w:r>
      <w:r w:rsidR="0078130E">
        <w:rPr>
          <w:rFonts w:ascii="Titillium" w:hAnsi="Titillium" w:cs="Calibri"/>
          <w:sz w:val="18"/>
          <w:szCs w:val="18"/>
        </w:rPr>
      </w:r>
      <w:r w:rsidR="0078130E">
        <w:rPr>
          <w:rFonts w:ascii="Titillium" w:hAnsi="Titillium" w:cs="Calibri"/>
          <w:sz w:val="18"/>
          <w:szCs w:val="18"/>
        </w:rPr>
        <w:fldChar w:fldCharType="separate"/>
      </w:r>
      <w:r w:rsidR="0078130E">
        <w:rPr>
          <w:rFonts w:ascii="Titillium" w:hAnsi="Titillium" w:cs="Calibri"/>
          <w:sz w:val="18"/>
          <w:szCs w:val="18"/>
        </w:rPr>
        <w:t>2.3</w:t>
      </w:r>
      <w:r w:rsidR="0078130E">
        <w:rPr>
          <w:rFonts w:ascii="Titillium" w:hAnsi="Titillium" w:cs="Calibri"/>
          <w:sz w:val="18"/>
          <w:szCs w:val="18"/>
        </w:rPr>
        <w:fldChar w:fldCharType="end"/>
      </w:r>
      <w:r w:rsidR="00994C0B" w:rsidRPr="00A65180">
        <w:rPr>
          <w:rFonts w:ascii="Titillium" w:hAnsi="Titillium" w:cs="Calibri"/>
          <w:sz w:val="18"/>
          <w:szCs w:val="18"/>
        </w:rPr>
        <w:t xml:space="preserve">. </w:t>
      </w:r>
      <w:r w:rsidR="00005305" w:rsidRPr="00A65180">
        <w:rPr>
          <w:rFonts w:ascii="Titillium" w:hAnsi="Titillium" w:cs="Calibri"/>
          <w:sz w:val="18"/>
          <w:szCs w:val="18"/>
        </w:rPr>
        <w:t>È collocato primo in graduatoria il concorrente che ha presentato</w:t>
      </w:r>
      <w:r w:rsidR="00C25436" w:rsidRPr="00A65180">
        <w:rPr>
          <w:rFonts w:ascii="Titillium" w:hAnsi="Titillium" w:cs="Calibri"/>
          <w:sz w:val="18"/>
          <w:szCs w:val="18"/>
        </w:rPr>
        <w:t xml:space="preserve"> la migliore offerta</w:t>
      </w:r>
      <w:r w:rsidR="00005305" w:rsidRPr="00A65180">
        <w:rPr>
          <w:rFonts w:ascii="Titillium" w:hAnsi="Titillium" w:cs="Calibri"/>
          <w:sz w:val="18"/>
          <w:szCs w:val="18"/>
        </w:rPr>
        <w:t xml:space="preserve">. Ove permanga l’ex aequo </w:t>
      </w:r>
      <w:r w:rsidR="001322C5" w:rsidRPr="00A65180">
        <w:rPr>
          <w:rFonts w:ascii="Titillium" w:hAnsi="Titillium" w:cs="Calibri"/>
          <w:sz w:val="18"/>
          <w:szCs w:val="18"/>
        </w:rPr>
        <w:t xml:space="preserve">la commissione procede mediante </w:t>
      </w:r>
      <w:r w:rsidR="0078130E">
        <w:rPr>
          <w:rFonts w:ascii="Titillium" w:hAnsi="Titillium" w:cs="Calibri"/>
          <w:sz w:val="18"/>
          <w:szCs w:val="18"/>
        </w:rPr>
        <w:t xml:space="preserve">sorteggio </w:t>
      </w:r>
      <w:r w:rsidRPr="00A65180">
        <w:rPr>
          <w:rFonts w:ascii="Titillium" w:hAnsi="Titillium"/>
          <w:sz w:val="18"/>
          <w:szCs w:val="18"/>
        </w:rPr>
        <w:t>ad individuare il concorrente che verrà collocato primo nella graduatoria.</w:t>
      </w:r>
      <w:r w:rsidR="00005305" w:rsidRPr="00A65180">
        <w:rPr>
          <w:rFonts w:ascii="Titillium" w:hAnsi="Titillium"/>
          <w:sz w:val="18"/>
          <w:szCs w:val="18"/>
        </w:rPr>
        <w:t xml:space="preserve"> </w:t>
      </w:r>
      <w:r w:rsidR="001322C5" w:rsidRPr="00A65180">
        <w:rPr>
          <w:rFonts w:ascii="Titillium" w:hAnsi="Titillium"/>
          <w:sz w:val="18"/>
          <w:szCs w:val="18"/>
        </w:rPr>
        <w:t>L</w:t>
      </w:r>
      <w:r w:rsidR="00005305" w:rsidRPr="00A65180">
        <w:rPr>
          <w:rFonts w:ascii="Titillium" w:hAnsi="Titillium"/>
          <w:sz w:val="18"/>
          <w:szCs w:val="18"/>
        </w:rPr>
        <w:t>a stazione appaltante comunica il giorno e l’ora del sorteggio.</w:t>
      </w:r>
      <w:r w:rsidR="00994C0B" w:rsidRPr="00A65180">
        <w:rPr>
          <w:rFonts w:ascii="Titillium" w:hAnsi="Titillium"/>
          <w:sz w:val="18"/>
          <w:szCs w:val="18"/>
        </w:rPr>
        <w:t xml:space="preserve"> secondo le modalità previste </w:t>
      </w:r>
      <w:r w:rsidR="0078130E">
        <w:rPr>
          <w:rFonts w:ascii="Titillium" w:hAnsi="Titillium" w:cs="Calibri"/>
          <w:sz w:val="18"/>
          <w:szCs w:val="18"/>
        </w:rPr>
        <w:t xml:space="preserve">punto </w:t>
      </w:r>
      <w:r w:rsidR="0078130E">
        <w:rPr>
          <w:rFonts w:ascii="Titillium" w:hAnsi="Titillium" w:cs="Calibri"/>
          <w:sz w:val="18"/>
          <w:szCs w:val="18"/>
        </w:rPr>
        <w:fldChar w:fldCharType="begin"/>
      </w:r>
      <w:r w:rsidR="0078130E">
        <w:rPr>
          <w:rFonts w:ascii="Titillium" w:hAnsi="Titillium" w:cs="Calibri"/>
          <w:sz w:val="18"/>
          <w:szCs w:val="18"/>
        </w:rPr>
        <w:instrText xml:space="preserve"> REF _Ref132304898 \r \h </w:instrText>
      </w:r>
      <w:r w:rsidR="0078130E">
        <w:rPr>
          <w:rFonts w:ascii="Titillium" w:hAnsi="Titillium" w:cs="Calibri"/>
          <w:sz w:val="18"/>
          <w:szCs w:val="18"/>
        </w:rPr>
      </w:r>
      <w:r w:rsidR="0078130E">
        <w:rPr>
          <w:rFonts w:ascii="Titillium" w:hAnsi="Titillium" w:cs="Calibri"/>
          <w:sz w:val="18"/>
          <w:szCs w:val="18"/>
        </w:rPr>
        <w:fldChar w:fldCharType="separate"/>
      </w:r>
      <w:r w:rsidR="0078130E">
        <w:rPr>
          <w:rFonts w:ascii="Titillium" w:hAnsi="Titillium" w:cs="Calibri"/>
          <w:sz w:val="18"/>
          <w:szCs w:val="18"/>
        </w:rPr>
        <w:t>2.3</w:t>
      </w:r>
      <w:r w:rsidR="0078130E">
        <w:rPr>
          <w:rFonts w:ascii="Titillium" w:hAnsi="Titillium" w:cs="Calibri"/>
          <w:sz w:val="18"/>
          <w:szCs w:val="18"/>
        </w:rPr>
        <w:fldChar w:fldCharType="end"/>
      </w:r>
      <w:r w:rsidR="00994C0B" w:rsidRPr="00A65180">
        <w:rPr>
          <w:rFonts w:ascii="Titillium" w:hAnsi="Titillium"/>
          <w:sz w:val="18"/>
          <w:szCs w:val="18"/>
        </w:rPr>
        <w:t>.</w:t>
      </w:r>
    </w:p>
    <w:p w14:paraId="4C036293" w14:textId="0C139DB3" w:rsidR="009B0C28" w:rsidRDefault="009B0C28" w:rsidP="009B0C28">
      <w:pPr>
        <w:spacing w:before="60" w:after="60"/>
        <w:rPr>
          <w:rFonts w:ascii="Titillium" w:hAnsi="Titillium" w:cs="Calibri"/>
          <w:sz w:val="18"/>
          <w:szCs w:val="18"/>
        </w:rPr>
      </w:pPr>
      <w:r w:rsidRPr="009B0C28">
        <w:rPr>
          <w:rFonts w:ascii="Titillium" w:hAnsi="Titillium" w:cs="Calibri"/>
          <w:sz w:val="18"/>
          <w:szCs w:val="18"/>
        </w:rPr>
        <w:lastRenderedPageBreak/>
        <w:t>La commissione giudicatrice rende</w:t>
      </w:r>
      <w:r>
        <w:rPr>
          <w:rFonts w:ascii="Titillium" w:hAnsi="Titillium" w:cs="Calibri"/>
          <w:sz w:val="18"/>
          <w:szCs w:val="18"/>
        </w:rPr>
        <w:t xml:space="preserve"> </w:t>
      </w:r>
      <w:r w:rsidRPr="009B0C28">
        <w:rPr>
          <w:rFonts w:ascii="Titillium" w:hAnsi="Titillium" w:cs="Calibri"/>
          <w:sz w:val="18"/>
          <w:szCs w:val="18"/>
        </w:rPr>
        <w:t xml:space="preserve">visibile ai concorrenti, con le modalità di cui all’articolo </w:t>
      </w:r>
      <w:r w:rsidR="0025449B">
        <w:rPr>
          <w:rFonts w:ascii="Titillium" w:hAnsi="Titillium" w:cs="Calibri"/>
          <w:sz w:val="18"/>
          <w:szCs w:val="18"/>
        </w:rPr>
        <w:fldChar w:fldCharType="begin"/>
      </w:r>
      <w:r w:rsidR="0025449B">
        <w:rPr>
          <w:rFonts w:ascii="Titillium" w:hAnsi="Titillium" w:cs="Calibri"/>
          <w:sz w:val="18"/>
          <w:szCs w:val="18"/>
        </w:rPr>
        <w:instrText xml:space="preserve"> REF _Ref130243943 \r \h </w:instrText>
      </w:r>
      <w:r w:rsidR="0025449B">
        <w:rPr>
          <w:rFonts w:ascii="Titillium" w:hAnsi="Titillium" w:cs="Calibri"/>
          <w:sz w:val="18"/>
          <w:szCs w:val="18"/>
        </w:rPr>
      </w:r>
      <w:r w:rsidR="0025449B">
        <w:rPr>
          <w:rFonts w:ascii="Titillium" w:hAnsi="Titillium" w:cs="Calibri"/>
          <w:sz w:val="18"/>
          <w:szCs w:val="18"/>
        </w:rPr>
        <w:fldChar w:fldCharType="separate"/>
      </w:r>
      <w:r w:rsidR="00527049">
        <w:rPr>
          <w:rFonts w:ascii="Titillium" w:hAnsi="Titillium" w:cs="Calibri"/>
          <w:sz w:val="18"/>
          <w:szCs w:val="18"/>
        </w:rPr>
        <w:t>20</w:t>
      </w:r>
      <w:r w:rsidR="0025449B">
        <w:rPr>
          <w:rFonts w:ascii="Titillium" w:hAnsi="Titillium" w:cs="Calibri"/>
          <w:sz w:val="18"/>
          <w:szCs w:val="18"/>
        </w:rPr>
        <w:fldChar w:fldCharType="end"/>
      </w:r>
      <w:r w:rsidRPr="009B0C28">
        <w:rPr>
          <w:rFonts w:ascii="Titillium" w:hAnsi="Titillium" w:cs="Calibri"/>
          <w:sz w:val="18"/>
          <w:szCs w:val="18"/>
        </w:rPr>
        <w:t xml:space="preserve"> prezzi offerti.</w:t>
      </w:r>
    </w:p>
    <w:p w14:paraId="4A543CEC" w14:textId="6EAED1E0" w:rsidR="004C53A8" w:rsidRDefault="00870286" w:rsidP="009B0C28">
      <w:pPr>
        <w:spacing w:before="60" w:after="60"/>
      </w:pPr>
      <w:r>
        <w:rPr>
          <w:rFonts w:ascii="Titillium" w:hAnsi="Titillium" w:cs="Calibri"/>
          <w:sz w:val="18"/>
          <w:szCs w:val="18"/>
        </w:rPr>
        <w:t>All’esito delle operazioni di cui sopra, la commissione, redige la graduatoria</w:t>
      </w:r>
      <w:r w:rsidR="00A676A9">
        <w:rPr>
          <w:rFonts w:ascii="Titillium" w:hAnsi="Titillium" w:cs="Calibri"/>
          <w:sz w:val="18"/>
          <w:szCs w:val="18"/>
        </w:rPr>
        <w:t>.</w:t>
      </w:r>
    </w:p>
    <w:p w14:paraId="1CB2140F" w14:textId="2DC29127" w:rsidR="004C53A8" w:rsidRDefault="004C53A8">
      <w:pPr>
        <w:spacing w:before="60" w:after="60"/>
      </w:pPr>
    </w:p>
    <w:p w14:paraId="76B8539F" w14:textId="31ECB789" w:rsidR="004C53A8" w:rsidRDefault="00E21353">
      <w:pPr>
        <w:spacing w:before="60" w:after="60"/>
      </w:pPr>
      <w:r>
        <w:rPr>
          <w:rFonts w:ascii="Titillium" w:hAnsi="Titillium" w:cs="Calibri"/>
          <w:sz w:val="18"/>
          <w:szCs w:val="18"/>
        </w:rPr>
        <w:t>L’offerta è esclusa in caso di:</w:t>
      </w:r>
    </w:p>
    <w:p w14:paraId="186CE23E" w14:textId="77777777" w:rsidR="004C53A8" w:rsidRDefault="00870286" w:rsidP="00601972">
      <w:pPr>
        <w:pStyle w:val="Paragrafoelenco"/>
        <w:numPr>
          <w:ilvl w:val="0"/>
          <w:numId w:val="35"/>
        </w:numPr>
        <w:spacing w:before="60" w:after="60"/>
        <w:ind w:left="426"/>
        <w:rPr>
          <w:rFonts w:ascii="Titillium" w:hAnsi="Titillium" w:cs="Calibri"/>
          <w:sz w:val="18"/>
          <w:szCs w:val="18"/>
        </w:rPr>
      </w:pPr>
      <w:r>
        <w:rPr>
          <w:rFonts w:ascii="Titillium" w:hAnsi="Titillium" w:cs="Calibri"/>
          <w:sz w:val="18"/>
          <w:szCs w:val="18"/>
        </w:rPr>
        <w:t>mancata separazione dell’offerta economica dall’offerta tecnica, ovvero inserimento di elementi concernenti il prezzo nella documentazione amministrativa o nell’offerta tecnica;</w:t>
      </w:r>
    </w:p>
    <w:p w14:paraId="24301228" w14:textId="6FFB25B5" w:rsidR="004C53A8" w:rsidRDefault="00870286" w:rsidP="00601972">
      <w:pPr>
        <w:pStyle w:val="Paragrafoelenco"/>
        <w:numPr>
          <w:ilvl w:val="0"/>
          <w:numId w:val="35"/>
        </w:numPr>
        <w:spacing w:before="60" w:after="60"/>
        <w:ind w:left="426"/>
      </w:pPr>
      <w:r>
        <w:rPr>
          <w:rFonts w:ascii="Titillium" w:hAnsi="Titillium" w:cs="Calibri"/>
          <w:sz w:val="18"/>
          <w:szCs w:val="18"/>
        </w:rPr>
        <w:t>presentazione di</w:t>
      </w:r>
      <w:r>
        <w:rPr>
          <w:rFonts w:ascii="Titillium" w:hAnsi="Titillium" w:cs="Calibri"/>
          <w:b/>
          <w:sz w:val="18"/>
          <w:szCs w:val="18"/>
        </w:rPr>
        <w:t xml:space="preserve"> </w:t>
      </w:r>
      <w:r>
        <w:rPr>
          <w:rFonts w:ascii="Titillium" w:hAnsi="Titillium" w:cs="Calibri"/>
          <w:sz w:val="18"/>
          <w:szCs w:val="18"/>
        </w:rPr>
        <w:t>offerte parziali, plurime, condizionate, alternative oppure irregolari</w:t>
      </w:r>
      <w:r w:rsidR="007C2CBB">
        <w:rPr>
          <w:rFonts w:ascii="Titillium" w:hAnsi="Titillium" w:cs="Calibri"/>
          <w:sz w:val="18"/>
          <w:szCs w:val="18"/>
        </w:rPr>
        <w:t xml:space="preserve"> </w:t>
      </w:r>
      <w:r>
        <w:rPr>
          <w:rFonts w:ascii="Titillium" w:hAnsi="Titillium" w:cs="Calibri"/>
          <w:sz w:val="18"/>
          <w:szCs w:val="18"/>
        </w:rPr>
        <w:t>in quanto non rispettano i documenti di gara, ivi comprese le specifiche tecniche</w:t>
      </w:r>
      <w:r w:rsidR="007C2CBB">
        <w:rPr>
          <w:rFonts w:ascii="Titillium" w:hAnsi="Titillium" w:cs="Calibri"/>
          <w:sz w:val="18"/>
          <w:szCs w:val="18"/>
        </w:rPr>
        <w:t>, o anormalmente bass</w:t>
      </w:r>
      <w:r w:rsidR="00EE681D">
        <w:rPr>
          <w:rFonts w:ascii="Titillium" w:hAnsi="Titillium" w:cs="Calibri"/>
          <w:sz w:val="18"/>
          <w:szCs w:val="18"/>
        </w:rPr>
        <w:t>e</w:t>
      </w:r>
      <w:r>
        <w:rPr>
          <w:rFonts w:ascii="Titillium" w:hAnsi="Titillium" w:cs="Calibri"/>
          <w:sz w:val="18"/>
          <w:szCs w:val="18"/>
        </w:rPr>
        <w:t>;</w:t>
      </w:r>
    </w:p>
    <w:p w14:paraId="79B9D0A3" w14:textId="77777777" w:rsidR="009B0C28" w:rsidRDefault="00870286" w:rsidP="00601972">
      <w:pPr>
        <w:pStyle w:val="Paragrafoelenco"/>
        <w:numPr>
          <w:ilvl w:val="0"/>
          <w:numId w:val="35"/>
        </w:numPr>
        <w:spacing w:before="60" w:after="60"/>
        <w:ind w:left="426"/>
        <w:rPr>
          <w:rFonts w:ascii="Titillium" w:hAnsi="Titillium" w:cs="Calibri"/>
          <w:sz w:val="18"/>
          <w:szCs w:val="18"/>
        </w:rPr>
      </w:pPr>
      <w:r>
        <w:rPr>
          <w:rFonts w:ascii="Titillium" w:hAnsi="Titillium" w:cs="Calibri"/>
          <w:sz w:val="18"/>
          <w:szCs w:val="18"/>
        </w:rPr>
        <w:t>presentazione di offerte inammissibili</w:t>
      </w:r>
      <w:r w:rsidR="007C2CBB">
        <w:rPr>
          <w:rFonts w:ascii="Titillium" w:hAnsi="Titillium" w:cs="Calibri"/>
          <w:sz w:val="18"/>
          <w:szCs w:val="18"/>
        </w:rPr>
        <w:t xml:space="preserve"> </w:t>
      </w:r>
      <w:r>
        <w:rPr>
          <w:rFonts w:ascii="Titillium" w:hAnsi="Titillium" w:cs="Calibri"/>
          <w:sz w:val="18"/>
          <w:szCs w:val="18"/>
        </w:rPr>
        <w:t>in quanto la commissione giudicatrice ha ritenuto sussistenti gli estremi per l’informativa alla Procura della Repubblica per reati di corruzione o fenomeni collusivi o ha verificato essere in aumento rispetto all’importo a base di gara;</w:t>
      </w:r>
    </w:p>
    <w:p w14:paraId="024400F9" w14:textId="068749EF" w:rsidR="00F2716E" w:rsidRPr="00F2716E" w:rsidRDefault="009B0C28" w:rsidP="00601972">
      <w:pPr>
        <w:pStyle w:val="Paragrafoelenco"/>
        <w:numPr>
          <w:ilvl w:val="0"/>
          <w:numId w:val="35"/>
        </w:numPr>
        <w:spacing w:before="60" w:after="60"/>
        <w:ind w:left="426"/>
      </w:pPr>
      <w:r w:rsidRPr="002B7172">
        <w:rPr>
          <w:rFonts w:ascii="Titillium" w:hAnsi="Titillium" w:cs="Calibri"/>
          <w:b/>
          <w:i/>
          <w:sz w:val="18"/>
          <w:szCs w:val="18"/>
        </w:rPr>
        <w:t>[</w:t>
      </w:r>
      <w:r w:rsidR="002B7172" w:rsidRPr="002B7172">
        <w:rPr>
          <w:rFonts w:ascii="Titillium" w:hAnsi="Titillium" w:cs="Calibri"/>
          <w:b/>
          <w:i/>
          <w:sz w:val="18"/>
          <w:szCs w:val="18"/>
        </w:rPr>
        <w:t>F</w:t>
      </w:r>
      <w:r w:rsidRPr="002B7172">
        <w:rPr>
          <w:rFonts w:ascii="Titillium" w:hAnsi="Titillium" w:cs="Calibri"/>
          <w:b/>
          <w:i/>
          <w:sz w:val="18"/>
          <w:szCs w:val="18"/>
        </w:rPr>
        <w:t xml:space="preserve">acoltativo in caso di mancato superamento della soglia di sbarramento] </w:t>
      </w:r>
      <w:r>
        <w:rPr>
          <w:rFonts w:ascii="Titillium" w:hAnsi="Titillium" w:cs="Calibri"/>
          <w:sz w:val="18"/>
          <w:szCs w:val="18"/>
        </w:rPr>
        <w:t>m</w:t>
      </w:r>
      <w:r w:rsidRPr="003762B8">
        <w:rPr>
          <w:rFonts w:ascii="Titillium" w:hAnsi="Titillium" w:cs="Calibri"/>
          <w:sz w:val="18"/>
          <w:szCs w:val="18"/>
        </w:rPr>
        <w:t>ancato superamento</w:t>
      </w:r>
      <w:r w:rsidRPr="00006719">
        <w:rPr>
          <w:rFonts w:ascii="Titillium" w:hAnsi="Titillium" w:cs="Calibri"/>
          <w:sz w:val="18"/>
          <w:szCs w:val="18"/>
        </w:rPr>
        <w:t xml:space="preserve"> della soglia di sbarramento per l’offerta tecnica</w:t>
      </w:r>
      <w:r w:rsidR="00870286" w:rsidRPr="00006719">
        <w:rPr>
          <w:rFonts w:ascii="Titillium" w:hAnsi="Titillium" w:cs="Calibri"/>
          <w:sz w:val="18"/>
          <w:szCs w:val="18"/>
        </w:rPr>
        <w:t xml:space="preserve">. </w:t>
      </w:r>
    </w:p>
    <w:p w14:paraId="649D43C8" w14:textId="77777777" w:rsidR="004C53A8" w:rsidRDefault="00870286" w:rsidP="00084AD6">
      <w:pPr>
        <w:pStyle w:val="Titolo2"/>
        <w:numPr>
          <w:ilvl w:val="0"/>
          <w:numId w:val="4"/>
        </w:numPr>
        <w:ind w:left="357" w:hanging="357"/>
        <w:rPr>
          <w:rFonts w:ascii="Titillium" w:hAnsi="Titillium"/>
          <w:sz w:val="18"/>
          <w:szCs w:val="18"/>
        </w:rPr>
      </w:pPr>
      <w:bookmarkStart w:id="2116" w:name="_Toc381775856"/>
      <w:bookmarkStart w:id="2117" w:name="_Toc485218335"/>
      <w:bookmarkStart w:id="2118" w:name="_Toc484688900"/>
      <w:bookmarkStart w:id="2119" w:name="_Toc484688345"/>
      <w:bookmarkStart w:id="2120" w:name="_Toc484605476"/>
      <w:bookmarkStart w:id="2121" w:name="_Toc484605352"/>
      <w:bookmarkStart w:id="2122" w:name="_Toc484526632"/>
      <w:bookmarkStart w:id="2123" w:name="_Toc484449137"/>
      <w:bookmarkStart w:id="2124" w:name="_Toc484449013"/>
      <w:bookmarkStart w:id="2125" w:name="_Toc484448889"/>
      <w:bookmarkStart w:id="2126" w:name="_Toc484448766"/>
      <w:bookmarkStart w:id="2127" w:name="_Toc484448642"/>
      <w:bookmarkStart w:id="2128" w:name="_Toc484448518"/>
      <w:bookmarkStart w:id="2129" w:name="_Toc484448394"/>
      <w:bookmarkStart w:id="2130" w:name="_Toc484448270"/>
      <w:bookmarkStart w:id="2131" w:name="_Toc484448146"/>
      <w:bookmarkStart w:id="2132" w:name="_Toc484440486"/>
      <w:bookmarkStart w:id="2133" w:name="_Toc484440126"/>
      <w:bookmarkStart w:id="2134" w:name="_Toc484440002"/>
      <w:bookmarkStart w:id="2135" w:name="_Toc484439879"/>
      <w:bookmarkStart w:id="2136" w:name="_Toc484438959"/>
      <w:bookmarkStart w:id="2137" w:name="_Toc484438835"/>
      <w:bookmarkStart w:id="2138" w:name="_Toc484438711"/>
      <w:bookmarkStart w:id="2139" w:name="_Toc484429136"/>
      <w:bookmarkStart w:id="2140" w:name="_Toc484428966"/>
      <w:bookmarkStart w:id="2141" w:name="_Toc484097792"/>
      <w:bookmarkStart w:id="2142" w:name="_Toc484011718"/>
      <w:bookmarkStart w:id="2143" w:name="_Toc484011243"/>
      <w:bookmarkStart w:id="2144" w:name="_Toc484011121"/>
      <w:bookmarkStart w:id="2145" w:name="_Toc484010999"/>
      <w:bookmarkStart w:id="2146" w:name="_Toc484010875"/>
      <w:bookmarkStart w:id="2147" w:name="_Toc484010753"/>
      <w:bookmarkStart w:id="2148" w:name="_Toc483907003"/>
      <w:bookmarkStart w:id="2149" w:name="_Toc3539903981"/>
      <w:bookmarkStart w:id="2150" w:name="_Toc381776132"/>
      <w:bookmarkStart w:id="2151" w:name="_Toc416423376"/>
      <w:bookmarkStart w:id="2152" w:name="_Toc406754193"/>
      <w:bookmarkStart w:id="2153" w:name="_Toc406058392"/>
      <w:bookmarkStart w:id="2154" w:name="_Toc403471284"/>
      <w:bookmarkStart w:id="2155" w:name="_Toc397422877"/>
      <w:bookmarkStart w:id="2156" w:name="_Toc397346836"/>
      <w:bookmarkStart w:id="2157" w:name="_Toc393706921"/>
      <w:bookmarkStart w:id="2158" w:name="_Toc393700848"/>
      <w:bookmarkStart w:id="2159" w:name="_Toc393283189"/>
      <w:bookmarkStart w:id="2160" w:name="_Toc393272673"/>
      <w:bookmarkStart w:id="2161" w:name="_Toc393272615"/>
      <w:bookmarkStart w:id="2162" w:name="_Toc393187859"/>
      <w:bookmarkStart w:id="2163" w:name="_Toc393112142"/>
      <w:bookmarkStart w:id="2164" w:name="_Toc393110578"/>
      <w:bookmarkStart w:id="2165" w:name="_Toc392577511"/>
      <w:bookmarkStart w:id="2166" w:name="_Toc391036070"/>
      <w:bookmarkStart w:id="2167" w:name="_Toc391035997"/>
      <w:bookmarkStart w:id="2168" w:name="_Toc380501884"/>
      <w:bookmarkStart w:id="2169" w:name="_Toc139549453"/>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r>
        <w:rPr>
          <w:rFonts w:ascii="Titillium" w:hAnsi="Titillium"/>
          <w:sz w:val="18"/>
          <w:szCs w:val="18"/>
        </w:rPr>
        <w:t>VERIFICA DI ANOMALIA DELLE OFFERTE</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71B7DEC3" w14:textId="276BD0BB" w:rsidR="0070439A" w:rsidRPr="0070439A" w:rsidRDefault="0070439A" w:rsidP="008C3ED3">
      <w:pPr>
        <w:spacing w:before="60" w:after="60"/>
        <w:rPr>
          <w:rFonts w:ascii="Titillium" w:hAnsi="Titillium" w:cs="Calibri"/>
          <w:b/>
          <w:bCs/>
          <w:i/>
          <w:iCs/>
          <w:sz w:val="18"/>
          <w:szCs w:val="18"/>
        </w:rPr>
      </w:pPr>
      <w:r>
        <w:rPr>
          <w:rFonts w:ascii="Titillium" w:hAnsi="Titillium" w:cs="Calibri"/>
          <w:b/>
          <w:bCs/>
          <w:i/>
          <w:iCs/>
          <w:sz w:val="18"/>
          <w:szCs w:val="18"/>
        </w:rPr>
        <w:t>[</w:t>
      </w:r>
      <w:r w:rsidRPr="0070439A">
        <w:rPr>
          <w:rFonts w:ascii="Titillium" w:hAnsi="Titillium" w:cs="Calibri"/>
          <w:b/>
          <w:bCs/>
          <w:i/>
          <w:iCs/>
          <w:sz w:val="18"/>
          <w:szCs w:val="18"/>
        </w:rPr>
        <w:t xml:space="preserve">Se la stazione appaltante ricorre all’inversione procedimentale e intende procedere prima alla verifica della documentazione amministrativa e dopo alla verifica dell’anomalia delle offerte il presente articolo deve </w:t>
      </w:r>
      <w:r>
        <w:rPr>
          <w:rFonts w:ascii="Titillium" w:hAnsi="Titillium" w:cs="Calibri"/>
          <w:b/>
          <w:bCs/>
          <w:i/>
          <w:iCs/>
          <w:sz w:val="18"/>
          <w:szCs w:val="18"/>
        </w:rPr>
        <w:t>inserito dopo il successivo]</w:t>
      </w:r>
    </w:p>
    <w:p w14:paraId="5F45A5D0" w14:textId="75EBCA2C" w:rsidR="008C3ED3" w:rsidRDefault="008C3ED3" w:rsidP="008C3ED3">
      <w:pPr>
        <w:spacing w:before="60" w:after="60"/>
        <w:rPr>
          <w:rFonts w:ascii="Titillium" w:hAnsi="Titillium" w:cs="Calibri"/>
          <w:i/>
          <w:iCs/>
          <w:sz w:val="18"/>
          <w:szCs w:val="18"/>
        </w:rPr>
      </w:pPr>
      <w:r>
        <w:rPr>
          <w:rFonts w:ascii="Titillium" w:hAnsi="Titillium" w:cs="Calibri"/>
          <w:sz w:val="18"/>
          <w:szCs w:val="18"/>
        </w:rPr>
        <w:t xml:space="preserve">Sono considerate anormalmente basse le offerte che …. </w:t>
      </w:r>
      <w:r w:rsidRPr="005F2F86">
        <w:rPr>
          <w:rFonts w:ascii="Titillium" w:hAnsi="Titillium" w:cs="Calibri"/>
          <w:i/>
          <w:iCs/>
          <w:sz w:val="18"/>
          <w:szCs w:val="18"/>
        </w:rPr>
        <w:t xml:space="preserve">[la stazione appaltante indica </w:t>
      </w:r>
      <w:r w:rsidR="00C972FF">
        <w:rPr>
          <w:rFonts w:ascii="Titillium" w:hAnsi="Titillium" w:cs="Calibri"/>
          <w:i/>
          <w:iCs/>
          <w:sz w:val="18"/>
          <w:szCs w:val="18"/>
        </w:rPr>
        <w:t xml:space="preserve">gli elementi specifici o </w:t>
      </w:r>
      <w:r w:rsidR="00656BEE">
        <w:rPr>
          <w:rFonts w:ascii="Titillium" w:hAnsi="Titillium" w:cs="Calibri"/>
          <w:i/>
          <w:iCs/>
          <w:sz w:val="18"/>
          <w:szCs w:val="18"/>
        </w:rPr>
        <w:t xml:space="preserve">i </w:t>
      </w:r>
      <w:r>
        <w:rPr>
          <w:rFonts w:ascii="Titillium" w:hAnsi="Titillium" w:cs="Calibri"/>
          <w:i/>
          <w:iCs/>
          <w:sz w:val="18"/>
          <w:szCs w:val="18"/>
        </w:rPr>
        <w:t xml:space="preserve">criteri/parametri </w:t>
      </w:r>
      <w:r w:rsidR="00656BEE">
        <w:rPr>
          <w:rFonts w:ascii="Titillium" w:hAnsi="Titillium" w:cs="Calibri"/>
          <w:i/>
          <w:iCs/>
          <w:sz w:val="18"/>
          <w:szCs w:val="18"/>
        </w:rPr>
        <w:t xml:space="preserve">in base ai quali </w:t>
      </w:r>
      <w:r>
        <w:rPr>
          <w:rFonts w:ascii="Titillium" w:hAnsi="Titillium" w:cs="Calibri"/>
          <w:i/>
          <w:iCs/>
          <w:sz w:val="18"/>
          <w:szCs w:val="18"/>
        </w:rPr>
        <w:t xml:space="preserve">ritiene </w:t>
      </w:r>
      <w:r w:rsidRPr="005F2F86">
        <w:rPr>
          <w:rFonts w:ascii="Titillium" w:hAnsi="Titillium" w:cs="Calibri"/>
          <w:i/>
          <w:iCs/>
          <w:sz w:val="18"/>
          <w:szCs w:val="18"/>
        </w:rPr>
        <w:t>anormalmente bass</w:t>
      </w:r>
      <w:r>
        <w:rPr>
          <w:rFonts w:ascii="Titillium" w:hAnsi="Titillium" w:cs="Calibri"/>
          <w:i/>
          <w:iCs/>
          <w:sz w:val="18"/>
          <w:szCs w:val="18"/>
        </w:rPr>
        <w:t>a</w:t>
      </w:r>
      <w:r w:rsidR="00656BEE">
        <w:rPr>
          <w:rFonts w:ascii="Titillium" w:hAnsi="Titillium" w:cs="Calibri"/>
          <w:i/>
          <w:iCs/>
          <w:sz w:val="18"/>
          <w:szCs w:val="18"/>
        </w:rPr>
        <w:t xml:space="preserve"> un’offerta</w:t>
      </w:r>
      <w:r w:rsidRPr="005F2F86">
        <w:rPr>
          <w:rFonts w:ascii="Titillium" w:hAnsi="Titillium" w:cs="Calibri"/>
          <w:i/>
          <w:iCs/>
          <w:sz w:val="18"/>
          <w:szCs w:val="18"/>
        </w:rPr>
        <w:t>].</w:t>
      </w:r>
    </w:p>
    <w:p w14:paraId="4A51B5A0" w14:textId="135E6E11" w:rsidR="008C3ED3" w:rsidRPr="00045B07" w:rsidRDefault="008C3ED3" w:rsidP="00656BEE">
      <w:pPr>
        <w:spacing w:before="60" w:after="60"/>
      </w:pPr>
      <w:r w:rsidRPr="00656BEE">
        <w:rPr>
          <w:rFonts w:ascii="Titillium" w:hAnsi="Titillium" w:cs="Calibri"/>
          <w:i/>
          <w:iCs/>
          <w:sz w:val="18"/>
          <w:szCs w:val="18"/>
        </w:rPr>
        <w:t xml:space="preserve">[Facoltativo] </w:t>
      </w:r>
      <w:r w:rsidRPr="00C972FF">
        <w:rPr>
          <w:rFonts w:ascii="Titillium" w:hAnsi="Titillium" w:cs="Calibri"/>
          <w:sz w:val="18"/>
          <w:szCs w:val="18"/>
        </w:rPr>
        <w:t xml:space="preserve">La stazione appaltante si riserva la facoltà di sottoporre a verifica </w:t>
      </w:r>
      <w:r w:rsidR="00656BEE" w:rsidRPr="00C972FF">
        <w:rPr>
          <w:rFonts w:ascii="Titillium" w:hAnsi="Titillium" w:cs="Calibri"/>
          <w:sz w:val="18"/>
          <w:szCs w:val="18"/>
        </w:rPr>
        <w:t>un’offerta che, in base anche ad altri ad elementi</w:t>
      </w:r>
      <w:r w:rsidR="00045B07">
        <w:rPr>
          <w:rFonts w:ascii="Titillium" w:hAnsi="Titillium" w:cs="Calibri"/>
          <w:sz w:val="18"/>
          <w:szCs w:val="18"/>
        </w:rPr>
        <w:t xml:space="preserve">, ivi inclusi i costi della manodopera, </w:t>
      </w:r>
      <w:r w:rsidR="00045B07" w:rsidRPr="00C972FF">
        <w:rPr>
          <w:rFonts w:ascii="Titillium" w:hAnsi="Titillium" w:cs="Calibri"/>
          <w:sz w:val="18"/>
          <w:szCs w:val="18"/>
        </w:rPr>
        <w:t>appaia anormalmente bassa</w:t>
      </w:r>
      <w:r w:rsidR="00045B07">
        <w:rPr>
          <w:rFonts w:ascii="Titillium" w:hAnsi="Titillium" w:cs="Calibri"/>
          <w:sz w:val="18"/>
          <w:szCs w:val="18"/>
        </w:rPr>
        <w:t>.</w:t>
      </w:r>
    </w:p>
    <w:p w14:paraId="3FB2D433" w14:textId="36453AE1" w:rsidR="004C53A8" w:rsidRDefault="00E21353">
      <w:pPr>
        <w:spacing w:before="60" w:after="60"/>
        <w:rPr>
          <w:rFonts w:ascii="Titillium" w:hAnsi="Titillium" w:cs="Calibri"/>
          <w:sz w:val="18"/>
          <w:szCs w:val="18"/>
        </w:rPr>
      </w:pPr>
      <w:r>
        <w:rPr>
          <w:rFonts w:ascii="Titillium" w:hAnsi="Titillium" w:cs="Calibri"/>
          <w:sz w:val="18"/>
          <w:szCs w:val="18"/>
        </w:rPr>
        <w:t>Nel caso in cui</w:t>
      </w:r>
      <w:r w:rsidR="005F2F86">
        <w:rPr>
          <w:rFonts w:ascii="Titillium" w:hAnsi="Titillium" w:cs="Calibri"/>
          <w:sz w:val="18"/>
          <w:szCs w:val="18"/>
        </w:rPr>
        <w:t xml:space="preserve"> </w:t>
      </w:r>
      <w:r>
        <w:rPr>
          <w:rFonts w:ascii="Titillium" w:hAnsi="Titillium" w:cs="Calibri"/>
          <w:sz w:val="18"/>
          <w:szCs w:val="18"/>
        </w:rPr>
        <w:t xml:space="preserve">la prima migliore offerta </w:t>
      </w:r>
      <w:r w:rsidR="00870286">
        <w:rPr>
          <w:rFonts w:ascii="Titillium" w:hAnsi="Titillium" w:cs="Calibri"/>
          <w:sz w:val="18"/>
          <w:szCs w:val="18"/>
        </w:rPr>
        <w:t xml:space="preserve">appaia anormalmente bassa, il RUP </w:t>
      </w:r>
      <w:r w:rsidR="00870286">
        <w:rPr>
          <w:rFonts w:ascii="Titillium" w:hAnsi="Titillium" w:cs="Calibri"/>
          <w:i/>
          <w:sz w:val="18"/>
          <w:szCs w:val="18"/>
        </w:rPr>
        <w:t>[</w:t>
      </w:r>
      <w:r w:rsidR="00994C13" w:rsidRPr="00254D96">
        <w:rPr>
          <w:rFonts w:ascii="Titillium" w:hAnsi="Titillium" w:cs="Calibri"/>
          <w:b/>
          <w:i/>
          <w:sz w:val="18"/>
          <w:szCs w:val="18"/>
        </w:rPr>
        <w:t>F</w:t>
      </w:r>
      <w:r w:rsidR="00870286">
        <w:rPr>
          <w:rFonts w:ascii="Titillium" w:hAnsi="Titillium" w:cs="Calibri"/>
          <w:b/>
          <w:i/>
          <w:sz w:val="18"/>
          <w:szCs w:val="18"/>
        </w:rPr>
        <w:t>acoltativo</w:t>
      </w:r>
      <w:r w:rsidR="00C87621">
        <w:rPr>
          <w:rFonts w:ascii="Titillium" w:hAnsi="Titillium" w:cs="Calibri"/>
          <w:b/>
          <w:i/>
          <w:sz w:val="18"/>
          <w:szCs w:val="18"/>
        </w:rPr>
        <w:t>:</w:t>
      </w:r>
      <w:r w:rsidR="00870286">
        <w:rPr>
          <w:rFonts w:ascii="Titillium" w:hAnsi="Titillium" w:cs="Calibri"/>
          <w:sz w:val="18"/>
          <w:szCs w:val="18"/>
        </w:rPr>
        <w:t xml:space="preserve"> </w:t>
      </w:r>
      <w:r w:rsidR="00C87621">
        <w:rPr>
          <w:rFonts w:ascii="Titillium" w:hAnsi="Titillium" w:cs="Calibri"/>
          <w:sz w:val="18"/>
          <w:szCs w:val="18"/>
        </w:rPr>
        <w:t>“</w:t>
      </w:r>
      <w:r w:rsidR="00870286" w:rsidRPr="00C87621">
        <w:rPr>
          <w:rFonts w:ascii="Titillium" w:hAnsi="Titillium" w:cs="Calibri"/>
          <w:iCs/>
          <w:sz w:val="18"/>
          <w:szCs w:val="18"/>
        </w:rPr>
        <w:t>avvalendosi di …</w:t>
      </w:r>
      <w:r w:rsidR="00C87621" w:rsidRPr="00C87621">
        <w:rPr>
          <w:rFonts w:ascii="Titillium" w:hAnsi="Titillium" w:cs="Calibri"/>
          <w:iCs/>
          <w:sz w:val="18"/>
          <w:szCs w:val="18"/>
        </w:rPr>
        <w:t>”</w:t>
      </w:r>
      <w:r w:rsidR="00870286" w:rsidRPr="00994C0B">
        <w:rPr>
          <w:rFonts w:ascii="Titillium" w:hAnsi="Titillium" w:cs="Calibri"/>
          <w:i/>
          <w:sz w:val="18"/>
          <w:szCs w:val="18"/>
        </w:rPr>
        <w:t xml:space="preserve"> indicare se commissione giudicatrice o struttura di supporto istituita ad hoc</w:t>
      </w:r>
      <w:r w:rsidR="00870286" w:rsidRPr="00B6737B">
        <w:rPr>
          <w:rFonts w:ascii="Titillium" w:hAnsi="Titillium" w:cs="Calibri"/>
          <w:i/>
          <w:sz w:val="18"/>
          <w:szCs w:val="18"/>
        </w:rPr>
        <w:t>]</w:t>
      </w:r>
      <w:r w:rsidR="00870286">
        <w:rPr>
          <w:rFonts w:ascii="Titillium" w:hAnsi="Titillium" w:cs="Calibri"/>
          <w:sz w:val="18"/>
          <w:szCs w:val="18"/>
        </w:rPr>
        <w:t xml:space="preserve"> </w:t>
      </w:r>
      <w:r w:rsidR="00D20FC8">
        <w:rPr>
          <w:rFonts w:ascii="Titillium" w:hAnsi="Titillium" w:cs="Calibri"/>
          <w:sz w:val="18"/>
          <w:szCs w:val="18"/>
        </w:rPr>
        <w:t xml:space="preserve">ne </w:t>
      </w:r>
      <w:r w:rsidR="00870286">
        <w:rPr>
          <w:rFonts w:ascii="Titillium" w:hAnsi="Titillium" w:cs="Calibri"/>
          <w:sz w:val="18"/>
          <w:szCs w:val="18"/>
        </w:rPr>
        <w:t>valuta la congruità, serietà, sostenibilità e realizzabilità.</w:t>
      </w:r>
    </w:p>
    <w:p w14:paraId="7D73F732" w14:textId="10D41C78" w:rsidR="006067BD" w:rsidRDefault="00870286">
      <w:pPr>
        <w:spacing w:before="60" w:after="60"/>
        <w:rPr>
          <w:rFonts w:ascii="Titillium" w:hAnsi="Titillium" w:cs="Calibri"/>
          <w:sz w:val="18"/>
          <w:szCs w:val="18"/>
        </w:rPr>
      </w:pPr>
      <w:r>
        <w:rPr>
          <w:rFonts w:ascii="Titillium" w:hAnsi="Titillium" w:cs="Calibri"/>
          <w:sz w:val="18"/>
          <w:szCs w:val="18"/>
        </w:rPr>
        <w:t xml:space="preserve">Qualora tale offerta risulti anomala, si procede con le stesse modalità nei confronti delle successive offerte ritenute </w:t>
      </w:r>
      <w:r w:rsidR="00A676A9" w:rsidRPr="00A676A9">
        <w:rPr>
          <w:rFonts w:ascii="Titillium" w:hAnsi="Titillium" w:cs="Calibri"/>
          <w:sz w:val="18"/>
          <w:szCs w:val="18"/>
        </w:rPr>
        <w:t>anormalmente basse</w:t>
      </w:r>
      <w:r w:rsidRPr="00A676A9">
        <w:rPr>
          <w:rFonts w:ascii="Titillium" w:hAnsi="Titillium" w:cs="Calibri"/>
          <w:sz w:val="18"/>
          <w:szCs w:val="18"/>
        </w:rPr>
        <w:t>,</w:t>
      </w:r>
      <w:r>
        <w:rPr>
          <w:rFonts w:ascii="Titillium" w:hAnsi="Titillium" w:cs="Calibri"/>
          <w:sz w:val="18"/>
          <w:szCs w:val="18"/>
        </w:rPr>
        <w:t xml:space="preserve"> fino ad individuare la migliore offerta ritenuta non anomala. </w:t>
      </w:r>
    </w:p>
    <w:p w14:paraId="32669F3C" w14:textId="651FD51D" w:rsidR="004C53A8" w:rsidRPr="006067BD" w:rsidRDefault="00870286">
      <w:pPr>
        <w:pStyle w:val="Standard"/>
        <w:tabs>
          <w:tab w:val="left" w:pos="0"/>
          <w:tab w:val="left" w:pos="4340"/>
        </w:tabs>
        <w:spacing w:before="60" w:after="60" w:line="240" w:lineRule="auto"/>
        <w:jc w:val="both"/>
        <w:rPr>
          <w:rFonts w:ascii="Titillium" w:hAnsi="Titillium"/>
          <w:sz w:val="20"/>
        </w:rPr>
      </w:pPr>
      <w:r w:rsidRPr="00331144">
        <w:rPr>
          <w:rFonts w:ascii="Titillium" w:eastAsia="Times New Roman" w:hAnsi="Titillium" w:cs="Calibri"/>
          <w:b/>
          <w:bCs/>
          <w:i/>
          <w:sz w:val="18"/>
          <w:szCs w:val="18"/>
        </w:rPr>
        <w:t>[Facoltativo]</w:t>
      </w:r>
      <w:r w:rsidRPr="006067BD">
        <w:rPr>
          <w:rFonts w:ascii="Titillium" w:eastAsia="Times New Roman" w:hAnsi="Titillium" w:cs="Calibri"/>
          <w:sz w:val="18"/>
          <w:szCs w:val="18"/>
        </w:rPr>
        <w:t xml:space="preserve"> </w:t>
      </w:r>
      <w:r w:rsidR="006067BD">
        <w:rPr>
          <w:rFonts w:ascii="Titillium" w:eastAsia="Times New Roman" w:hAnsi="Titillium" w:cs="Calibri"/>
          <w:sz w:val="18"/>
          <w:szCs w:val="18"/>
        </w:rPr>
        <w:t>Il</w:t>
      </w:r>
      <w:r w:rsidRPr="006067BD">
        <w:rPr>
          <w:rFonts w:ascii="Titillium" w:eastAsia="Times New Roman" w:hAnsi="Titillium" w:cs="Calibri"/>
          <w:sz w:val="18"/>
          <w:szCs w:val="18"/>
        </w:rPr>
        <w:t xml:space="preserve"> concorrente </w:t>
      </w:r>
      <w:r w:rsidR="006067BD">
        <w:rPr>
          <w:rFonts w:ascii="Titillium" w:eastAsia="Times New Roman" w:hAnsi="Titillium" w:cs="Calibri"/>
          <w:sz w:val="18"/>
          <w:szCs w:val="18"/>
        </w:rPr>
        <w:t>allega</w:t>
      </w:r>
      <w:r w:rsidRPr="006067BD">
        <w:rPr>
          <w:rFonts w:ascii="Titillium" w:eastAsia="Times New Roman" w:hAnsi="Titillium" w:cs="Calibri"/>
          <w:sz w:val="18"/>
          <w:szCs w:val="18"/>
        </w:rPr>
        <w:t xml:space="preserve">, in sede di presentazione dell’offerta economica, </w:t>
      </w:r>
      <w:r w:rsidR="006067BD">
        <w:rPr>
          <w:rFonts w:ascii="Titillium" w:eastAsia="Times New Roman" w:hAnsi="Titillium" w:cs="Calibri"/>
          <w:iCs/>
          <w:sz w:val="18"/>
          <w:szCs w:val="18"/>
        </w:rPr>
        <w:t>le</w:t>
      </w:r>
      <w:r w:rsidRPr="006067BD">
        <w:rPr>
          <w:rFonts w:ascii="Titillium" w:eastAsia="Times New Roman" w:hAnsi="Titillium" w:cs="Calibri"/>
          <w:iCs/>
          <w:sz w:val="18"/>
          <w:szCs w:val="18"/>
        </w:rPr>
        <w:t xml:space="preserve"> giustificazioni relative alle voci di prezzo e di costo.</w:t>
      </w:r>
      <w:r w:rsidRPr="006067BD">
        <w:rPr>
          <w:rFonts w:ascii="Titillium" w:eastAsia="Times New Roman" w:hAnsi="Titillium" w:cs="Calibri"/>
          <w:sz w:val="18"/>
          <w:szCs w:val="18"/>
        </w:rPr>
        <w:t xml:space="preserve"> La mancata presentazione anticipata delle giustificazioni non è causa di esclusione. </w:t>
      </w:r>
    </w:p>
    <w:p w14:paraId="25F7947E" w14:textId="12B10922" w:rsidR="004C53A8" w:rsidRDefault="00870286">
      <w:pPr>
        <w:spacing w:before="60" w:after="60"/>
        <w:rPr>
          <w:rFonts w:ascii="Titillium" w:hAnsi="Titillium" w:cs="Calibri"/>
          <w:sz w:val="18"/>
          <w:szCs w:val="18"/>
        </w:rPr>
      </w:pPr>
      <w:r>
        <w:rPr>
          <w:rFonts w:ascii="Titillium" w:hAnsi="Titillium" w:cs="Calibri"/>
          <w:sz w:val="18"/>
          <w:szCs w:val="18"/>
        </w:rPr>
        <w:t>Il RUP richiede al concorrente la presentazione delle spiegazioni, se del caso</w:t>
      </w:r>
      <w:r w:rsidR="006067BD">
        <w:rPr>
          <w:rFonts w:ascii="Titillium" w:hAnsi="Titillium" w:cs="Calibri"/>
          <w:sz w:val="18"/>
          <w:szCs w:val="18"/>
        </w:rPr>
        <w:t>,</w:t>
      </w:r>
      <w:r>
        <w:rPr>
          <w:rFonts w:ascii="Titillium" w:hAnsi="Titillium" w:cs="Calibri"/>
          <w:sz w:val="18"/>
          <w:szCs w:val="18"/>
        </w:rPr>
        <w:t xml:space="preserve"> indicando le componenti specifiche dell’offerta ritenute anomale.</w:t>
      </w:r>
    </w:p>
    <w:p w14:paraId="26087B7E" w14:textId="013171A6" w:rsidR="004C53A8" w:rsidRDefault="00870286">
      <w:pPr>
        <w:spacing w:before="60" w:after="60"/>
        <w:rPr>
          <w:rFonts w:ascii="Titillium" w:hAnsi="Titillium" w:cs="Calibri"/>
          <w:sz w:val="18"/>
          <w:szCs w:val="18"/>
        </w:rPr>
      </w:pPr>
      <w:r>
        <w:rPr>
          <w:rFonts w:ascii="Titillium" w:hAnsi="Titillium" w:cs="Calibri"/>
          <w:sz w:val="18"/>
          <w:szCs w:val="18"/>
        </w:rPr>
        <w:t xml:space="preserve">A tal fine, assegna un termine non </w:t>
      </w:r>
      <w:r w:rsidR="001B3B5C">
        <w:rPr>
          <w:rFonts w:ascii="Titillium" w:hAnsi="Titillium" w:cs="Calibri"/>
          <w:sz w:val="18"/>
          <w:szCs w:val="18"/>
        </w:rPr>
        <w:t xml:space="preserve">superiore </w:t>
      </w:r>
      <w:r>
        <w:rPr>
          <w:rFonts w:ascii="Titillium" w:hAnsi="Titillium" w:cs="Calibri"/>
          <w:sz w:val="18"/>
          <w:szCs w:val="18"/>
        </w:rPr>
        <w:t>a quindici giorni dal ricevimento della richiesta.</w:t>
      </w:r>
    </w:p>
    <w:p w14:paraId="2E7662D2" w14:textId="6558D162" w:rsidR="004C53A8" w:rsidRDefault="00870286">
      <w:pPr>
        <w:spacing w:before="60" w:after="60"/>
        <w:rPr>
          <w:rFonts w:ascii="Titillium" w:hAnsi="Titillium" w:cs="Calibri"/>
          <w:sz w:val="18"/>
          <w:szCs w:val="18"/>
        </w:rPr>
      </w:pPr>
      <w:r>
        <w:rPr>
          <w:rFonts w:ascii="Titillium" w:hAnsi="Titillium" w:cs="Calibri"/>
          <w:sz w:val="18"/>
          <w:szCs w:val="18"/>
        </w:rPr>
        <w:t>Il RUP</w:t>
      </w:r>
      <w:r w:rsidR="006067BD">
        <w:rPr>
          <w:rFonts w:ascii="Titillium" w:hAnsi="Titillium" w:cs="Calibri"/>
          <w:sz w:val="18"/>
          <w:szCs w:val="18"/>
        </w:rPr>
        <w:t>,</w:t>
      </w:r>
      <w:r>
        <w:rPr>
          <w:rFonts w:ascii="Titillium" w:hAnsi="Titillium" w:cs="Calibri"/>
          <w:sz w:val="18"/>
          <w:szCs w:val="18"/>
        </w:rPr>
        <w:t xml:space="preserve"> </w:t>
      </w:r>
      <w:r w:rsidR="00EE681D" w:rsidRPr="00EE681D">
        <w:rPr>
          <w:rFonts w:ascii="Titillium" w:hAnsi="Titillium" w:cs="Calibri"/>
          <w:sz w:val="18"/>
          <w:szCs w:val="18"/>
        </w:rPr>
        <w:t>esamina</w:t>
      </w:r>
      <w:r w:rsidR="00EE681D">
        <w:rPr>
          <w:rFonts w:ascii="Titillium" w:hAnsi="Titillium" w:cs="Calibri"/>
          <w:sz w:val="18"/>
          <w:szCs w:val="18"/>
        </w:rPr>
        <w:t>te</w:t>
      </w:r>
      <w:r w:rsidR="00EE681D" w:rsidRPr="00EE681D">
        <w:rPr>
          <w:rFonts w:ascii="Titillium" w:hAnsi="Titillium" w:cs="Calibri"/>
          <w:sz w:val="18"/>
          <w:szCs w:val="18"/>
        </w:rPr>
        <w:t xml:space="preserve"> le spiegazioni fornite dall’offerente</w:t>
      </w:r>
      <w:r w:rsidR="00EE681D">
        <w:rPr>
          <w:rFonts w:ascii="Titillium" w:hAnsi="Titillium" w:cs="Calibri"/>
          <w:sz w:val="18"/>
          <w:szCs w:val="18"/>
        </w:rPr>
        <w:t>,</w:t>
      </w:r>
      <w:r w:rsidR="00EE681D" w:rsidRPr="00EE681D">
        <w:rPr>
          <w:rFonts w:ascii="Titillium" w:hAnsi="Titillium" w:cs="Calibri"/>
          <w:sz w:val="18"/>
          <w:szCs w:val="18"/>
        </w:rPr>
        <w:t xml:space="preserve"> ove le ritenga non sufficienti ad escludere l’anomalia, può chiedere, anche mediante audizione orale, ulteriori chiarimenti, assegnando un termine </w:t>
      </w:r>
      <w:r w:rsidR="005A75F1">
        <w:rPr>
          <w:rFonts w:ascii="Titillium" w:hAnsi="Titillium" w:cs="Calibri"/>
          <w:sz w:val="18"/>
          <w:szCs w:val="18"/>
        </w:rPr>
        <w:t>perentorio per il riscontro</w:t>
      </w:r>
      <w:r w:rsidR="00006719">
        <w:rPr>
          <w:rFonts w:ascii="Titillium" w:hAnsi="Titillium" w:cs="Calibri"/>
          <w:sz w:val="18"/>
          <w:szCs w:val="18"/>
        </w:rPr>
        <w:t>.</w:t>
      </w:r>
    </w:p>
    <w:p w14:paraId="0EB9E829" w14:textId="5F5AA82C" w:rsidR="004C53A8" w:rsidRDefault="00870286">
      <w:pPr>
        <w:spacing w:before="60" w:after="60"/>
        <w:rPr>
          <w:rFonts w:ascii="Titillium" w:hAnsi="Titillium" w:cs="Calibri"/>
          <w:sz w:val="18"/>
          <w:szCs w:val="18"/>
        </w:rPr>
      </w:pPr>
      <w:r>
        <w:rPr>
          <w:rFonts w:ascii="Titillium" w:hAnsi="Titillium" w:cs="Calibri"/>
          <w:sz w:val="18"/>
          <w:szCs w:val="18"/>
        </w:rPr>
        <w:t>Il RUP esclude le offerte che, in base all’esame degli elementi forniti con le spiegazioni risultino, nel complesso, inaffidabili.</w:t>
      </w:r>
    </w:p>
    <w:p w14:paraId="1D868B8D" w14:textId="77777777" w:rsidR="006F7F3E" w:rsidRPr="006F7F3E" w:rsidRDefault="00870286" w:rsidP="006F7F3E">
      <w:pPr>
        <w:pStyle w:val="Titolo2"/>
        <w:numPr>
          <w:ilvl w:val="0"/>
          <w:numId w:val="27"/>
        </w:numPr>
        <w:spacing w:before="240" w:after="0"/>
      </w:pPr>
      <w:bookmarkStart w:id="2170" w:name="_Toc139549454"/>
      <w:r>
        <w:rPr>
          <w:rFonts w:ascii="Titillium" w:eastAsia="SimSun" w:hAnsi="Titillium" w:cs="Calibri"/>
          <w:sz w:val="18"/>
          <w:szCs w:val="18"/>
          <w:lang w:val="it-IT"/>
        </w:rPr>
        <w:t>VERIFICA DELLA DOCUMENTAZIONE AMMINISTRATIVA</w:t>
      </w:r>
      <w:bookmarkEnd w:id="2170"/>
      <w:r>
        <w:rPr>
          <w:rFonts w:ascii="Titillium" w:eastAsia="SimSun" w:hAnsi="Titillium" w:cs="Calibri"/>
          <w:sz w:val="18"/>
          <w:szCs w:val="18"/>
          <w:lang w:val="it-IT"/>
        </w:rPr>
        <w:t xml:space="preserve"> </w:t>
      </w:r>
    </w:p>
    <w:p w14:paraId="0D0C2685" w14:textId="6FEF1545" w:rsidR="004C53A8" w:rsidRPr="006F7F3E" w:rsidRDefault="00922FC9" w:rsidP="006F7F3E">
      <w:pPr>
        <w:rPr>
          <w:rFonts w:ascii="Titillium" w:eastAsia="SimSun" w:hAnsi="Titillium"/>
          <w:b/>
          <w:bCs/>
          <w:i/>
          <w:iCs/>
          <w:sz w:val="18"/>
          <w:szCs w:val="18"/>
        </w:rPr>
      </w:pPr>
      <w:r w:rsidRPr="006F7F3E">
        <w:rPr>
          <w:rFonts w:ascii="Titillium" w:eastAsia="SimSun" w:hAnsi="Titillium"/>
          <w:b/>
          <w:bCs/>
          <w:i/>
          <w:iCs/>
          <w:sz w:val="18"/>
          <w:szCs w:val="18"/>
        </w:rPr>
        <w:t>[</w:t>
      </w:r>
      <w:r w:rsidR="00596FC8">
        <w:rPr>
          <w:rFonts w:ascii="Titillium" w:eastAsia="SimSun" w:hAnsi="Titillium" w:cs="Calibri"/>
          <w:b/>
          <w:i/>
          <w:sz w:val="18"/>
          <w:szCs w:val="18"/>
        </w:rPr>
        <w:t>Eliminare questo articolo se non si ricorre all’inversione procedimentale</w:t>
      </w:r>
      <w:r w:rsidR="0070439A">
        <w:rPr>
          <w:rFonts w:ascii="Titillium" w:eastAsia="SimSun" w:hAnsi="Titillium"/>
          <w:b/>
          <w:bCs/>
          <w:i/>
          <w:iCs/>
          <w:sz w:val="18"/>
          <w:szCs w:val="18"/>
        </w:rPr>
        <w:t>]</w:t>
      </w:r>
      <w:r w:rsidRPr="006F7F3E">
        <w:rPr>
          <w:rFonts w:ascii="Titillium" w:eastAsia="SimSun" w:hAnsi="Titillium"/>
          <w:b/>
          <w:bCs/>
          <w:i/>
          <w:iCs/>
          <w:sz w:val="18"/>
          <w:szCs w:val="18"/>
        </w:rPr>
        <w:t xml:space="preserve"> </w:t>
      </w:r>
    </w:p>
    <w:p w14:paraId="262E6395" w14:textId="20EC5A94" w:rsidR="004C53A8" w:rsidRPr="0035693B" w:rsidRDefault="00870286" w:rsidP="009C7FCD">
      <w:pPr>
        <w:spacing w:before="60" w:after="60"/>
        <w:rPr>
          <w:rFonts w:ascii="Titillium" w:eastAsia="SimSun" w:hAnsi="Titillium"/>
          <w:sz w:val="18"/>
          <w:szCs w:val="18"/>
        </w:rPr>
      </w:pPr>
      <w:r w:rsidRPr="0035693B">
        <w:rPr>
          <w:rFonts w:ascii="Titillium" w:eastAsia="SimSun" w:hAnsi="Titillium"/>
          <w:sz w:val="18"/>
          <w:szCs w:val="18"/>
        </w:rPr>
        <w:t xml:space="preserve">Il/La … </w:t>
      </w:r>
      <w:r w:rsidRPr="0035693B">
        <w:rPr>
          <w:rFonts w:ascii="Titillium" w:eastAsia="SimSun" w:hAnsi="Titillium"/>
          <w:i/>
          <w:sz w:val="18"/>
          <w:szCs w:val="18"/>
        </w:rPr>
        <w:t>[</w:t>
      </w:r>
      <w:r w:rsidRPr="0035693B">
        <w:rPr>
          <w:rFonts w:ascii="Titillium" w:hAnsi="Titillium" w:cs="Garamond"/>
          <w:i/>
          <w:sz w:val="18"/>
          <w:szCs w:val="18"/>
        </w:rPr>
        <w:t>scegliere tra</w:t>
      </w:r>
      <w:r w:rsidR="009C7FCD" w:rsidRPr="0035693B">
        <w:t xml:space="preserve"> </w:t>
      </w:r>
      <w:r w:rsidR="009C7FCD" w:rsidRPr="0035693B">
        <w:rPr>
          <w:rFonts w:ascii="Titillium" w:hAnsi="Titillium" w:cs="Garamond"/>
          <w:i/>
          <w:sz w:val="18"/>
          <w:szCs w:val="18"/>
        </w:rPr>
        <w:t>RUP,</w:t>
      </w:r>
      <w:r w:rsidR="009C7FCD" w:rsidRPr="0035693B">
        <w:t xml:space="preserve"> </w:t>
      </w:r>
      <w:r w:rsidR="009C7FCD" w:rsidRPr="0035693B">
        <w:rPr>
          <w:rFonts w:ascii="Titillium" w:hAnsi="Titillium" w:cs="Garamond"/>
          <w:i/>
          <w:sz w:val="18"/>
          <w:szCs w:val="18"/>
        </w:rPr>
        <w:t>responsabile di fase, apposito ufficio o servizio a ciò deputato, sulla base delle disposizioni organizzative proprie della stazione</w:t>
      </w:r>
      <w:r w:rsidR="008C4CFF" w:rsidRPr="0035693B">
        <w:rPr>
          <w:rFonts w:ascii="Titillium" w:hAnsi="Titillium" w:cs="Garamond"/>
          <w:i/>
          <w:sz w:val="18"/>
          <w:szCs w:val="18"/>
        </w:rPr>
        <w:t xml:space="preserve"> appaltante</w:t>
      </w:r>
      <w:r w:rsidR="009C7FCD" w:rsidRPr="0035693B">
        <w:rPr>
          <w:rFonts w:ascii="Titillium" w:hAnsi="Titillium" w:cs="Garamond"/>
          <w:i/>
          <w:sz w:val="18"/>
          <w:szCs w:val="18"/>
        </w:rPr>
        <w:t>]</w:t>
      </w:r>
      <w:r w:rsidR="0035693B" w:rsidRPr="0035693B">
        <w:rPr>
          <w:rFonts w:ascii="Titillium" w:hAnsi="Titillium" w:cs="Garamond"/>
          <w:i/>
          <w:sz w:val="18"/>
          <w:szCs w:val="18"/>
        </w:rPr>
        <w:t xml:space="preserve"> </w:t>
      </w:r>
      <w:r w:rsidR="00B64CC9" w:rsidRPr="0035693B">
        <w:rPr>
          <w:rFonts w:ascii="Titillium" w:eastAsia="SimSun" w:hAnsi="Titillium"/>
          <w:sz w:val="18"/>
          <w:szCs w:val="18"/>
        </w:rPr>
        <w:t xml:space="preserve">procede </w:t>
      </w:r>
      <w:r w:rsidRPr="0035693B">
        <w:rPr>
          <w:rFonts w:ascii="Titillium" w:eastAsia="SimSun" w:hAnsi="Titillium"/>
          <w:sz w:val="18"/>
          <w:szCs w:val="18"/>
        </w:rPr>
        <w:t xml:space="preserve">in relazione al </w:t>
      </w:r>
      <w:r w:rsidR="00D51A07" w:rsidRPr="0035693B">
        <w:rPr>
          <w:rFonts w:ascii="Titillium" w:eastAsia="SimSun" w:hAnsi="Titillium"/>
          <w:sz w:val="18"/>
          <w:szCs w:val="18"/>
        </w:rPr>
        <w:t>concorrente</w:t>
      </w:r>
      <w:r w:rsidRPr="0035693B">
        <w:rPr>
          <w:rFonts w:ascii="Titillium" w:eastAsia="SimSun" w:hAnsi="Titillium"/>
          <w:sz w:val="18"/>
          <w:szCs w:val="18"/>
        </w:rPr>
        <w:t xml:space="preserve"> che ha presentato la migliore offerta a: </w:t>
      </w:r>
    </w:p>
    <w:p w14:paraId="5CAF057F" w14:textId="77777777" w:rsidR="004C53A8" w:rsidRPr="0035693B" w:rsidRDefault="00870286" w:rsidP="009E32A5">
      <w:pPr>
        <w:pStyle w:val="Paragrafoelenco"/>
        <w:numPr>
          <w:ilvl w:val="0"/>
          <w:numId w:val="42"/>
        </w:numPr>
        <w:spacing w:before="60" w:after="60"/>
        <w:rPr>
          <w:rFonts w:ascii="Titillium" w:eastAsia="SimSun" w:hAnsi="Titillium"/>
          <w:sz w:val="18"/>
          <w:szCs w:val="18"/>
          <w:lang w:eastAsia="en-US"/>
        </w:rPr>
      </w:pPr>
      <w:r w:rsidRPr="0035693B">
        <w:rPr>
          <w:rFonts w:ascii="Titillium" w:eastAsia="SimSun" w:hAnsi="Titillium"/>
          <w:sz w:val="18"/>
          <w:szCs w:val="18"/>
          <w:lang w:eastAsia="en-US"/>
        </w:rPr>
        <w:t>controllare la completezza della documentazione amministrativa presentata;</w:t>
      </w:r>
    </w:p>
    <w:p w14:paraId="3D5050AE" w14:textId="77777777" w:rsidR="002D6EEC" w:rsidRPr="0035693B" w:rsidRDefault="00870286" w:rsidP="009E32A5">
      <w:pPr>
        <w:pStyle w:val="Paragrafoelenco"/>
        <w:numPr>
          <w:ilvl w:val="0"/>
          <w:numId w:val="42"/>
        </w:numPr>
        <w:spacing w:before="60" w:after="60"/>
        <w:rPr>
          <w:rFonts w:ascii="Titillium" w:eastAsia="SimSun" w:hAnsi="Titillium"/>
          <w:sz w:val="18"/>
          <w:szCs w:val="18"/>
          <w:lang w:eastAsia="en-US"/>
        </w:rPr>
      </w:pPr>
      <w:r w:rsidRPr="0035693B">
        <w:rPr>
          <w:rFonts w:ascii="Titillium" w:eastAsia="SimSun" w:hAnsi="Titillium"/>
          <w:sz w:val="18"/>
          <w:szCs w:val="18"/>
          <w:lang w:eastAsia="en-US"/>
        </w:rPr>
        <w:t>verificare la conformità della documentazione amministrativa a quanto richiesto nel presente disciplinare</w:t>
      </w:r>
      <w:r w:rsidR="002D6EEC" w:rsidRPr="0035693B">
        <w:rPr>
          <w:rFonts w:ascii="Titillium" w:eastAsia="SimSun" w:hAnsi="Titillium"/>
          <w:sz w:val="18"/>
          <w:szCs w:val="18"/>
          <w:lang w:eastAsia="en-US"/>
        </w:rPr>
        <w:t>;</w:t>
      </w:r>
    </w:p>
    <w:p w14:paraId="098627E3" w14:textId="77777777" w:rsidR="002D6EEC" w:rsidRPr="0035693B" w:rsidRDefault="002D6EEC" w:rsidP="002D6EEC">
      <w:pPr>
        <w:pStyle w:val="Paragrafoelenco"/>
        <w:numPr>
          <w:ilvl w:val="0"/>
          <w:numId w:val="42"/>
        </w:numPr>
        <w:spacing w:before="60" w:after="60"/>
        <w:rPr>
          <w:rFonts w:ascii="Titillium" w:eastAsia="SimSun" w:hAnsi="Titillium"/>
          <w:sz w:val="18"/>
          <w:szCs w:val="18"/>
          <w:lang w:eastAsia="en-US"/>
        </w:rPr>
      </w:pPr>
      <w:r w:rsidRPr="0035693B">
        <w:rPr>
          <w:rFonts w:ascii="Titillium" w:eastAsia="SimSun" w:hAnsi="Titillium"/>
          <w:sz w:val="18"/>
          <w:szCs w:val="18"/>
          <w:lang w:eastAsia="en-US"/>
        </w:rPr>
        <w:t xml:space="preserve">attivare la procedura di soccorso istruttorio di cui al precedente punto </w:t>
      </w:r>
      <w:r w:rsidRPr="0035693B">
        <w:rPr>
          <w:rFonts w:ascii="Titillium" w:hAnsi="Titillium" w:cs="Calibri"/>
          <w:sz w:val="18"/>
          <w:szCs w:val="18"/>
        </w:rPr>
        <w:fldChar w:fldCharType="begin"/>
      </w:r>
      <w:r w:rsidRPr="0035693B">
        <w:rPr>
          <w:rFonts w:ascii="Titillium" w:hAnsi="Titillium" w:cs="Calibri"/>
          <w:sz w:val="18"/>
          <w:szCs w:val="18"/>
        </w:rPr>
        <w:instrText xml:space="preserve"> REF _Ref129796272 \r \h  \* MERGEFORMAT </w:instrText>
      </w:r>
      <w:r w:rsidRPr="0035693B">
        <w:rPr>
          <w:rFonts w:ascii="Titillium" w:hAnsi="Titillium" w:cs="Calibri"/>
          <w:sz w:val="18"/>
          <w:szCs w:val="18"/>
        </w:rPr>
      </w:r>
      <w:r w:rsidRPr="0035693B">
        <w:rPr>
          <w:rFonts w:ascii="Titillium" w:hAnsi="Titillium" w:cs="Calibri"/>
          <w:sz w:val="18"/>
          <w:szCs w:val="18"/>
        </w:rPr>
        <w:fldChar w:fldCharType="separate"/>
      </w:r>
      <w:r w:rsidRPr="0035693B">
        <w:rPr>
          <w:rFonts w:ascii="Titillium" w:hAnsi="Titillium" w:cs="Calibri"/>
          <w:sz w:val="18"/>
          <w:szCs w:val="18"/>
        </w:rPr>
        <w:t>14</w:t>
      </w:r>
      <w:r w:rsidRPr="0035693B">
        <w:rPr>
          <w:rFonts w:ascii="Titillium" w:hAnsi="Titillium" w:cs="Calibri"/>
          <w:sz w:val="18"/>
          <w:szCs w:val="18"/>
        </w:rPr>
        <w:fldChar w:fldCharType="end"/>
      </w:r>
      <w:r w:rsidRPr="0035693B">
        <w:rPr>
          <w:rFonts w:ascii="Titillium" w:hAnsi="Titillium" w:cs="Calibri"/>
          <w:sz w:val="18"/>
          <w:szCs w:val="18"/>
        </w:rPr>
        <w:t>, se necessario</w:t>
      </w:r>
      <w:r w:rsidRPr="0035693B">
        <w:rPr>
          <w:rFonts w:ascii="Titillium" w:eastAsia="SimSun" w:hAnsi="Titillium"/>
          <w:sz w:val="18"/>
          <w:szCs w:val="18"/>
          <w:lang w:eastAsia="en-US"/>
        </w:rPr>
        <w:t xml:space="preserve">; </w:t>
      </w:r>
    </w:p>
    <w:p w14:paraId="77A392A7" w14:textId="0417247C" w:rsidR="00B64CC9" w:rsidRPr="0035693B" w:rsidRDefault="00B64CC9" w:rsidP="00B64CC9">
      <w:pPr>
        <w:spacing w:before="60" w:after="60"/>
      </w:pPr>
      <w:r w:rsidRPr="0035693B">
        <w:rPr>
          <w:rFonts w:ascii="Titillium" w:eastAsia="SimSun" w:hAnsi="Titillium"/>
          <w:bCs/>
          <w:iCs/>
          <w:sz w:val="18"/>
          <w:szCs w:val="18"/>
        </w:rPr>
        <w:t xml:space="preserve">Sono sottoposti alla verifica della documentazione amministrativa </w:t>
      </w:r>
      <w:r w:rsidR="00D51A07" w:rsidRPr="0035693B">
        <w:rPr>
          <w:rFonts w:ascii="Titillium" w:eastAsia="SimSun" w:hAnsi="Titillium"/>
          <w:bCs/>
          <w:iCs/>
          <w:sz w:val="18"/>
          <w:szCs w:val="18"/>
        </w:rPr>
        <w:t xml:space="preserve">oltre al concorrente </w:t>
      </w:r>
      <w:r w:rsidR="00994C13" w:rsidRPr="0035693B">
        <w:rPr>
          <w:rFonts w:ascii="Titillium" w:eastAsia="SimSun" w:hAnsi="Titillium"/>
          <w:bCs/>
          <w:iCs/>
          <w:sz w:val="18"/>
          <w:szCs w:val="18"/>
        </w:rPr>
        <w:t xml:space="preserve">risultato primo </w:t>
      </w:r>
      <w:r w:rsidRPr="0035693B">
        <w:rPr>
          <w:rFonts w:ascii="Titillium" w:eastAsia="SimSun" w:hAnsi="Titillium"/>
          <w:bCs/>
          <w:iCs/>
          <w:sz w:val="18"/>
          <w:szCs w:val="18"/>
        </w:rPr>
        <w:t>anche [</w:t>
      </w:r>
      <w:r w:rsidRPr="0035693B">
        <w:rPr>
          <w:rFonts w:ascii="Titillium" w:eastAsia="SimSun" w:hAnsi="Titillium"/>
          <w:b/>
          <w:bCs/>
          <w:i/>
          <w:iCs/>
          <w:sz w:val="18"/>
          <w:szCs w:val="18"/>
        </w:rPr>
        <w:t>Facoltativo</w:t>
      </w:r>
      <w:r w:rsidRPr="0035693B">
        <w:rPr>
          <w:rFonts w:ascii="Titillium" w:eastAsia="SimSun" w:hAnsi="Titillium"/>
          <w:bCs/>
          <w:iCs/>
          <w:sz w:val="18"/>
          <w:szCs w:val="18"/>
        </w:rPr>
        <w:t xml:space="preserve"> </w:t>
      </w:r>
      <w:r w:rsidRPr="0035693B">
        <w:rPr>
          <w:rFonts w:ascii="Titillium" w:eastAsia="SimSun" w:hAnsi="Titillium"/>
          <w:bCs/>
          <w:i/>
          <w:iCs/>
          <w:sz w:val="18"/>
          <w:szCs w:val="18"/>
        </w:rPr>
        <w:t>il secondo in graduatoria e</w:t>
      </w:r>
      <w:r w:rsidRPr="0035693B">
        <w:rPr>
          <w:rFonts w:ascii="Titillium" w:eastAsia="SimSun" w:hAnsi="Titillium"/>
          <w:bCs/>
          <w:iCs/>
          <w:sz w:val="18"/>
          <w:szCs w:val="18"/>
        </w:rPr>
        <w:t xml:space="preserve">] n. … </w:t>
      </w:r>
      <w:r w:rsidRPr="0035693B">
        <w:rPr>
          <w:rFonts w:ascii="Titillium" w:eastAsia="SimSun" w:hAnsi="Titillium"/>
          <w:bCs/>
          <w:i/>
          <w:iCs/>
          <w:sz w:val="18"/>
          <w:szCs w:val="18"/>
        </w:rPr>
        <w:t>[</w:t>
      </w:r>
      <w:r w:rsidR="00527049" w:rsidRPr="0035693B">
        <w:rPr>
          <w:rFonts w:ascii="Titillium" w:eastAsia="SimSun" w:hAnsi="Titillium"/>
          <w:bCs/>
          <w:i/>
          <w:iCs/>
          <w:sz w:val="18"/>
          <w:szCs w:val="18"/>
        </w:rPr>
        <w:t>in</w:t>
      </w:r>
      <w:r w:rsidRPr="0035693B">
        <w:rPr>
          <w:rFonts w:ascii="Titillium" w:eastAsia="SimSun" w:hAnsi="Titillium"/>
          <w:bCs/>
          <w:i/>
          <w:iCs/>
          <w:sz w:val="18"/>
          <w:szCs w:val="18"/>
        </w:rPr>
        <w:t>dicare il n. di concorrenti che saranno sottoposti a controllo]</w:t>
      </w:r>
      <w:r w:rsidRPr="0035693B">
        <w:rPr>
          <w:rFonts w:ascii="Titillium" w:eastAsia="SimSun" w:hAnsi="Titillium"/>
          <w:bCs/>
          <w:iCs/>
          <w:sz w:val="18"/>
          <w:szCs w:val="18"/>
        </w:rPr>
        <w:t xml:space="preserve"> concorrenti, sorteggiati … </w:t>
      </w:r>
      <w:r w:rsidRPr="0035693B">
        <w:rPr>
          <w:rFonts w:ascii="Titillium" w:eastAsia="SimSun" w:hAnsi="Titillium"/>
          <w:bCs/>
          <w:i/>
          <w:iCs/>
          <w:sz w:val="18"/>
          <w:szCs w:val="18"/>
        </w:rPr>
        <w:lastRenderedPageBreak/>
        <w:t>[indicare le modalità del sorteggio</w:t>
      </w:r>
      <w:r w:rsidR="0070439A" w:rsidRPr="0035693B">
        <w:rPr>
          <w:rFonts w:ascii="Titillium" w:eastAsia="SimSun" w:hAnsi="Titillium"/>
          <w:bCs/>
          <w:i/>
          <w:iCs/>
          <w:sz w:val="18"/>
          <w:szCs w:val="18"/>
        </w:rPr>
        <w:t>,</w:t>
      </w:r>
      <w:r w:rsidRPr="0035693B">
        <w:rPr>
          <w:rFonts w:ascii="Titillium" w:eastAsia="SimSun" w:hAnsi="Titillium"/>
          <w:bCs/>
          <w:i/>
          <w:iCs/>
          <w:sz w:val="18"/>
          <w:szCs w:val="18"/>
        </w:rPr>
        <w:t xml:space="preserve"> ad esempio automaticamente mediante apposita funzione della piattaforma</w:t>
      </w:r>
      <w:r w:rsidRPr="0035693B">
        <w:rPr>
          <w:rFonts w:ascii="Titillium" w:eastAsia="SimSun" w:hAnsi="Titillium"/>
          <w:bCs/>
          <w:iCs/>
          <w:sz w:val="18"/>
          <w:szCs w:val="18"/>
        </w:rPr>
        <w:t>], ai sensi del</w:t>
      </w:r>
      <w:r w:rsidR="00F03728" w:rsidRPr="0035693B">
        <w:rPr>
          <w:rFonts w:ascii="Titillium" w:eastAsia="SimSun" w:hAnsi="Titillium"/>
          <w:bCs/>
          <w:iCs/>
          <w:sz w:val="18"/>
          <w:szCs w:val="18"/>
        </w:rPr>
        <w:t>l’articolo 71 del</w:t>
      </w:r>
      <w:r w:rsidRPr="0035693B">
        <w:rPr>
          <w:rFonts w:ascii="Titillium" w:eastAsia="SimSun" w:hAnsi="Titillium"/>
          <w:bCs/>
          <w:iCs/>
          <w:sz w:val="18"/>
          <w:szCs w:val="18"/>
        </w:rPr>
        <w:t xml:space="preserve"> decreto del Presidente della Repubblica n. 445/2000. </w:t>
      </w:r>
    </w:p>
    <w:p w14:paraId="1E482141" w14:textId="66C0EEDF" w:rsidR="00006719" w:rsidRPr="0035693B" w:rsidRDefault="002D6EEC" w:rsidP="002D6EEC">
      <w:pPr>
        <w:spacing w:before="60" w:after="60"/>
        <w:rPr>
          <w:rFonts w:ascii="Titillium" w:eastAsia="SimSun" w:hAnsi="Titillium"/>
          <w:sz w:val="18"/>
          <w:szCs w:val="18"/>
        </w:rPr>
      </w:pPr>
      <w:r w:rsidRPr="0035693B">
        <w:rPr>
          <w:rFonts w:ascii="Titillium" w:hAnsi="Titillium" w:cs="Calibri"/>
          <w:sz w:val="18"/>
          <w:szCs w:val="18"/>
        </w:rPr>
        <w:t xml:space="preserve">Gli eventuali provvedimenti di </w:t>
      </w:r>
      <w:r w:rsidR="00912A10" w:rsidRPr="0035693B">
        <w:rPr>
          <w:rFonts w:ascii="Titillium" w:hAnsi="Titillium" w:cs="Calibri"/>
          <w:sz w:val="18"/>
          <w:szCs w:val="18"/>
        </w:rPr>
        <w:t>esclusion</w:t>
      </w:r>
      <w:r w:rsidRPr="0035693B">
        <w:rPr>
          <w:rFonts w:ascii="Titillium" w:hAnsi="Titillium" w:cs="Calibri"/>
          <w:sz w:val="18"/>
          <w:szCs w:val="18"/>
        </w:rPr>
        <w:t>e</w:t>
      </w:r>
      <w:r w:rsidR="00912A10" w:rsidRPr="0035693B">
        <w:rPr>
          <w:rFonts w:ascii="Titillium" w:hAnsi="Titillium" w:cs="Calibri"/>
          <w:sz w:val="18"/>
          <w:szCs w:val="18"/>
        </w:rPr>
        <w:t xml:space="preserve"> da</w:t>
      </w:r>
      <w:r w:rsidRPr="0035693B">
        <w:rPr>
          <w:rFonts w:ascii="Titillium" w:hAnsi="Titillium" w:cs="Calibri"/>
          <w:sz w:val="18"/>
          <w:szCs w:val="18"/>
        </w:rPr>
        <w:t xml:space="preserve">lla procedura di gara sono </w:t>
      </w:r>
      <w:r w:rsidR="00912A10" w:rsidRPr="0035693B">
        <w:rPr>
          <w:rFonts w:ascii="Titillium" w:hAnsi="Titillium" w:cs="Calibri"/>
          <w:sz w:val="18"/>
          <w:szCs w:val="18"/>
        </w:rPr>
        <w:t>comunica</w:t>
      </w:r>
      <w:r w:rsidRPr="0035693B">
        <w:rPr>
          <w:rFonts w:ascii="Titillium" w:hAnsi="Titillium" w:cs="Calibri"/>
          <w:sz w:val="18"/>
          <w:szCs w:val="18"/>
        </w:rPr>
        <w:t>ti</w:t>
      </w:r>
      <w:r w:rsidR="00912A10" w:rsidRPr="0035693B">
        <w:rPr>
          <w:rFonts w:ascii="Titillium" w:eastAsia="SimSun" w:hAnsi="Titillium"/>
          <w:sz w:val="18"/>
          <w:szCs w:val="18"/>
        </w:rPr>
        <w:t xml:space="preserve"> </w:t>
      </w:r>
      <w:r w:rsidR="00585A99" w:rsidRPr="0035693B">
        <w:rPr>
          <w:rFonts w:ascii="Titillium" w:eastAsia="SimSun" w:hAnsi="Titillium"/>
          <w:sz w:val="18"/>
          <w:szCs w:val="18"/>
        </w:rPr>
        <w:t xml:space="preserve">entro </w:t>
      </w:r>
      <w:r w:rsidRPr="0035693B">
        <w:rPr>
          <w:rFonts w:ascii="Titillium" w:eastAsia="SimSun" w:hAnsi="Titillium"/>
          <w:sz w:val="18"/>
          <w:szCs w:val="18"/>
        </w:rPr>
        <w:t>cinque giorni dalla loro adozione.</w:t>
      </w:r>
    </w:p>
    <w:p w14:paraId="0EFF0A0D" w14:textId="731430D0" w:rsidR="004C53A8" w:rsidRDefault="00B64CC9" w:rsidP="00254D96">
      <w:pPr>
        <w:pStyle w:val="Paragrafoelenco"/>
        <w:ind w:left="0"/>
        <w:rPr>
          <w:rFonts w:ascii="Titillium" w:eastAsia="SimSun" w:hAnsi="Titillium"/>
          <w:sz w:val="18"/>
          <w:szCs w:val="18"/>
        </w:rPr>
      </w:pPr>
      <w:r w:rsidRPr="0013560D">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6931414E" w14:textId="161D8221" w:rsidR="004C53A8" w:rsidRDefault="00870286" w:rsidP="00601972">
      <w:pPr>
        <w:pStyle w:val="Titolo2"/>
        <w:numPr>
          <w:ilvl w:val="0"/>
          <w:numId w:val="27"/>
        </w:numPr>
        <w:ind w:left="357" w:hanging="357"/>
      </w:pPr>
      <w:bookmarkStart w:id="2171" w:name="_Toc484688358"/>
      <w:bookmarkStart w:id="2172" w:name="_Toc484605489"/>
      <w:bookmarkStart w:id="2173" w:name="_Toc484605365"/>
      <w:bookmarkStart w:id="2174" w:name="_Toc484526645"/>
      <w:bookmarkStart w:id="2175" w:name="_Toc484449150"/>
      <w:bookmarkStart w:id="2176" w:name="_Toc484449026"/>
      <w:bookmarkStart w:id="2177" w:name="_Toc484448902"/>
      <w:bookmarkStart w:id="2178" w:name="_Toc484448779"/>
      <w:bookmarkStart w:id="2179" w:name="_Toc484448655"/>
      <w:bookmarkStart w:id="2180" w:name="_Toc484448531"/>
      <w:bookmarkStart w:id="2181" w:name="_Toc484448407"/>
      <w:bookmarkStart w:id="2182" w:name="_Toc484448283"/>
      <w:bookmarkStart w:id="2183" w:name="_Toc484448159"/>
      <w:bookmarkStart w:id="2184" w:name="_Toc484440499"/>
      <w:bookmarkStart w:id="2185" w:name="_Toc484440139"/>
      <w:bookmarkStart w:id="2186" w:name="_Toc484440015"/>
      <w:bookmarkStart w:id="2187" w:name="_Toc484439892"/>
      <w:bookmarkStart w:id="2188" w:name="_Toc484438972"/>
      <w:bookmarkStart w:id="2189" w:name="_Toc484438848"/>
      <w:bookmarkStart w:id="2190" w:name="_Toc484438724"/>
      <w:bookmarkStart w:id="2191" w:name="_Toc484429149"/>
      <w:bookmarkStart w:id="2192" w:name="_Toc484428979"/>
      <w:bookmarkStart w:id="2193" w:name="_Toc484097805"/>
      <w:bookmarkStart w:id="2194" w:name="_Toc484011731"/>
      <w:bookmarkStart w:id="2195" w:name="_Toc484011256"/>
      <w:bookmarkStart w:id="2196" w:name="_Toc484011134"/>
      <w:bookmarkStart w:id="2197" w:name="_Toc484011012"/>
      <w:bookmarkStart w:id="2198" w:name="_Toc484010888"/>
      <w:bookmarkStart w:id="2199" w:name="_Toc484010766"/>
      <w:bookmarkStart w:id="2200" w:name="_Toc483907016"/>
      <w:bookmarkStart w:id="2201" w:name="_Toc483571638"/>
      <w:bookmarkStart w:id="2202" w:name="_Toc483571516"/>
      <w:bookmarkStart w:id="2203" w:name="_Toc483474085"/>
      <w:bookmarkStart w:id="2204" w:name="_Toc483401289"/>
      <w:bookmarkStart w:id="2205" w:name="_Toc483325811"/>
      <w:bookmarkStart w:id="2206" w:name="_Toc483316508"/>
      <w:bookmarkStart w:id="2207" w:name="_Toc483316377"/>
      <w:bookmarkStart w:id="2208" w:name="_Toc483316245"/>
      <w:bookmarkStart w:id="2209" w:name="_Toc483316040"/>
      <w:bookmarkStart w:id="2210" w:name="_Toc483302419"/>
      <w:bookmarkStart w:id="2211" w:name="_Toc483233702"/>
      <w:bookmarkStart w:id="2212" w:name="_Toc482979742"/>
      <w:bookmarkStart w:id="2213" w:name="_Toc482979644"/>
      <w:bookmarkStart w:id="2214" w:name="_Toc482979546"/>
      <w:bookmarkStart w:id="2215" w:name="_Toc482979438"/>
      <w:bookmarkStart w:id="2216" w:name="_Toc482979329"/>
      <w:bookmarkStart w:id="2217" w:name="_Toc482979220"/>
      <w:bookmarkStart w:id="2218" w:name="_Toc482979109"/>
      <w:bookmarkStart w:id="2219" w:name="_Toc482979001"/>
      <w:bookmarkStart w:id="2220" w:name="_Toc482978892"/>
      <w:bookmarkStart w:id="2221" w:name="_Toc482959773"/>
      <w:bookmarkStart w:id="2222" w:name="_Toc482959663"/>
      <w:bookmarkStart w:id="2223" w:name="_Toc482959553"/>
      <w:bookmarkStart w:id="2224" w:name="_Toc482712765"/>
      <w:bookmarkStart w:id="2225" w:name="_Toc482641319"/>
      <w:bookmarkStart w:id="2226" w:name="_Toc482633142"/>
      <w:bookmarkStart w:id="2227" w:name="_Toc482352301"/>
      <w:bookmarkStart w:id="2228" w:name="_Toc482352211"/>
      <w:bookmarkStart w:id="2229" w:name="_Toc482352121"/>
      <w:bookmarkStart w:id="2230" w:name="_Toc482352031"/>
      <w:bookmarkStart w:id="2231" w:name="_Toc482102167"/>
      <w:bookmarkStart w:id="2232" w:name="_Toc482102073"/>
      <w:bookmarkStart w:id="2233" w:name="_Toc482101978"/>
      <w:bookmarkStart w:id="2234" w:name="_Toc482101883"/>
      <w:bookmarkStart w:id="2235" w:name="_Toc482101790"/>
      <w:bookmarkStart w:id="2236" w:name="_Toc482101615"/>
      <w:bookmarkStart w:id="2237" w:name="_Toc482101500"/>
      <w:bookmarkStart w:id="2238" w:name="_Toc482101363"/>
      <w:bookmarkStart w:id="2239" w:name="_Toc482100937"/>
      <w:bookmarkStart w:id="2240" w:name="_Toc482100780"/>
      <w:bookmarkStart w:id="2241" w:name="_Toc482099063"/>
      <w:bookmarkStart w:id="2242" w:name="_Toc482097961"/>
      <w:bookmarkStart w:id="2243" w:name="_Toc482097769"/>
      <w:bookmarkStart w:id="2244" w:name="_Toc482097680"/>
      <w:bookmarkStart w:id="2245" w:name="_Toc482097591"/>
      <w:bookmarkStart w:id="2246" w:name="_Toc482025767"/>
      <w:bookmarkStart w:id="2247" w:name="_Toc485218347"/>
      <w:bookmarkStart w:id="2248" w:name="_Toc484688912"/>
      <w:bookmarkStart w:id="2249" w:name="_Toc484688357"/>
      <w:bookmarkStart w:id="2250" w:name="_Toc484605488"/>
      <w:bookmarkStart w:id="2251" w:name="_Toc484605364"/>
      <w:bookmarkStart w:id="2252" w:name="_Toc484526644"/>
      <w:bookmarkStart w:id="2253" w:name="_Toc484449149"/>
      <w:bookmarkStart w:id="2254" w:name="_Toc484449025"/>
      <w:bookmarkStart w:id="2255" w:name="_Toc484448901"/>
      <w:bookmarkStart w:id="2256" w:name="_Toc484448778"/>
      <w:bookmarkStart w:id="2257" w:name="_Toc484448654"/>
      <w:bookmarkStart w:id="2258" w:name="_Toc484448530"/>
      <w:bookmarkStart w:id="2259" w:name="_Toc484448406"/>
      <w:bookmarkStart w:id="2260" w:name="_Toc484448282"/>
      <w:bookmarkStart w:id="2261" w:name="_Toc484448158"/>
      <w:bookmarkStart w:id="2262" w:name="_Toc484440498"/>
      <w:bookmarkStart w:id="2263" w:name="_Toc484440138"/>
      <w:bookmarkStart w:id="2264" w:name="_Toc484440014"/>
      <w:bookmarkStart w:id="2265" w:name="_Toc484439891"/>
      <w:bookmarkStart w:id="2266" w:name="_Toc484438971"/>
      <w:bookmarkStart w:id="2267" w:name="_Toc484438847"/>
      <w:bookmarkStart w:id="2268" w:name="_Toc484438723"/>
      <w:bookmarkStart w:id="2269" w:name="_Toc484429148"/>
      <w:bookmarkStart w:id="2270" w:name="_Toc484428978"/>
      <w:bookmarkStart w:id="2271" w:name="_Toc484097804"/>
      <w:bookmarkStart w:id="2272" w:name="_Toc484011730"/>
      <w:bookmarkStart w:id="2273" w:name="_Toc484011255"/>
      <w:bookmarkStart w:id="2274" w:name="_Toc484011133"/>
      <w:bookmarkStart w:id="2275" w:name="_Toc484011011"/>
      <w:bookmarkStart w:id="2276" w:name="_Toc484010887"/>
      <w:bookmarkStart w:id="2277" w:name="_Toc484010765"/>
      <w:bookmarkStart w:id="2278" w:name="_Toc483907015"/>
      <w:bookmarkStart w:id="2279" w:name="_Toc483571637"/>
      <w:bookmarkStart w:id="2280" w:name="_Toc483571515"/>
      <w:bookmarkStart w:id="2281" w:name="_Toc483474084"/>
      <w:bookmarkStart w:id="2282" w:name="_Toc483401288"/>
      <w:bookmarkStart w:id="2283" w:name="_Toc483325810"/>
      <w:bookmarkStart w:id="2284" w:name="_Toc483316507"/>
      <w:bookmarkStart w:id="2285" w:name="_Toc483316376"/>
      <w:bookmarkStart w:id="2286" w:name="_Toc483316244"/>
      <w:bookmarkStart w:id="2287" w:name="_Toc483316039"/>
      <w:bookmarkStart w:id="2288" w:name="_Toc483302418"/>
      <w:bookmarkStart w:id="2289" w:name="_Toc483233701"/>
      <w:bookmarkStart w:id="2290" w:name="_Toc482979741"/>
      <w:bookmarkStart w:id="2291" w:name="_Toc482979643"/>
      <w:bookmarkStart w:id="2292" w:name="_Toc482979545"/>
      <w:bookmarkStart w:id="2293" w:name="_Toc482979437"/>
      <w:bookmarkStart w:id="2294" w:name="_Toc482979328"/>
      <w:bookmarkStart w:id="2295" w:name="_Toc482979219"/>
      <w:bookmarkStart w:id="2296" w:name="_Toc482979108"/>
      <w:bookmarkStart w:id="2297" w:name="_Toc482979000"/>
      <w:bookmarkStart w:id="2298" w:name="_Toc482978891"/>
      <w:bookmarkStart w:id="2299" w:name="_Toc482959772"/>
      <w:bookmarkStart w:id="2300" w:name="_Toc482959662"/>
      <w:bookmarkStart w:id="2301" w:name="_Toc482959552"/>
      <w:bookmarkStart w:id="2302" w:name="_Toc482712764"/>
      <w:bookmarkStart w:id="2303" w:name="_Toc482641318"/>
      <w:bookmarkStart w:id="2304" w:name="_Toc482633141"/>
      <w:bookmarkStart w:id="2305" w:name="_Toc482352300"/>
      <w:bookmarkStart w:id="2306" w:name="_Toc482352210"/>
      <w:bookmarkStart w:id="2307" w:name="_Toc482352120"/>
      <w:bookmarkStart w:id="2308" w:name="_Toc482352030"/>
      <w:bookmarkStart w:id="2309" w:name="_Toc482102166"/>
      <w:bookmarkStart w:id="2310" w:name="_Toc482102072"/>
      <w:bookmarkStart w:id="2311" w:name="_Toc482101977"/>
      <w:bookmarkStart w:id="2312" w:name="_Toc482101882"/>
      <w:bookmarkStart w:id="2313" w:name="_Toc482101789"/>
      <w:bookmarkStart w:id="2314" w:name="_Toc482101614"/>
      <w:bookmarkStart w:id="2315" w:name="_Toc482101499"/>
      <w:bookmarkStart w:id="2316" w:name="_Toc482101362"/>
      <w:bookmarkStart w:id="2317" w:name="_Toc482100936"/>
      <w:bookmarkStart w:id="2318" w:name="_Toc482100779"/>
      <w:bookmarkStart w:id="2319" w:name="_Toc482099062"/>
      <w:bookmarkStart w:id="2320" w:name="_Toc482097960"/>
      <w:bookmarkStart w:id="2321" w:name="_Toc482097768"/>
      <w:bookmarkStart w:id="2322" w:name="_Toc482097679"/>
      <w:bookmarkStart w:id="2323" w:name="_Toc482097590"/>
      <w:bookmarkStart w:id="2324" w:name="_Toc482025766"/>
      <w:bookmarkStart w:id="2325" w:name="_Toc485218346"/>
      <w:bookmarkStart w:id="2326" w:name="_Toc484688911"/>
      <w:bookmarkStart w:id="2327" w:name="_Toc484688356"/>
      <w:bookmarkStart w:id="2328" w:name="_Toc484605487"/>
      <w:bookmarkStart w:id="2329" w:name="_Toc484605363"/>
      <w:bookmarkStart w:id="2330" w:name="_Toc484526643"/>
      <w:bookmarkStart w:id="2331" w:name="_Toc484449148"/>
      <w:bookmarkStart w:id="2332" w:name="_Toc484449024"/>
      <w:bookmarkStart w:id="2333" w:name="_Toc484448900"/>
      <w:bookmarkStart w:id="2334" w:name="_Toc484448777"/>
      <w:bookmarkStart w:id="2335" w:name="_Toc484448653"/>
      <w:bookmarkStart w:id="2336" w:name="_Toc484448529"/>
      <w:bookmarkStart w:id="2337" w:name="_Toc484448405"/>
      <w:bookmarkStart w:id="2338" w:name="_Toc484448281"/>
      <w:bookmarkStart w:id="2339" w:name="_Toc484448157"/>
      <w:bookmarkStart w:id="2340" w:name="_Toc484440497"/>
      <w:bookmarkStart w:id="2341" w:name="_Toc484440137"/>
      <w:bookmarkStart w:id="2342" w:name="_Toc484440013"/>
      <w:bookmarkStart w:id="2343" w:name="_Toc484439890"/>
      <w:bookmarkStart w:id="2344" w:name="_Toc484438970"/>
      <w:bookmarkStart w:id="2345" w:name="_Toc484438846"/>
      <w:bookmarkStart w:id="2346" w:name="_Toc484438722"/>
      <w:bookmarkStart w:id="2347" w:name="_Toc484429147"/>
      <w:bookmarkStart w:id="2348" w:name="_Toc484428977"/>
      <w:bookmarkStart w:id="2349" w:name="_Toc484097803"/>
      <w:bookmarkStart w:id="2350" w:name="_Toc484011729"/>
      <w:bookmarkStart w:id="2351" w:name="_Toc484011254"/>
      <w:bookmarkStart w:id="2352" w:name="_Toc484011132"/>
      <w:bookmarkStart w:id="2353" w:name="_Toc484011010"/>
      <w:bookmarkStart w:id="2354" w:name="_Toc484010886"/>
      <w:bookmarkStart w:id="2355" w:name="_Toc484010764"/>
      <w:bookmarkStart w:id="2356" w:name="_Toc483907014"/>
      <w:bookmarkStart w:id="2357" w:name="_Toc483571636"/>
      <w:bookmarkStart w:id="2358" w:name="_Toc483571514"/>
      <w:bookmarkStart w:id="2359" w:name="_Toc483474083"/>
      <w:bookmarkStart w:id="2360" w:name="_Toc483401287"/>
      <w:bookmarkStart w:id="2361" w:name="_Toc483325809"/>
      <w:bookmarkStart w:id="2362" w:name="_Toc483316506"/>
      <w:bookmarkStart w:id="2363" w:name="_Toc483316375"/>
      <w:bookmarkStart w:id="2364" w:name="_Toc483316243"/>
      <w:bookmarkStart w:id="2365" w:name="_Toc483316038"/>
      <w:bookmarkStart w:id="2366" w:name="_Toc483302417"/>
      <w:bookmarkStart w:id="2367" w:name="_Toc483233700"/>
      <w:bookmarkStart w:id="2368" w:name="_Toc482979740"/>
      <w:bookmarkStart w:id="2369" w:name="_Toc482979642"/>
      <w:bookmarkStart w:id="2370" w:name="_Toc482979544"/>
      <w:bookmarkStart w:id="2371" w:name="_Toc482979436"/>
      <w:bookmarkStart w:id="2372" w:name="_Toc482979327"/>
      <w:bookmarkStart w:id="2373" w:name="_Toc482979218"/>
      <w:bookmarkStart w:id="2374" w:name="_Toc482979107"/>
      <w:bookmarkStart w:id="2375" w:name="_Toc482978999"/>
      <w:bookmarkStart w:id="2376" w:name="_Toc482978890"/>
      <w:bookmarkStart w:id="2377" w:name="_Toc482959771"/>
      <w:bookmarkStart w:id="2378" w:name="_Toc482959661"/>
      <w:bookmarkStart w:id="2379" w:name="_Toc482959551"/>
      <w:bookmarkStart w:id="2380" w:name="_Toc482712763"/>
      <w:bookmarkStart w:id="2381" w:name="_Toc482641317"/>
      <w:bookmarkStart w:id="2382" w:name="_Toc482633140"/>
      <w:bookmarkStart w:id="2383" w:name="_Toc482352299"/>
      <w:bookmarkStart w:id="2384" w:name="_Toc482352209"/>
      <w:bookmarkStart w:id="2385" w:name="_Toc482352119"/>
      <w:bookmarkStart w:id="2386" w:name="_Toc482352029"/>
      <w:bookmarkStart w:id="2387" w:name="_Toc482102165"/>
      <w:bookmarkStart w:id="2388" w:name="_Toc482102071"/>
      <w:bookmarkStart w:id="2389" w:name="_Toc482101976"/>
      <w:bookmarkStart w:id="2390" w:name="_Toc482101881"/>
      <w:bookmarkStart w:id="2391" w:name="_Toc482101788"/>
      <w:bookmarkStart w:id="2392" w:name="_Toc482101613"/>
      <w:bookmarkStart w:id="2393" w:name="_Toc482101498"/>
      <w:bookmarkStart w:id="2394" w:name="_Toc482101361"/>
      <w:bookmarkStart w:id="2395" w:name="_Toc482100935"/>
      <w:bookmarkStart w:id="2396" w:name="_Toc482100778"/>
      <w:bookmarkStart w:id="2397" w:name="_Toc482099061"/>
      <w:bookmarkStart w:id="2398" w:name="_Toc482097959"/>
      <w:bookmarkStart w:id="2399" w:name="_Toc482097767"/>
      <w:bookmarkStart w:id="2400" w:name="_Toc482097678"/>
      <w:bookmarkStart w:id="2401" w:name="_Toc482097589"/>
      <w:bookmarkStart w:id="2402" w:name="_Toc482025765"/>
      <w:bookmarkStart w:id="2403" w:name="_Toc485218345"/>
      <w:bookmarkStart w:id="2404" w:name="_Toc484688910"/>
      <w:bookmarkStart w:id="2405" w:name="_Toc484688355"/>
      <w:bookmarkStart w:id="2406" w:name="_Toc484605486"/>
      <w:bookmarkStart w:id="2407" w:name="_Toc484605362"/>
      <w:bookmarkStart w:id="2408" w:name="_Toc484526642"/>
      <w:bookmarkStart w:id="2409" w:name="_Toc484449147"/>
      <w:bookmarkStart w:id="2410" w:name="_Toc484449023"/>
      <w:bookmarkStart w:id="2411" w:name="_Toc484448899"/>
      <w:bookmarkStart w:id="2412" w:name="_Toc484448776"/>
      <w:bookmarkStart w:id="2413" w:name="_Toc484448652"/>
      <w:bookmarkStart w:id="2414" w:name="_Toc484448528"/>
      <w:bookmarkStart w:id="2415" w:name="_Toc484448404"/>
      <w:bookmarkStart w:id="2416" w:name="_Toc484448280"/>
      <w:bookmarkStart w:id="2417" w:name="_Toc484448156"/>
      <w:bookmarkStart w:id="2418" w:name="_Toc484440496"/>
      <w:bookmarkStart w:id="2419" w:name="_Toc484440136"/>
      <w:bookmarkStart w:id="2420" w:name="_Toc484440012"/>
      <w:bookmarkStart w:id="2421" w:name="_Toc484439889"/>
      <w:bookmarkStart w:id="2422" w:name="_Toc484438969"/>
      <w:bookmarkStart w:id="2423" w:name="_Toc484438845"/>
      <w:bookmarkStart w:id="2424" w:name="_Toc484438721"/>
      <w:bookmarkStart w:id="2425" w:name="_Toc484429146"/>
      <w:bookmarkStart w:id="2426" w:name="_Toc484428976"/>
      <w:bookmarkStart w:id="2427" w:name="_Toc484097802"/>
      <w:bookmarkStart w:id="2428" w:name="_Toc484011728"/>
      <w:bookmarkStart w:id="2429" w:name="_Toc484011253"/>
      <w:bookmarkStart w:id="2430" w:name="_Toc484011131"/>
      <w:bookmarkStart w:id="2431" w:name="_Toc484011009"/>
      <w:bookmarkStart w:id="2432" w:name="_Toc484010885"/>
      <w:bookmarkStart w:id="2433" w:name="_Toc484010763"/>
      <w:bookmarkStart w:id="2434" w:name="_Toc483907013"/>
      <w:bookmarkStart w:id="2435" w:name="_Toc483571635"/>
      <w:bookmarkStart w:id="2436" w:name="_Toc483571513"/>
      <w:bookmarkStart w:id="2437" w:name="_Toc483474082"/>
      <w:bookmarkStart w:id="2438" w:name="_Toc483401286"/>
      <w:bookmarkStart w:id="2439" w:name="_Toc483325808"/>
      <w:bookmarkStart w:id="2440" w:name="_Toc483316505"/>
      <w:bookmarkStart w:id="2441" w:name="_Toc483316374"/>
      <w:bookmarkStart w:id="2442" w:name="_Toc483316242"/>
      <w:bookmarkStart w:id="2443" w:name="_Toc483316037"/>
      <w:bookmarkStart w:id="2444" w:name="_Toc483302416"/>
      <w:bookmarkStart w:id="2445" w:name="_Toc483233699"/>
      <w:bookmarkStart w:id="2446" w:name="_Toc482979739"/>
      <w:bookmarkStart w:id="2447" w:name="_Toc482979641"/>
      <w:bookmarkStart w:id="2448" w:name="_Toc482979543"/>
      <w:bookmarkStart w:id="2449" w:name="_Toc482979435"/>
      <w:bookmarkStart w:id="2450" w:name="_Toc482979326"/>
      <w:bookmarkStart w:id="2451" w:name="_Toc482979217"/>
      <w:bookmarkStart w:id="2452" w:name="_Toc482979106"/>
      <w:bookmarkStart w:id="2453" w:name="_Toc482978998"/>
      <w:bookmarkStart w:id="2454" w:name="_Toc482978889"/>
      <w:bookmarkStart w:id="2455" w:name="_Toc482959770"/>
      <w:bookmarkStart w:id="2456" w:name="_Toc482959660"/>
      <w:bookmarkStart w:id="2457" w:name="_Toc482959550"/>
      <w:bookmarkStart w:id="2458" w:name="_Toc482712762"/>
      <w:bookmarkStart w:id="2459" w:name="_Toc482641316"/>
      <w:bookmarkStart w:id="2460" w:name="_Toc482633139"/>
      <w:bookmarkStart w:id="2461" w:name="_Toc482352298"/>
      <w:bookmarkStart w:id="2462" w:name="_Toc482352208"/>
      <w:bookmarkStart w:id="2463" w:name="_Toc482352118"/>
      <w:bookmarkStart w:id="2464" w:name="_Toc482352028"/>
      <w:bookmarkStart w:id="2465" w:name="_Toc482102164"/>
      <w:bookmarkStart w:id="2466" w:name="_Toc482102070"/>
      <w:bookmarkStart w:id="2467" w:name="_Toc482101975"/>
      <w:bookmarkStart w:id="2468" w:name="_Toc482101880"/>
      <w:bookmarkStart w:id="2469" w:name="_Toc482101787"/>
      <w:bookmarkStart w:id="2470" w:name="_Toc482101612"/>
      <w:bookmarkStart w:id="2471" w:name="_Toc482101497"/>
      <w:bookmarkStart w:id="2472" w:name="_Toc482101360"/>
      <w:bookmarkStart w:id="2473" w:name="_Toc482100934"/>
      <w:bookmarkStart w:id="2474" w:name="_Toc482100777"/>
      <w:bookmarkStart w:id="2475" w:name="_Toc482099060"/>
      <w:bookmarkStart w:id="2476" w:name="_Toc482097958"/>
      <w:bookmarkStart w:id="2477" w:name="_Toc482097766"/>
      <w:bookmarkStart w:id="2478" w:name="_Toc482097677"/>
      <w:bookmarkStart w:id="2479" w:name="_Toc482097588"/>
      <w:bookmarkStart w:id="2480" w:name="_Toc482025764"/>
      <w:bookmarkStart w:id="2481" w:name="_Toc485218344"/>
      <w:bookmarkStart w:id="2482" w:name="_Toc484688909"/>
      <w:bookmarkStart w:id="2483" w:name="_Toc484688354"/>
      <w:bookmarkStart w:id="2484" w:name="_Toc484605485"/>
      <w:bookmarkStart w:id="2485" w:name="_Toc484605361"/>
      <w:bookmarkStart w:id="2486" w:name="_Toc484526641"/>
      <w:bookmarkStart w:id="2487" w:name="_Toc484449146"/>
      <w:bookmarkStart w:id="2488" w:name="_Toc484449022"/>
      <w:bookmarkStart w:id="2489" w:name="_Toc484448898"/>
      <w:bookmarkStart w:id="2490" w:name="_Toc484448775"/>
      <w:bookmarkStart w:id="2491" w:name="_Toc484448651"/>
      <w:bookmarkStart w:id="2492" w:name="_Toc484448527"/>
      <w:bookmarkStart w:id="2493" w:name="_Toc484448403"/>
      <w:bookmarkStart w:id="2494" w:name="_Toc484448279"/>
      <w:bookmarkStart w:id="2495" w:name="_Toc484448155"/>
      <w:bookmarkStart w:id="2496" w:name="_Toc484440495"/>
      <w:bookmarkStart w:id="2497" w:name="_Toc484440135"/>
      <w:bookmarkStart w:id="2498" w:name="_Toc484440011"/>
      <w:bookmarkStart w:id="2499" w:name="_Toc484439888"/>
      <w:bookmarkStart w:id="2500" w:name="_Toc484438968"/>
      <w:bookmarkStart w:id="2501" w:name="_Toc484438844"/>
      <w:bookmarkStart w:id="2502" w:name="_Toc484438720"/>
      <w:bookmarkStart w:id="2503" w:name="_Toc484429145"/>
      <w:bookmarkStart w:id="2504" w:name="_Toc484428975"/>
      <w:bookmarkStart w:id="2505" w:name="_Toc484097801"/>
      <w:bookmarkStart w:id="2506" w:name="_Toc484011727"/>
      <w:bookmarkStart w:id="2507" w:name="_Toc484011252"/>
      <w:bookmarkStart w:id="2508" w:name="_Toc484011130"/>
      <w:bookmarkStart w:id="2509" w:name="_Toc484011008"/>
      <w:bookmarkStart w:id="2510" w:name="_Toc484010884"/>
      <w:bookmarkStart w:id="2511" w:name="_Toc484010762"/>
      <w:bookmarkStart w:id="2512" w:name="_Toc483907012"/>
      <w:bookmarkStart w:id="2513" w:name="_Toc483571634"/>
      <w:bookmarkStart w:id="2514" w:name="_Toc483571512"/>
      <w:bookmarkStart w:id="2515" w:name="_Toc483474081"/>
      <w:bookmarkStart w:id="2516" w:name="_Toc483401285"/>
      <w:bookmarkStart w:id="2517" w:name="_Toc483325807"/>
      <w:bookmarkStart w:id="2518" w:name="_Toc483316504"/>
      <w:bookmarkStart w:id="2519" w:name="_Toc483316373"/>
      <w:bookmarkStart w:id="2520" w:name="_Toc483316241"/>
      <w:bookmarkStart w:id="2521" w:name="_Toc483316036"/>
      <w:bookmarkStart w:id="2522" w:name="_Toc483302415"/>
      <w:bookmarkStart w:id="2523" w:name="_Toc483233698"/>
      <w:bookmarkStart w:id="2524" w:name="_Toc482979738"/>
      <w:bookmarkStart w:id="2525" w:name="_Toc482979640"/>
      <w:bookmarkStart w:id="2526" w:name="_Toc482979542"/>
      <w:bookmarkStart w:id="2527" w:name="_Toc482979434"/>
      <w:bookmarkStart w:id="2528" w:name="_Toc482979325"/>
      <w:bookmarkStart w:id="2529" w:name="_Toc482979216"/>
      <w:bookmarkStart w:id="2530" w:name="_Toc482979105"/>
      <w:bookmarkStart w:id="2531" w:name="_Toc482978997"/>
      <w:bookmarkStart w:id="2532" w:name="_Toc482978888"/>
      <w:bookmarkStart w:id="2533" w:name="_Toc482959769"/>
      <w:bookmarkStart w:id="2534" w:name="_Toc482959659"/>
      <w:bookmarkStart w:id="2535" w:name="_Toc482959549"/>
      <w:bookmarkStart w:id="2536" w:name="_Toc482712761"/>
      <w:bookmarkStart w:id="2537" w:name="_Toc482641315"/>
      <w:bookmarkStart w:id="2538" w:name="_Toc482633138"/>
      <w:bookmarkStart w:id="2539" w:name="_Toc482352297"/>
      <w:bookmarkStart w:id="2540" w:name="_Toc482352207"/>
      <w:bookmarkStart w:id="2541" w:name="_Toc482352117"/>
      <w:bookmarkStart w:id="2542" w:name="_Toc482352027"/>
      <w:bookmarkStart w:id="2543" w:name="_Toc482102163"/>
      <w:bookmarkStart w:id="2544" w:name="_Toc482102069"/>
      <w:bookmarkStart w:id="2545" w:name="_Toc482101974"/>
      <w:bookmarkStart w:id="2546" w:name="_Toc482101879"/>
      <w:bookmarkStart w:id="2547" w:name="_Toc482101786"/>
      <w:bookmarkStart w:id="2548" w:name="_Toc482101611"/>
      <w:bookmarkStart w:id="2549" w:name="_Toc482101496"/>
      <w:bookmarkStart w:id="2550" w:name="_Toc482101359"/>
      <w:bookmarkStart w:id="2551" w:name="_Toc482100933"/>
      <w:bookmarkStart w:id="2552" w:name="_Toc482100776"/>
      <w:bookmarkStart w:id="2553" w:name="_Toc482099059"/>
      <w:bookmarkStart w:id="2554" w:name="_Toc482097957"/>
      <w:bookmarkStart w:id="2555" w:name="_Toc482097765"/>
      <w:bookmarkStart w:id="2556" w:name="_Toc482097676"/>
      <w:bookmarkStart w:id="2557" w:name="_Toc482097587"/>
      <w:bookmarkStart w:id="2558" w:name="_Toc482025763"/>
      <w:bookmarkStart w:id="2559" w:name="_Toc485218343"/>
      <w:bookmarkStart w:id="2560" w:name="_Toc484688908"/>
      <w:bookmarkStart w:id="2561" w:name="_Toc484688353"/>
      <w:bookmarkStart w:id="2562" w:name="_Toc484605484"/>
      <w:bookmarkStart w:id="2563" w:name="_Toc484605360"/>
      <w:bookmarkStart w:id="2564" w:name="_Toc484526640"/>
      <w:bookmarkStart w:id="2565" w:name="_Toc484449145"/>
      <w:bookmarkStart w:id="2566" w:name="_Toc484449021"/>
      <w:bookmarkStart w:id="2567" w:name="_Toc484448897"/>
      <w:bookmarkStart w:id="2568" w:name="_Toc484448774"/>
      <w:bookmarkStart w:id="2569" w:name="_Toc484448650"/>
      <w:bookmarkStart w:id="2570" w:name="_Toc484448526"/>
      <w:bookmarkStart w:id="2571" w:name="_Toc484448402"/>
      <w:bookmarkStart w:id="2572" w:name="_Toc484448278"/>
      <w:bookmarkStart w:id="2573" w:name="_Toc484448154"/>
      <w:bookmarkStart w:id="2574" w:name="_Toc484440494"/>
      <w:bookmarkStart w:id="2575" w:name="_Toc484440134"/>
      <w:bookmarkStart w:id="2576" w:name="_Toc484440010"/>
      <w:bookmarkStart w:id="2577" w:name="_Toc484439887"/>
      <w:bookmarkStart w:id="2578" w:name="_Toc484438967"/>
      <w:bookmarkStart w:id="2579" w:name="_Toc484438843"/>
      <w:bookmarkStart w:id="2580" w:name="_Toc484438719"/>
      <w:bookmarkStart w:id="2581" w:name="_Toc484429144"/>
      <w:bookmarkStart w:id="2582" w:name="_Toc484428974"/>
      <w:bookmarkStart w:id="2583" w:name="_Toc484097800"/>
      <w:bookmarkStart w:id="2584" w:name="_Toc484011726"/>
      <w:bookmarkStart w:id="2585" w:name="_Toc484011251"/>
      <w:bookmarkStart w:id="2586" w:name="_Toc484011129"/>
      <w:bookmarkStart w:id="2587" w:name="_Toc484011007"/>
      <w:bookmarkStart w:id="2588" w:name="_Toc484010883"/>
      <w:bookmarkStart w:id="2589" w:name="_Toc484010761"/>
      <w:bookmarkStart w:id="2590" w:name="_Toc483907011"/>
      <w:bookmarkStart w:id="2591" w:name="_Toc483571633"/>
      <w:bookmarkStart w:id="2592" w:name="_Toc483571511"/>
      <w:bookmarkStart w:id="2593" w:name="_Toc483474080"/>
      <w:bookmarkStart w:id="2594" w:name="_Toc483401284"/>
      <w:bookmarkStart w:id="2595" w:name="_Toc483325806"/>
      <w:bookmarkStart w:id="2596" w:name="_Toc483316503"/>
      <w:bookmarkStart w:id="2597" w:name="_Toc483316372"/>
      <w:bookmarkStart w:id="2598" w:name="_Toc483316240"/>
      <w:bookmarkStart w:id="2599" w:name="_Toc483316035"/>
      <w:bookmarkStart w:id="2600" w:name="_Toc483302414"/>
      <w:bookmarkStart w:id="2601" w:name="_Toc483233697"/>
      <w:bookmarkStart w:id="2602" w:name="_Toc482979737"/>
      <w:bookmarkStart w:id="2603" w:name="_Toc482979639"/>
      <w:bookmarkStart w:id="2604" w:name="_Toc482979541"/>
      <w:bookmarkStart w:id="2605" w:name="_Toc482979433"/>
      <w:bookmarkStart w:id="2606" w:name="_Toc482979324"/>
      <w:bookmarkStart w:id="2607" w:name="_Toc482979215"/>
      <w:bookmarkStart w:id="2608" w:name="_Toc482979104"/>
      <w:bookmarkStart w:id="2609" w:name="_Toc482978996"/>
      <w:bookmarkStart w:id="2610" w:name="_Toc482978887"/>
      <w:bookmarkStart w:id="2611" w:name="_Toc482959768"/>
      <w:bookmarkStart w:id="2612" w:name="_Toc482959658"/>
      <w:bookmarkStart w:id="2613" w:name="_Toc482959548"/>
      <w:bookmarkStart w:id="2614" w:name="_Toc482712760"/>
      <w:bookmarkStart w:id="2615" w:name="_Toc482641314"/>
      <w:bookmarkStart w:id="2616" w:name="_Toc482633137"/>
      <w:bookmarkStart w:id="2617" w:name="_Toc482352296"/>
      <w:bookmarkStart w:id="2618" w:name="_Toc482352206"/>
      <w:bookmarkStart w:id="2619" w:name="_Toc482352116"/>
      <w:bookmarkStart w:id="2620" w:name="_Toc482352026"/>
      <w:bookmarkStart w:id="2621" w:name="_Toc482102162"/>
      <w:bookmarkStart w:id="2622" w:name="_Toc482102068"/>
      <w:bookmarkStart w:id="2623" w:name="_Toc482101973"/>
      <w:bookmarkStart w:id="2624" w:name="_Toc482101878"/>
      <w:bookmarkStart w:id="2625" w:name="_Toc482101785"/>
      <w:bookmarkStart w:id="2626" w:name="_Toc482101610"/>
      <w:bookmarkStart w:id="2627" w:name="_Toc482101495"/>
      <w:bookmarkStart w:id="2628" w:name="_Toc482101358"/>
      <w:bookmarkStart w:id="2629" w:name="_Toc482100932"/>
      <w:bookmarkStart w:id="2630" w:name="_Toc482100775"/>
      <w:bookmarkStart w:id="2631" w:name="_Toc482099058"/>
      <w:bookmarkStart w:id="2632" w:name="_Toc482097956"/>
      <w:bookmarkStart w:id="2633" w:name="_Toc482097764"/>
      <w:bookmarkStart w:id="2634" w:name="_Toc482097675"/>
      <w:bookmarkStart w:id="2635" w:name="_Toc482097586"/>
      <w:bookmarkStart w:id="2636" w:name="_Toc482025762"/>
      <w:bookmarkStart w:id="2637" w:name="_Toc485218342"/>
      <w:bookmarkStart w:id="2638" w:name="_Toc484688907"/>
      <w:bookmarkStart w:id="2639" w:name="_Toc484688352"/>
      <w:bookmarkStart w:id="2640" w:name="_Toc484605483"/>
      <w:bookmarkStart w:id="2641" w:name="_Toc484605359"/>
      <w:bookmarkStart w:id="2642" w:name="_Toc484526639"/>
      <w:bookmarkStart w:id="2643" w:name="_Toc484449144"/>
      <w:bookmarkStart w:id="2644" w:name="_Toc484449020"/>
      <w:bookmarkStart w:id="2645" w:name="_Toc484448896"/>
      <w:bookmarkStart w:id="2646" w:name="_Toc484448773"/>
      <w:bookmarkStart w:id="2647" w:name="_Toc484448649"/>
      <w:bookmarkStart w:id="2648" w:name="_Toc484448525"/>
      <w:bookmarkStart w:id="2649" w:name="_Toc484448401"/>
      <w:bookmarkStart w:id="2650" w:name="_Toc484448277"/>
      <w:bookmarkStart w:id="2651" w:name="_Toc484448153"/>
      <w:bookmarkStart w:id="2652" w:name="_Toc484440493"/>
      <w:bookmarkStart w:id="2653" w:name="_Toc484440133"/>
      <w:bookmarkStart w:id="2654" w:name="_Toc484440009"/>
      <w:bookmarkStart w:id="2655" w:name="_Toc484439886"/>
      <w:bookmarkStart w:id="2656" w:name="_Toc484438966"/>
      <w:bookmarkStart w:id="2657" w:name="_Toc484438842"/>
      <w:bookmarkStart w:id="2658" w:name="_Toc484438718"/>
      <w:bookmarkStart w:id="2659" w:name="_Toc484429143"/>
      <w:bookmarkStart w:id="2660" w:name="_Toc484428973"/>
      <w:bookmarkStart w:id="2661" w:name="_Toc484097799"/>
      <w:bookmarkStart w:id="2662" w:name="_Toc484011725"/>
      <w:bookmarkStart w:id="2663" w:name="_Toc484011250"/>
      <w:bookmarkStart w:id="2664" w:name="_Toc484011128"/>
      <w:bookmarkStart w:id="2665" w:name="_Toc484011006"/>
      <w:bookmarkStart w:id="2666" w:name="_Toc484010882"/>
      <w:bookmarkStart w:id="2667" w:name="_Toc484010760"/>
      <w:bookmarkStart w:id="2668" w:name="_Toc483907010"/>
      <w:bookmarkStart w:id="2669" w:name="_Toc483571632"/>
      <w:bookmarkStart w:id="2670" w:name="_Toc483571510"/>
      <w:bookmarkStart w:id="2671" w:name="_Toc483474079"/>
      <w:bookmarkStart w:id="2672" w:name="_Toc483401283"/>
      <w:bookmarkStart w:id="2673" w:name="_Toc483325805"/>
      <w:bookmarkStart w:id="2674" w:name="_Toc483316502"/>
      <w:bookmarkStart w:id="2675" w:name="_Toc483316371"/>
      <w:bookmarkStart w:id="2676" w:name="_Toc483316239"/>
      <w:bookmarkStart w:id="2677" w:name="_Toc483316034"/>
      <w:bookmarkStart w:id="2678" w:name="_Toc483302413"/>
      <w:bookmarkStart w:id="2679" w:name="_Toc483233696"/>
      <w:bookmarkStart w:id="2680" w:name="_Toc482979736"/>
      <w:bookmarkStart w:id="2681" w:name="_Toc482979638"/>
      <w:bookmarkStart w:id="2682" w:name="_Toc482979540"/>
      <w:bookmarkStart w:id="2683" w:name="_Toc482979432"/>
      <w:bookmarkStart w:id="2684" w:name="_Toc482979323"/>
      <w:bookmarkStart w:id="2685" w:name="_Toc482979214"/>
      <w:bookmarkStart w:id="2686" w:name="_Toc482979103"/>
      <w:bookmarkStart w:id="2687" w:name="_Toc482978995"/>
      <w:bookmarkStart w:id="2688" w:name="_Toc482978886"/>
      <w:bookmarkStart w:id="2689" w:name="_Toc482959767"/>
      <w:bookmarkStart w:id="2690" w:name="_Toc482959657"/>
      <w:bookmarkStart w:id="2691" w:name="_Toc482959547"/>
      <w:bookmarkStart w:id="2692" w:name="_Toc482712759"/>
      <w:bookmarkStart w:id="2693" w:name="_Toc482641313"/>
      <w:bookmarkStart w:id="2694" w:name="_Toc482633136"/>
      <w:bookmarkStart w:id="2695" w:name="_Toc482352295"/>
      <w:bookmarkStart w:id="2696" w:name="_Toc482352205"/>
      <w:bookmarkStart w:id="2697" w:name="_Toc482352115"/>
      <w:bookmarkStart w:id="2698" w:name="_Toc482352025"/>
      <w:bookmarkStart w:id="2699" w:name="_Toc482102161"/>
      <w:bookmarkStart w:id="2700" w:name="_Toc482102067"/>
      <w:bookmarkStart w:id="2701" w:name="_Toc482101972"/>
      <w:bookmarkStart w:id="2702" w:name="_Toc482101877"/>
      <w:bookmarkStart w:id="2703" w:name="_Toc482101784"/>
      <w:bookmarkStart w:id="2704" w:name="_Toc482101609"/>
      <w:bookmarkStart w:id="2705" w:name="_Toc482101494"/>
      <w:bookmarkStart w:id="2706" w:name="_Toc482101357"/>
      <w:bookmarkStart w:id="2707" w:name="_Toc482100931"/>
      <w:bookmarkStart w:id="2708" w:name="_Toc482100774"/>
      <w:bookmarkStart w:id="2709" w:name="_Toc482099057"/>
      <w:bookmarkStart w:id="2710" w:name="_Toc482097955"/>
      <w:bookmarkStart w:id="2711" w:name="_Toc482097763"/>
      <w:bookmarkStart w:id="2712" w:name="_Toc482097674"/>
      <w:bookmarkStart w:id="2713" w:name="_Toc482097585"/>
      <w:bookmarkStart w:id="2714" w:name="_Toc482025761"/>
      <w:bookmarkStart w:id="2715" w:name="_Toc485218341"/>
      <w:bookmarkStart w:id="2716" w:name="_Toc484688906"/>
      <w:bookmarkStart w:id="2717" w:name="_Toc484688351"/>
      <w:bookmarkStart w:id="2718" w:name="_Toc484605482"/>
      <w:bookmarkStart w:id="2719" w:name="_Toc484605358"/>
      <w:bookmarkStart w:id="2720" w:name="_Toc484526638"/>
      <w:bookmarkStart w:id="2721" w:name="_Toc484449143"/>
      <w:bookmarkStart w:id="2722" w:name="_Toc484449019"/>
      <w:bookmarkStart w:id="2723" w:name="_Toc484448895"/>
      <w:bookmarkStart w:id="2724" w:name="_Toc484448772"/>
      <w:bookmarkStart w:id="2725" w:name="_Toc484448648"/>
      <w:bookmarkStart w:id="2726" w:name="_Toc484448524"/>
      <w:bookmarkStart w:id="2727" w:name="_Toc484448400"/>
      <w:bookmarkStart w:id="2728" w:name="_Toc484448276"/>
      <w:bookmarkStart w:id="2729" w:name="_Toc484448152"/>
      <w:bookmarkStart w:id="2730" w:name="_Toc484440492"/>
      <w:bookmarkStart w:id="2731" w:name="_Toc484440132"/>
      <w:bookmarkStart w:id="2732" w:name="_Toc484440008"/>
      <w:bookmarkStart w:id="2733" w:name="_Toc484439885"/>
      <w:bookmarkStart w:id="2734" w:name="_Toc484438965"/>
      <w:bookmarkStart w:id="2735" w:name="_Toc484438841"/>
      <w:bookmarkStart w:id="2736" w:name="_Toc484438717"/>
      <w:bookmarkStart w:id="2737" w:name="_Toc484429142"/>
      <w:bookmarkStart w:id="2738" w:name="_Toc484428972"/>
      <w:bookmarkStart w:id="2739" w:name="_Toc484097798"/>
      <w:bookmarkStart w:id="2740" w:name="_Toc484011724"/>
      <w:bookmarkStart w:id="2741" w:name="_Toc484011249"/>
      <w:bookmarkStart w:id="2742" w:name="_Toc484011127"/>
      <w:bookmarkStart w:id="2743" w:name="_Toc484011005"/>
      <w:bookmarkStart w:id="2744" w:name="_Toc484010881"/>
      <w:bookmarkStart w:id="2745" w:name="_Toc484010759"/>
      <w:bookmarkStart w:id="2746" w:name="_Toc483907009"/>
      <w:bookmarkStart w:id="2747" w:name="_Toc483571631"/>
      <w:bookmarkStart w:id="2748" w:name="_Toc483571509"/>
      <w:bookmarkStart w:id="2749" w:name="_Toc483474078"/>
      <w:bookmarkStart w:id="2750" w:name="_Toc483401282"/>
      <w:bookmarkStart w:id="2751" w:name="_Toc483325804"/>
      <w:bookmarkStart w:id="2752" w:name="_Toc483316501"/>
      <w:bookmarkStart w:id="2753" w:name="_Toc483316370"/>
      <w:bookmarkStart w:id="2754" w:name="_Toc483316238"/>
      <w:bookmarkStart w:id="2755" w:name="_Toc483316033"/>
      <w:bookmarkStart w:id="2756" w:name="_Toc483302412"/>
      <w:bookmarkStart w:id="2757" w:name="_Toc483233695"/>
      <w:bookmarkStart w:id="2758" w:name="_Toc482979735"/>
      <w:bookmarkStart w:id="2759" w:name="_Toc482979637"/>
      <w:bookmarkStart w:id="2760" w:name="_Toc482979539"/>
      <w:bookmarkStart w:id="2761" w:name="_Toc482979431"/>
      <w:bookmarkStart w:id="2762" w:name="_Toc482979322"/>
      <w:bookmarkStart w:id="2763" w:name="_Toc482979213"/>
      <w:bookmarkStart w:id="2764" w:name="_Toc482979102"/>
      <w:bookmarkStart w:id="2765" w:name="_Toc482978994"/>
      <w:bookmarkStart w:id="2766" w:name="_Toc482978885"/>
      <w:bookmarkStart w:id="2767" w:name="_Toc482959766"/>
      <w:bookmarkStart w:id="2768" w:name="_Toc482959656"/>
      <w:bookmarkStart w:id="2769" w:name="_Toc482959546"/>
      <w:bookmarkStart w:id="2770" w:name="_Toc482712758"/>
      <w:bookmarkStart w:id="2771" w:name="_Toc482641312"/>
      <w:bookmarkStart w:id="2772" w:name="_Toc482633135"/>
      <w:bookmarkStart w:id="2773" w:name="_Toc482352294"/>
      <w:bookmarkStart w:id="2774" w:name="_Toc482352204"/>
      <w:bookmarkStart w:id="2775" w:name="_Toc482352114"/>
      <w:bookmarkStart w:id="2776" w:name="_Toc482352024"/>
      <w:bookmarkStart w:id="2777" w:name="_Toc482102160"/>
      <w:bookmarkStart w:id="2778" w:name="_Toc482102066"/>
      <w:bookmarkStart w:id="2779" w:name="_Toc482101971"/>
      <w:bookmarkStart w:id="2780" w:name="_Toc482101876"/>
      <w:bookmarkStart w:id="2781" w:name="_Toc482101783"/>
      <w:bookmarkStart w:id="2782" w:name="_Toc482101608"/>
      <w:bookmarkStart w:id="2783" w:name="_Toc482101493"/>
      <w:bookmarkStart w:id="2784" w:name="_Toc482101356"/>
      <w:bookmarkStart w:id="2785" w:name="_Toc482100930"/>
      <w:bookmarkStart w:id="2786" w:name="_Toc482100773"/>
      <w:bookmarkStart w:id="2787" w:name="_Toc482099056"/>
      <w:bookmarkStart w:id="2788" w:name="_Toc482097954"/>
      <w:bookmarkStart w:id="2789" w:name="_Toc482097762"/>
      <w:bookmarkStart w:id="2790" w:name="_Toc482097673"/>
      <w:bookmarkStart w:id="2791" w:name="_Toc482097584"/>
      <w:bookmarkStart w:id="2792" w:name="_Toc482025760"/>
      <w:bookmarkStart w:id="2793" w:name="_Toc485218340"/>
      <w:bookmarkStart w:id="2794" w:name="_Toc484688905"/>
      <w:bookmarkStart w:id="2795" w:name="_Toc484688350"/>
      <w:bookmarkStart w:id="2796" w:name="_Toc484605481"/>
      <w:bookmarkStart w:id="2797" w:name="_Toc484605357"/>
      <w:bookmarkStart w:id="2798" w:name="_Toc484526637"/>
      <w:bookmarkStart w:id="2799" w:name="_Toc484449142"/>
      <w:bookmarkStart w:id="2800" w:name="_Toc484449018"/>
      <w:bookmarkStart w:id="2801" w:name="_Toc484448894"/>
      <w:bookmarkStart w:id="2802" w:name="_Toc484448771"/>
      <w:bookmarkStart w:id="2803" w:name="_Toc484448647"/>
      <w:bookmarkStart w:id="2804" w:name="_Toc484448523"/>
      <w:bookmarkStart w:id="2805" w:name="_Toc484448399"/>
      <w:bookmarkStart w:id="2806" w:name="_Toc484448275"/>
      <w:bookmarkStart w:id="2807" w:name="_Toc484448151"/>
      <w:bookmarkStart w:id="2808" w:name="_Toc484440491"/>
      <w:bookmarkStart w:id="2809" w:name="_Toc484440131"/>
      <w:bookmarkStart w:id="2810" w:name="_Toc484440007"/>
      <w:bookmarkStart w:id="2811" w:name="_Toc484439884"/>
      <w:bookmarkStart w:id="2812" w:name="_Toc484438964"/>
      <w:bookmarkStart w:id="2813" w:name="_Toc484438840"/>
      <w:bookmarkStart w:id="2814" w:name="_Toc484438716"/>
      <w:bookmarkStart w:id="2815" w:name="_Toc484429141"/>
      <w:bookmarkStart w:id="2816" w:name="_Toc484428971"/>
      <w:bookmarkStart w:id="2817" w:name="_Toc484097797"/>
      <w:bookmarkStart w:id="2818" w:name="_Toc484011723"/>
      <w:bookmarkStart w:id="2819" w:name="_Toc484011248"/>
      <w:bookmarkStart w:id="2820" w:name="_Toc484011126"/>
      <w:bookmarkStart w:id="2821" w:name="_Toc484011004"/>
      <w:bookmarkStart w:id="2822" w:name="_Toc484010880"/>
      <w:bookmarkStart w:id="2823" w:name="_Toc484010758"/>
      <w:bookmarkStart w:id="2824" w:name="_Toc483907008"/>
      <w:bookmarkStart w:id="2825" w:name="_Toc483571630"/>
      <w:bookmarkStart w:id="2826" w:name="_Toc483571508"/>
      <w:bookmarkStart w:id="2827" w:name="_Toc483474077"/>
      <w:bookmarkStart w:id="2828" w:name="_Toc483401281"/>
      <w:bookmarkStart w:id="2829" w:name="_Toc483325803"/>
      <w:bookmarkStart w:id="2830" w:name="_Toc483316500"/>
      <w:bookmarkStart w:id="2831" w:name="_Toc483316369"/>
      <w:bookmarkStart w:id="2832" w:name="_Toc483316237"/>
      <w:bookmarkStart w:id="2833" w:name="_Toc483316032"/>
      <w:bookmarkStart w:id="2834" w:name="_Toc483302411"/>
      <w:bookmarkStart w:id="2835" w:name="_Toc483233694"/>
      <w:bookmarkStart w:id="2836" w:name="_Toc482979734"/>
      <w:bookmarkStart w:id="2837" w:name="_Toc482979636"/>
      <w:bookmarkStart w:id="2838" w:name="_Toc482979538"/>
      <w:bookmarkStart w:id="2839" w:name="_Toc482979430"/>
      <w:bookmarkStart w:id="2840" w:name="_Toc482979321"/>
      <w:bookmarkStart w:id="2841" w:name="_Toc482979212"/>
      <w:bookmarkStart w:id="2842" w:name="_Toc482979101"/>
      <w:bookmarkStart w:id="2843" w:name="_Toc482978993"/>
      <w:bookmarkStart w:id="2844" w:name="_Toc482978884"/>
      <w:bookmarkStart w:id="2845" w:name="_Toc482959765"/>
      <w:bookmarkStart w:id="2846" w:name="_Toc482959655"/>
      <w:bookmarkStart w:id="2847" w:name="_Toc482959545"/>
      <w:bookmarkStart w:id="2848" w:name="_Toc482712757"/>
      <w:bookmarkStart w:id="2849" w:name="_Toc482641311"/>
      <w:bookmarkStart w:id="2850" w:name="_Toc482633134"/>
      <w:bookmarkStart w:id="2851" w:name="_Toc482352293"/>
      <w:bookmarkStart w:id="2852" w:name="_Toc482352203"/>
      <w:bookmarkStart w:id="2853" w:name="_Toc482352113"/>
      <w:bookmarkStart w:id="2854" w:name="_Toc482352023"/>
      <w:bookmarkStart w:id="2855" w:name="_Toc482102159"/>
      <w:bookmarkStart w:id="2856" w:name="_Toc482102065"/>
      <w:bookmarkStart w:id="2857" w:name="_Toc482101970"/>
      <w:bookmarkStart w:id="2858" w:name="_Toc482101875"/>
      <w:bookmarkStart w:id="2859" w:name="_Toc482101782"/>
      <w:bookmarkStart w:id="2860" w:name="_Toc482101607"/>
      <w:bookmarkStart w:id="2861" w:name="_Toc482101492"/>
      <w:bookmarkStart w:id="2862" w:name="_Toc482101355"/>
      <w:bookmarkStart w:id="2863" w:name="_Toc482100929"/>
      <w:bookmarkStart w:id="2864" w:name="_Toc482100772"/>
      <w:bookmarkStart w:id="2865" w:name="_Toc482099055"/>
      <w:bookmarkStart w:id="2866" w:name="_Toc482097953"/>
      <w:bookmarkStart w:id="2867" w:name="_Toc482097761"/>
      <w:bookmarkStart w:id="2868" w:name="_Toc482097672"/>
      <w:bookmarkStart w:id="2869" w:name="_Toc482097583"/>
      <w:bookmarkStart w:id="2870" w:name="_Toc482025759"/>
      <w:bookmarkStart w:id="2871" w:name="_Toc485218339"/>
      <w:bookmarkStart w:id="2872" w:name="_Toc484688904"/>
      <w:bookmarkStart w:id="2873" w:name="_Toc484688349"/>
      <w:bookmarkStart w:id="2874" w:name="_Toc484605480"/>
      <w:bookmarkStart w:id="2875" w:name="_Toc484605356"/>
      <w:bookmarkStart w:id="2876" w:name="_Toc484526636"/>
      <w:bookmarkStart w:id="2877" w:name="_Toc484449141"/>
      <w:bookmarkStart w:id="2878" w:name="_Toc484449017"/>
      <w:bookmarkStart w:id="2879" w:name="_Toc484448893"/>
      <w:bookmarkStart w:id="2880" w:name="_Toc484448770"/>
      <w:bookmarkStart w:id="2881" w:name="_Toc484448646"/>
      <w:bookmarkStart w:id="2882" w:name="_Toc484448522"/>
      <w:bookmarkStart w:id="2883" w:name="_Toc484448398"/>
      <w:bookmarkStart w:id="2884" w:name="_Toc484448274"/>
      <w:bookmarkStart w:id="2885" w:name="_Toc484448150"/>
      <w:bookmarkStart w:id="2886" w:name="_Toc484440490"/>
      <w:bookmarkStart w:id="2887" w:name="_Toc484440130"/>
      <w:bookmarkStart w:id="2888" w:name="_Toc484440006"/>
      <w:bookmarkStart w:id="2889" w:name="_Toc484439883"/>
      <w:bookmarkStart w:id="2890" w:name="_Toc484438963"/>
      <w:bookmarkStart w:id="2891" w:name="_Toc484438839"/>
      <w:bookmarkStart w:id="2892" w:name="_Toc484438715"/>
      <w:bookmarkStart w:id="2893" w:name="_Toc484429140"/>
      <w:bookmarkStart w:id="2894" w:name="_Toc484428970"/>
      <w:bookmarkStart w:id="2895" w:name="_Toc484097796"/>
      <w:bookmarkStart w:id="2896" w:name="_Toc484011722"/>
      <w:bookmarkStart w:id="2897" w:name="_Toc484011247"/>
      <w:bookmarkStart w:id="2898" w:name="_Toc484011125"/>
      <w:bookmarkStart w:id="2899" w:name="_Toc484011003"/>
      <w:bookmarkStart w:id="2900" w:name="_Toc484010879"/>
      <w:bookmarkStart w:id="2901" w:name="_Toc484010757"/>
      <w:bookmarkStart w:id="2902" w:name="_Toc483907007"/>
      <w:bookmarkStart w:id="2903" w:name="_Toc483571629"/>
      <w:bookmarkStart w:id="2904" w:name="_Toc483571507"/>
      <w:bookmarkStart w:id="2905" w:name="_Toc483474076"/>
      <w:bookmarkStart w:id="2906" w:name="_Toc483401280"/>
      <w:bookmarkStart w:id="2907" w:name="_Toc483325802"/>
      <w:bookmarkStart w:id="2908" w:name="_Toc483316499"/>
      <w:bookmarkStart w:id="2909" w:name="_Toc483316368"/>
      <w:bookmarkStart w:id="2910" w:name="_Toc483316236"/>
      <w:bookmarkStart w:id="2911" w:name="_Toc483316031"/>
      <w:bookmarkStart w:id="2912" w:name="_Toc483302410"/>
      <w:bookmarkStart w:id="2913" w:name="_Toc483233693"/>
      <w:bookmarkStart w:id="2914" w:name="_Toc482979733"/>
      <w:bookmarkStart w:id="2915" w:name="_Toc482979635"/>
      <w:bookmarkStart w:id="2916" w:name="_Toc482979537"/>
      <w:bookmarkStart w:id="2917" w:name="_Toc482979429"/>
      <w:bookmarkStart w:id="2918" w:name="_Toc482979320"/>
      <w:bookmarkStart w:id="2919" w:name="_Toc482979211"/>
      <w:bookmarkStart w:id="2920" w:name="_Toc482979100"/>
      <w:bookmarkStart w:id="2921" w:name="_Toc482978992"/>
      <w:bookmarkStart w:id="2922" w:name="_Toc482978883"/>
      <w:bookmarkStart w:id="2923" w:name="_Toc482959764"/>
      <w:bookmarkStart w:id="2924" w:name="_Toc482959654"/>
      <w:bookmarkStart w:id="2925" w:name="_Toc482959544"/>
      <w:bookmarkStart w:id="2926" w:name="_Toc482712756"/>
      <w:bookmarkStart w:id="2927" w:name="_Toc482641310"/>
      <w:bookmarkStart w:id="2928" w:name="_Toc482633133"/>
      <w:bookmarkStart w:id="2929" w:name="_Toc482352292"/>
      <w:bookmarkStart w:id="2930" w:name="_Toc482352202"/>
      <w:bookmarkStart w:id="2931" w:name="_Toc482352112"/>
      <w:bookmarkStart w:id="2932" w:name="_Toc482352022"/>
      <w:bookmarkStart w:id="2933" w:name="_Toc482102158"/>
      <w:bookmarkStart w:id="2934" w:name="_Toc482102064"/>
      <w:bookmarkStart w:id="2935" w:name="_Toc482101969"/>
      <w:bookmarkStart w:id="2936" w:name="_Toc482101874"/>
      <w:bookmarkStart w:id="2937" w:name="_Toc482101781"/>
      <w:bookmarkStart w:id="2938" w:name="_Toc482101606"/>
      <w:bookmarkStart w:id="2939" w:name="_Toc482101491"/>
      <w:bookmarkStart w:id="2940" w:name="_Toc482101354"/>
      <w:bookmarkStart w:id="2941" w:name="_Toc482100928"/>
      <w:bookmarkStart w:id="2942" w:name="_Toc482100771"/>
      <w:bookmarkStart w:id="2943" w:name="_Toc482099054"/>
      <w:bookmarkStart w:id="2944" w:name="_Toc482097952"/>
      <w:bookmarkStart w:id="2945" w:name="_Toc482097760"/>
      <w:bookmarkStart w:id="2946" w:name="_Toc482097671"/>
      <w:bookmarkStart w:id="2947" w:name="_Toc482097582"/>
      <w:bookmarkStart w:id="2948" w:name="_Toc482025758"/>
      <w:bookmarkStart w:id="2949" w:name="_Toc485218338"/>
      <w:bookmarkStart w:id="2950" w:name="_Toc484688903"/>
      <w:bookmarkStart w:id="2951" w:name="_Toc484688348"/>
      <w:bookmarkStart w:id="2952" w:name="_Toc484605479"/>
      <w:bookmarkStart w:id="2953" w:name="_Toc484605355"/>
      <w:bookmarkStart w:id="2954" w:name="_Toc484526635"/>
      <w:bookmarkStart w:id="2955" w:name="_Toc484449140"/>
      <w:bookmarkStart w:id="2956" w:name="_Toc484449016"/>
      <w:bookmarkStart w:id="2957" w:name="_Toc484448892"/>
      <w:bookmarkStart w:id="2958" w:name="_Toc484448769"/>
      <w:bookmarkStart w:id="2959" w:name="_Toc484448645"/>
      <w:bookmarkStart w:id="2960" w:name="_Toc484448521"/>
      <w:bookmarkStart w:id="2961" w:name="_Toc484448397"/>
      <w:bookmarkStart w:id="2962" w:name="_Toc484448273"/>
      <w:bookmarkStart w:id="2963" w:name="_Toc484448149"/>
      <w:bookmarkStart w:id="2964" w:name="_Toc484440489"/>
      <w:bookmarkStart w:id="2965" w:name="_Toc484440129"/>
      <w:bookmarkStart w:id="2966" w:name="_Toc484440005"/>
      <w:bookmarkStart w:id="2967" w:name="_Toc484439882"/>
      <w:bookmarkStart w:id="2968" w:name="_Toc484438962"/>
      <w:bookmarkStart w:id="2969" w:name="_Toc484438838"/>
      <w:bookmarkStart w:id="2970" w:name="_Toc484438714"/>
      <w:bookmarkStart w:id="2971" w:name="_Toc484429139"/>
      <w:bookmarkStart w:id="2972" w:name="_Toc484428969"/>
      <w:bookmarkStart w:id="2973" w:name="_Toc484097795"/>
      <w:bookmarkStart w:id="2974" w:name="_Toc484011721"/>
      <w:bookmarkStart w:id="2975" w:name="_Toc484011246"/>
      <w:bookmarkStart w:id="2976" w:name="_Toc484011124"/>
      <w:bookmarkStart w:id="2977" w:name="_Toc484011002"/>
      <w:bookmarkStart w:id="2978" w:name="_Toc484010878"/>
      <w:bookmarkStart w:id="2979" w:name="_Toc484010756"/>
      <w:bookmarkStart w:id="2980" w:name="_Toc483907006"/>
      <w:bookmarkStart w:id="2981" w:name="_Toc483571628"/>
      <w:bookmarkStart w:id="2982" w:name="_Toc483571506"/>
      <w:bookmarkStart w:id="2983" w:name="_Toc483474075"/>
      <w:bookmarkStart w:id="2984" w:name="_Toc483401279"/>
      <w:bookmarkStart w:id="2985" w:name="_Toc483325801"/>
      <w:bookmarkStart w:id="2986" w:name="_Toc483316498"/>
      <w:bookmarkStart w:id="2987" w:name="_Toc483316367"/>
      <w:bookmarkStart w:id="2988" w:name="_Toc483316235"/>
      <w:bookmarkStart w:id="2989" w:name="_Toc483316030"/>
      <w:bookmarkStart w:id="2990" w:name="_Toc483302409"/>
      <w:bookmarkStart w:id="2991" w:name="_Toc483233692"/>
      <w:bookmarkStart w:id="2992" w:name="_Toc482979732"/>
      <w:bookmarkStart w:id="2993" w:name="_Toc482979634"/>
      <w:bookmarkStart w:id="2994" w:name="_Toc482979536"/>
      <w:bookmarkStart w:id="2995" w:name="_Toc482979428"/>
      <w:bookmarkStart w:id="2996" w:name="_Toc482979319"/>
      <w:bookmarkStart w:id="2997" w:name="_Toc482979210"/>
      <w:bookmarkStart w:id="2998" w:name="_Toc482979099"/>
      <w:bookmarkStart w:id="2999" w:name="_Toc482978991"/>
      <w:bookmarkStart w:id="3000" w:name="_Toc482978882"/>
      <w:bookmarkStart w:id="3001" w:name="_Toc482959763"/>
      <w:bookmarkStart w:id="3002" w:name="_Toc482959653"/>
      <w:bookmarkStart w:id="3003" w:name="_Toc482959543"/>
      <w:bookmarkStart w:id="3004" w:name="_Toc482712755"/>
      <w:bookmarkStart w:id="3005" w:name="_Toc482641309"/>
      <w:bookmarkStart w:id="3006" w:name="_Toc482633132"/>
      <w:bookmarkStart w:id="3007" w:name="_Toc482352291"/>
      <w:bookmarkStart w:id="3008" w:name="_Toc482352201"/>
      <w:bookmarkStart w:id="3009" w:name="_Toc482352111"/>
      <w:bookmarkStart w:id="3010" w:name="_Toc482352021"/>
      <w:bookmarkStart w:id="3011" w:name="_Toc482102157"/>
      <w:bookmarkStart w:id="3012" w:name="_Toc482102063"/>
      <w:bookmarkStart w:id="3013" w:name="_Toc482101968"/>
      <w:bookmarkStart w:id="3014" w:name="_Toc482101873"/>
      <w:bookmarkStart w:id="3015" w:name="_Toc482101780"/>
      <w:bookmarkStart w:id="3016" w:name="_Toc482101605"/>
      <w:bookmarkStart w:id="3017" w:name="_Toc482101490"/>
      <w:bookmarkStart w:id="3018" w:name="_Toc482101353"/>
      <w:bookmarkStart w:id="3019" w:name="_Toc482100927"/>
      <w:bookmarkStart w:id="3020" w:name="_Toc482100770"/>
      <w:bookmarkStart w:id="3021" w:name="_Toc482099053"/>
      <w:bookmarkStart w:id="3022" w:name="_Toc482097951"/>
      <w:bookmarkStart w:id="3023" w:name="_Toc482097759"/>
      <w:bookmarkStart w:id="3024" w:name="_Toc482097670"/>
      <w:bookmarkStart w:id="3025" w:name="_Toc482097581"/>
      <w:bookmarkStart w:id="3026" w:name="_Toc482025757"/>
      <w:bookmarkStart w:id="3027" w:name="_Toc485218337"/>
      <w:bookmarkStart w:id="3028" w:name="_Toc484688902"/>
      <w:bookmarkStart w:id="3029" w:name="_Toc484688347"/>
      <w:bookmarkStart w:id="3030" w:name="_Toc484605478"/>
      <w:bookmarkStart w:id="3031" w:name="_Toc484605354"/>
      <w:bookmarkStart w:id="3032" w:name="_Toc484526634"/>
      <w:bookmarkStart w:id="3033" w:name="_Toc484449139"/>
      <w:bookmarkStart w:id="3034" w:name="_Toc484449015"/>
      <w:bookmarkStart w:id="3035" w:name="_Toc484448891"/>
      <w:bookmarkStart w:id="3036" w:name="_Toc484448768"/>
      <w:bookmarkStart w:id="3037" w:name="_Toc484448644"/>
      <w:bookmarkStart w:id="3038" w:name="_Toc484448520"/>
      <w:bookmarkStart w:id="3039" w:name="_Toc484448396"/>
      <w:bookmarkStart w:id="3040" w:name="_Toc484448272"/>
      <w:bookmarkStart w:id="3041" w:name="_Toc484448148"/>
      <w:bookmarkStart w:id="3042" w:name="_Toc484440488"/>
      <w:bookmarkStart w:id="3043" w:name="_Toc484440128"/>
      <w:bookmarkStart w:id="3044" w:name="_Toc484440004"/>
      <w:bookmarkStart w:id="3045" w:name="_Toc484439881"/>
      <w:bookmarkStart w:id="3046" w:name="_Toc484438961"/>
      <w:bookmarkStart w:id="3047" w:name="_Toc484438837"/>
      <w:bookmarkStart w:id="3048" w:name="_Toc484438713"/>
      <w:bookmarkStart w:id="3049" w:name="_Toc484429138"/>
      <w:bookmarkStart w:id="3050" w:name="_Toc484428968"/>
      <w:bookmarkStart w:id="3051" w:name="_Toc484097794"/>
      <w:bookmarkStart w:id="3052" w:name="_Toc484011720"/>
      <w:bookmarkStart w:id="3053" w:name="_Toc484011245"/>
      <w:bookmarkStart w:id="3054" w:name="_Toc484011123"/>
      <w:bookmarkStart w:id="3055" w:name="_Toc484011001"/>
      <w:bookmarkStart w:id="3056" w:name="_Toc484010877"/>
      <w:bookmarkStart w:id="3057" w:name="_Toc484010755"/>
      <w:bookmarkStart w:id="3058" w:name="_Toc483907005"/>
      <w:bookmarkStart w:id="3059" w:name="_Toc483571627"/>
      <w:bookmarkStart w:id="3060" w:name="_Toc483571505"/>
      <w:bookmarkStart w:id="3061" w:name="_Toc483474074"/>
      <w:bookmarkStart w:id="3062" w:name="_Toc483401278"/>
      <w:bookmarkStart w:id="3063" w:name="_Toc483325800"/>
      <w:bookmarkStart w:id="3064" w:name="_Toc483316497"/>
      <w:bookmarkStart w:id="3065" w:name="_Toc483316366"/>
      <w:bookmarkStart w:id="3066" w:name="_Toc483316234"/>
      <w:bookmarkStart w:id="3067" w:name="_Toc483316029"/>
      <w:bookmarkStart w:id="3068" w:name="_Toc483302408"/>
      <w:bookmarkStart w:id="3069" w:name="_Toc483233691"/>
      <w:bookmarkStart w:id="3070" w:name="_Toc482979731"/>
      <w:bookmarkStart w:id="3071" w:name="_Toc482979633"/>
      <w:bookmarkStart w:id="3072" w:name="_Toc482979535"/>
      <w:bookmarkStart w:id="3073" w:name="_Toc482979427"/>
      <w:bookmarkStart w:id="3074" w:name="_Toc482979318"/>
      <w:bookmarkStart w:id="3075" w:name="_Toc482979209"/>
      <w:bookmarkStart w:id="3076" w:name="_Toc482979098"/>
      <w:bookmarkStart w:id="3077" w:name="_Toc482978990"/>
      <w:bookmarkStart w:id="3078" w:name="_Toc482978881"/>
      <w:bookmarkStart w:id="3079" w:name="_Toc482959762"/>
      <w:bookmarkStart w:id="3080" w:name="_Toc482959652"/>
      <w:bookmarkStart w:id="3081" w:name="_Toc482959542"/>
      <w:bookmarkStart w:id="3082" w:name="_Toc482712754"/>
      <w:bookmarkStart w:id="3083" w:name="_Toc482641308"/>
      <w:bookmarkStart w:id="3084" w:name="_Toc482633131"/>
      <w:bookmarkStart w:id="3085" w:name="_Toc482352290"/>
      <w:bookmarkStart w:id="3086" w:name="_Toc482352200"/>
      <w:bookmarkStart w:id="3087" w:name="_Toc482352110"/>
      <w:bookmarkStart w:id="3088" w:name="_Toc482352020"/>
      <w:bookmarkStart w:id="3089" w:name="_Toc482102156"/>
      <w:bookmarkStart w:id="3090" w:name="_Toc482102062"/>
      <w:bookmarkStart w:id="3091" w:name="_Toc482101967"/>
      <w:bookmarkStart w:id="3092" w:name="_Toc482101872"/>
      <w:bookmarkStart w:id="3093" w:name="_Toc482101779"/>
      <w:bookmarkStart w:id="3094" w:name="_Toc482101604"/>
      <w:bookmarkStart w:id="3095" w:name="_Toc482101489"/>
      <w:bookmarkStart w:id="3096" w:name="_Toc482101352"/>
      <w:bookmarkStart w:id="3097" w:name="_Toc482100926"/>
      <w:bookmarkStart w:id="3098" w:name="_Toc482100769"/>
      <w:bookmarkStart w:id="3099" w:name="_Toc482099052"/>
      <w:bookmarkStart w:id="3100" w:name="_Toc482097950"/>
      <w:bookmarkStart w:id="3101" w:name="_Toc482097758"/>
      <w:bookmarkStart w:id="3102" w:name="_Toc482097669"/>
      <w:bookmarkStart w:id="3103" w:name="_Toc482097580"/>
      <w:bookmarkStart w:id="3104" w:name="_Toc482025756"/>
      <w:bookmarkStart w:id="3105" w:name="_Toc485218348"/>
      <w:bookmarkStart w:id="3106" w:name="_Toc484688913"/>
      <w:bookmarkStart w:id="3107" w:name="_Ref498613645"/>
      <w:bookmarkStart w:id="3108" w:name="_Toc139549455"/>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r>
        <w:rPr>
          <w:rFonts w:ascii="Titillium" w:hAnsi="Titillium"/>
          <w:sz w:val="18"/>
          <w:szCs w:val="18"/>
        </w:rPr>
        <w:t xml:space="preserve">AGGIUDICAZIONE </w:t>
      </w:r>
      <w:r>
        <w:rPr>
          <w:rFonts w:ascii="Titillium" w:hAnsi="Titillium"/>
          <w:caps w:val="0"/>
          <w:sz w:val="18"/>
          <w:szCs w:val="18"/>
          <w:lang w:val="it-IT"/>
        </w:rPr>
        <w:t xml:space="preserve">DELL’APPALTO </w:t>
      </w:r>
      <w:r>
        <w:rPr>
          <w:rFonts w:ascii="Titillium" w:hAnsi="Titillium"/>
          <w:caps w:val="0"/>
          <w:sz w:val="18"/>
          <w:szCs w:val="18"/>
        </w:rPr>
        <w:t xml:space="preserve">E STIPULA </w:t>
      </w:r>
      <w:r>
        <w:rPr>
          <w:rFonts w:ascii="Titillium" w:hAnsi="Titillium"/>
          <w:sz w:val="18"/>
          <w:szCs w:val="18"/>
        </w:rPr>
        <w:t>DEL CONTRATTO</w:t>
      </w:r>
      <w:bookmarkStart w:id="3109" w:name="_Ref531265966"/>
      <w:bookmarkEnd w:id="3107"/>
      <w:bookmarkEnd w:id="3109"/>
      <w:bookmarkEnd w:id="3108"/>
    </w:p>
    <w:p w14:paraId="21A32A19" w14:textId="298CF0F9" w:rsidR="004C53A8" w:rsidRDefault="00912A10">
      <w:pPr>
        <w:spacing w:before="60" w:after="60"/>
        <w:rPr>
          <w:rFonts w:ascii="Titillium" w:hAnsi="Titillium" w:cs="Calibri"/>
          <w:sz w:val="18"/>
          <w:szCs w:val="18"/>
        </w:rPr>
      </w:pPr>
      <w:r>
        <w:rPr>
          <w:rFonts w:ascii="Titillium" w:hAnsi="Titillium" w:cs="Calibri"/>
          <w:sz w:val="18"/>
          <w:szCs w:val="18"/>
        </w:rPr>
        <w:t>La proposta di aggiudicazione è formulata</w:t>
      </w:r>
      <w:r w:rsidR="00B64CC9">
        <w:rPr>
          <w:rFonts w:ascii="Titillium" w:hAnsi="Titillium" w:cs="Calibri"/>
          <w:sz w:val="18"/>
          <w:szCs w:val="18"/>
        </w:rPr>
        <w:t xml:space="preserve"> </w:t>
      </w:r>
      <w:r w:rsidR="00870286">
        <w:rPr>
          <w:rFonts w:ascii="Titillium" w:hAnsi="Titillium" w:cs="Calibri"/>
          <w:sz w:val="18"/>
          <w:szCs w:val="18"/>
        </w:rPr>
        <w:t xml:space="preserve">in favore del concorrente che ha presentato la migliore offerta. </w:t>
      </w:r>
    </w:p>
    <w:p w14:paraId="3A8FA9AB" w14:textId="46AC1B17" w:rsidR="00C3158B" w:rsidRPr="00C3158B" w:rsidRDefault="00870286" w:rsidP="00C3158B">
      <w:pPr>
        <w:rPr>
          <w:rFonts w:ascii="Titillium" w:hAnsi="Titillium" w:cs="Calibri"/>
          <w:sz w:val="18"/>
          <w:szCs w:val="18"/>
        </w:rPr>
      </w:pPr>
      <w:r w:rsidRPr="009B76BD">
        <w:rPr>
          <w:rFonts w:ascii="Titillium" w:hAnsi="Titillium" w:cs="Calibri"/>
          <w:b/>
          <w:i/>
          <w:sz w:val="18"/>
          <w:szCs w:val="18"/>
        </w:rPr>
        <w:t>[Facoltativo]</w:t>
      </w:r>
      <w:r w:rsidRPr="009B76BD">
        <w:rPr>
          <w:rFonts w:ascii="Titillium" w:hAnsi="Titillium" w:cs="Calibri"/>
          <w:b/>
          <w:sz w:val="18"/>
          <w:szCs w:val="18"/>
        </w:rPr>
        <w:t xml:space="preserve"> </w:t>
      </w:r>
      <w:r w:rsidRPr="009B76BD">
        <w:rPr>
          <w:rFonts w:ascii="Titillium" w:hAnsi="Titillium" w:cs="Calibri"/>
          <w:sz w:val="18"/>
          <w:szCs w:val="18"/>
        </w:rPr>
        <w:t xml:space="preserve">Qualora nessuna offerta risulti conveniente o idonea in relazione all’oggetto del contratto, </w:t>
      </w:r>
      <w:r w:rsidR="00C3158B">
        <w:rPr>
          <w:rFonts w:ascii="Titillium" w:hAnsi="Titillium" w:cs="Calibri"/>
          <w:sz w:val="18"/>
          <w:szCs w:val="18"/>
        </w:rPr>
        <w:t>la stazione appaltante</w:t>
      </w:r>
      <w:r w:rsidR="00103CF8">
        <w:rPr>
          <w:rFonts w:ascii="Titillium" w:hAnsi="Titillium" w:cs="Calibri"/>
          <w:sz w:val="18"/>
          <w:szCs w:val="18"/>
        </w:rPr>
        <w:t xml:space="preserve"> può decidere, </w:t>
      </w:r>
      <w:r w:rsidR="00C3158B">
        <w:rPr>
          <w:rFonts w:ascii="Titillium" w:hAnsi="Titillium" w:cs="Calibri"/>
          <w:sz w:val="18"/>
          <w:szCs w:val="18"/>
        </w:rPr>
        <w:t>entro</w:t>
      </w:r>
      <w:r w:rsidR="00C3158B" w:rsidRPr="00C3158B">
        <w:rPr>
          <w:rFonts w:ascii="Titillium" w:hAnsi="Titillium" w:cs="Calibri"/>
          <w:sz w:val="18"/>
          <w:szCs w:val="18"/>
        </w:rPr>
        <w:t xml:space="preserve"> 30 giorni dalla conclusione delle valutazioni delle offerte</w:t>
      </w:r>
      <w:r w:rsidR="00103CF8">
        <w:rPr>
          <w:rFonts w:ascii="Titillium" w:hAnsi="Titillium" w:cs="Calibri"/>
          <w:sz w:val="18"/>
          <w:szCs w:val="18"/>
        </w:rPr>
        <w:t>, di non procedere all’aggiudicazione</w:t>
      </w:r>
      <w:r w:rsidR="00C3158B" w:rsidRPr="00C3158B">
        <w:rPr>
          <w:rFonts w:ascii="Titillium" w:hAnsi="Titillium" w:cs="Calibri"/>
          <w:sz w:val="18"/>
          <w:szCs w:val="18"/>
        </w:rPr>
        <w:t>.</w:t>
      </w:r>
    </w:p>
    <w:p w14:paraId="71EB34D3" w14:textId="0C38E812" w:rsidR="004C53A8" w:rsidRPr="00254D96" w:rsidRDefault="00870286">
      <w:pPr>
        <w:spacing w:before="60" w:after="60"/>
      </w:pPr>
      <w:r w:rsidRPr="009B76BD">
        <w:rPr>
          <w:rFonts w:ascii="Titillium" w:hAnsi="Titillium" w:cs="Calibri"/>
          <w:b/>
          <w:i/>
          <w:sz w:val="18"/>
          <w:szCs w:val="18"/>
        </w:rPr>
        <w:t xml:space="preserve">[Facoltativo] </w:t>
      </w:r>
      <w:r w:rsidR="00B64CC9" w:rsidRPr="00254D96">
        <w:rPr>
          <w:rFonts w:ascii="Titillium" w:hAnsi="Titillium" w:cs="Calibri"/>
          <w:sz w:val="18"/>
          <w:szCs w:val="18"/>
        </w:rPr>
        <w:t>N</w:t>
      </w:r>
      <w:r w:rsidRPr="00254D96">
        <w:rPr>
          <w:rFonts w:ascii="Titillium" w:hAnsi="Titillium" w:cs="Calibri"/>
          <w:sz w:val="18"/>
          <w:szCs w:val="18"/>
        </w:rPr>
        <w:t xml:space="preserve">on </w:t>
      </w:r>
      <w:r w:rsidR="00B64CC9" w:rsidRPr="00254D96">
        <w:rPr>
          <w:rFonts w:ascii="Titillium" w:hAnsi="Titillium" w:cs="Calibri"/>
          <w:sz w:val="18"/>
          <w:szCs w:val="18"/>
        </w:rPr>
        <w:t>si procede all’</w:t>
      </w:r>
      <w:r w:rsidRPr="00254D96">
        <w:rPr>
          <w:rFonts w:ascii="Titillium" w:hAnsi="Titillium" w:cs="Calibri"/>
          <w:sz w:val="18"/>
          <w:szCs w:val="18"/>
        </w:rPr>
        <w:t>aggiudica</w:t>
      </w:r>
      <w:r w:rsidR="00B64CC9" w:rsidRPr="00254D96">
        <w:rPr>
          <w:rFonts w:ascii="Titillium" w:hAnsi="Titillium" w:cs="Calibri"/>
          <w:sz w:val="18"/>
          <w:szCs w:val="18"/>
        </w:rPr>
        <w:t>zione del</w:t>
      </w:r>
      <w:r w:rsidRPr="00254D96">
        <w:rPr>
          <w:rFonts w:ascii="Titillium" w:hAnsi="Titillium" w:cs="Calibri"/>
          <w:sz w:val="18"/>
          <w:szCs w:val="18"/>
        </w:rPr>
        <w:t xml:space="preserve">l’appalto all’offerente che </w:t>
      </w:r>
      <w:r w:rsidR="00B64CC9" w:rsidRPr="00254D96">
        <w:rPr>
          <w:rFonts w:ascii="Titillium" w:hAnsi="Titillium" w:cs="Calibri"/>
          <w:sz w:val="18"/>
          <w:szCs w:val="18"/>
        </w:rPr>
        <w:t>ha</w:t>
      </w:r>
      <w:r w:rsidRPr="00254D96">
        <w:rPr>
          <w:rFonts w:ascii="Titillium" w:hAnsi="Titillium" w:cs="Calibri"/>
          <w:sz w:val="18"/>
          <w:szCs w:val="18"/>
        </w:rPr>
        <w:t xml:space="preserve"> presentato l’offerta economicamente più vantaggiosa qualora </w:t>
      </w:r>
      <w:r w:rsidR="006405D2" w:rsidRPr="00254D96">
        <w:rPr>
          <w:rFonts w:ascii="Titillium" w:hAnsi="Titillium" w:cs="Calibri"/>
          <w:sz w:val="18"/>
          <w:szCs w:val="18"/>
        </w:rPr>
        <w:t>venga accertato</w:t>
      </w:r>
      <w:r w:rsidRPr="00254D96">
        <w:rPr>
          <w:rFonts w:ascii="Titillium" w:hAnsi="Titillium" w:cs="Calibri"/>
          <w:sz w:val="18"/>
          <w:szCs w:val="18"/>
        </w:rPr>
        <w:t xml:space="preserve"> che tale offerta non soddisf</w:t>
      </w:r>
      <w:r w:rsidR="00B64CC9" w:rsidRPr="00254D96">
        <w:rPr>
          <w:rFonts w:ascii="Titillium" w:hAnsi="Titillium" w:cs="Calibri"/>
          <w:sz w:val="18"/>
          <w:szCs w:val="18"/>
        </w:rPr>
        <w:t>a</w:t>
      </w:r>
      <w:r w:rsidRPr="00254D96">
        <w:rPr>
          <w:rFonts w:ascii="Titillium" w:hAnsi="Titillium" w:cs="Calibri"/>
          <w:sz w:val="18"/>
          <w:szCs w:val="18"/>
        </w:rPr>
        <w:t xml:space="preserve"> gli obblighi in materia ambientale, sociale e del lavoro stabiliti dalla normativa europea e nazionale, dai contratti collettivi o dalle disposizioni internazionali elencate </w:t>
      </w:r>
      <w:r w:rsidRPr="00300C9D">
        <w:rPr>
          <w:rFonts w:ascii="Titillium" w:hAnsi="Titillium" w:cs="Calibri"/>
          <w:sz w:val="18"/>
          <w:szCs w:val="18"/>
        </w:rPr>
        <w:t xml:space="preserve">nell’allegato X </w:t>
      </w:r>
      <w:r w:rsidR="00300C9D">
        <w:rPr>
          <w:rFonts w:ascii="Titillium" w:hAnsi="Titillium" w:cs="Calibri"/>
          <w:sz w:val="18"/>
          <w:szCs w:val="18"/>
        </w:rPr>
        <w:t>della direttiva 2014/24/UE</w:t>
      </w:r>
      <w:r w:rsidRPr="00300C9D">
        <w:rPr>
          <w:rFonts w:ascii="Titillium" w:hAnsi="Titillium" w:cs="Calibri"/>
          <w:sz w:val="18"/>
          <w:szCs w:val="18"/>
        </w:rPr>
        <w:t>.</w:t>
      </w:r>
    </w:p>
    <w:p w14:paraId="4F7E471C" w14:textId="77777777" w:rsidR="00473C06" w:rsidRDefault="00870286">
      <w:pPr>
        <w:spacing w:before="60" w:after="60"/>
        <w:rPr>
          <w:rFonts w:ascii="Titillium" w:hAnsi="Titillium" w:cs="Calibri"/>
          <w:sz w:val="18"/>
          <w:szCs w:val="18"/>
        </w:rPr>
      </w:pPr>
      <w:r w:rsidRPr="00FE7AB7">
        <w:rPr>
          <w:rFonts w:ascii="Titillium" w:hAnsi="Titillium" w:cs="Calibri"/>
          <w:b/>
          <w:bCs/>
          <w:i/>
          <w:sz w:val="18"/>
          <w:szCs w:val="18"/>
        </w:rPr>
        <w:t>[</w:t>
      </w:r>
      <w:bookmarkStart w:id="3110" w:name="_Hlk129798474"/>
      <w:r w:rsidR="00473C06">
        <w:rPr>
          <w:rFonts w:ascii="Titillium" w:hAnsi="Titillium" w:cs="Calibri"/>
          <w:b/>
          <w:bCs/>
          <w:i/>
          <w:sz w:val="18"/>
          <w:szCs w:val="18"/>
        </w:rPr>
        <w:t>L</w:t>
      </w:r>
      <w:r w:rsidRPr="00FE7AB7">
        <w:rPr>
          <w:rFonts w:ascii="Titillium" w:hAnsi="Titillium" w:cs="Calibri"/>
          <w:b/>
          <w:bCs/>
          <w:i/>
          <w:sz w:val="18"/>
          <w:szCs w:val="18"/>
        </w:rPr>
        <w:t xml:space="preserve">a clausola </w:t>
      </w:r>
      <w:r w:rsidR="00557FFB" w:rsidRPr="00FE7AB7">
        <w:rPr>
          <w:rFonts w:ascii="Titillium" w:hAnsi="Titillium" w:cs="Calibri"/>
          <w:b/>
          <w:bCs/>
          <w:i/>
          <w:sz w:val="18"/>
          <w:szCs w:val="18"/>
        </w:rPr>
        <w:t>non va inserita</w:t>
      </w:r>
      <w:r w:rsidRPr="00FE7AB7">
        <w:rPr>
          <w:rFonts w:ascii="Titillium" w:hAnsi="Titillium" w:cs="Calibri"/>
          <w:b/>
          <w:bCs/>
          <w:i/>
          <w:sz w:val="18"/>
          <w:szCs w:val="18"/>
        </w:rPr>
        <w:t xml:space="preserve"> in caso di forniture senza posa in opera e servizi di natura intellettuale</w:t>
      </w:r>
      <w:bookmarkEnd w:id="3110"/>
      <w:r w:rsidRPr="00FE7AB7">
        <w:rPr>
          <w:rFonts w:ascii="Titillium" w:hAnsi="Titillium" w:cs="Calibri"/>
          <w:b/>
          <w:bCs/>
          <w:i/>
          <w:sz w:val="18"/>
          <w:szCs w:val="18"/>
        </w:rPr>
        <w:t>]</w:t>
      </w:r>
      <w:r w:rsidRPr="00FE7AB7">
        <w:rPr>
          <w:rFonts w:ascii="Titillium" w:hAnsi="Titillium" w:cs="Calibri"/>
          <w:i/>
          <w:sz w:val="18"/>
          <w:szCs w:val="18"/>
        </w:rPr>
        <w:t xml:space="preserve"> </w:t>
      </w:r>
      <w:r w:rsidRPr="006E08DB">
        <w:rPr>
          <w:rFonts w:ascii="Titillium" w:hAnsi="Titillium" w:cs="Calibri"/>
          <w:sz w:val="18"/>
          <w:szCs w:val="18"/>
        </w:rPr>
        <w:t>Il RUP procede, laddove non effettuata in sede di verifica di congruità dell’offerta, a verificare</w:t>
      </w:r>
      <w:r w:rsidR="00473C06">
        <w:rPr>
          <w:rFonts w:ascii="Titillium" w:hAnsi="Titillium" w:cs="Calibri"/>
          <w:sz w:val="18"/>
          <w:szCs w:val="18"/>
        </w:rPr>
        <w:t>:</w:t>
      </w:r>
    </w:p>
    <w:p w14:paraId="7B20B1BC" w14:textId="07E5FE23" w:rsidR="004C53A8" w:rsidRPr="004300F2" w:rsidRDefault="00473C06" w:rsidP="004300F2">
      <w:pPr>
        <w:pStyle w:val="Paragrafoelenco"/>
        <w:numPr>
          <w:ilvl w:val="0"/>
          <w:numId w:val="82"/>
        </w:numPr>
        <w:spacing w:before="60" w:after="60"/>
        <w:rPr>
          <w:rFonts w:ascii="Titillium" w:hAnsi="Titillium" w:cs="Calibri"/>
          <w:sz w:val="18"/>
          <w:szCs w:val="18"/>
        </w:rPr>
      </w:pPr>
      <w:r w:rsidRPr="004300F2">
        <w:rPr>
          <w:rFonts w:ascii="Titillium" w:hAnsi="Titillium" w:cs="Calibri"/>
          <w:sz w:val="18"/>
          <w:szCs w:val="18"/>
        </w:rPr>
        <w:t>l’equivalenza delle tutele nel caso in cui l’aggiudicatario abbia dichiarato</w:t>
      </w:r>
      <w:r w:rsidR="004300F2" w:rsidRPr="004300F2">
        <w:rPr>
          <w:rFonts w:ascii="Titillium" w:hAnsi="Titillium" w:cs="Calibri"/>
          <w:sz w:val="18"/>
          <w:szCs w:val="18"/>
        </w:rPr>
        <w:t xml:space="preserve"> di applicare </w:t>
      </w:r>
      <w:r w:rsidRPr="004300F2">
        <w:rPr>
          <w:rFonts w:ascii="Titillium" w:hAnsi="Titillium" w:cs="Calibri"/>
          <w:sz w:val="18"/>
          <w:szCs w:val="18"/>
        </w:rPr>
        <w:t xml:space="preserve">un diverso </w:t>
      </w:r>
      <w:r w:rsidR="004300F2" w:rsidRPr="004300F2">
        <w:rPr>
          <w:rFonts w:ascii="Titillium" w:hAnsi="Titillium" w:cs="Calibri"/>
          <w:sz w:val="18"/>
          <w:szCs w:val="18"/>
        </w:rPr>
        <w:t xml:space="preserve">contratto collettivo nazionale </w:t>
      </w:r>
      <w:r w:rsidR="000E65AD">
        <w:rPr>
          <w:rFonts w:ascii="Titillium" w:hAnsi="Titillium" w:cs="Calibri"/>
          <w:sz w:val="18"/>
          <w:szCs w:val="18"/>
        </w:rPr>
        <w:t xml:space="preserve">diverso </w:t>
      </w:r>
      <w:r w:rsidR="004300F2" w:rsidRPr="004300F2">
        <w:rPr>
          <w:rFonts w:ascii="Titillium" w:hAnsi="Titillium" w:cs="Calibri"/>
          <w:sz w:val="18"/>
          <w:szCs w:val="18"/>
        </w:rPr>
        <w:t>rispetto a quello indicato dalla stazione appaltante</w:t>
      </w:r>
      <w:r w:rsidR="000E65AD">
        <w:rPr>
          <w:rFonts w:ascii="Titillium" w:hAnsi="Titillium" w:cs="Calibri"/>
          <w:sz w:val="18"/>
          <w:szCs w:val="18"/>
        </w:rPr>
        <w:t xml:space="preserve"> e il rispetto di quanto indicato nella c</w:t>
      </w:r>
      <w:r w:rsidR="000E65AD" w:rsidRPr="000E65AD">
        <w:rPr>
          <w:rFonts w:ascii="Titillium" w:hAnsi="Titillium" w:cs="Calibri"/>
          <w:sz w:val="18"/>
          <w:szCs w:val="18"/>
        </w:rPr>
        <w:t>lausola sociale per l’applicazione dei contratti collettivi nazionali e territoriali</w:t>
      </w:r>
      <w:r w:rsidR="0013560D">
        <w:rPr>
          <w:rFonts w:ascii="Titillium" w:hAnsi="Titillium" w:cs="Calibri"/>
          <w:sz w:val="18"/>
          <w:szCs w:val="18"/>
        </w:rPr>
        <w:t xml:space="preserve"> di cui </w:t>
      </w:r>
      <w:r w:rsidR="0078130E">
        <w:rPr>
          <w:rFonts w:ascii="Titillium" w:hAnsi="Titillium" w:cs="Calibri"/>
          <w:sz w:val="18"/>
          <w:szCs w:val="18"/>
        </w:rPr>
        <w:t xml:space="preserve">al </w:t>
      </w:r>
      <w:r w:rsidR="00991D53">
        <w:rPr>
          <w:rFonts w:ascii="Titillium" w:hAnsi="Titillium" w:cs="Calibri"/>
          <w:sz w:val="18"/>
          <w:szCs w:val="18"/>
        </w:rPr>
        <w:t>punto</w:t>
      </w:r>
      <w:r w:rsidR="005656B6">
        <w:rPr>
          <w:rFonts w:ascii="Titillium" w:hAnsi="Titillium" w:cs="Calibri"/>
          <w:sz w:val="18"/>
          <w:szCs w:val="18"/>
        </w:rPr>
        <w:t xml:space="preserve"> </w:t>
      </w:r>
      <w:r w:rsidR="000E65AD">
        <w:rPr>
          <w:rFonts w:ascii="Titillium" w:hAnsi="Titillium" w:cs="Calibri"/>
          <w:sz w:val="18"/>
          <w:szCs w:val="18"/>
        </w:rPr>
        <w:fldChar w:fldCharType="begin"/>
      </w:r>
      <w:r w:rsidR="000E65AD">
        <w:rPr>
          <w:rFonts w:ascii="Titillium" w:hAnsi="Titillium" w:cs="Calibri"/>
          <w:sz w:val="18"/>
          <w:szCs w:val="18"/>
        </w:rPr>
        <w:instrText xml:space="preserve"> REF _Ref132050689 \r \h </w:instrText>
      </w:r>
      <w:r w:rsidR="000E65AD">
        <w:rPr>
          <w:rFonts w:ascii="Titillium" w:hAnsi="Titillium" w:cs="Calibri"/>
          <w:sz w:val="18"/>
          <w:szCs w:val="18"/>
        </w:rPr>
      </w:r>
      <w:r w:rsidR="000E65AD">
        <w:rPr>
          <w:rFonts w:ascii="Titillium" w:hAnsi="Titillium" w:cs="Calibri"/>
          <w:sz w:val="18"/>
          <w:szCs w:val="18"/>
        </w:rPr>
        <w:fldChar w:fldCharType="separate"/>
      </w:r>
      <w:r w:rsidR="00527049">
        <w:rPr>
          <w:rFonts w:ascii="Titillium" w:hAnsi="Titillium" w:cs="Calibri"/>
          <w:sz w:val="18"/>
          <w:szCs w:val="18"/>
        </w:rPr>
        <w:t>9</w:t>
      </w:r>
      <w:r w:rsidR="000E65AD">
        <w:rPr>
          <w:rFonts w:ascii="Titillium" w:hAnsi="Titillium" w:cs="Calibri"/>
          <w:sz w:val="18"/>
          <w:szCs w:val="18"/>
        </w:rPr>
        <w:fldChar w:fldCharType="end"/>
      </w:r>
      <w:r w:rsidR="000E65AD">
        <w:rPr>
          <w:rFonts w:ascii="Titillium" w:hAnsi="Titillium" w:cs="Calibri"/>
          <w:sz w:val="18"/>
          <w:szCs w:val="18"/>
        </w:rPr>
        <w:t xml:space="preserve"> </w:t>
      </w:r>
      <w:r w:rsidR="004300F2" w:rsidRPr="004300F2">
        <w:rPr>
          <w:rFonts w:ascii="Titillium" w:hAnsi="Titillium" w:cs="Calibri"/>
          <w:sz w:val="18"/>
          <w:szCs w:val="18"/>
        </w:rPr>
        <w:t>;</w:t>
      </w:r>
    </w:p>
    <w:p w14:paraId="4622737C" w14:textId="1D9C7618" w:rsidR="004300F2" w:rsidRPr="00F53D3E" w:rsidRDefault="004300F2" w:rsidP="004300F2">
      <w:pPr>
        <w:pStyle w:val="Paragrafoelenco"/>
        <w:numPr>
          <w:ilvl w:val="0"/>
          <w:numId w:val="82"/>
        </w:numPr>
        <w:spacing w:before="60" w:after="60"/>
      </w:pPr>
      <w:r w:rsidRPr="004300F2">
        <w:rPr>
          <w:rFonts w:ascii="Titillium" w:hAnsi="Titillium" w:cs="Calibri"/>
          <w:sz w:val="18"/>
          <w:szCs w:val="18"/>
        </w:rPr>
        <w:t xml:space="preserve">l’attendibilità degli impegni assunti dall’appaltatore in relazione a quanto richiesto </w:t>
      </w:r>
      <w:r w:rsidR="0078130E">
        <w:rPr>
          <w:rFonts w:ascii="Titillium" w:hAnsi="Titillium" w:cs="Calibri"/>
          <w:sz w:val="18"/>
          <w:szCs w:val="18"/>
        </w:rPr>
        <w:t xml:space="preserve">dal </w:t>
      </w:r>
      <w:r w:rsidR="00991D53">
        <w:rPr>
          <w:rFonts w:ascii="Titillium" w:hAnsi="Titillium" w:cs="Calibri"/>
          <w:sz w:val="18"/>
          <w:szCs w:val="18"/>
        </w:rPr>
        <w:t>punto</w:t>
      </w:r>
      <w:r w:rsidR="005656B6" w:rsidRPr="004300F2">
        <w:rPr>
          <w:rFonts w:ascii="Titillium" w:hAnsi="Titillium" w:cs="Calibri"/>
          <w:sz w:val="18"/>
          <w:szCs w:val="18"/>
        </w:rPr>
        <w:t xml:space="preserve"> </w:t>
      </w:r>
      <w:r w:rsidR="000E65AD">
        <w:rPr>
          <w:rFonts w:ascii="Titillium" w:hAnsi="Titillium" w:cs="Calibri"/>
          <w:sz w:val="18"/>
          <w:szCs w:val="18"/>
        </w:rPr>
        <w:fldChar w:fldCharType="begin"/>
      </w:r>
      <w:r w:rsidR="000E65AD">
        <w:rPr>
          <w:rFonts w:ascii="Titillium" w:hAnsi="Titillium" w:cs="Calibri"/>
          <w:sz w:val="18"/>
          <w:szCs w:val="18"/>
        </w:rPr>
        <w:instrText xml:space="preserve"> REF _Ref132050689 \r \h </w:instrText>
      </w:r>
      <w:r w:rsidR="000E65AD">
        <w:rPr>
          <w:rFonts w:ascii="Titillium" w:hAnsi="Titillium" w:cs="Calibri"/>
          <w:sz w:val="18"/>
          <w:szCs w:val="18"/>
        </w:rPr>
      </w:r>
      <w:r w:rsidR="000E65AD">
        <w:rPr>
          <w:rFonts w:ascii="Titillium" w:hAnsi="Titillium" w:cs="Calibri"/>
          <w:sz w:val="18"/>
          <w:szCs w:val="18"/>
        </w:rPr>
        <w:fldChar w:fldCharType="separate"/>
      </w:r>
      <w:r w:rsidR="00527049">
        <w:rPr>
          <w:rFonts w:ascii="Titillium" w:hAnsi="Titillium" w:cs="Calibri"/>
          <w:sz w:val="18"/>
          <w:szCs w:val="18"/>
        </w:rPr>
        <w:t>9</w:t>
      </w:r>
      <w:r w:rsidR="000E65AD">
        <w:rPr>
          <w:rFonts w:ascii="Titillium" w:hAnsi="Titillium" w:cs="Calibri"/>
          <w:sz w:val="18"/>
          <w:szCs w:val="18"/>
        </w:rPr>
        <w:fldChar w:fldCharType="end"/>
      </w:r>
      <w:r w:rsidRPr="004300F2">
        <w:rPr>
          <w:rFonts w:ascii="Titillium" w:hAnsi="Titillium" w:cs="Calibri"/>
          <w:sz w:val="18"/>
          <w:szCs w:val="18"/>
        </w:rPr>
        <w:t xml:space="preserve"> </w:t>
      </w:r>
      <w:r>
        <w:rPr>
          <w:rFonts w:ascii="Titillium" w:hAnsi="Titillium" w:cs="Calibri"/>
          <w:sz w:val="18"/>
          <w:szCs w:val="18"/>
        </w:rPr>
        <w:t xml:space="preserve">e riguardante la </w:t>
      </w:r>
      <w:r w:rsidRPr="004300F2">
        <w:rPr>
          <w:rFonts w:ascii="Titillium" w:hAnsi="Titillium" w:cs="Calibri"/>
          <w:sz w:val="18"/>
          <w:szCs w:val="18"/>
        </w:rPr>
        <w:t>stabilità occupazionale</w:t>
      </w:r>
      <w:r>
        <w:rPr>
          <w:rFonts w:ascii="Titillium" w:hAnsi="Titillium" w:cs="Calibri"/>
          <w:sz w:val="18"/>
          <w:szCs w:val="18"/>
        </w:rPr>
        <w:t xml:space="preserve"> e</w:t>
      </w:r>
      <w:r w:rsidRPr="004300F2">
        <w:rPr>
          <w:rFonts w:ascii="Titillium" w:hAnsi="Titillium" w:cs="Calibri"/>
          <w:sz w:val="18"/>
          <w:szCs w:val="18"/>
        </w:rPr>
        <w:t xml:space="preserve"> le pari opportunità generazionali, di genere e di inclusione lavorativa per le persone con disabilità o svantaggiate</w:t>
      </w:r>
      <w:r>
        <w:rPr>
          <w:rFonts w:ascii="Titillium" w:hAnsi="Titillium" w:cs="Calibri"/>
          <w:sz w:val="18"/>
          <w:szCs w:val="18"/>
        </w:rPr>
        <w:t>.</w:t>
      </w:r>
    </w:p>
    <w:p w14:paraId="304F7EF8" w14:textId="137F65CD" w:rsidR="004C53A8" w:rsidRPr="00F53D3E" w:rsidRDefault="004C53A8">
      <w:pPr>
        <w:spacing w:before="60" w:after="60"/>
        <w:rPr>
          <w:rFonts w:ascii="Titillium" w:hAnsi="Titillium" w:cs="Calibri"/>
          <w:sz w:val="18"/>
          <w:szCs w:val="18"/>
        </w:rPr>
      </w:pPr>
    </w:p>
    <w:p w14:paraId="6E65F11B" w14:textId="1040FA4F" w:rsidR="00AB7FF5" w:rsidRDefault="00557FFB">
      <w:pPr>
        <w:spacing w:before="60" w:after="60"/>
        <w:rPr>
          <w:rFonts w:ascii="Titillium" w:hAnsi="Titillium" w:cs="Calibri"/>
          <w:sz w:val="18"/>
          <w:szCs w:val="18"/>
        </w:rPr>
      </w:pPr>
      <w:r w:rsidRPr="00F53D3E">
        <w:rPr>
          <w:rFonts w:ascii="Titillium" w:hAnsi="Titillium" w:cs="Calibri"/>
          <w:sz w:val="18"/>
          <w:szCs w:val="18"/>
        </w:rPr>
        <w:t>L</w:t>
      </w:r>
      <w:r w:rsidR="00870286" w:rsidRPr="00F53D3E">
        <w:rPr>
          <w:rFonts w:ascii="Titillium" w:hAnsi="Titillium" w:cs="Calibri"/>
          <w:sz w:val="18"/>
          <w:szCs w:val="18"/>
        </w:rPr>
        <w:t xml:space="preserve">’aggiudicazione </w:t>
      </w:r>
      <w:r w:rsidR="006405D2">
        <w:rPr>
          <w:rFonts w:ascii="Titillium" w:hAnsi="Titillium" w:cs="Calibri"/>
          <w:sz w:val="18"/>
          <w:szCs w:val="18"/>
        </w:rPr>
        <w:t>è disposta</w:t>
      </w:r>
      <w:r w:rsidR="00870286" w:rsidRPr="00F53D3E">
        <w:rPr>
          <w:rFonts w:ascii="Titillium" w:hAnsi="Titillium" w:cs="Calibri"/>
          <w:sz w:val="18"/>
          <w:szCs w:val="18"/>
        </w:rPr>
        <w:t xml:space="preserve"> all’esito positivo della verifica del possesso dei requisiti prescritti dal presente disciplinare</w:t>
      </w:r>
      <w:r w:rsidR="006405D2">
        <w:rPr>
          <w:rFonts w:ascii="Titillium" w:hAnsi="Titillium" w:cs="Calibri"/>
          <w:sz w:val="18"/>
          <w:szCs w:val="18"/>
        </w:rPr>
        <w:t xml:space="preserve"> ed è immediatamente efficace</w:t>
      </w:r>
      <w:r w:rsidR="00870286" w:rsidRPr="00F53D3E">
        <w:rPr>
          <w:rFonts w:ascii="Titillium" w:hAnsi="Titillium" w:cs="Calibri"/>
          <w:sz w:val="18"/>
          <w:szCs w:val="18"/>
        </w:rPr>
        <w:t>.</w:t>
      </w:r>
      <w:r w:rsidR="008524B9">
        <w:rPr>
          <w:rFonts w:ascii="Titillium" w:hAnsi="Titillium" w:cs="Calibri"/>
          <w:sz w:val="18"/>
          <w:szCs w:val="18"/>
        </w:rPr>
        <w:t xml:space="preserve"> </w:t>
      </w:r>
      <w:r w:rsidR="00870286" w:rsidRPr="00F53D3E">
        <w:rPr>
          <w:rFonts w:ascii="Titillium" w:hAnsi="Titillium" w:cs="Calibri"/>
          <w:sz w:val="18"/>
          <w:szCs w:val="18"/>
        </w:rPr>
        <w:t xml:space="preserve">In caso di esito negativo delle verifiche, </w:t>
      </w:r>
      <w:r w:rsidR="007B5801" w:rsidRPr="00F53D3E">
        <w:rPr>
          <w:rFonts w:ascii="Titillium" w:hAnsi="Titillium" w:cs="Calibri"/>
          <w:sz w:val="18"/>
          <w:szCs w:val="18"/>
        </w:rPr>
        <w:t>si</w:t>
      </w:r>
      <w:r w:rsidR="00870286" w:rsidRPr="00F53D3E">
        <w:rPr>
          <w:rFonts w:ascii="Titillium" w:hAnsi="Titillium" w:cs="Calibri"/>
          <w:sz w:val="18"/>
          <w:szCs w:val="18"/>
        </w:rPr>
        <w:t xml:space="preserve"> procede</w:t>
      </w:r>
      <w:r w:rsidR="004300F2">
        <w:rPr>
          <w:rFonts w:ascii="Titillium" w:hAnsi="Titillium" w:cs="Calibri"/>
          <w:sz w:val="18"/>
          <w:szCs w:val="18"/>
        </w:rPr>
        <w:t xml:space="preserve"> </w:t>
      </w:r>
      <w:r w:rsidR="00AB7FF5">
        <w:rPr>
          <w:rFonts w:ascii="Titillium" w:hAnsi="Titillium" w:cs="Calibri"/>
          <w:sz w:val="18"/>
          <w:szCs w:val="18"/>
        </w:rPr>
        <w:t>all’esclusione</w:t>
      </w:r>
      <w:r w:rsidR="00870286" w:rsidRPr="004300F2">
        <w:rPr>
          <w:rFonts w:ascii="Titillium" w:hAnsi="Titillium" w:cs="Calibri"/>
          <w:sz w:val="18"/>
          <w:szCs w:val="18"/>
        </w:rPr>
        <w:t>, alla segnalazione all’ANAC</w:t>
      </w:r>
      <w:r w:rsidR="00CD3EBE" w:rsidRPr="004300F2">
        <w:rPr>
          <w:rFonts w:ascii="Titillium" w:hAnsi="Titillium" w:cs="Calibri"/>
          <w:sz w:val="18"/>
          <w:szCs w:val="18"/>
        </w:rPr>
        <w:t>, ad</w:t>
      </w:r>
      <w:r w:rsidR="00CD3EBE">
        <w:rPr>
          <w:rFonts w:ascii="Titillium" w:hAnsi="Titillium" w:cs="Calibri"/>
          <w:sz w:val="18"/>
          <w:szCs w:val="18"/>
        </w:rPr>
        <w:t xml:space="preserve"> incamerare la garanzia provvisoria</w:t>
      </w:r>
      <w:r w:rsidR="00AB7FF5">
        <w:rPr>
          <w:rFonts w:ascii="Titillium" w:hAnsi="Titillium" w:cs="Calibri"/>
          <w:sz w:val="18"/>
          <w:szCs w:val="18"/>
        </w:rPr>
        <w:t>.</w:t>
      </w:r>
    </w:p>
    <w:p w14:paraId="5EFC29E0" w14:textId="31E609BB" w:rsidR="004C53A8" w:rsidRPr="00F53D3E" w:rsidRDefault="00AB7FF5">
      <w:pPr>
        <w:spacing w:before="60" w:after="60"/>
        <w:rPr>
          <w:rFonts w:ascii="Titillium" w:hAnsi="Titillium" w:cs="Calibri"/>
          <w:sz w:val="18"/>
          <w:szCs w:val="18"/>
        </w:rPr>
      </w:pPr>
      <w:r>
        <w:rPr>
          <w:rFonts w:ascii="Titillium" w:hAnsi="Titillium" w:cs="Calibri"/>
          <w:sz w:val="18"/>
          <w:szCs w:val="18"/>
        </w:rPr>
        <w:t xml:space="preserve">Successivamente si procede a ricalcolare i punteggi e a riformulare la graduatoria </w:t>
      </w:r>
      <w:r w:rsidR="00870286" w:rsidRPr="00F53D3E">
        <w:rPr>
          <w:rFonts w:ascii="Titillium" w:hAnsi="Titillium" w:cs="Calibri"/>
          <w:sz w:val="18"/>
          <w:szCs w:val="18"/>
        </w:rPr>
        <w:t>procedendo altresì, alle verifiche nei termini sopra indicati.</w:t>
      </w:r>
      <w:r w:rsidR="008524B9">
        <w:rPr>
          <w:rFonts w:ascii="Titillium" w:hAnsi="Titillium" w:cs="Calibri"/>
          <w:sz w:val="18"/>
          <w:szCs w:val="18"/>
        </w:rPr>
        <w:t xml:space="preserve"> </w:t>
      </w:r>
      <w:r w:rsidR="00870286" w:rsidRPr="00F53D3E">
        <w:rPr>
          <w:rFonts w:ascii="Titillium" w:hAnsi="Titillium" w:cs="Calibri"/>
          <w:sz w:val="18"/>
          <w:szCs w:val="18"/>
        </w:rPr>
        <w:t xml:space="preserve">Nell’ipotesi </w:t>
      </w:r>
      <w:r>
        <w:rPr>
          <w:rFonts w:ascii="Titillium" w:hAnsi="Titillium" w:cs="Calibri"/>
          <w:sz w:val="18"/>
          <w:szCs w:val="18"/>
        </w:rPr>
        <w:t>di ulteriore esito negativo delle verifiche</w:t>
      </w:r>
      <w:r w:rsidR="00870286" w:rsidRPr="00F53D3E">
        <w:rPr>
          <w:rFonts w:ascii="Titillium" w:hAnsi="Titillium" w:cs="Calibri"/>
          <w:sz w:val="18"/>
          <w:szCs w:val="18"/>
        </w:rPr>
        <w:t xml:space="preserve"> </w:t>
      </w:r>
      <w:r>
        <w:rPr>
          <w:rFonts w:ascii="Titillium" w:hAnsi="Titillium" w:cs="Calibri"/>
          <w:sz w:val="18"/>
          <w:szCs w:val="18"/>
        </w:rPr>
        <w:t xml:space="preserve">si procede </w:t>
      </w:r>
      <w:r w:rsidR="00870286" w:rsidRPr="00F53D3E">
        <w:rPr>
          <w:rFonts w:ascii="Titillium" w:hAnsi="Titillium" w:cs="Calibri"/>
          <w:sz w:val="18"/>
          <w:szCs w:val="18"/>
        </w:rPr>
        <w:t>nei termini sopra detti,</w:t>
      </w:r>
      <w:r>
        <w:rPr>
          <w:rFonts w:ascii="Titillium" w:hAnsi="Titillium" w:cs="Calibri"/>
          <w:sz w:val="18"/>
          <w:szCs w:val="18"/>
        </w:rPr>
        <w:t xml:space="preserve"> </w:t>
      </w:r>
      <w:r w:rsidR="00870286" w:rsidRPr="00F53D3E">
        <w:rPr>
          <w:rFonts w:ascii="Titillium" w:hAnsi="Titillium" w:cs="Calibri"/>
          <w:sz w:val="18"/>
          <w:szCs w:val="18"/>
        </w:rPr>
        <w:t>scorrendo la graduatoria.</w:t>
      </w:r>
    </w:p>
    <w:p w14:paraId="0ADF589C" w14:textId="5B8BAD53" w:rsidR="004C53A8" w:rsidRPr="00F53D3E" w:rsidRDefault="007E6FE0">
      <w:pPr>
        <w:spacing w:before="60" w:after="60"/>
      </w:pPr>
      <w:r w:rsidRPr="00F53D3E" w:rsidDel="0053260F">
        <w:rPr>
          <w:rFonts w:ascii="Titillium" w:hAnsi="Titillium" w:cs="Calibri"/>
          <w:sz w:val="18"/>
          <w:szCs w:val="18"/>
        </w:rPr>
        <w:t xml:space="preserve">Il contratto è stipulato </w:t>
      </w:r>
      <w:r>
        <w:rPr>
          <w:rFonts w:ascii="Titillium" w:hAnsi="Titillium" w:cs="Calibri"/>
          <w:sz w:val="18"/>
          <w:szCs w:val="18"/>
        </w:rPr>
        <w:t>non prima di</w:t>
      </w:r>
      <w:r w:rsidRPr="00F53D3E" w:rsidDel="0053260F">
        <w:rPr>
          <w:rFonts w:ascii="Titillium" w:hAnsi="Titillium" w:cs="Calibri"/>
          <w:sz w:val="18"/>
          <w:szCs w:val="18"/>
        </w:rPr>
        <w:t xml:space="preserve"> 35 giorni dall’invio dell’ultima delle comunicazioni del provvedimento di aggiudicazione</w:t>
      </w:r>
      <w:r>
        <w:rPr>
          <w:rFonts w:ascii="Titillium" w:hAnsi="Titillium" w:cs="Calibri"/>
          <w:sz w:val="18"/>
          <w:szCs w:val="18"/>
        </w:rPr>
        <w:t xml:space="preserve"> e comunque</w:t>
      </w:r>
      <w:r w:rsidR="00870286" w:rsidRPr="00F53D3E">
        <w:rPr>
          <w:rFonts w:ascii="Titillium" w:hAnsi="Titillium" w:cs="Calibri"/>
          <w:sz w:val="18"/>
          <w:szCs w:val="18"/>
        </w:rPr>
        <w:t xml:space="preserve"> entro </w:t>
      </w:r>
      <w:r w:rsidR="007B5801" w:rsidRPr="00F53D3E">
        <w:rPr>
          <w:rFonts w:ascii="Titillium" w:hAnsi="Titillium" w:cs="Calibri"/>
          <w:sz w:val="18"/>
          <w:szCs w:val="18"/>
        </w:rPr>
        <w:t>…</w:t>
      </w:r>
      <w:r w:rsidR="00870286" w:rsidRPr="00F53D3E">
        <w:rPr>
          <w:rFonts w:ascii="Titillium" w:hAnsi="Titillium" w:cs="Calibri"/>
          <w:sz w:val="18"/>
          <w:szCs w:val="18"/>
        </w:rPr>
        <w:t xml:space="preserve"> [</w:t>
      </w:r>
      <w:r w:rsidR="007B5801" w:rsidRPr="00F53D3E">
        <w:rPr>
          <w:rFonts w:ascii="Titillium" w:hAnsi="Titillium" w:cs="Calibri"/>
          <w:i/>
          <w:sz w:val="18"/>
          <w:szCs w:val="18"/>
        </w:rPr>
        <w:t xml:space="preserve">di norma 60 giorni, </w:t>
      </w:r>
      <w:r w:rsidR="00870286" w:rsidRPr="00F53D3E">
        <w:rPr>
          <w:rFonts w:ascii="Titillium" w:hAnsi="Titillium" w:cs="Calibri"/>
          <w:i/>
          <w:sz w:val="18"/>
          <w:szCs w:val="18"/>
        </w:rPr>
        <w:t>la stazione appaltante può stabilire un termine diverso</w:t>
      </w:r>
      <w:r w:rsidR="00870286" w:rsidRPr="00F53D3E">
        <w:rPr>
          <w:rFonts w:ascii="Titillium" w:hAnsi="Titillium" w:cs="Calibri"/>
          <w:sz w:val="18"/>
          <w:szCs w:val="18"/>
        </w:rPr>
        <w:t xml:space="preserve">] </w:t>
      </w:r>
      <w:r w:rsidR="007B5801" w:rsidRPr="00F53D3E">
        <w:rPr>
          <w:rFonts w:ascii="Titillium" w:hAnsi="Titillium" w:cs="Calibri"/>
          <w:sz w:val="18"/>
          <w:szCs w:val="18"/>
        </w:rPr>
        <w:t xml:space="preserve">giorni </w:t>
      </w:r>
      <w:r w:rsidR="00870286" w:rsidRPr="00F53D3E">
        <w:rPr>
          <w:rFonts w:ascii="Titillium" w:hAnsi="Titillium" w:cs="Calibri"/>
          <w:sz w:val="18"/>
          <w:szCs w:val="18"/>
        </w:rPr>
        <w:t>dall’aggiudicazione</w:t>
      </w:r>
      <w:r w:rsidR="00B6695D">
        <w:rPr>
          <w:rFonts w:ascii="Titillium" w:hAnsi="Titillium" w:cs="Calibri"/>
          <w:sz w:val="18"/>
          <w:szCs w:val="18"/>
        </w:rPr>
        <w:t xml:space="preserve">, salvo quanto previsto dall’articolo 18 comma 2 del Codice. </w:t>
      </w:r>
    </w:p>
    <w:p w14:paraId="3557112B" w14:textId="7A803A64" w:rsidR="004C53A8" w:rsidRDefault="00870286">
      <w:pPr>
        <w:spacing w:before="60" w:after="60"/>
        <w:rPr>
          <w:rFonts w:ascii="Titillium" w:hAnsi="Titillium" w:cs="Calibri"/>
          <w:sz w:val="18"/>
          <w:szCs w:val="18"/>
        </w:rPr>
      </w:pPr>
      <w:r w:rsidRPr="00F53D3E">
        <w:rPr>
          <w:rFonts w:ascii="Titillium" w:hAnsi="Titillium" w:cs="Calibri"/>
          <w:sz w:val="18"/>
          <w:szCs w:val="18"/>
        </w:rPr>
        <w:t>[</w:t>
      </w:r>
      <w:r w:rsidRPr="00F53D3E">
        <w:rPr>
          <w:rFonts w:ascii="Titillium" w:hAnsi="Titillium" w:cs="Calibri"/>
          <w:b/>
          <w:i/>
          <w:sz w:val="18"/>
          <w:szCs w:val="18"/>
        </w:rPr>
        <w:t>Facoltativo</w:t>
      </w:r>
      <w:r w:rsidRPr="00F53D3E">
        <w:rPr>
          <w:rFonts w:ascii="Titillium" w:hAnsi="Titillium" w:cs="Calibri"/>
          <w:sz w:val="18"/>
          <w:szCs w:val="18"/>
        </w:rPr>
        <w:t xml:space="preserve">] A seguito di richiesta motivata proveniente dall’aggiudicatario la data di stipula del contratto può essere differita purché </w:t>
      </w:r>
      <w:r w:rsidR="007B5801" w:rsidRPr="00F53D3E">
        <w:rPr>
          <w:rFonts w:ascii="Titillium" w:hAnsi="Titillium" w:cs="Calibri"/>
          <w:sz w:val="18"/>
          <w:szCs w:val="18"/>
        </w:rPr>
        <w:t>ritenuta</w:t>
      </w:r>
      <w:r w:rsidRPr="00F53D3E">
        <w:rPr>
          <w:rFonts w:ascii="Titillium" w:hAnsi="Titillium" w:cs="Calibri"/>
          <w:sz w:val="18"/>
          <w:szCs w:val="18"/>
        </w:rPr>
        <w:t xml:space="preserve"> compatibile con la solle</w:t>
      </w:r>
      <w:r w:rsidR="007B5801" w:rsidRPr="00F53D3E">
        <w:rPr>
          <w:rFonts w:ascii="Titillium" w:hAnsi="Titillium" w:cs="Calibri"/>
          <w:sz w:val="18"/>
          <w:szCs w:val="18"/>
        </w:rPr>
        <w:t>cita esecuzione del</w:t>
      </w:r>
      <w:r w:rsidRPr="00F53D3E">
        <w:rPr>
          <w:rFonts w:ascii="Titillium" w:hAnsi="Titillium" w:cs="Calibri"/>
          <w:sz w:val="18"/>
          <w:szCs w:val="18"/>
        </w:rPr>
        <w:t xml:space="preserve"> contratto stesso.</w:t>
      </w:r>
    </w:p>
    <w:p w14:paraId="0AA925EE" w14:textId="2CA1C269"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 xml:space="preserve">La garanzia provvisoria </w:t>
      </w:r>
      <w:r w:rsidR="007E6FE0">
        <w:rPr>
          <w:rFonts w:ascii="Titillium" w:hAnsi="Titillium" w:cs="Calibri"/>
          <w:sz w:val="18"/>
          <w:szCs w:val="18"/>
        </w:rPr>
        <w:t xml:space="preserve">dell’aggiudicatario </w:t>
      </w:r>
      <w:r w:rsidRPr="00F53D3E">
        <w:rPr>
          <w:rFonts w:ascii="Titillium" w:hAnsi="Titillium" w:cs="Calibri"/>
          <w:sz w:val="18"/>
          <w:szCs w:val="18"/>
        </w:rPr>
        <w:t>è svincolata</w:t>
      </w:r>
      <w:r w:rsidR="004300F2">
        <w:rPr>
          <w:rFonts w:ascii="Titillium" w:hAnsi="Titillium" w:cs="Calibri"/>
          <w:sz w:val="18"/>
          <w:szCs w:val="18"/>
        </w:rPr>
        <w:t xml:space="preserve"> </w:t>
      </w:r>
      <w:r w:rsidRPr="00F53D3E">
        <w:rPr>
          <w:rFonts w:ascii="Titillium" w:hAnsi="Titillium" w:cs="Calibri"/>
          <w:sz w:val="18"/>
          <w:szCs w:val="18"/>
        </w:rPr>
        <w:t xml:space="preserve">automaticamente al momento della stipula del contratto; </w:t>
      </w:r>
      <w:r w:rsidR="007E6FE0">
        <w:rPr>
          <w:rFonts w:ascii="Titillium" w:hAnsi="Titillium" w:cs="Calibri"/>
          <w:sz w:val="18"/>
          <w:szCs w:val="18"/>
        </w:rPr>
        <w:t xml:space="preserve">la garanzia provvisoria degli </w:t>
      </w:r>
      <w:r w:rsidRPr="00F53D3E">
        <w:rPr>
          <w:rFonts w:ascii="Titillium" w:hAnsi="Titillium" w:cs="Calibri"/>
          <w:sz w:val="18"/>
          <w:szCs w:val="18"/>
        </w:rPr>
        <w:t>altri concorrenti è svincolata</w:t>
      </w:r>
      <w:r w:rsidR="007E6FE0">
        <w:rPr>
          <w:rFonts w:ascii="Titillium" w:hAnsi="Titillium" w:cs="Calibri"/>
          <w:sz w:val="18"/>
          <w:szCs w:val="18"/>
        </w:rPr>
        <w:t xml:space="preserve"> </w:t>
      </w:r>
      <w:r w:rsidR="00BA120E">
        <w:rPr>
          <w:rFonts w:ascii="Titillium" w:hAnsi="Titillium" w:cs="Calibri"/>
          <w:sz w:val="18"/>
          <w:szCs w:val="18"/>
        </w:rPr>
        <w:t>con il provvedimento di aggiudicazione e</w:t>
      </w:r>
      <w:r w:rsidR="007E6FE0">
        <w:rPr>
          <w:rFonts w:ascii="Titillium" w:hAnsi="Titillium" w:cs="Calibri"/>
          <w:sz w:val="18"/>
          <w:szCs w:val="18"/>
        </w:rPr>
        <w:t xml:space="preserve"> </w:t>
      </w:r>
      <w:r w:rsidR="00BA120E">
        <w:rPr>
          <w:rFonts w:ascii="Titillium" w:hAnsi="Titillium" w:cs="Calibri"/>
          <w:sz w:val="18"/>
          <w:szCs w:val="18"/>
        </w:rPr>
        <w:t>perde</w:t>
      </w:r>
      <w:r w:rsidR="007E6FE0">
        <w:rPr>
          <w:rFonts w:ascii="Titillium" w:hAnsi="Titillium" w:cs="Calibri"/>
          <w:sz w:val="18"/>
          <w:szCs w:val="18"/>
        </w:rPr>
        <w:t>, in ogni caso,</w:t>
      </w:r>
      <w:r w:rsidR="00BA120E">
        <w:rPr>
          <w:rFonts w:ascii="Titillium" w:hAnsi="Titillium" w:cs="Calibri"/>
          <w:sz w:val="18"/>
          <w:szCs w:val="18"/>
        </w:rPr>
        <w:t xml:space="preserve"> efficacia entro 30 giorni</w:t>
      </w:r>
      <w:r w:rsidR="007E6FE0">
        <w:rPr>
          <w:rFonts w:ascii="Titillium" w:hAnsi="Titillium" w:cs="Calibri"/>
          <w:sz w:val="18"/>
          <w:szCs w:val="18"/>
        </w:rPr>
        <w:t xml:space="preserve"> d</w:t>
      </w:r>
      <w:r w:rsidR="00BA120E">
        <w:rPr>
          <w:rFonts w:ascii="Titillium" w:hAnsi="Titillium" w:cs="Calibri"/>
          <w:sz w:val="18"/>
          <w:szCs w:val="18"/>
        </w:rPr>
        <w:t>all’aggiudicazione</w:t>
      </w:r>
      <w:r w:rsidRPr="00F53D3E">
        <w:rPr>
          <w:rFonts w:ascii="Titillium" w:hAnsi="Titillium" w:cs="Calibri"/>
          <w:sz w:val="18"/>
          <w:szCs w:val="18"/>
        </w:rPr>
        <w:t>.</w:t>
      </w:r>
    </w:p>
    <w:p w14:paraId="06759EEB" w14:textId="7040D070" w:rsidR="004C53A8" w:rsidRDefault="00870286">
      <w:pPr>
        <w:spacing w:before="60" w:after="60"/>
        <w:rPr>
          <w:rFonts w:ascii="Titillium" w:hAnsi="Titillium" w:cs="Calibri"/>
          <w:sz w:val="18"/>
          <w:szCs w:val="18"/>
        </w:rPr>
      </w:pPr>
      <w:r w:rsidRPr="00F53D3E">
        <w:rPr>
          <w:rFonts w:ascii="Titillium" w:hAnsi="Titillium" w:cs="Calibri"/>
          <w:sz w:val="18"/>
          <w:szCs w:val="18"/>
        </w:rPr>
        <w:t xml:space="preserve">All’atto della stipulazione del contratto, l’aggiudicatario deve presentare la garanzia definitiva da calcolare sull’importo contrattuale, secondo le misure e le modalità previste </w:t>
      </w:r>
      <w:r w:rsidRPr="004300F2">
        <w:rPr>
          <w:rFonts w:ascii="Titillium" w:hAnsi="Titillium" w:cs="Calibri"/>
          <w:sz w:val="18"/>
          <w:szCs w:val="18"/>
        </w:rPr>
        <w:t xml:space="preserve">dall’articolo </w:t>
      </w:r>
      <w:r w:rsidR="00BA120E" w:rsidRPr="004300F2">
        <w:rPr>
          <w:rFonts w:ascii="Titillium" w:hAnsi="Titillium" w:cs="Calibri"/>
          <w:sz w:val="18"/>
          <w:szCs w:val="18"/>
        </w:rPr>
        <w:t xml:space="preserve">117 </w:t>
      </w:r>
      <w:r w:rsidRPr="004300F2">
        <w:rPr>
          <w:rFonts w:ascii="Titillium" w:hAnsi="Titillium" w:cs="Calibri"/>
          <w:sz w:val="18"/>
          <w:szCs w:val="18"/>
        </w:rPr>
        <w:t>del Codice.</w:t>
      </w:r>
    </w:p>
    <w:p w14:paraId="0380A5E9" w14:textId="4115BEDE" w:rsidR="00F65B5E" w:rsidRPr="00851FDE" w:rsidRDefault="00F65B5E" w:rsidP="00F65B5E">
      <w:pPr>
        <w:pBdr>
          <w:top w:val="single" w:sz="4" w:space="1" w:color="auto"/>
          <w:left w:val="single" w:sz="4" w:space="4" w:color="auto"/>
          <w:bottom w:val="single" w:sz="4" w:space="1" w:color="auto"/>
          <w:right w:val="single" w:sz="4" w:space="4" w:color="auto"/>
        </w:pBdr>
        <w:spacing w:before="60" w:after="60"/>
        <w:rPr>
          <w:rFonts w:ascii="Titillium" w:hAnsi="Titillium" w:cs="Calibri"/>
          <w:i/>
          <w:sz w:val="18"/>
          <w:szCs w:val="18"/>
        </w:rPr>
      </w:pPr>
      <w:r w:rsidRPr="00851FDE">
        <w:rPr>
          <w:rFonts w:ascii="Titillium" w:hAnsi="Titillium" w:cs="Calibri"/>
          <w:i/>
          <w:sz w:val="18"/>
          <w:szCs w:val="18"/>
        </w:rPr>
        <w:t>N.B.  Ai sensi dell’articolo 117</w:t>
      </w:r>
      <w:r w:rsidR="00B532F3" w:rsidRPr="00851FDE">
        <w:rPr>
          <w:rFonts w:ascii="Titillium" w:hAnsi="Titillium" w:cs="Calibri"/>
          <w:i/>
          <w:sz w:val="18"/>
          <w:szCs w:val="18"/>
        </w:rPr>
        <w:t>,</w:t>
      </w:r>
      <w:r w:rsidRPr="00851FDE">
        <w:rPr>
          <w:rFonts w:ascii="Titillium" w:hAnsi="Titillium" w:cs="Calibri"/>
          <w:i/>
          <w:sz w:val="18"/>
          <w:szCs w:val="18"/>
        </w:rPr>
        <w:t xml:space="preserve"> comma 14</w:t>
      </w:r>
      <w:r w:rsidR="00B532F3" w:rsidRPr="00851FDE">
        <w:rPr>
          <w:rFonts w:ascii="Titillium" w:hAnsi="Titillium" w:cs="Calibri"/>
          <w:i/>
          <w:sz w:val="18"/>
          <w:szCs w:val="18"/>
        </w:rPr>
        <w:t>,</w:t>
      </w:r>
      <w:r w:rsidRPr="00851FDE">
        <w:rPr>
          <w:rFonts w:ascii="Titillium" w:hAnsi="Titillium" w:cs="Calibri"/>
          <w:i/>
          <w:sz w:val="18"/>
          <w:szCs w:val="18"/>
        </w:rPr>
        <w:t xml:space="preserve"> del Codice, qualora l’appalto debba essere eseguito da operatori economici di comprovata solidità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w:t>
      </w:r>
      <w:r w:rsidRPr="00851FDE">
        <w:rPr>
          <w:rFonts w:ascii="Titillium" w:hAnsi="Titillium" w:cs="Calibri"/>
          <w:i/>
          <w:sz w:val="18"/>
          <w:szCs w:val="18"/>
        </w:rPr>
        <w:lastRenderedPageBreak/>
        <w:t>prestazione della garanzia è possibile previa adeguata motivazione ed è subordinato ad un miglioramento del prezzo di aggiudicazione ovvero delle condizioni di esecuzione</w:t>
      </w:r>
    </w:p>
    <w:p w14:paraId="72D1DCD7" w14:textId="77777777" w:rsidR="00F65B5E" w:rsidRPr="00F53D3E" w:rsidRDefault="00F65B5E">
      <w:pPr>
        <w:spacing w:before="60" w:after="60"/>
        <w:rPr>
          <w:rFonts w:ascii="Titillium" w:hAnsi="Titillium" w:cs="Calibri"/>
          <w:sz w:val="18"/>
          <w:szCs w:val="18"/>
        </w:rPr>
      </w:pPr>
    </w:p>
    <w:p w14:paraId="53B6E093" w14:textId="77777777" w:rsidR="00F65B5E" w:rsidRDefault="00F65B5E" w:rsidP="00F65B5E">
      <w:pPr>
        <w:spacing w:before="60" w:after="60"/>
        <w:rPr>
          <w:rFonts w:ascii="Titillium" w:hAnsi="Titillium" w:cs="Calibri"/>
          <w:sz w:val="18"/>
          <w:szCs w:val="18"/>
        </w:rPr>
      </w:pPr>
      <w:r w:rsidRPr="00F65B5E">
        <w:rPr>
          <w:rFonts w:ascii="Titillium" w:hAnsi="Titillium" w:cs="Calibri"/>
          <w:sz w:val="18"/>
          <w:szCs w:val="18"/>
        </w:rPr>
        <w:t>Se la stipula del contratto non avviene nel termine per fatto della stazione appaltante,</w:t>
      </w:r>
      <w:r>
        <w:rPr>
          <w:rFonts w:ascii="Titillium" w:hAnsi="Titillium" w:cs="Calibri"/>
          <w:sz w:val="18"/>
          <w:szCs w:val="18"/>
        </w:rPr>
        <w:t xml:space="preserve"> </w:t>
      </w:r>
      <w:r w:rsidRPr="00F65B5E">
        <w:rPr>
          <w:rFonts w:ascii="Titillium" w:hAnsi="Titillium" w:cs="Calibri"/>
          <w:sz w:val="18"/>
          <w:szCs w:val="18"/>
        </w:rPr>
        <w:t>l’aggiudicatario può farne constatare il silenzio inadempimento o, in alternativa, può sciogliersi da ogni vincolo</w:t>
      </w:r>
      <w:r>
        <w:rPr>
          <w:rFonts w:ascii="Titillium" w:hAnsi="Titillium" w:cs="Calibri"/>
          <w:sz w:val="18"/>
          <w:szCs w:val="18"/>
        </w:rPr>
        <w:t xml:space="preserve"> </w:t>
      </w:r>
      <w:r w:rsidRPr="00F65B5E">
        <w:rPr>
          <w:rFonts w:ascii="Titillium" w:hAnsi="Titillium" w:cs="Calibri"/>
          <w:sz w:val="18"/>
          <w:szCs w:val="18"/>
        </w:rPr>
        <w:t>mediante atto notificato. All’aggiudicatario non spetta alcun indennizzo, salvo il rimborso delle spese</w:t>
      </w:r>
      <w:r>
        <w:rPr>
          <w:rFonts w:ascii="Titillium" w:hAnsi="Titillium" w:cs="Calibri"/>
          <w:sz w:val="18"/>
          <w:szCs w:val="18"/>
        </w:rPr>
        <w:t xml:space="preserve"> </w:t>
      </w:r>
      <w:r w:rsidRPr="00F65B5E">
        <w:rPr>
          <w:rFonts w:ascii="Titillium" w:hAnsi="Titillium" w:cs="Calibri"/>
          <w:sz w:val="18"/>
          <w:szCs w:val="18"/>
        </w:rPr>
        <w:t>contrattuali.</w:t>
      </w:r>
      <w:r>
        <w:rPr>
          <w:rFonts w:ascii="Titillium" w:hAnsi="Titillium" w:cs="Calibri"/>
          <w:sz w:val="18"/>
          <w:szCs w:val="18"/>
        </w:rPr>
        <w:t xml:space="preserve"> </w:t>
      </w:r>
    </w:p>
    <w:p w14:paraId="44478406" w14:textId="2D3915B7" w:rsidR="00F65B5E" w:rsidRDefault="00F65B5E" w:rsidP="00F65B5E">
      <w:pPr>
        <w:spacing w:before="60" w:after="60"/>
        <w:rPr>
          <w:rFonts w:ascii="Titillium" w:hAnsi="Titillium" w:cs="Calibri"/>
          <w:sz w:val="18"/>
          <w:szCs w:val="18"/>
        </w:rPr>
      </w:pPr>
      <w:r w:rsidRPr="00F65B5E">
        <w:rPr>
          <w:rFonts w:ascii="Titillium" w:hAnsi="Titillium" w:cs="Calibri"/>
          <w:sz w:val="18"/>
          <w:szCs w:val="18"/>
        </w:rPr>
        <w:t>Se la stipula del contratto non avviene nel termine fissato per fatto dell’aggiudicatario può costituire motivo di</w:t>
      </w:r>
      <w:r>
        <w:rPr>
          <w:rFonts w:ascii="Titillium" w:hAnsi="Titillium" w:cs="Calibri"/>
          <w:sz w:val="18"/>
          <w:szCs w:val="18"/>
        </w:rPr>
        <w:t xml:space="preserve"> </w:t>
      </w:r>
      <w:r w:rsidRPr="00F65B5E">
        <w:rPr>
          <w:rFonts w:ascii="Titillium" w:hAnsi="Titillium" w:cs="Calibri"/>
          <w:sz w:val="18"/>
          <w:szCs w:val="18"/>
        </w:rPr>
        <w:t>revoca dell’aggiudicazione.</w:t>
      </w:r>
      <w:r>
        <w:rPr>
          <w:rFonts w:ascii="Titillium" w:hAnsi="Titillium" w:cs="Calibri"/>
          <w:sz w:val="18"/>
          <w:szCs w:val="18"/>
        </w:rPr>
        <w:t xml:space="preserve"> </w:t>
      </w:r>
    </w:p>
    <w:p w14:paraId="749CDA6C" w14:textId="444FCBBA" w:rsidR="00F65B5E" w:rsidRPr="00F65B5E" w:rsidRDefault="00F65B5E" w:rsidP="00F65B5E">
      <w:pPr>
        <w:spacing w:before="60" w:after="60"/>
        <w:rPr>
          <w:rFonts w:ascii="Titillium" w:hAnsi="Titillium" w:cs="Calibri"/>
          <w:sz w:val="18"/>
          <w:szCs w:val="18"/>
        </w:rPr>
      </w:pPr>
      <w:r w:rsidRPr="00F65B5E">
        <w:rPr>
          <w:rFonts w:ascii="Titillium" w:hAnsi="Titillium" w:cs="Calibri"/>
          <w:sz w:val="18"/>
          <w:szCs w:val="18"/>
        </w:rPr>
        <w:t xml:space="preserve">La mancata o tardiva stipula del contratto al di fuori delle ipotesi </w:t>
      </w:r>
      <w:r>
        <w:rPr>
          <w:rFonts w:ascii="Titillium" w:hAnsi="Titillium" w:cs="Calibri"/>
          <w:sz w:val="18"/>
          <w:szCs w:val="18"/>
        </w:rPr>
        <w:t>predette,</w:t>
      </w:r>
      <w:r w:rsidRPr="00F65B5E">
        <w:rPr>
          <w:rFonts w:ascii="Titillium" w:hAnsi="Titillium" w:cs="Calibri"/>
          <w:sz w:val="18"/>
          <w:szCs w:val="18"/>
        </w:rPr>
        <w:t xml:space="preserve"> costituisce violazione</w:t>
      </w:r>
      <w:r>
        <w:rPr>
          <w:rFonts w:ascii="Titillium" w:hAnsi="Titillium" w:cs="Calibri"/>
          <w:sz w:val="18"/>
          <w:szCs w:val="18"/>
        </w:rPr>
        <w:t xml:space="preserve"> </w:t>
      </w:r>
      <w:r w:rsidRPr="00F65B5E">
        <w:rPr>
          <w:rFonts w:ascii="Titillium" w:hAnsi="Titillium" w:cs="Calibri"/>
          <w:sz w:val="18"/>
          <w:szCs w:val="18"/>
        </w:rPr>
        <w:t>del dovere di buona fede, anche in pendenza di contenzioso.</w:t>
      </w:r>
    </w:p>
    <w:p w14:paraId="25D2DD86" w14:textId="77777777" w:rsidR="00F65B5E" w:rsidRDefault="00F65B5E" w:rsidP="00F65B5E">
      <w:pPr>
        <w:spacing w:before="60" w:after="60"/>
        <w:rPr>
          <w:rFonts w:ascii="Titillium" w:hAnsi="Titillium" w:cs="Calibri"/>
          <w:sz w:val="18"/>
          <w:szCs w:val="18"/>
        </w:rPr>
      </w:pPr>
      <w:r w:rsidRPr="00F65B5E">
        <w:rPr>
          <w:rFonts w:ascii="Titillium" w:hAnsi="Titillium" w:cs="Calibri"/>
          <w:b/>
          <w:bCs/>
          <w:i/>
          <w:iCs/>
          <w:sz w:val="18"/>
          <w:szCs w:val="18"/>
        </w:rPr>
        <w:t>[Nel caso in cui sia prevista l’approvazione del contratto]</w:t>
      </w:r>
      <w:r>
        <w:rPr>
          <w:rFonts w:ascii="Titillium" w:hAnsi="Titillium" w:cs="Calibri"/>
          <w:sz w:val="18"/>
          <w:szCs w:val="18"/>
        </w:rPr>
        <w:t xml:space="preserve"> </w:t>
      </w:r>
      <w:r w:rsidRPr="00F65B5E">
        <w:rPr>
          <w:rFonts w:ascii="Titillium" w:hAnsi="Titillium" w:cs="Calibri"/>
          <w:sz w:val="18"/>
          <w:szCs w:val="18"/>
        </w:rPr>
        <w:t>Il contratto è sottoposto alla condizione risolutiva dell’esito negativo della sua approvazione</w:t>
      </w:r>
      <w:r>
        <w:rPr>
          <w:rFonts w:ascii="Titillium" w:hAnsi="Titillium" w:cs="Calibri"/>
          <w:sz w:val="18"/>
          <w:szCs w:val="18"/>
        </w:rPr>
        <w:t xml:space="preserve"> </w:t>
      </w:r>
      <w:r w:rsidRPr="00F65B5E">
        <w:rPr>
          <w:rFonts w:ascii="Titillium" w:hAnsi="Titillium" w:cs="Calibri"/>
          <w:sz w:val="18"/>
          <w:szCs w:val="18"/>
        </w:rPr>
        <w:t xml:space="preserve">da effettuarsi entro trenta giorni dalla stipula. Decorso tale termine, il contratto si intende approvato. </w:t>
      </w:r>
    </w:p>
    <w:p w14:paraId="1F8F9CC8" w14:textId="731867AE" w:rsidR="004C53A8" w:rsidRDefault="00870286" w:rsidP="00F65B5E">
      <w:pPr>
        <w:spacing w:before="60" w:after="60"/>
        <w:rPr>
          <w:rFonts w:ascii="Titillium" w:hAnsi="Titillium" w:cs="Calibri"/>
          <w:sz w:val="18"/>
          <w:szCs w:val="18"/>
        </w:rPr>
      </w:pPr>
      <w:r>
        <w:rPr>
          <w:rFonts w:ascii="Titillium" w:hAnsi="Titillium" w:cs="Calibri"/>
          <w:sz w:val="18"/>
          <w:szCs w:val="18"/>
        </w:rPr>
        <w:t>L’aggiudicatario deposita, prima o contestualmente alla sottoscrizione del contratto di appalto, i contratti continuativi di cooperazione, servizio e/o fornitura di cui all’art</w:t>
      </w:r>
      <w:r w:rsidR="00490FE0">
        <w:rPr>
          <w:rFonts w:ascii="Titillium" w:hAnsi="Titillium" w:cs="Calibri"/>
          <w:sz w:val="18"/>
          <w:szCs w:val="18"/>
        </w:rPr>
        <w:t>icolo</w:t>
      </w:r>
      <w:r>
        <w:rPr>
          <w:rFonts w:ascii="Titillium" w:hAnsi="Titillium" w:cs="Calibri"/>
          <w:sz w:val="18"/>
          <w:szCs w:val="18"/>
        </w:rPr>
        <w:t xml:space="preserve"> </w:t>
      </w:r>
      <w:r w:rsidR="002721FB" w:rsidRPr="00F65B5E">
        <w:rPr>
          <w:rFonts w:ascii="Titillium" w:hAnsi="Titillium" w:cs="Calibri"/>
          <w:sz w:val="18"/>
          <w:szCs w:val="18"/>
        </w:rPr>
        <w:t>119</w:t>
      </w:r>
      <w:r w:rsidR="00163063">
        <w:rPr>
          <w:rFonts w:ascii="Titillium" w:hAnsi="Titillium" w:cs="Calibri"/>
          <w:sz w:val="18"/>
          <w:szCs w:val="18"/>
        </w:rPr>
        <w:t>,</w:t>
      </w:r>
      <w:r w:rsidR="002721FB" w:rsidRPr="00F65B5E">
        <w:rPr>
          <w:rFonts w:ascii="Titillium" w:hAnsi="Titillium" w:cs="Calibri"/>
          <w:sz w:val="18"/>
          <w:szCs w:val="18"/>
        </w:rPr>
        <w:t xml:space="preserve"> comma 3</w:t>
      </w:r>
      <w:r w:rsidR="00163063">
        <w:rPr>
          <w:rFonts w:ascii="Titillium" w:hAnsi="Titillium" w:cs="Calibri"/>
          <w:sz w:val="18"/>
          <w:szCs w:val="18"/>
        </w:rPr>
        <w:t>,</w:t>
      </w:r>
      <w:r w:rsidR="002721FB" w:rsidRPr="00F65B5E">
        <w:rPr>
          <w:rFonts w:ascii="Titillium" w:hAnsi="Titillium" w:cs="Calibri"/>
          <w:sz w:val="18"/>
          <w:szCs w:val="18"/>
        </w:rPr>
        <w:t xml:space="preserve"> </w:t>
      </w:r>
      <w:proofErr w:type="spellStart"/>
      <w:r w:rsidR="002721FB" w:rsidRPr="00F65B5E">
        <w:rPr>
          <w:rFonts w:ascii="Titillium" w:hAnsi="Titillium" w:cs="Calibri"/>
          <w:sz w:val="18"/>
          <w:szCs w:val="18"/>
        </w:rPr>
        <w:t>lett</w:t>
      </w:r>
      <w:proofErr w:type="spellEnd"/>
      <w:r w:rsidR="002721FB" w:rsidRPr="00F65B5E">
        <w:rPr>
          <w:rFonts w:ascii="Titillium" w:hAnsi="Titillium" w:cs="Calibri"/>
          <w:sz w:val="18"/>
          <w:szCs w:val="18"/>
        </w:rPr>
        <w:t xml:space="preserve">. d) </w:t>
      </w:r>
      <w:r w:rsidRPr="00F65B5E">
        <w:rPr>
          <w:rFonts w:ascii="Titillium" w:hAnsi="Titillium" w:cs="Calibri"/>
          <w:sz w:val="18"/>
          <w:szCs w:val="18"/>
        </w:rPr>
        <w:t>del Codice.</w:t>
      </w:r>
    </w:p>
    <w:p w14:paraId="637E5715" w14:textId="746ACC19" w:rsidR="004C53A8" w:rsidRDefault="00557FFB">
      <w:pPr>
        <w:spacing w:before="60" w:after="60"/>
        <w:rPr>
          <w:rFonts w:ascii="Titillium" w:hAnsi="Titillium" w:cs="Calibri"/>
          <w:sz w:val="18"/>
          <w:szCs w:val="18"/>
        </w:rPr>
      </w:pPr>
      <w:r>
        <w:rPr>
          <w:rFonts w:ascii="Titillium" w:hAnsi="Titillium" w:cs="Calibri"/>
          <w:sz w:val="18"/>
          <w:szCs w:val="18"/>
        </w:rPr>
        <w:t>L</w:t>
      </w:r>
      <w:r w:rsidR="00870286">
        <w:rPr>
          <w:rFonts w:ascii="Titillium" w:hAnsi="Titillium" w:cs="Calibri"/>
          <w:sz w:val="18"/>
          <w:szCs w:val="18"/>
        </w:rPr>
        <w:t>’affidatario comunica, per ogni sub-contratto che non costituisce subappalto, l’importo e l’oggetto del medesimo, nonché il nome del sub-contraente, prima dell’inizio della prestazione.</w:t>
      </w:r>
    </w:p>
    <w:p w14:paraId="1E9D0F1A" w14:textId="1F47462C" w:rsidR="004C53A8" w:rsidRDefault="00870286">
      <w:pPr>
        <w:spacing w:before="60" w:after="60"/>
        <w:rPr>
          <w:rFonts w:ascii="Titillium" w:hAnsi="Titillium" w:cs="Calibri"/>
          <w:i/>
          <w:sz w:val="18"/>
          <w:szCs w:val="18"/>
        </w:rPr>
      </w:pPr>
      <w:r>
        <w:rPr>
          <w:rFonts w:ascii="Titillium" w:hAnsi="Titillium" w:cs="Calibri"/>
          <w:sz w:val="18"/>
          <w:szCs w:val="18"/>
        </w:rPr>
        <w:t>Il contratto è stipulato</w:t>
      </w:r>
      <w:r w:rsidR="002E7642">
        <w:rPr>
          <w:rFonts w:ascii="Titillium" w:hAnsi="Titillium" w:cs="Calibri"/>
          <w:sz w:val="18"/>
          <w:szCs w:val="18"/>
        </w:rPr>
        <w:t xml:space="preserve"> </w:t>
      </w:r>
      <w:r w:rsidR="00DE559B">
        <w:rPr>
          <w:rFonts w:ascii="Titillium" w:hAnsi="Titillium" w:cs="Calibri"/>
          <w:sz w:val="18"/>
          <w:szCs w:val="18"/>
        </w:rPr>
        <w:t>mediante</w:t>
      </w:r>
      <w:r>
        <w:rPr>
          <w:rFonts w:ascii="Titillium" w:hAnsi="Titillium" w:cs="Calibri"/>
          <w:sz w:val="18"/>
          <w:szCs w:val="18"/>
        </w:rPr>
        <w:t xml:space="preserve"> … </w:t>
      </w:r>
      <w:r>
        <w:rPr>
          <w:rFonts w:ascii="Titillium" w:hAnsi="Titillium" w:cs="Calibri"/>
          <w:i/>
          <w:sz w:val="18"/>
          <w:szCs w:val="18"/>
        </w:rPr>
        <w:t>[</w:t>
      </w:r>
      <w:r w:rsidRPr="00851FDE">
        <w:rPr>
          <w:rFonts w:ascii="Titillium" w:hAnsi="Titillium" w:cs="Calibri"/>
          <w:i/>
          <w:sz w:val="18"/>
          <w:szCs w:val="18"/>
        </w:rPr>
        <w:t>indicare</w:t>
      </w:r>
      <w:r w:rsidR="002E7642" w:rsidRPr="00851FDE">
        <w:rPr>
          <w:rFonts w:ascii="Titillium" w:hAnsi="Titillium" w:cs="Calibri"/>
          <w:i/>
          <w:sz w:val="18"/>
          <w:szCs w:val="18"/>
        </w:rPr>
        <w:t xml:space="preserve"> </w:t>
      </w:r>
      <w:r w:rsidR="00DE559B" w:rsidRPr="00851FDE">
        <w:rPr>
          <w:rFonts w:ascii="Titillium" w:hAnsi="Titillium" w:cs="Calibri"/>
          <w:i/>
          <w:sz w:val="18"/>
          <w:szCs w:val="18"/>
        </w:rPr>
        <w:t>una delle modalità individuate dall’articolo 18 del codice</w:t>
      </w:r>
      <w:r w:rsidR="00DE559B">
        <w:rPr>
          <w:rFonts w:ascii="Titillium" w:hAnsi="Titillium" w:cs="Calibri"/>
          <w:sz w:val="18"/>
          <w:szCs w:val="18"/>
        </w:rPr>
        <w:t>]</w:t>
      </w:r>
      <w:r>
        <w:rPr>
          <w:rFonts w:ascii="Titillium" w:hAnsi="Titillium" w:cs="Calibri"/>
          <w:sz w:val="18"/>
          <w:szCs w:val="18"/>
        </w:rPr>
        <w:t>”</w:t>
      </w:r>
      <w:r>
        <w:rPr>
          <w:rFonts w:ascii="Titillium" w:hAnsi="Titillium" w:cs="Calibri"/>
          <w:i/>
          <w:sz w:val="18"/>
          <w:szCs w:val="18"/>
        </w:rPr>
        <w:t>].</w:t>
      </w:r>
    </w:p>
    <w:p w14:paraId="226F1590" w14:textId="77777777" w:rsidR="00D61317" w:rsidRPr="00D61317" w:rsidRDefault="00D61317">
      <w:pPr>
        <w:spacing w:before="60" w:after="60"/>
        <w:rPr>
          <w:rFonts w:ascii="Titillium" w:hAnsi="Titillium" w:cs="Calibri"/>
          <w:b/>
          <w:bCs/>
          <w:iCs/>
          <w:sz w:val="18"/>
          <w:szCs w:val="18"/>
        </w:rPr>
      </w:pPr>
    </w:p>
    <w:p w14:paraId="186434CB" w14:textId="30288486" w:rsidR="004C53A8" w:rsidRDefault="00CD2A6F">
      <w:pPr>
        <w:spacing w:before="60" w:after="60"/>
      </w:pPr>
      <w:r w:rsidRPr="0078130E">
        <w:rPr>
          <w:rFonts w:ascii="Titillium" w:hAnsi="Titillium" w:cs="Calibri"/>
          <w:i/>
          <w:iCs/>
          <w:sz w:val="18"/>
          <w:szCs w:val="18"/>
        </w:rPr>
        <w:t>[Fino al 31 dicembre 2023]</w:t>
      </w:r>
      <w:r>
        <w:rPr>
          <w:rFonts w:ascii="Titillium" w:hAnsi="Titillium" w:cs="Calibri"/>
          <w:sz w:val="18"/>
          <w:szCs w:val="18"/>
        </w:rPr>
        <w:t xml:space="preserve"> </w:t>
      </w:r>
      <w:r w:rsidR="00870286" w:rsidRPr="00557FFB">
        <w:rPr>
          <w:rFonts w:ascii="Titillium" w:hAnsi="Titillium" w:cs="Calibri"/>
          <w:sz w:val="18"/>
          <w:szCs w:val="18"/>
        </w:rPr>
        <w:t>Le spese obbligatorie relative alla pubblicazione</w:t>
      </w:r>
      <w:r w:rsidR="00870286">
        <w:rPr>
          <w:rFonts w:ascii="Titillium" w:hAnsi="Titillium" w:cs="Calibri"/>
          <w:sz w:val="18"/>
          <w:szCs w:val="18"/>
        </w:rPr>
        <w:t xml:space="preserve"> del bando e dell’avviso sui risultati della procedura di affidamento sono a carico dell’aggiudicatario e devono essere rimborsate entro il termine di sessanta giorni dall’aggiudicazione con le </w:t>
      </w:r>
      <w:r w:rsidR="003B5606">
        <w:rPr>
          <w:rFonts w:ascii="Titillium" w:hAnsi="Titillium" w:cs="Calibri"/>
          <w:sz w:val="18"/>
          <w:szCs w:val="18"/>
        </w:rPr>
        <w:t xml:space="preserve">seguenti </w:t>
      </w:r>
      <w:r w:rsidR="00870286">
        <w:rPr>
          <w:rFonts w:ascii="Titillium" w:hAnsi="Titillium" w:cs="Calibri"/>
          <w:sz w:val="18"/>
          <w:szCs w:val="18"/>
        </w:rPr>
        <w:t xml:space="preserve">modalità </w:t>
      </w:r>
      <w:r w:rsidR="003B5606">
        <w:rPr>
          <w:rFonts w:ascii="Titillium" w:hAnsi="Titillium" w:cs="Calibri"/>
          <w:sz w:val="18"/>
          <w:szCs w:val="18"/>
        </w:rPr>
        <w:t xml:space="preserve">… </w:t>
      </w:r>
      <w:r w:rsidR="00FA3C31" w:rsidRPr="00FA3C31">
        <w:rPr>
          <w:rFonts w:ascii="Titillium" w:hAnsi="Titillium" w:cs="Calibri"/>
          <w:i/>
          <w:sz w:val="18"/>
          <w:szCs w:val="18"/>
        </w:rPr>
        <w:t>[</w:t>
      </w:r>
      <w:r w:rsidR="003B5606" w:rsidRPr="00FA3C31">
        <w:rPr>
          <w:rFonts w:ascii="Titillium" w:hAnsi="Titillium" w:cs="Calibri"/>
          <w:i/>
          <w:sz w:val="18"/>
          <w:szCs w:val="18"/>
        </w:rPr>
        <w:t>indicare le modalità</w:t>
      </w:r>
      <w:r w:rsidR="00FA3C31" w:rsidRPr="00FA3C31">
        <w:rPr>
          <w:rFonts w:ascii="Titillium" w:hAnsi="Titillium" w:cs="Calibri"/>
          <w:i/>
          <w:sz w:val="18"/>
          <w:szCs w:val="18"/>
        </w:rPr>
        <w:t>]</w:t>
      </w:r>
      <w:r w:rsidR="00870286">
        <w:rPr>
          <w:rFonts w:ascii="Titillium" w:hAnsi="Titillium" w:cs="Calibri"/>
          <w:sz w:val="18"/>
          <w:szCs w:val="18"/>
        </w:rPr>
        <w:t xml:space="preserve">. L’importo </w:t>
      </w:r>
      <w:r w:rsidR="0057722A">
        <w:rPr>
          <w:rFonts w:ascii="Titillium" w:hAnsi="Titillium" w:cs="Calibri"/>
          <w:sz w:val="18"/>
          <w:szCs w:val="18"/>
        </w:rPr>
        <w:t xml:space="preserve">massimo </w:t>
      </w:r>
      <w:r w:rsidR="003B5606">
        <w:rPr>
          <w:rFonts w:ascii="Titillium" w:hAnsi="Titillium" w:cs="Calibri"/>
          <w:sz w:val="18"/>
          <w:szCs w:val="18"/>
        </w:rPr>
        <w:t xml:space="preserve">presunto </w:t>
      </w:r>
      <w:r w:rsidR="00870286">
        <w:rPr>
          <w:rFonts w:ascii="Titillium" w:hAnsi="Titillium" w:cs="Calibri"/>
          <w:sz w:val="18"/>
          <w:szCs w:val="18"/>
        </w:rPr>
        <w:t xml:space="preserve">delle spese obbligatorie di pubblicazione è pari a € … </w:t>
      </w:r>
      <w:r w:rsidR="00777306" w:rsidRPr="00777306">
        <w:rPr>
          <w:rFonts w:ascii="Titillium" w:hAnsi="Titillium" w:cs="Calibri"/>
          <w:i/>
          <w:sz w:val="18"/>
          <w:szCs w:val="18"/>
        </w:rPr>
        <w:t>[</w:t>
      </w:r>
      <w:r w:rsidR="003B5606" w:rsidRPr="00777306">
        <w:rPr>
          <w:rFonts w:ascii="Titillium" w:hAnsi="Titillium" w:cs="Calibri"/>
          <w:i/>
          <w:sz w:val="18"/>
          <w:szCs w:val="18"/>
        </w:rPr>
        <w:t>indicare l’importo presunto</w:t>
      </w:r>
      <w:r w:rsidR="00777306" w:rsidRPr="00777306">
        <w:rPr>
          <w:rFonts w:ascii="Titillium" w:hAnsi="Titillium" w:cs="Calibri"/>
          <w:i/>
          <w:sz w:val="18"/>
          <w:szCs w:val="18"/>
        </w:rPr>
        <w:t>]</w:t>
      </w:r>
      <w:r w:rsidR="003B5606">
        <w:rPr>
          <w:rFonts w:ascii="Titillium" w:hAnsi="Titillium" w:cs="Calibri"/>
          <w:sz w:val="18"/>
          <w:szCs w:val="18"/>
        </w:rPr>
        <w:t xml:space="preserve">. </w:t>
      </w:r>
      <w:r w:rsidR="00870286" w:rsidRPr="003B5606">
        <w:rPr>
          <w:rFonts w:ascii="Titillium" w:hAnsi="Titillium" w:cs="Calibri"/>
          <w:sz w:val="18"/>
          <w:szCs w:val="18"/>
        </w:rPr>
        <w:t>Sono comunicati tempestivamente all</w:t>
      </w:r>
      <w:r w:rsidR="00870286" w:rsidRPr="003B5606">
        <w:rPr>
          <w:rFonts w:ascii="Titillium" w:hAnsi="Titillium" w:cs="Calibri" w:hint="eastAsia"/>
          <w:sz w:val="18"/>
          <w:szCs w:val="18"/>
        </w:rPr>
        <w:t>’</w:t>
      </w:r>
      <w:r w:rsidR="00870286" w:rsidRPr="003B5606">
        <w:rPr>
          <w:rFonts w:ascii="Titillium" w:hAnsi="Titillium" w:cs="Calibri"/>
          <w:sz w:val="18"/>
          <w:szCs w:val="18"/>
        </w:rPr>
        <w:t>aggiudicatario eventuali scostamenti dall</w:t>
      </w:r>
      <w:r w:rsidR="00870286" w:rsidRPr="003B5606">
        <w:rPr>
          <w:rFonts w:ascii="Titillium" w:hAnsi="Titillium" w:cs="Calibri" w:hint="eastAsia"/>
          <w:sz w:val="18"/>
          <w:szCs w:val="18"/>
        </w:rPr>
        <w:t>’</w:t>
      </w:r>
      <w:r w:rsidR="00870286" w:rsidRPr="003B5606">
        <w:rPr>
          <w:rFonts w:ascii="Titillium" w:hAnsi="Titillium" w:cs="Calibri"/>
          <w:sz w:val="18"/>
          <w:szCs w:val="18"/>
        </w:rPr>
        <w:t>importo indicato.</w:t>
      </w:r>
    </w:p>
    <w:p w14:paraId="574A17F0" w14:textId="214F4485" w:rsidR="004C53A8" w:rsidRDefault="00CD2A6F">
      <w:pPr>
        <w:spacing w:before="60" w:after="60"/>
      </w:pPr>
      <w:r w:rsidRPr="0078130E">
        <w:rPr>
          <w:rFonts w:ascii="Titillium" w:hAnsi="Titillium" w:cs="Calibri"/>
          <w:i/>
          <w:iCs/>
          <w:sz w:val="18"/>
          <w:szCs w:val="18"/>
        </w:rPr>
        <w:t>[Fino al 31 dicembre 2023]</w:t>
      </w:r>
      <w:r>
        <w:rPr>
          <w:rFonts w:ascii="Titillium" w:hAnsi="Titillium" w:cs="Calibri"/>
          <w:sz w:val="18"/>
          <w:szCs w:val="18"/>
        </w:rPr>
        <w:t xml:space="preserve"> </w:t>
      </w:r>
      <w:r w:rsidR="00870286">
        <w:rPr>
          <w:rFonts w:ascii="Titillium" w:hAnsi="Titillium" w:cs="Calibri"/>
          <w:b/>
          <w:i/>
          <w:sz w:val="18"/>
          <w:szCs w:val="18"/>
        </w:rPr>
        <w:t>[Facoltativo: in caso di suddivisione dell’appalto in lotti]</w:t>
      </w:r>
      <w:r w:rsidR="003B5606">
        <w:rPr>
          <w:rFonts w:ascii="Titillium" w:hAnsi="Titillium" w:cs="Calibri"/>
          <w:b/>
          <w:i/>
          <w:sz w:val="18"/>
          <w:szCs w:val="18"/>
        </w:rPr>
        <w:t xml:space="preserve"> </w:t>
      </w:r>
      <w:r w:rsidR="00870286">
        <w:rPr>
          <w:rFonts w:ascii="Titillium" w:hAnsi="Titillium" w:cs="Calibri"/>
          <w:sz w:val="18"/>
          <w:szCs w:val="18"/>
        </w:rPr>
        <w:t>Le spese relative alla pubblicazione sono suddivise tra gli aggiudicatari dei lotti in proporzione al relativo valore</w:t>
      </w:r>
      <w:r w:rsidR="00557FFB">
        <w:rPr>
          <w:rFonts w:ascii="Titillium" w:hAnsi="Titillium" w:cs="Calibri"/>
          <w:sz w:val="18"/>
          <w:szCs w:val="18"/>
        </w:rPr>
        <w:t>, secondo il seguente metodo …</w:t>
      </w:r>
      <w:r w:rsidR="00870286">
        <w:rPr>
          <w:rFonts w:ascii="Titillium" w:hAnsi="Titillium" w:cs="Calibri"/>
          <w:sz w:val="18"/>
          <w:szCs w:val="18"/>
        </w:rPr>
        <w:t xml:space="preserve"> </w:t>
      </w:r>
      <w:r w:rsidR="00870286">
        <w:rPr>
          <w:rFonts w:ascii="Titillium" w:hAnsi="Titillium" w:cs="Calibri"/>
          <w:i/>
          <w:sz w:val="18"/>
          <w:szCs w:val="18"/>
        </w:rPr>
        <w:t>[</w:t>
      </w:r>
      <w:r w:rsidR="00557FFB">
        <w:rPr>
          <w:rFonts w:ascii="Titillium" w:hAnsi="Titillium" w:cs="Calibri"/>
          <w:i/>
          <w:sz w:val="18"/>
          <w:szCs w:val="18"/>
        </w:rPr>
        <w:t>indicare</w:t>
      </w:r>
      <w:r w:rsidR="00870286">
        <w:rPr>
          <w:rFonts w:ascii="Titillium" w:hAnsi="Titillium" w:cs="Calibri"/>
          <w:i/>
          <w:sz w:val="18"/>
          <w:szCs w:val="18"/>
        </w:rPr>
        <w:t>].</w:t>
      </w:r>
    </w:p>
    <w:p w14:paraId="50853F9F" w14:textId="6AA7AE6F" w:rsidR="004C53A8" w:rsidRPr="00557FFB" w:rsidRDefault="00CD2A6F">
      <w:pPr>
        <w:spacing w:before="60" w:after="60"/>
      </w:pPr>
      <w:r w:rsidRPr="0078130E">
        <w:rPr>
          <w:rFonts w:ascii="Titillium" w:hAnsi="Titillium" w:cs="Calibri"/>
          <w:i/>
          <w:iCs/>
          <w:sz w:val="18"/>
          <w:szCs w:val="18"/>
        </w:rPr>
        <w:t>[Fino al 31 dicembre 2023]</w:t>
      </w:r>
      <w:r>
        <w:rPr>
          <w:rFonts w:ascii="Titillium" w:hAnsi="Titillium" w:cs="Calibri"/>
          <w:sz w:val="18"/>
          <w:szCs w:val="18"/>
        </w:rPr>
        <w:t xml:space="preserve"> </w:t>
      </w:r>
      <w:r w:rsidR="00870286">
        <w:rPr>
          <w:rFonts w:ascii="Titillium" w:hAnsi="Titillium" w:cs="Calibri"/>
          <w:b/>
          <w:i/>
          <w:sz w:val="18"/>
          <w:szCs w:val="18"/>
        </w:rPr>
        <w:t>[Facoltativo: in caso di rimborso rateizzato delle spese di pubblicazione]</w:t>
      </w:r>
      <w:r w:rsidR="00870286">
        <w:rPr>
          <w:rFonts w:ascii="Titillium" w:hAnsi="Titillium" w:cs="Calibri"/>
          <w:sz w:val="18"/>
          <w:szCs w:val="18"/>
        </w:rPr>
        <w:t xml:space="preserve"> La stazione appaltante, su richiesta dell’aggiudicatario, </w:t>
      </w:r>
      <w:r w:rsidR="00870286" w:rsidRPr="00557FFB">
        <w:rPr>
          <w:rFonts w:ascii="Titillium" w:hAnsi="Titillium" w:cs="Calibri"/>
          <w:sz w:val="18"/>
          <w:szCs w:val="18"/>
        </w:rPr>
        <w:t>consente il rimborso rateizzato delle spese di pubblicazione.</w:t>
      </w:r>
    </w:p>
    <w:p w14:paraId="22E68870" w14:textId="1F03C4B4" w:rsidR="004C53A8" w:rsidRDefault="00870286">
      <w:pPr>
        <w:widowControl w:val="0"/>
        <w:spacing w:before="60" w:after="60"/>
        <w:rPr>
          <w:rFonts w:ascii="Titillium" w:hAnsi="Titillium" w:cs="Calibri"/>
          <w:sz w:val="18"/>
          <w:szCs w:val="18"/>
          <w:lang w:eastAsia="it-IT"/>
        </w:rPr>
      </w:pPr>
      <w:r w:rsidRPr="00557FFB">
        <w:rPr>
          <w:rFonts w:ascii="Titillium" w:hAnsi="Titillium" w:cs="Calibri"/>
          <w:sz w:val="18"/>
          <w:szCs w:val="18"/>
          <w:lang w:eastAsia="it-IT"/>
        </w:rPr>
        <w:t>Sono a carico dell’aggiudicatario tutte le spese contrattuali, gli oneri fiscali quali imposte e tasse - ivi comprese quelle di</w:t>
      </w:r>
      <w:r>
        <w:rPr>
          <w:rFonts w:ascii="Titillium" w:hAnsi="Titillium" w:cs="Calibri"/>
          <w:sz w:val="18"/>
          <w:szCs w:val="18"/>
          <w:lang w:eastAsia="it-IT"/>
        </w:rPr>
        <w:t xml:space="preserve"> registro ove dovute - relative alla stipulazione del contratto. </w:t>
      </w:r>
    </w:p>
    <w:p w14:paraId="6E9DE5BC" w14:textId="655B9407" w:rsidR="00CD3EBE" w:rsidRPr="00CD3EBE" w:rsidRDefault="00CD3EBE" w:rsidP="00CD3EBE">
      <w:pPr>
        <w:spacing w:before="60" w:after="60"/>
        <w:rPr>
          <w:rFonts w:ascii="Titillium" w:hAnsi="Titillium" w:cs="Calibri"/>
          <w:sz w:val="18"/>
          <w:szCs w:val="18"/>
        </w:rPr>
      </w:pPr>
      <w:r w:rsidRPr="00CD3EBE">
        <w:rPr>
          <w:rFonts w:ascii="Titillium" w:hAnsi="Titillium" w:cs="Calibri"/>
          <w:b/>
          <w:bCs/>
          <w:i/>
          <w:iCs/>
          <w:sz w:val="18"/>
          <w:szCs w:val="18"/>
        </w:rPr>
        <w:t>[</w:t>
      </w:r>
      <w:r>
        <w:rPr>
          <w:rFonts w:ascii="Titillium" w:hAnsi="Titillium" w:cs="Calibri"/>
          <w:b/>
          <w:bCs/>
          <w:i/>
          <w:iCs/>
          <w:sz w:val="18"/>
          <w:szCs w:val="18"/>
        </w:rPr>
        <w:t>F</w:t>
      </w:r>
      <w:r w:rsidRPr="00CD3EBE">
        <w:rPr>
          <w:rFonts w:ascii="Titillium" w:hAnsi="Titillium" w:cs="Calibri"/>
          <w:b/>
          <w:bCs/>
          <w:i/>
          <w:iCs/>
          <w:sz w:val="18"/>
          <w:szCs w:val="18"/>
        </w:rPr>
        <w:t>acoltativo]</w:t>
      </w:r>
      <w:r w:rsidRPr="00CD3EBE">
        <w:rPr>
          <w:rFonts w:ascii="Titillium" w:hAnsi="Titillium" w:cs="Calibri"/>
          <w:sz w:val="18"/>
          <w:szCs w:val="18"/>
        </w:rPr>
        <w:t xml:space="preserve"> </w:t>
      </w:r>
      <w:r w:rsidR="00CD2A6F">
        <w:rPr>
          <w:rFonts w:ascii="Titillium" w:hAnsi="Titillium" w:cs="Calibri"/>
          <w:sz w:val="18"/>
          <w:szCs w:val="18"/>
        </w:rPr>
        <w:t>In caso di interpello a seguito di</w:t>
      </w:r>
      <w:r w:rsidRPr="00CD3EBE">
        <w:rPr>
          <w:rFonts w:ascii="Titillium" w:hAnsi="Titillium" w:cs="Calibri"/>
          <w:sz w:val="18"/>
          <w:szCs w:val="18"/>
        </w:rPr>
        <w:t xml:space="preserve"> risoluzione/recesso </w:t>
      </w:r>
      <w:r w:rsidR="00A97D6B">
        <w:rPr>
          <w:rFonts w:ascii="Titillium" w:hAnsi="Titillium" w:cs="Calibri"/>
          <w:sz w:val="18"/>
          <w:szCs w:val="18"/>
        </w:rPr>
        <w:t xml:space="preserve">del contratto </w:t>
      </w:r>
      <w:r w:rsidRPr="00CD3EBE">
        <w:rPr>
          <w:rFonts w:ascii="Titillium" w:hAnsi="Titillium" w:cs="Calibri"/>
          <w:sz w:val="18"/>
          <w:szCs w:val="18"/>
        </w:rPr>
        <w:t>in corso di esecuzione</w:t>
      </w:r>
      <w:r w:rsidR="00CD2A6F">
        <w:rPr>
          <w:rFonts w:ascii="Titillium" w:hAnsi="Titillium" w:cs="Calibri"/>
          <w:sz w:val="18"/>
          <w:szCs w:val="18"/>
        </w:rPr>
        <w:t>,</w:t>
      </w:r>
      <w:r w:rsidRPr="00CD3EBE">
        <w:rPr>
          <w:rFonts w:ascii="Titillium" w:hAnsi="Titillium" w:cs="Calibri"/>
          <w:sz w:val="18"/>
          <w:szCs w:val="18"/>
        </w:rPr>
        <w:t xml:space="preserve"> il nuovo affidamento avviene alle condizioni proposte dall’operatore economico interpellato</w:t>
      </w:r>
      <w:r w:rsidR="00CD2A6F">
        <w:rPr>
          <w:rFonts w:ascii="Titillium" w:hAnsi="Titillium" w:cs="Calibri"/>
          <w:sz w:val="18"/>
          <w:szCs w:val="18"/>
        </w:rPr>
        <w:t xml:space="preserve">, ai sensi dell’art. 124 comma 2 del </w:t>
      </w:r>
      <w:r w:rsidR="00F65B5E">
        <w:rPr>
          <w:rFonts w:ascii="Titillium" w:hAnsi="Titillium" w:cs="Calibri"/>
          <w:sz w:val="18"/>
          <w:szCs w:val="18"/>
        </w:rPr>
        <w:t>C</w:t>
      </w:r>
      <w:r w:rsidR="00CD2A6F">
        <w:rPr>
          <w:rFonts w:ascii="Titillium" w:hAnsi="Titillium" w:cs="Calibri"/>
          <w:sz w:val="18"/>
          <w:szCs w:val="18"/>
        </w:rPr>
        <w:t>odice.</w:t>
      </w:r>
    </w:p>
    <w:p w14:paraId="010CE3B8" w14:textId="7086BDD7" w:rsidR="004C53A8" w:rsidRDefault="004C667D" w:rsidP="00601972">
      <w:pPr>
        <w:pStyle w:val="Titolo2"/>
        <w:numPr>
          <w:ilvl w:val="0"/>
          <w:numId w:val="27"/>
        </w:numPr>
        <w:ind w:left="357" w:hanging="357"/>
      </w:pPr>
      <w:bookmarkStart w:id="3111" w:name="_Toc139549456"/>
      <w:r>
        <w:rPr>
          <w:rFonts w:ascii="Titillium" w:hAnsi="Titillium"/>
          <w:caps w:val="0"/>
          <w:sz w:val="18"/>
          <w:szCs w:val="18"/>
        </w:rPr>
        <w:t>OBBLIGHI RELATIVI ALLA TRACCIABILITÀ DEI FLUSSI FINANZIARI</w:t>
      </w:r>
      <w:bookmarkEnd w:id="3111"/>
      <w:r>
        <w:rPr>
          <w:rFonts w:ascii="Titillium" w:hAnsi="Titillium"/>
          <w:caps w:val="0"/>
          <w:sz w:val="18"/>
          <w:szCs w:val="18"/>
        </w:rPr>
        <w:t xml:space="preserve"> </w:t>
      </w:r>
    </w:p>
    <w:p w14:paraId="6688B1B4" w14:textId="16EE4446" w:rsidR="004C53A8" w:rsidRDefault="00870286">
      <w:pPr>
        <w:rPr>
          <w:rFonts w:ascii="Titillium" w:hAnsi="Titillium"/>
          <w:sz w:val="18"/>
          <w:szCs w:val="18"/>
        </w:rPr>
      </w:pPr>
      <w:r>
        <w:rPr>
          <w:rFonts w:ascii="Titillium" w:hAnsi="Titillium"/>
          <w:sz w:val="18"/>
          <w:szCs w:val="18"/>
        </w:rPr>
        <w:t xml:space="preserve">Il contratto d’appalto è soggetto agli obblighi in tema di tracciabilità dei flussi finanziari di cui alla </w:t>
      </w:r>
      <w:r w:rsidR="007868F0">
        <w:rPr>
          <w:rFonts w:ascii="Titillium" w:hAnsi="Titillium"/>
          <w:sz w:val="18"/>
          <w:szCs w:val="18"/>
        </w:rPr>
        <w:t>legge</w:t>
      </w:r>
      <w:r>
        <w:rPr>
          <w:rFonts w:ascii="Titillium" w:hAnsi="Titillium"/>
          <w:sz w:val="18"/>
          <w:szCs w:val="18"/>
        </w:rPr>
        <w:t xml:space="preserve"> 13 agosto 2010, n. 136.</w:t>
      </w:r>
    </w:p>
    <w:p w14:paraId="25163882" w14:textId="77777777" w:rsidR="004C53A8" w:rsidRDefault="00870286">
      <w:pPr>
        <w:rPr>
          <w:rFonts w:ascii="Titillium" w:hAnsi="Titillium"/>
          <w:sz w:val="18"/>
          <w:szCs w:val="18"/>
        </w:rPr>
      </w:pPr>
      <w:r>
        <w:rPr>
          <w:rFonts w:ascii="Titillium" w:hAnsi="Titillium"/>
          <w:sz w:val="18"/>
          <w:szCs w:val="18"/>
        </w:rPr>
        <w:t>L’affidatario deve comunicare alla stazione appaltante:</w:t>
      </w:r>
    </w:p>
    <w:p w14:paraId="6082AAAB"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gli estremi identificativi dei conti correnti bancari o postali dedicati, con l'indicazione dell'opera/servizio/fornitura alla quale sono dedicati;</w:t>
      </w:r>
    </w:p>
    <w:p w14:paraId="0FDA3AFD"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le generalità e il codice fiscale delle persone delegate ad operare sugli stessi;</w:t>
      </w:r>
    </w:p>
    <w:p w14:paraId="4215BFB8"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 xml:space="preserve">ogni modifica relativa ai dati trasmessi. </w:t>
      </w:r>
    </w:p>
    <w:p w14:paraId="5768DE71" w14:textId="089CF657" w:rsidR="004C53A8" w:rsidRDefault="00870286">
      <w:pPr>
        <w:rPr>
          <w:rFonts w:ascii="Titillium" w:hAnsi="Titillium"/>
          <w:sz w:val="18"/>
          <w:szCs w:val="18"/>
        </w:rPr>
      </w:pPr>
      <w:r>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w:t>
      </w:r>
      <w:r w:rsidRPr="00851D38">
        <w:rPr>
          <w:rFonts w:ascii="Titillium" w:hAnsi="Titillium"/>
          <w:sz w:val="18"/>
          <w:szCs w:val="18"/>
        </w:rPr>
        <w:t>una sanzione amministrativa pecuniaria da 500 a 3.000 euro.</w:t>
      </w:r>
      <w:r>
        <w:rPr>
          <w:rFonts w:ascii="Titillium" w:hAnsi="Titillium"/>
          <w:sz w:val="18"/>
          <w:szCs w:val="18"/>
        </w:rPr>
        <w:t xml:space="preserve"> </w:t>
      </w:r>
    </w:p>
    <w:p w14:paraId="6D2A84C4" w14:textId="77777777" w:rsidR="004C53A8" w:rsidRDefault="00870286">
      <w:pPr>
        <w:rPr>
          <w:rFonts w:ascii="Titillium" w:hAnsi="Titillium"/>
          <w:sz w:val="18"/>
          <w:szCs w:val="18"/>
        </w:rPr>
      </w:pPr>
      <w:r>
        <w:rPr>
          <w:rFonts w:ascii="Titillium" w:hAnsi="Titillium"/>
          <w:sz w:val="18"/>
          <w:szCs w:val="18"/>
        </w:rPr>
        <w:lastRenderedPageBreak/>
        <w:t xml:space="preserve">Il mancato adempimento agli obblighi previsti per la tracciabilità dei flussi finanziari relativi all’appalto comporta la risoluzione di diritto del contratto. </w:t>
      </w:r>
    </w:p>
    <w:p w14:paraId="13344CBD" w14:textId="77777777" w:rsidR="004C53A8" w:rsidRDefault="00870286">
      <w:pPr>
        <w:rPr>
          <w:rFonts w:ascii="Titillium" w:hAnsi="Titillium"/>
          <w:sz w:val="18"/>
          <w:szCs w:val="18"/>
        </w:rPr>
      </w:pPr>
      <w:r>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14:paraId="5870BA1D" w14:textId="77777777" w:rsidR="004C53A8" w:rsidRDefault="00870286">
      <w:pPr>
        <w:rPr>
          <w:rFonts w:ascii="Titillium" w:hAnsi="Titillium"/>
          <w:sz w:val="18"/>
          <w:szCs w:val="18"/>
        </w:rPr>
      </w:pPr>
      <w:r>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774BEE37" w14:textId="6521AE82" w:rsidR="004C53A8" w:rsidRDefault="004C667D" w:rsidP="00601972">
      <w:pPr>
        <w:pStyle w:val="Titolo2"/>
        <w:numPr>
          <w:ilvl w:val="0"/>
          <w:numId w:val="27"/>
        </w:numPr>
        <w:ind w:left="357" w:hanging="357"/>
      </w:pPr>
      <w:bookmarkStart w:id="3112" w:name="_Toc139549457"/>
      <w:r>
        <w:rPr>
          <w:rFonts w:ascii="Titillium" w:hAnsi="Titillium"/>
          <w:caps w:val="0"/>
          <w:sz w:val="18"/>
          <w:szCs w:val="18"/>
        </w:rPr>
        <w:t xml:space="preserve">CODICE </w:t>
      </w:r>
      <w:r w:rsidR="008B7EE1">
        <w:rPr>
          <w:rFonts w:ascii="Titillium" w:hAnsi="Titillium"/>
          <w:caps w:val="0"/>
          <w:sz w:val="18"/>
          <w:szCs w:val="18"/>
          <w:lang w:val="it-IT"/>
        </w:rPr>
        <w:t>DI COMPORTAMENTO</w:t>
      </w:r>
      <w:bookmarkEnd w:id="3112"/>
      <w:r w:rsidR="008B7EE1">
        <w:rPr>
          <w:rFonts w:ascii="Titillium" w:hAnsi="Titillium"/>
          <w:caps w:val="0"/>
          <w:sz w:val="18"/>
          <w:szCs w:val="18"/>
          <w:lang w:val="it-IT"/>
        </w:rPr>
        <w:t xml:space="preserve"> </w:t>
      </w:r>
      <w:r>
        <w:rPr>
          <w:rFonts w:ascii="Titillium" w:hAnsi="Titillium"/>
          <w:caps w:val="0"/>
          <w:sz w:val="18"/>
          <w:szCs w:val="18"/>
        </w:rPr>
        <w:t xml:space="preserve"> </w:t>
      </w:r>
    </w:p>
    <w:p w14:paraId="36FEBA54" w14:textId="4EA4AFFF" w:rsidR="004C53A8" w:rsidRPr="00331144" w:rsidRDefault="00870286">
      <w:pPr>
        <w:widowControl w:val="0"/>
        <w:spacing w:line="280" w:lineRule="exact"/>
      </w:pPr>
      <w:r>
        <w:rPr>
          <w:rFonts w:ascii="Titillium" w:hAnsi="Titillium"/>
          <w:sz w:val="18"/>
          <w:szCs w:val="18"/>
          <w:lang w:eastAsia="it-IT"/>
        </w:rPr>
        <w:t xml:space="preserve">Nello svolgimento delle attività oggetto del contratto di appalto, l’aggiudicatario </w:t>
      </w:r>
      <w:r w:rsidRPr="00331144">
        <w:rPr>
          <w:rFonts w:ascii="Titillium" w:hAnsi="Titillium"/>
          <w:i/>
          <w:sz w:val="18"/>
          <w:szCs w:val="18"/>
          <w:lang w:eastAsia="it-IT"/>
        </w:rPr>
        <w:t>[nel caso di più lotti: di ciascun lotto]</w:t>
      </w:r>
      <w:r>
        <w:rPr>
          <w:rFonts w:ascii="Titillium" w:hAnsi="Titillium"/>
          <w:sz w:val="18"/>
          <w:szCs w:val="18"/>
          <w:lang w:eastAsia="it-IT"/>
        </w:rPr>
        <w:t xml:space="preserve"> deve uniformarsi ai principi e</w:t>
      </w:r>
      <w:r w:rsidR="008D6E8D">
        <w:rPr>
          <w:rFonts w:ascii="Titillium" w:hAnsi="Titillium"/>
          <w:sz w:val="18"/>
          <w:szCs w:val="18"/>
          <w:lang w:eastAsia="it-IT"/>
        </w:rPr>
        <w:t xml:space="preserve">, per quanto compatibili, </w:t>
      </w:r>
      <w:r>
        <w:rPr>
          <w:rFonts w:ascii="Titillium" w:hAnsi="Titillium"/>
          <w:sz w:val="18"/>
          <w:szCs w:val="18"/>
          <w:lang w:eastAsia="it-IT"/>
        </w:rPr>
        <w:t xml:space="preserve"> ai doveri </w:t>
      </w:r>
      <w:r w:rsidR="008D6E8D">
        <w:rPr>
          <w:rFonts w:ascii="Titillium" w:hAnsi="Titillium"/>
          <w:sz w:val="18"/>
          <w:szCs w:val="18"/>
          <w:lang w:eastAsia="it-IT"/>
        </w:rPr>
        <w:t xml:space="preserve">di condotta </w:t>
      </w:r>
      <w:r>
        <w:rPr>
          <w:rFonts w:ascii="Titillium" w:hAnsi="Titillium"/>
          <w:sz w:val="18"/>
          <w:szCs w:val="18"/>
          <w:lang w:eastAsia="it-IT"/>
        </w:rPr>
        <w:t xml:space="preserve">richiamati nel </w:t>
      </w:r>
      <w:r w:rsidR="008D6E8D">
        <w:rPr>
          <w:rFonts w:ascii="Titillium" w:hAnsi="Titillium"/>
          <w:sz w:val="18"/>
          <w:szCs w:val="18"/>
          <w:lang w:eastAsia="it-IT"/>
        </w:rPr>
        <w:t xml:space="preserve">Decreto del Presidente della Repubblica 16 aprile 2013 n. 62 </w:t>
      </w:r>
      <w:r>
        <w:rPr>
          <w:rFonts w:ascii="Titillium" w:hAnsi="Titillium"/>
          <w:sz w:val="18"/>
          <w:szCs w:val="18"/>
          <w:lang w:eastAsia="it-IT"/>
        </w:rPr>
        <w:t xml:space="preserve"> e </w:t>
      </w:r>
      <w:r w:rsidR="008D6E8D">
        <w:rPr>
          <w:rFonts w:ascii="Titillium" w:hAnsi="Titillium"/>
          <w:sz w:val="18"/>
          <w:szCs w:val="18"/>
          <w:lang w:eastAsia="it-IT"/>
        </w:rPr>
        <w:t xml:space="preserve">nel codice di comportamento di questa stazione appaltante e </w:t>
      </w:r>
      <w:r w:rsidR="001F6690" w:rsidRPr="001F6690">
        <w:rPr>
          <w:rFonts w:ascii="Titillium" w:hAnsi="Titillium"/>
          <w:i/>
          <w:sz w:val="18"/>
          <w:szCs w:val="18"/>
          <w:lang w:eastAsia="it-IT"/>
        </w:rPr>
        <w:t>[</w:t>
      </w:r>
      <w:r w:rsidRPr="001F6690">
        <w:rPr>
          <w:rFonts w:ascii="Titillium" w:hAnsi="Titillium"/>
          <w:i/>
          <w:sz w:val="18"/>
          <w:szCs w:val="18"/>
          <w:lang w:eastAsia="it-IT"/>
        </w:rPr>
        <w:t>per le pubbliche amministrazioni</w:t>
      </w:r>
      <w:r w:rsidR="001F6690" w:rsidRPr="001F6690">
        <w:rPr>
          <w:rFonts w:ascii="Titillium" w:hAnsi="Titillium"/>
          <w:i/>
          <w:sz w:val="18"/>
          <w:szCs w:val="18"/>
          <w:lang w:eastAsia="it-IT"/>
        </w:rPr>
        <w:t>]</w:t>
      </w:r>
      <w:r w:rsidRPr="00331144">
        <w:rPr>
          <w:rFonts w:ascii="Titillium" w:hAnsi="Titillium"/>
          <w:sz w:val="18"/>
          <w:szCs w:val="18"/>
          <w:lang w:eastAsia="it-IT"/>
        </w:rPr>
        <w:t xml:space="preserve"> n</w:t>
      </w:r>
      <w:r w:rsidRPr="00331144">
        <w:rPr>
          <w:rFonts w:ascii="Titillium" w:hAnsi="Titillium"/>
          <w:iCs/>
          <w:sz w:val="18"/>
          <w:szCs w:val="18"/>
          <w:lang w:eastAsia="it-IT"/>
        </w:rPr>
        <w:t>el Piano Triennale di Prevenzione della Corruzione e della Trasparenza</w:t>
      </w:r>
      <w:r w:rsidR="00F915C9">
        <w:rPr>
          <w:rFonts w:ascii="Titillium" w:hAnsi="Titillium"/>
          <w:i/>
          <w:iCs/>
          <w:sz w:val="18"/>
          <w:szCs w:val="18"/>
          <w:lang w:eastAsia="it-IT"/>
        </w:rPr>
        <w:t xml:space="preserve">, nonché [per le amministrazioni tenute alla redazione del PIAO]  </w:t>
      </w:r>
      <w:r w:rsidR="00F915C9" w:rsidRPr="00F915C9">
        <w:rPr>
          <w:rFonts w:ascii="Titillium" w:hAnsi="Titillium"/>
          <w:iCs/>
          <w:sz w:val="18"/>
          <w:szCs w:val="18"/>
          <w:lang w:eastAsia="it-IT"/>
        </w:rPr>
        <w:t>nella sottosezione Rischi corruttivi e trasparenza</w:t>
      </w:r>
      <w:r w:rsidR="00F915C9">
        <w:rPr>
          <w:rFonts w:ascii="Titillium" w:hAnsi="Titillium"/>
          <w:iCs/>
          <w:sz w:val="18"/>
          <w:szCs w:val="18"/>
          <w:lang w:eastAsia="it-IT"/>
        </w:rPr>
        <w:t xml:space="preserve"> del PIAO]</w:t>
      </w:r>
      <w:r w:rsidR="00F915C9" w:rsidRPr="00F915C9">
        <w:rPr>
          <w:rFonts w:ascii="Titillium" w:hAnsi="Titillium"/>
          <w:i/>
          <w:iCs/>
          <w:sz w:val="18"/>
          <w:szCs w:val="18"/>
          <w:lang w:eastAsia="it-IT"/>
        </w:rPr>
        <w:t xml:space="preserve"> </w:t>
      </w:r>
      <w:r w:rsidR="001F6690" w:rsidRPr="001F6690">
        <w:rPr>
          <w:rFonts w:ascii="Titillium" w:hAnsi="Titillium"/>
          <w:i/>
          <w:iCs/>
          <w:sz w:val="18"/>
          <w:szCs w:val="18"/>
          <w:lang w:eastAsia="it-IT"/>
        </w:rPr>
        <w:t>[</w:t>
      </w:r>
      <w:r w:rsidRPr="001F6690">
        <w:rPr>
          <w:rFonts w:ascii="Titillium" w:hAnsi="Titillium"/>
          <w:i/>
          <w:iCs/>
          <w:sz w:val="18"/>
          <w:szCs w:val="18"/>
          <w:lang w:eastAsia="it-IT"/>
        </w:rPr>
        <w:t xml:space="preserve">negli altri casi </w:t>
      </w:r>
      <w:r w:rsidRPr="001F6690">
        <w:rPr>
          <w:rFonts w:ascii="Titillium" w:hAnsi="Titillium"/>
          <w:i/>
          <w:sz w:val="18"/>
          <w:szCs w:val="18"/>
          <w:lang w:eastAsia="it-IT"/>
        </w:rPr>
        <w:t>nel Modello di organizzazione, gestione e controllo adottato dalla medesima ai sensi del decreto legislativo n. 231/01</w:t>
      </w:r>
      <w:r w:rsidR="001F6690" w:rsidRPr="001F6690">
        <w:rPr>
          <w:rFonts w:ascii="Titillium" w:hAnsi="Titillium"/>
          <w:i/>
          <w:sz w:val="18"/>
          <w:szCs w:val="18"/>
          <w:lang w:eastAsia="it-IT"/>
        </w:rPr>
        <w:t>]</w:t>
      </w:r>
      <w:r w:rsidRPr="00331144">
        <w:rPr>
          <w:rFonts w:ascii="Titillium" w:hAnsi="Titillium"/>
          <w:sz w:val="18"/>
          <w:szCs w:val="18"/>
          <w:lang w:eastAsia="it-IT"/>
        </w:rPr>
        <w:t xml:space="preserve">. </w:t>
      </w:r>
    </w:p>
    <w:p w14:paraId="653EF637" w14:textId="77777777" w:rsidR="004C53A8" w:rsidRDefault="00870286">
      <w:pPr>
        <w:widowControl w:val="0"/>
        <w:spacing w:line="280" w:lineRule="exact"/>
      </w:pPr>
      <w:r>
        <w:rPr>
          <w:rFonts w:ascii="Titillium" w:hAnsi="Titillium"/>
          <w:sz w:val="18"/>
          <w:szCs w:val="18"/>
          <w:lang w:eastAsia="it-IT"/>
        </w:rPr>
        <w:t xml:space="preserve">In seguito alla comunicazione di aggiudicazione e prima della stipula del contratto, l’aggiudicatario </w:t>
      </w:r>
      <w:r>
        <w:rPr>
          <w:rFonts w:ascii="Titillium" w:hAnsi="Titillium"/>
          <w:i/>
          <w:sz w:val="18"/>
          <w:szCs w:val="18"/>
          <w:lang w:eastAsia="it-IT"/>
        </w:rPr>
        <w:t>[nel caso di più lotti: di ciascun lotto]</w:t>
      </w:r>
      <w:r>
        <w:rPr>
          <w:rFonts w:ascii="Titillium" w:hAnsi="Titillium"/>
          <w:sz w:val="18"/>
          <w:szCs w:val="18"/>
          <w:lang w:eastAsia="it-IT"/>
        </w:rPr>
        <w:t xml:space="preserve"> ha l’onere di prendere visione dei predetti documenti pubblicati sul sito della stazione </w:t>
      </w:r>
      <w:r>
        <w:rPr>
          <w:rFonts w:ascii="Titillium" w:hAnsi="Titillium"/>
          <w:i/>
          <w:sz w:val="18"/>
          <w:szCs w:val="18"/>
          <w:lang w:eastAsia="it-IT"/>
        </w:rPr>
        <w:t>appaltante [</w:t>
      </w:r>
      <w:r>
        <w:rPr>
          <w:rFonts w:ascii="Titillium" w:hAnsi="Titillium"/>
          <w:i/>
          <w:iCs/>
          <w:sz w:val="18"/>
          <w:szCs w:val="18"/>
          <w:lang w:eastAsia="it-IT"/>
        </w:rPr>
        <w:t>indicare il link dove è possibile leggere i predetti documenti</w:t>
      </w:r>
      <w:r>
        <w:rPr>
          <w:rFonts w:ascii="Titillium" w:hAnsi="Titillium"/>
          <w:i/>
          <w:sz w:val="18"/>
          <w:szCs w:val="18"/>
          <w:lang w:eastAsia="it-IT"/>
        </w:rPr>
        <w:t>]</w:t>
      </w:r>
      <w:r>
        <w:rPr>
          <w:rFonts w:ascii="Titillium" w:hAnsi="Titillium"/>
          <w:sz w:val="18"/>
          <w:szCs w:val="18"/>
          <w:lang w:eastAsia="it-IT"/>
        </w:rPr>
        <w:t>.</w:t>
      </w:r>
    </w:p>
    <w:p w14:paraId="3B7883AF" w14:textId="77777777" w:rsidR="004C53A8" w:rsidRDefault="00870286" w:rsidP="00601972">
      <w:pPr>
        <w:pStyle w:val="Titolo2"/>
        <w:numPr>
          <w:ilvl w:val="0"/>
          <w:numId w:val="27"/>
        </w:numPr>
        <w:ind w:left="357" w:hanging="357"/>
        <w:rPr>
          <w:rFonts w:ascii="Titillium" w:hAnsi="Titillium"/>
          <w:sz w:val="18"/>
          <w:szCs w:val="18"/>
          <w:lang w:val="it-IT"/>
        </w:rPr>
      </w:pPr>
      <w:bookmarkStart w:id="3113" w:name="_Toc139549458"/>
      <w:r>
        <w:rPr>
          <w:rFonts w:ascii="Titillium" w:hAnsi="Titillium"/>
          <w:sz w:val="18"/>
          <w:szCs w:val="18"/>
          <w:lang w:val="it-IT"/>
        </w:rPr>
        <w:t>ACCESSO AGLI ATTI</w:t>
      </w:r>
      <w:bookmarkEnd w:id="3113"/>
    </w:p>
    <w:p w14:paraId="425C648A" w14:textId="2A45C0C1" w:rsidR="00D83434" w:rsidRPr="00851FDE" w:rsidRDefault="00D83434">
      <w:pPr>
        <w:widowControl w:val="0"/>
        <w:spacing w:line="280" w:lineRule="exact"/>
        <w:rPr>
          <w:rFonts w:ascii="Titillium" w:hAnsi="Titillium"/>
          <w:b/>
          <w:bCs/>
          <w:i/>
          <w:iCs/>
          <w:sz w:val="18"/>
          <w:szCs w:val="18"/>
        </w:rPr>
      </w:pPr>
      <w:r w:rsidRPr="00851FDE">
        <w:rPr>
          <w:rFonts w:ascii="Titillium" w:hAnsi="Titillium"/>
          <w:b/>
          <w:bCs/>
          <w:i/>
          <w:iCs/>
          <w:sz w:val="18"/>
          <w:szCs w:val="18"/>
        </w:rPr>
        <w:t>[Fino al 31 dicembre 2023]</w:t>
      </w:r>
    </w:p>
    <w:p w14:paraId="6C9A76B5" w14:textId="288F43EB" w:rsidR="00E923F0" w:rsidRDefault="00E923F0" w:rsidP="00E923F0">
      <w:pPr>
        <w:widowControl w:val="0"/>
        <w:spacing w:line="280" w:lineRule="exact"/>
      </w:pPr>
      <w:r>
        <w:rPr>
          <w:rFonts w:ascii="Titillium" w:hAnsi="Titillium"/>
          <w:sz w:val="18"/>
          <w:szCs w:val="18"/>
        </w:rPr>
        <w:t>L’accesso agli atti della procedura è consentito nel rispetto di quanto previsto dall’articolo 53 del decreto legislativo n. 50/2016 e dalle vigenti disposizioni in materia di diritto di accesso ai documenti amministrativi secondo le seguenti modalità … [</w:t>
      </w:r>
      <w:r>
        <w:rPr>
          <w:rFonts w:ascii="Titillium" w:hAnsi="Titillium"/>
          <w:i/>
          <w:iCs/>
          <w:sz w:val="18"/>
          <w:szCs w:val="18"/>
        </w:rPr>
        <w:t>indicare</w:t>
      </w:r>
      <w:r>
        <w:rPr>
          <w:rFonts w:ascii="Titillium" w:hAnsi="Titillium"/>
          <w:sz w:val="18"/>
          <w:szCs w:val="18"/>
        </w:rPr>
        <w:t>].</w:t>
      </w:r>
    </w:p>
    <w:p w14:paraId="51006702" w14:textId="77777777" w:rsidR="00D83434" w:rsidRDefault="00D83434">
      <w:pPr>
        <w:widowControl w:val="0"/>
        <w:spacing w:line="280" w:lineRule="exact"/>
        <w:rPr>
          <w:rFonts w:ascii="Titillium" w:hAnsi="Titillium"/>
          <w:sz w:val="18"/>
          <w:szCs w:val="18"/>
        </w:rPr>
      </w:pPr>
    </w:p>
    <w:p w14:paraId="703F8AD9" w14:textId="77777777" w:rsidR="00D83434" w:rsidRDefault="00D83434">
      <w:pPr>
        <w:widowControl w:val="0"/>
        <w:spacing w:line="280" w:lineRule="exact"/>
        <w:rPr>
          <w:rFonts w:ascii="Titillium" w:hAnsi="Titillium"/>
          <w:sz w:val="18"/>
          <w:szCs w:val="18"/>
        </w:rPr>
      </w:pPr>
    </w:p>
    <w:p w14:paraId="1960930A" w14:textId="58DEA3D2" w:rsidR="004C53A8" w:rsidRDefault="00D83434">
      <w:pPr>
        <w:widowControl w:val="0"/>
        <w:spacing w:line="280" w:lineRule="exact"/>
        <w:rPr>
          <w:rFonts w:ascii="Titillium" w:hAnsi="Titillium"/>
          <w:sz w:val="18"/>
          <w:szCs w:val="18"/>
        </w:rPr>
      </w:pPr>
      <w:r w:rsidRPr="00851FDE">
        <w:rPr>
          <w:rFonts w:ascii="Titillium" w:hAnsi="Titillium"/>
          <w:b/>
          <w:bCs/>
          <w:i/>
          <w:iCs/>
          <w:sz w:val="18"/>
          <w:szCs w:val="18"/>
        </w:rPr>
        <w:t>[A decorrere dal 1° gennaio 2024]</w:t>
      </w:r>
      <w:r>
        <w:rPr>
          <w:rFonts w:ascii="Titillium" w:hAnsi="Titillium"/>
          <w:sz w:val="18"/>
          <w:szCs w:val="18"/>
        </w:rPr>
        <w:t xml:space="preserve"> </w:t>
      </w:r>
      <w:r w:rsidR="00870286">
        <w:rPr>
          <w:rFonts w:ascii="Titillium" w:hAnsi="Titillium"/>
          <w:sz w:val="18"/>
          <w:szCs w:val="18"/>
        </w:rPr>
        <w:t xml:space="preserve">L’accesso agli atti della procedura è </w:t>
      </w:r>
      <w:r w:rsidR="00277137">
        <w:rPr>
          <w:rFonts w:ascii="Titillium" w:hAnsi="Titillium"/>
          <w:sz w:val="18"/>
          <w:szCs w:val="18"/>
        </w:rPr>
        <w:t>assicurato in modalità digitale mediante acquisizione diretta dei dati e delle informazioni inseriti nelle piattaforme di e-</w:t>
      </w:r>
      <w:proofErr w:type="spellStart"/>
      <w:r w:rsidR="00277137">
        <w:rPr>
          <w:rFonts w:ascii="Titillium" w:hAnsi="Titillium"/>
          <w:sz w:val="18"/>
          <w:szCs w:val="18"/>
        </w:rPr>
        <w:t>procurement</w:t>
      </w:r>
      <w:proofErr w:type="spellEnd"/>
      <w:r w:rsidR="00277137">
        <w:rPr>
          <w:rFonts w:ascii="Titillium" w:hAnsi="Titillium"/>
          <w:sz w:val="18"/>
          <w:szCs w:val="18"/>
        </w:rPr>
        <w:t xml:space="preserve">, </w:t>
      </w:r>
      <w:r w:rsidR="00870286">
        <w:rPr>
          <w:rFonts w:ascii="Titillium" w:hAnsi="Titillium"/>
          <w:sz w:val="18"/>
          <w:szCs w:val="18"/>
        </w:rPr>
        <w:t xml:space="preserve">nel rispetto di quanto previsto dall’articolo </w:t>
      </w:r>
      <w:r w:rsidR="00277137">
        <w:rPr>
          <w:rFonts w:ascii="Titillium" w:hAnsi="Titillium"/>
          <w:sz w:val="18"/>
          <w:szCs w:val="18"/>
        </w:rPr>
        <w:t xml:space="preserve">35 </w:t>
      </w:r>
      <w:r w:rsidR="00870286">
        <w:rPr>
          <w:rFonts w:ascii="Titillium" w:hAnsi="Titillium"/>
          <w:sz w:val="18"/>
          <w:szCs w:val="18"/>
        </w:rPr>
        <w:t>del Codice e dalle vigenti disposizioni in materia di diritto di accesso ai documenti amministrativi</w:t>
      </w:r>
      <w:r w:rsidR="00277137">
        <w:rPr>
          <w:rFonts w:ascii="Titillium" w:hAnsi="Titillium"/>
          <w:sz w:val="18"/>
          <w:szCs w:val="18"/>
        </w:rPr>
        <w:t>,</w:t>
      </w:r>
      <w:r w:rsidR="00870286">
        <w:rPr>
          <w:rFonts w:ascii="Titillium" w:hAnsi="Titillium"/>
          <w:sz w:val="18"/>
          <w:szCs w:val="18"/>
        </w:rPr>
        <w:t xml:space="preserve"> secondo le modalità</w:t>
      </w:r>
      <w:r w:rsidR="00F00628">
        <w:rPr>
          <w:rFonts w:ascii="Titillium" w:hAnsi="Titillium"/>
          <w:sz w:val="18"/>
          <w:szCs w:val="18"/>
        </w:rPr>
        <w:t xml:space="preserve"> </w:t>
      </w:r>
      <w:r w:rsidR="00277137">
        <w:rPr>
          <w:rFonts w:ascii="Titillium" w:hAnsi="Titillium"/>
          <w:sz w:val="18"/>
          <w:szCs w:val="18"/>
        </w:rPr>
        <w:t>indicate all’articolo 36 del codice</w:t>
      </w:r>
      <w:r w:rsidR="00870286">
        <w:rPr>
          <w:rFonts w:ascii="Titillium" w:hAnsi="Titillium"/>
          <w:sz w:val="18"/>
          <w:szCs w:val="18"/>
        </w:rPr>
        <w:t>.</w:t>
      </w:r>
    </w:p>
    <w:p w14:paraId="28F59E88" w14:textId="77777777" w:rsidR="004C53A8" w:rsidRDefault="00870286" w:rsidP="00601972">
      <w:pPr>
        <w:pStyle w:val="Titolo2"/>
        <w:numPr>
          <w:ilvl w:val="0"/>
          <w:numId w:val="27"/>
        </w:numPr>
        <w:ind w:left="357" w:hanging="357"/>
      </w:pPr>
      <w:bookmarkStart w:id="3114" w:name="_Toc406058393"/>
      <w:bookmarkStart w:id="3115" w:name="_Toc403471285"/>
      <w:bookmarkStart w:id="3116" w:name="_Toc397422878"/>
      <w:bookmarkStart w:id="3117" w:name="_Toc397346837"/>
      <w:bookmarkStart w:id="3118" w:name="_Toc393706922"/>
      <w:bookmarkStart w:id="3119" w:name="_Toc393700849"/>
      <w:bookmarkStart w:id="3120" w:name="_Toc393283190"/>
      <w:bookmarkStart w:id="3121" w:name="_Toc393272674"/>
      <w:bookmarkStart w:id="3122" w:name="_Toc393272616"/>
      <w:bookmarkStart w:id="3123" w:name="_Toc393187860"/>
      <w:bookmarkStart w:id="3124" w:name="_Toc393112143"/>
      <w:bookmarkStart w:id="3125" w:name="_Toc393110579"/>
      <w:bookmarkStart w:id="3126" w:name="_Toc392577512"/>
      <w:bookmarkStart w:id="3127" w:name="_Toc391036071"/>
      <w:bookmarkStart w:id="3128" w:name="_Toc391035998"/>
      <w:bookmarkStart w:id="3129" w:name="_Toc380501885"/>
      <w:bookmarkStart w:id="3130" w:name="_Toc354038182"/>
      <w:bookmarkStart w:id="3131" w:name="_Toc416423377"/>
      <w:bookmarkStart w:id="3132" w:name="_Toc406754194"/>
      <w:bookmarkStart w:id="3133" w:name="_Toc139549459"/>
      <w:r>
        <w:rPr>
          <w:rFonts w:ascii="Titillium" w:hAnsi="Titillium"/>
          <w:sz w:val="18"/>
          <w:szCs w:val="18"/>
        </w:rPr>
        <w:t>DEFINIZIONE DELLE CONTROVERSIE</w:t>
      </w:r>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r>
        <w:rPr>
          <w:rFonts w:ascii="Titillium" w:hAnsi="Titillium"/>
          <w:sz w:val="18"/>
          <w:szCs w:val="18"/>
        </w:rPr>
        <w:t xml:space="preserve"> </w:t>
      </w:r>
    </w:p>
    <w:p w14:paraId="71CF8E36" w14:textId="57E9CD99" w:rsidR="004C53A8" w:rsidRDefault="00870286">
      <w:pPr>
        <w:spacing w:before="60" w:after="60"/>
      </w:pPr>
      <w:r>
        <w:rPr>
          <w:rFonts w:ascii="Titillium" w:hAnsi="Titillium"/>
          <w:sz w:val="18"/>
          <w:szCs w:val="18"/>
          <w:lang w:eastAsia="it-IT"/>
        </w:rPr>
        <w:t xml:space="preserve">Per le controversie derivanti dalla presente procedura di gara è competente il Tribunale Amministrativo di ... </w:t>
      </w:r>
      <w:r>
        <w:rPr>
          <w:rFonts w:ascii="Titillium" w:hAnsi="Titillium"/>
          <w:i/>
          <w:sz w:val="18"/>
          <w:szCs w:val="18"/>
          <w:lang w:eastAsia="it-IT"/>
        </w:rPr>
        <w:t>[indicare il Tribunale competente]</w:t>
      </w:r>
      <w:r w:rsidR="00006719">
        <w:t>.</w:t>
      </w:r>
    </w:p>
    <w:p w14:paraId="428FA068" w14:textId="002242B2" w:rsidR="004C53A8" w:rsidRDefault="00870286" w:rsidP="00F65B5E">
      <w:pPr>
        <w:spacing w:before="60" w:after="60"/>
        <w:rPr>
          <w:rFonts w:ascii="Titillium" w:hAnsi="Titillium"/>
          <w:sz w:val="18"/>
          <w:szCs w:val="18"/>
          <w:lang w:eastAsia="it-IT"/>
        </w:rPr>
      </w:pPr>
      <w:r w:rsidRPr="00AC0EF6">
        <w:rPr>
          <w:rFonts w:ascii="Titillium" w:hAnsi="Titillium"/>
          <w:b/>
          <w:i/>
          <w:sz w:val="18"/>
          <w:szCs w:val="18"/>
          <w:lang w:eastAsia="it-IT"/>
        </w:rPr>
        <w:t>[Facoltativ</w:t>
      </w:r>
      <w:r w:rsidR="00254D96" w:rsidRPr="00AC0EF6">
        <w:rPr>
          <w:rFonts w:ascii="Titillium" w:hAnsi="Titillium"/>
          <w:b/>
          <w:i/>
          <w:sz w:val="18"/>
          <w:szCs w:val="18"/>
          <w:lang w:eastAsia="it-IT"/>
        </w:rPr>
        <w:t>o</w:t>
      </w:r>
      <w:r w:rsidRPr="00AC0EF6">
        <w:rPr>
          <w:rFonts w:ascii="Titillium" w:hAnsi="Titillium"/>
          <w:b/>
          <w:i/>
          <w:sz w:val="18"/>
          <w:szCs w:val="18"/>
          <w:lang w:eastAsia="it-IT"/>
        </w:rPr>
        <w:t>, nel caso in cui si voglia prevedere la clausola compromissoria ex articolo 2</w:t>
      </w:r>
      <w:r w:rsidR="00E125D6">
        <w:rPr>
          <w:rFonts w:ascii="Titillium" w:hAnsi="Titillium"/>
          <w:b/>
          <w:i/>
          <w:sz w:val="18"/>
          <w:szCs w:val="18"/>
          <w:lang w:eastAsia="it-IT"/>
        </w:rPr>
        <w:t>13</w:t>
      </w:r>
      <w:r w:rsidRPr="00AC0EF6">
        <w:rPr>
          <w:rFonts w:ascii="Titillium" w:hAnsi="Titillium"/>
          <w:b/>
          <w:i/>
          <w:sz w:val="18"/>
          <w:szCs w:val="18"/>
          <w:lang w:eastAsia="it-IT"/>
        </w:rPr>
        <w:t xml:space="preserve"> del Codice nel contratto]</w:t>
      </w:r>
      <w:r>
        <w:rPr>
          <w:rFonts w:ascii="Titillium" w:hAnsi="Titillium"/>
          <w:i/>
          <w:sz w:val="18"/>
          <w:szCs w:val="18"/>
          <w:lang w:eastAsia="it-IT"/>
        </w:rPr>
        <w:t xml:space="preserve"> </w:t>
      </w:r>
      <w:r>
        <w:rPr>
          <w:rFonts w:ascii="Titillium" w:hAnsi="Titillium"/>
          <w:sz w:val="18"/>
          <w:szCs w:val="18"/>
          <w:lang w:eastAsia="it-IT"/>
        </w:rPr>
        <w:t xml:space="preserve">Le controversie su diritti soggettivi, derivanti dall’esecuzione del contratto, comprese quelle conseguenti al mancato raggiungimento dell’accordo bonario di cui agli articoli </w:t>
      </w:r>
      <w:r w:rsidR="00D766E1">
        <w:rPr>
          <w:rFonts w:ascii="Titillium" w:hAnsi="Titillium"/>
          <w:sz w:val="18"/>
          <w:szCs w:val="18"/>
          <w:lang w:eastAsia="it-IT"/>
        </w:rPr>
        <w:t>21</w:t>
      </w:r>
      <w:r w:rsidR="00E125D6">
        <w:rPr>
          <w:rFonts w:ascii="Titillium" w:hAnsi="Titillium"/>
          <w:sz w:val="18"/>
          <w:szCs w:val="18"/>
          <w:lang w:eastAsia="it-IT"/>
        </w:rPr>
        <w:t>1</w:t>
      </w:r>
      <w:r w:rsidR="00D766E1">
        <w:rPr>
          <w:rFonts w:ascii="Titillium" w:hAnsi="Titillium"/>
          <w:sz w:val="18"/>
          <w:szCs w:val="18"/>
          <w:lang w:eastAsia="it-IT"/>
        </w:rPr>
        <w:t xml:space="preserve"> </w:t>
      </w:r>
      <w:r>
        <w:rPr>
          <w:rFonts w:ascii="Titillium" w:hAnsi="Titillium"/>
          <w:sz w:val="18"/>
          <w:szCs w:val="18"/>
          <w:lang w:eastAsia="it-IT"/>
        </w:rPr>
        <w:t>e 2</w:t>
      </w:r>
      <w:r w:rsidR="00D766E1">
        <w:rPr>
          <w:rFonts w:ascii="Titillium" w:hAnsi="Titillium"/>
          <w:sz w:val="18"/>
          <w:szCs w:val="18"/>
          <w:lang w:eastAsia="it-IT"/>
        </w:rPr>
        <w:t>1</w:t>
      </w:r>
      <w:r w:rsidR="00E125D6">
        <w:rPr>
          <w:rFonts w:ascii="Titillium" w:hAnsi="Titillium"/>
          <w:sz w:val="18"/>
          <w:szCs w:val="18"/>
          <w:lang w:eastAsia="it-IT"/>
        </w:rPr>
        <w:t>2</w:t>
      </w:r>
      <w:r>
        <w:rPr>
          <w:rFonts w:ascii="Titillium" w:hAnsi="Titillium"/>
          <w:sz w:val="18"/>
          <w:szCs w:val="18"/>
          <w:lang w:eastAsia="it-IT"/>
        </w:rPr>
        <w:t xml:space="preserve"> del Codice, sono risolte mediante arbitrato amministrativo dalla Camera arbitrale presso l’Autorità Nazionale Anticorruzione secondo gli articoli </w:t>
      </w:r>
      <w:r w:rsidR="00D766E1">
        <w:rPr>
          <w:rFonts w:ascii="Titillium" w:hAnsi="Titillium"/>
          <w:sz w:val="18"/>
          <w:szCs w:val="18"/>
          <w:lang w:eastAsia="it-IT"/>
        </w:rPr>
        <w:t>213 e 214</w:t>
      </w:r>
      <w:r>
        <w:rPr>
          <w:rFonts w:ascii="Titillium" w:hAnsi="Titillium"/>
          <w:sz w:val="18"/>
          <w:szCs w:val="18"/>
          <w:lang w:eastAsia="it-IT"/>
        </w:rPr>
        <w:t xml:space="preserve"> del Codice. A tal fine il contratto contiene apposita clausola compromissoria, salvo </w:t>
      </w:r>
      <w:r w:rsidR="00D766E1">
        <w:rPr>
          <w:rFonts w:ascii="Titillium" w:hAnsi="Titillium"/>
          <w:sz w:val="18"/>
          <w:szCs w:val="18"/>
          <w:lang w:eastAsia="it-IT"/>
        </w:rPr>
        <w:t>rifiuto</w:t>
      </w:r>
      <w:r>
        <w:rPr>
          <w:rFonts w:ascii="Titillium" w:hAnsi="Titillium"/>
          <w:sz w:val="18"/>
          <w:szCs w:val="18"/>
          <w:lang w:eastAsia="it-IT"/>
        </w:rPr>
        <w:t xml:space="preserve"> di quest’ultima da parte dell’aggiudicatario, da comunicare alla stazione appaltante entro venti giorni dalla conoscenza dell’aggiudicazione. Ai sensi dell’</w:t>
      </w:r>
      <w:r w:rsidR="00291685">
        <w:rPr>
          <w:rFonts w:ascii="Titillium" w:hAnsi="Titillium"/>
          <w:sz w:val="18"/>
          <w:szCs w:val="18"/>
          <w:lang w:eastAsia="it-IT"/>
        </w:rPr>
        <w:t>articolo</w:t>
      </w:r>
      <w:r>
        <w:rPr>
          <w:rFonts w:ascii="Titillium" w:hAnsi="Titillium"/>
          <w:sz w:val="18"/>
          <w:szCs w:val="18"/>
          <w:lang w:eastAsia="it-IT"/>
        </w:rPr>
        <w:t xml:space="preserve"> 2</w:t>
      </w:r>
      <w:r w:rsidR="00E125D6">
        <w:rPr>
          <w:rFonts w:ascii="Titillium" w:hAnsi="Titillium"/>
          <w:sz w:val="18"/>
          <w:szCs w:val="18"/>
          <w:lang w:eastAsia="it-IT"/>
        </w:rPr>
        <w:t>13</w:t>
      </w:r>
      <w:r>
        <w:rPr>
          <w:rFonts w:ascii="Titillium" w:hAnsi="Titillium"/>
          <w:sz w:val="18"/>
          <w:szCs w:val="18"/>
          <w:lang w:eastAsia="it-IT"/>
        </w:rPr>
        <w:t xml:space="preserve">, comma 3, del Codice, l’autorizzazione all’inserimento della clausola compromissoria è stata rilasciata con ... n. .... del .... </w:t>
      </w:r>
      <w:r>
        <w:rPr>
          <w:rFonts w:ascii="Titillium" w:hAnsi="Titillium"/>
          <w:i/>
          <w:sz w:val="18"/>
          <w:szCs w:val="18"/>
          <w:lang w:eastAsia="it-IT"/>
        </w:rPr>
        <w:t>[indicare il provvedimento, con numero e data, adottato dell’organo di governo, di autorizzazione all’inserimento della clausola compromissoria].</w:t>
      </w:r>
      <w:r>
        <w:rPr>
          <w:rFonts w:ascii="Titillium" w:hAnsi="Titillium"/>
          <w:sz w:val="18"/>
          <w:szCs w:val="18"/>
          <w:lang w:eastAsia="it-IT"/>
        </w:rPr>
        <w:t xml:space="preserve"> </w:t>
      </w:r>
    </w:p>
    <w:p w14:paraId="27C5354F" w14:textId="4C0C98B8" w:rsidR="009A6B8E" w:rsidRDefault="009A6B8E" w:rsidP="009A6B8E">
      <w:pPr>
        <w:spacing w:before="60" w:after="60"/>
        <w:rPr>
          <w:rFonts w:ascii="Titillium" w:hAnsi="Titillium"/>
          <w:sz w:val="18"/>
          <w:szCs w:val="18"/>
          <w:lang w:eastAsia="it-IT"/>
        </w:rPr>
      </w:pPr>
      <w:r w:rsidRPr="009A6B8E">
        <w:rPr>
          <w:rFonts w:ascii="Titillium" w:hAnsi="Titillium"/>
          <w:b/>
          <w:bCs/>
          <w:i/>
          <w:iCs/>
          <w:sz w:val="18"/>
          <w:szCs w:val="18"/>
          <w:lang w:eastAsia="it-IT"/>
        </w:rPr>
        <w:t>[clausola obbligatoria per servizi e forniture superiori al milione di euro, facoltativa negli altri casi]</w:t>
      </w:r>
      <w:r>
        <w:rPr>
          <w:rFonts w:ascii="Titillium" w:hAnsi="Titillium"/>
          <w:sz w:val="18"/>
          <w:szCs w:val="18"/>
          <w:lang w:eastAsia="it-IT"/>
        </w:rPr>
        <w:t xml:space="preserve"> T</w:t>
      </w:r>
      <w:r w:rsidRPr="009A6B8E">
        <w:rPr>
          <w:rFonts w:ascii="Titillium" w:hAnsi="Titillium"/>
          <w:sz w:val="18"/>
          <w:szCs w:val="18"/>
          <w:lang w:eastAsia="it-IT"/>
        </w:rPr>
        <w:t>rova applicazione la</w:t>
      </w:r>
      <w:r>
        <w:rPr>
          <w:rFonts w:ascii="Titillium" w:hAnsi="Titillium"/>
          <w:sz w:val="18"/>
          <w:szCs w:val="18"/>
          <w:lang w:eastAsia="it-IT"/>
        </w:rPr>
        <w:t xml:space="preserve"> </w:t>
      </w:r>
      <w:r w:rsidRPr="009A6B8E">
        <w:rPr>
          <w:rFonts w:ascii="Titillium" w:hAnsi="Titillium"/>
          <w:sz w:val="18"/>
          <w:szCs w:val="18"/>
          <w:lang w:eastAsia="it-IT"/>
        </w:rPr>
        <w:t xml:space="preserve">disciplina di cui all’articolo </w:t>
      </w:r>
      <w:r>
        <w:rPr>
          <w:rFonts w:ascii="Titillium" w:hAnsi="Titillium"/>
          <w:sz w:val="18"/>
          <w:szCs w:val="18"/>
          <w:lang w:eastAsia="it-IT"/>
        </w:rPr>
        <w:t xml:space="preserve">215 del Codice relativamente al </w:t>
      </w:r>
      <w:r w:rsidRPr="009A6B8E">
        <w:rPr>
          <w:rFonts w:ascii="Titillium" w:hAnsi="Titillium"/>
          <w:sz w:val="18"/>
          <w:szCs w:val="18"/>
          <w:lang w:eastAsia="it-IT"/>
        </w:rPr>
        <w:t>collegio consultivo tecnico</w:t>
      </w:r>
      <w:r>
        <w:rPr>
          <w:rFonts w:ascii="Titillium" w:hAnsi="Titillium"/>
          <w:sz w:val="18"/>
          <w:szCs w:val="18"/>
          <w:lang w:eastAsia="it-IT"/>
        </w:rPr>
        <w:t xml:space="preserve"> </w:t>
      </w:r>
      <w:r w:rsidRPr="009A6B8E">
        <w:rPr>
          <w:rFonts w:ascii="Titillium" w:hAnsi="Titillium"/>
          <w:sz w:val="18"/>
          <w:szCs w:val="18"/>
          <w:lang w:eastAsia="it-IT"/>
        </w:rPr>
        <w:t xml:space="preserve">formato secondo le modalità di cui all’allegato </w:t>
      </w:r>
      <w:r w:rsidRPr="009A6B8E">
        <w:rPr>
          <w:rFonts w:ascii="Titillium" w:hAnsi="Titillium"/>
          <w:sz w:val="18"/>
          <w:szCs w:val="18"/>
          <w:lang w:eastAsia="it-IT"/>
        </w:rPr>
        <w:lastRenderedPageBreak/>
        <w:t>V.2</w:t>
      </w:r>
      <w:r>
        <w:rPr>
          <w:rFonts w:ascii="Titillium" w:hAnsi="Titillium"/>
          <w:sz w:val="18"/>
          <w:szCs w:val="18"/>
          <w:lang w:eastAsia="it-IT"/>
        </w:rPr>
        <w:t xml:space="preserve"> del Codice, al fine di </w:t>
      </w:r>
      <w:r w:rsidRPr="009A6B8E">
        <w:rPr>
          <w:rFonts w:ascii="Titillium" w:hAnsi="Titillium"/>
          <w:sz w:val="18"/>
          <w:szCs w:val="18"/>
          <w:lang w:eastAsia="it-IT"/>
        </w:rPr>
        <w:t>prevenire le controversie o consentire la rapida risoluzione delle stesse o delle dispute tecniche di ogni</w:t>
      </w:r>
      <w:r>
        <w:rPr>
          <w:rFonts w:ascii="Titillium" w:hAnsi="Titillium"/>
          <w:sz w:val="18"/>
          <w:szCs w:val="18"/>
          <w:lang w:eastAsia="it-IT"/>
        </w:rPr>
        <w:t xml:space="preserve"> </w:t>
      </w:r>
      <w:r w:rsidRPr="009A6B8E">
        <w:rPr>
          <w:rFonts w:ascii="Titillium" w:hAnsi="Titillium"/>
          <w:sz w:val="18"/>
          <w:szCs w:val="18"/>
          <w:lang w:eastAsia="it-IT"/>
        </w:rPr>
        <w:t>natura che possano insorgere nell'esecuzione de</w:t>
      </w:r>
      <w:r w:rsidR="00455877">
        <w:rPr>
          <w:rFonts w:ascii="Titillium" w:hAnsi="Titillium"/>
          <w:sz w:val="18"/>
          <w:szCs w:val="18"/>
          <w:lang w:eastAsia="it-IT"/>
        </w:rPr>
        <w:t>l</w:t>
      </w:r>
      <w:r w:rsidRPr="009A6B8E">
        <w:rPr>
          <w:rFonts w:ascii="Titillium" w:hAnsi="Titillium"/>
          <w:sz w:val="18"/>
          <w:szCs w:val="18"/>
          <w:lang w:eastAsia="it-IT"/>
        </w:rPr>
        <w:t xml:space="preserve"> contratt</w:t>
      </w:r>
      <w:r w:rsidR="00455877">
        <w:rPr>
          <w:rFonts w:ascii="Titillium" w:hAnsi="Titillium"/>
          <w:sz w:val="18"/>
          <w:szCs w:val="18"/>
          <w:lang w:eastAsia="it-IT"/>
        </w:rPr>
        <w:t>o</w:t>
      </w:r>
      <w:r>
        <w:rPr>
          <w:rFonts w:ascii="Titillium" w:hAnsi="Titillium"/>
          <w:sz w:val="18"/>
          <w:szCs w:val="18"/>
          <w:lang w:eastAsia="it-IT"/>
        </w:rPr>
        <w:t>. I costi sono ripartiti tra le parti.</w:t>
      </w:r>
    </w:p>
    <w:p w14:paraId="611B0918" w14:textId="55925099" w:rsidR="009A6B8E" w:rsidRDefault="009A6B8E" w:rsidP="009A6B8E">
      <w:pPr>
        <w:spacing w:before="60" w:after="60"/>
        <w:rPr>
          <w:rFonts w:ascii="Titillium" w:hAnsi="Titillium"/>
          <w:sz w:val="18"/>
          <w:szCs w:val="18"/>
          <w:lang w:eastAsia="it-IT"/>
        </w:rPr>
      </w:pPr>
      <w:r>
        <w:rPr>
          <w:rFonts w:ascii="Titillium" w:hAnsi="Titillium"/>
          <w:sz w:val="18"/>
          <w:szCs w:val="18"/>
          <w:lang w:eastAsia="it-IT"/>
        </w:rPr>
        <w:t>I</w:t>
      </w:r>
      <w:r w:rsidR="00FF2D55">
        <w:rPr>
          <w:rFonts w:ascii="Titillium" w:hAnsi="Titillium"/>
          <w:sz w:val="18"/>
          <w:szCs w:val="18"/>
          <w:lang w:eastAsia="it-IT"/>
        </w:rPr>
        <w:t xml:space="preserve">l collegio è costituito da </w:t>
      </w:r>
      <w:r>
        <w:rPr>
          <w:rFonts w:ascii="Titillium" w:hAnsi="Titillium"/>
          <w:sz w:val="18"/>
          <w:szCs w:val="18"/>
          <w:lang w:eastAsia="it-IT"/>
        </w:rPr>
        <w:t xml:space="preserve">n. …. </w:t>
      </w:r>
      <w:r w:rsidRPr="009A6B8E">
        <w:rPr>
          <w:rFonts w:ascii="Titillium" w:hAnsi="Titillium"/>
          <w:i/>
          <w:iCs/>
          <w:sz w:val="18"/>
          <w:szCs w:val="18"/>
          <w:lang w:eastAsia="it-IT"/>
        </w:rPr>
        <w:t>[indicare il numero]</w:t>
      </w:r>
      <w:r w:rsidR="00FF2D55">
        <w:rPr>
          <w:rFonts w:ascii="Titillium" w:hAnsi="Titillium"/>
          <w:sz w:val="18"/>
          <w:szCs w:val="18"/>
          <w:lang w:eastAsia="it-IT"/>
        </w:rPr>
        <w:t xml:space="preserve"> membri.</w:t>
      </w:r>
    </w:p>
    <w:p w14:paraId="4D1A4CC8" w14:textId="77777777" w:rsidR="009A6B8E" w:rsidRDefault="009A6B8E" w:rsidP="009A6B8E">
      <w:pPr>
        <w:spacing w:before="60" w:after="60"/>
        <w:rPr>
          <w:rFonts w:ascii="Titillium" w:hAnsi="Titillium"/>
          <w:sz w:val="18"/>
          <w:szCs w:val="18"/>
          <w:lang w:eastAsia="it-IT"/>
        </w:rPr>
      </w:pPr>
    </w:p>
    <w:p w14:paraId="1B099A1D" w14:textId="77777777" w:rsidR="004C53A8" w:rsidRDefault="00870286" w:rsidP="00F65B5E">
      <w:pPr>
        <w:pStyle w:val="Titolo2"/>
        <w:numPr>
          <w:ilvl w:val="0"/>
          <w:numId w:val="27"/>
        </w:numPr>
        <w:ind w:left="357" w:hanging="357"/>
        <w:rPr>
          <w:rFonts w:ascii="Titillium" w:hAnsi="Titillium"/>
          <w:sz w:val="18"/>
          <w:szCs w:val="18"/>
        </w:rPr>
      </w:pPr>
      <w:bookmarkStart w:id="3134" w:name="_Toc406058394"/>
      <w:bookmarkStart w:id="3135" w:name="_Toc403471286"/>
      <w:bookmarkStart w:id="3136" w:name="_Toc397422879"/>
      <w:bookmarkStart w:id="3137" w:name="_Toc397346838"/>
      <w:bookmarkStart w:id="3138" w:name="_Toc393706923"/>
      <w:bookmarkStart w:id="3139" w:name="_Toc393700850"/>
      <w:bookmarkStart w:id="3140" w:name="_Toc393283191"/>
      <w:bookmarkStart w:id="3141" w:name="_Toc393272675"/>
      <w:bookmarkStart w:id="3142" w:name="_Toc393272617"/>
      <w:bookmarkStart w:id="3143" w:name="_Toc393187861"/>
      <w:bookmarkStart w:id="3144" w:name="_Toc393112144"/>
      <w:bookmarkStart w:id="3145" w:name="_Toc393110580"/>
      <w:bookmarkStart w:id="3146" w:name="_Toc392577513"/>
      <w:bookmarkStart w:id="3147" w:name="_Toc391036072"/>
      <w:bookmarkStart w:id="3148" w:name="_Toc391035999"/>
      <w:bookmarkStart w:id="3149" w:name="_Toc380501886"/>
      <w:bookmarkStart w:id="3150" w:name="_Toc354038183"/>
      <w:bookmarkStart w:id="3151" w:name="_Toc416423378"/>
      <w:bookmarkStart w:id="3152" w:name="_Toc406754195"/>
      <w:bookmarkStart w:id="3153" w:name="_Ref132066072"/>
      <w:bookmarkStart w:id="3154" w:name="_Toc139549460"/>
      <w:r>
        <w:rPr>
          <w:rFonts w:ascii="Titillium" w:hAnsi="Titillium"/>
          <w:sz w:val="18"/>
          <w:szCs w:val="18"/>
        </w:rPr>
        <w:t>TRATTAMENTO DEI DATI PERSONALI</w:t>
      </w:r>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p>
    <w:p w14:paraId="7FCF227F" w14:textId="236F99A3" w:rsidR="0088581F" w:rsidRDefault="00403DD4" w:rsidP="00172914">
      <w:pPr>
        <w:spacing w:before="60" w:after="60"/>
        <w:rPr>
          <w:rFonts w:ascii="Titillium" w:hAnsi="Titillium" w:cs="Calibri"/>
          <w:sz w:val="18"/>
          <w:szCs w:val="18"/>
          <w:lang w:eastAsia="it-IT"/>
        </w:rPr>
      </w:pPr>
      <w:r>
        <w:rPr>
          <w:rFonts w:ascii="Titillium" w:hAnsi="Titillium" w:cs="Calibri"/>
          <w:sz w:val="18"/>
          <w:szCs w:val="18"/>
          <w:lang w:eastAsia="it-IT"/>
        </w:rPr>
        <w:t xml:space="preserve">I dati raccolti sono trattati </w:t>
      </w:r>
      <w:r w:rsidR="00172914">
        <w:rPr>
          <w:rFonts w:ascii="Titillium" w:hAnsi="Titillium" w:cs="Calibri"/>
          <w:sz w:val="18"/>
          <w:szCs w:val="18"/>
          <w:lang w:eastAsia="it-IT"/>
        </w:rPr>
        <w:t xml:space="preserve">e conservati </w:t>
      </w:r>
      <w:r w:rsidR="0088581F">
        <w:rPr>
          <w:rFonts w:ascii="Titillium" w:hAnsi="Titillium" w:cs="Calibri"/>
          <w:sz w:val="18"/>
          <w:szCs w:val="18"/>
          <w:lang w:eastAsia="it-IT"/>
        </w:rPr>
        <w:t>a</w:t>
      </w:r>
      <w:r w:rsidR="00870286">
        <w:rPr>
          <w:rFonts w:ascii="Titillium" w:hAnsi="Titillium" w:cs="Calibri"/>
          <w:sz w:val="18"/>
          <w:szCs w:val="18"/>
          <w:lang w:eastAsia="it-IT"/>
        </w:rPr>
        <w:t>i sensi del Regolamento UE n.</w:t>
      </w:r>
      <w:r w:rsidR="00FE096F">
        <w:rPr>
          <w:rFonts w:ascii="Titillium" w:hAnsi="Titillium" w:cs="Calibri"/>
          <w:sz w:val="18"/>
          <w:szCs w:val="18"/>
          <w:lang w:eastAsia="it-IT"/>
        </w:rPr>
        <w:t xml:space="preserve"> </w:t>
      </w:r>
      <w:r w:rsidR="00870286">
        <w:rPr>
          <w:rFonts w:ascii="Titillium" w:hAnsi="Titillium" w:cs="Calibri"/>
          <w:sz w:val="18"/>
          <w:szCs w:val="18"/>
          <w:lang w:eastAsia="it-IT"/>
        </w:rPr>
        <w:t>2016/679 relativo alla protezione delle persone fisiche con riguardo al trattamento dei dati personali, nonché alla libera circolazione di tali dati</w:t>
      </w:r>
      <w:r w:rsidR="00DE507E">
        <w:rPr>
          <w:rFonts w:ascii="Titillium" w:hAnsi="Titillium" w:cs="Calibri"/>
          <w:sz w:val="18"/>
          <w:szCs w:val="18"/>
          <w:lang w:eastAsia="it-IT"/>
        </w:rPr>
        <w:t xml:space="preserve">, </w:t>
      </w:r>
      <w:r w:rsidR="00172914">
        <w:rPr>
          <w:rFonts w:ascii="Titillium" w:hAnsi="Titillium" w:cs="Calibri"/>
          <w:sz w:val="18"/>
          <w:szCs w:val="18"/>
          <w:lang w:eastAsia="it-IT"/>
        </w:rPr>
        <w:t>del d</w:t>
      </w:r>
      <w:r w:rsidR="00172914" w:rsidRPr="00172914">
        <w:rPr>
          <w:rFonts w:ascii="Titillium" w:hAnsi="Titillium" w:cs="Calibri"/>
          <w:sz w:val="18"/>
          <w:szCs w:val="18"/>
          <w:lang w:eastAsia="it-IT"/>
        </w:rPr>
        <w:t>ecreto legislativo 30</w:t>
      </w:r>
      <w:r w:rsidR="00172914">
        <w:rPr>
          <w:rFonts w:ascii="Titillium" w:hAnsi="Titillium" w:cs="Calibri"/>
          <w:sz w:val="18"/>
          <w:szCs w:val="18"/>
          <w:lang w:eastAsia="it-IT"/>
        </w:rPr>
        <w:t xml:space="preserve"> </w:t>
      </w:r>
      <w:r w:rsidR="00172914" w:rsidRPr="00172914">
        <w:rPr>
          <w:rFonts w:ascii="Titillium" w:hAnsi="Titillium" w:cs="Calibri"/>
          <w:sz w:val="18"/>
          <w:szCs w:val="18"/>
          <w:lang w:eastAsia="it-IT"/>
        </w:rPr>
        <w:t>giugno 2003, n.196</w:t>
      </w:r>
      <w:r w:rsidR="00172914">
        <w:rPr>
          <w:rFonts w:ascii="Titillium" w:hAnsi="Titillium" w:cs="Calibri"/>
          <w:sz w:val="18"/>
          <w:szCs w:val="18"/>
          <w:lang w:eastAsia="it-IT"/>
        </w:rPr>
        <w:t xml:space="preserve"> </w:t>
      </w:r>
      <w:r w:rsidR="00172914" w:rsidRPr="00172914">
        <w:rPr>
          <w:rFonts w:ascii="Titillium" w:hAnsi="Titillium" w:cs="Calibri"/>
          <w:sz w:val="18"/>
          <w:szCs w:val="18"/>
          <w:lang w:eastAsia="it-IT"/>
        </w:rPr>
        <w:t>recante il “</w:t>
      </w:r>
      <w:r w:rsidR="00172914">
        <w:rPr>
          <w:rFonts w:ascii="Titillium" w:hAnsi="Titillium" w:cs="Calibri"/>
          <w:sz w:val="18"/>
          <w:szCs w:val="18"/>
          <w:lang w:eastAsia="it-IT"/>
        </w:rPr>
        <w:t>C</w:t>
      </w:r>
      <w:r w:rsidR="00172914" w:rsidRPr="00172914">
        <w:rPr>
          <w:rFonts w:ascii="Titillium" w:hAnsi="Titillium" w:cs="Calibri"/>
          <w:sz w:val="18"/>
          <w:szCs w:val="18"/>
          <w:lang w:eastAsia="it-IT"/>
        </w:rPr>
        <w:t>odice in materia di protezione dei dati personali</w:t>
      </w:r>
      <w:r w:rsidR="00172914">
        <w:rPr>
          <w:rFonts w:ascii="Titillium" w:hAnsi="Titillium" w:cs="Calibri"/>
          <w:sz w:val="18"/>
          <w:szCs w:val="18"/>
          <w:lang w:eastAsia="it-IT"/>
        </w:rPr>
        <w:t xml:space="preserve">” e </w:t>
      </w:r>
      <w:proofErr w:type="spellStart"/>
      <w:r w:rsidR="00172914">
        <w:rPr>
          <w:rFonts w:ascii="Titillium" w:hAnsi="Titillium" w:cs="Calibri"/>
          <w:sz w:val="18"/>
          <w:szCs w:val="18"/>
          <w:lang w:eastAsia="it-IT"/>
        </w:rPr>
        <w:t>ss</w:t>
      </w:r>
      <w:proofErr w:type="spellEnd"/>
      <w:r w:rsidR="00172914">
        <w:rPr>
          <w:rFonts w:ascii="Titillium" w:hAnsi="Titillium" w:cs="Calibri"/>
          <w:sz w:val="18"/>
          <w:szCs w:val="18"/>
          <w:lang w:eastAsia="it-IT"/>
        </w:rPr>
        <w:t xml:space="preserve"> mm e </w:t>
      </w:r>
      <w:proofErr w:type="gramStart"/>
      <w:r w:rsidR="00172914">
        <w:rPr>
          <w:rFonts w:ascii="Titillium" w:hAnsi="Titillium" w:cs="Calibri"/>
          <w:sz w:val="18"/>
          <w:szCs w:val="18"/>
          <w:lang w:eastAsia="it-IT"/>
        </w:rPr>
        <w:t xml:space="preserve">ii </w:t>
      </w:r>
      <w:r w:rsidR="00DE507E">
        <w:rPr>
          <w:rFonts w:ascii="Titillium" w:hAnsi="Titillium" w:cs="Calibri"/>
          <w:sz w:val="18"/>
          <w:szCs w:val="18"/>
          <w:lang w:eastAsia="it-IT"/>
        </w:rPr>
        <w:t>,</w:t>
      </w:r>
      <w:proofErr w:type="gramEnd"/>
      <w:r w:rsidR="00DE507E">
        <w:rPr>
          <w:rFonts w:ascii="Titillium" w:hAnsi="Titillium" w:cs="Calibri"/>
          <w:sz w:val="18"/>
          <w:szCs w:val="18"/>
          <w:lang w:eastAsia="it-IT"/>
        </w:rPr>
        <w:t xml:space="preserve"> </w:t>
      </w:r>
      <w:r w:rsidR="00172914">
        <w:rPr>
          <w:rFonts w:ascii="Titillium" w:hAnsi="Titillium" w:cs="Calibri"/>
          <w:sz w:val="18"/>
          <w:szCs w:val="18"/>
          <w:lang w:eastAsia="it-IT"/>
        </w:rPr>
        <w:t>del decreto della Presidenza del Consiglio dei Ministri n. 148/21 e dei relativi atti di attuazione.</w:t>
      </w:r>
      <w:r w:rsidR="0088581F">
        <w:rPr>
          <w:rFonts w:ascii="Titillium" w:hAnsi="Titillium" w:cs="Calibri"/>
          <w:sz w:val="18"/>
          <w:szCs w:val="18"/>
          <w:lang w:eastAsia="it-IT"/>
        </w:rPr>
        <w:t xml:space="preserve"> In particolare</w:t>
      </w:r>
      <w:r w:rsidR="0088581F" w:rsidRPr="0088581F">
        <w:t xml:space="preserve"> </w:t>
      </w:r>
      <w:r w:rsidR="0088581F">
        <w:rPr>
          <w:rFonts w:ascii="Titillium" w:hAnsi="Titillium" w:cs="Calibri"/>
          <w:sz w:val="18"/>
          <w:szCs w:val="18"/>
          <w:lang w:eastAsia="it-IT"/>
        </w:rPr>
        <w:t>si forniscono le seguenti informazioni su</w:t>
      </w:r>
      <w:r w:rsidR="00F00628">
        <w:rPr>
          <w:rFonts w:ascii="Titillium" w:hAnsi="Titillium" w:cs="Calibri"/>
          <w:sz w:val="18"/>
          <w:szCs w:val="18"/>
          <w:lang w:eastAsia="it-IT"/>
        </w:rPr>
        <w:t>l trattamento dei dati personali</w:t>
      </w:r>
      <w:r w:rsidR="00F00628">
        <w:t xml:space="preserve"> … </w:t>
      </w:r>
      <w:r w:rsidR="0088581F" w:rsidRPr="007B03F4">
        <w:rPr>
          <w:i/>
        </w:rPr>
        <w:t>[</w:t>
      </w:r>
      <w:r w:rsidR="0088581F" w:rsidRPr="007B03F4">
        <w:rPr>
          <w:rFonts w:ascii="Titillium" w:hAnsi="Titillium" w:cs="Calibri"/>
          <w:i/>
          <w:sz w:val="18"/>
          <w:szCs w:val="18"/>
          <w:lang w:eastAsia="it-IT"/>
        </w:rPr>
        <w:t>indicare le informazioni sul trattamento dei dati personali dovute in considerazione delle specificità del singolo appalto, della stazione appaltante, dei suoi rapporti con il gestore della piattaforma, delle caratteristiche tecniche della piattaforma utilizzata</w:t>
      </w:r>
      <w:r w:rsidR="00585A99" w:rsidRPr="007B03F4">
        <w:rPr>
          <w:rFonts w:ascii="Titillium" w:hAnsi="Titillium" w:cs="Calibri"/>
          <w:i/>
          <w:sz w:val="18"/>
          <w:szCs w:val="18"/>
          <w:lang w:eastAsia="it-IT"/>
        </w:rPr>
        <w:t>.</w:t>
      </w:r>
      <w:r w:rsidR="00172914" w:rsidRPr="007B03F4">
        <w:rPr>
          <w:rFonts w:ascii="Titillium" w:hAnsi="Titillium" w:cs="Calibri"/>
          <w:i/>
          <w:sz w:val="18"/>
          <w:szCs w:val="18"/>
          <w:lang w:eastAsia="it-IT"/>
        </w:rPr>
        <w:t xml:space="preserve"> Tali informazioni devono riguardare</w:t>
      </w:r>
      <w:r w:rsidR="007B03F4" w:rsidRPr="007B03F4">
        <w:rPr>
          <w:rFonts w:ascii="Titillium" w:hAnsi="Titillium" w:cs="Calibri"/>
          <w:i/>
          <w:sz w:val="18"/>
          <w:szCs w:val="18"/>
          <w:lang w:eastAsia="it-IT"/>
        </w:rPr>
        <w:t>, in particolare</w:t>
      </w:r>
      <w:r w:rsidR="00172914" w:rsidRPr="007B03F4">
        <w:rPr>
          <w:rFonts w:ascii="Titillium" w:hAnsi="Titillium" w:cs="Calibri"/>
          <w:i/>
          <w:sz w:val="18"/>
          <w:szCs w:val="18"/>
          <w:lang w:eastAsia="it-IT"/>
        </w:rPr>
        <w:t xml:space="preserve">: </w:t>
      </w:r>
      <w:r w:rsidR="007B03F4" w:rsidRPr="007B03F4">
        <w:rPr>
          <w:rFonts w:ascii="Titillium" w:hAnsi="Titillium" w:cs="Calibri"/>
          <w:i/>
          <w:sz w:val="18"/>
          <w:szCs w:val="18"/>
          <w:lang w:eastAsia="it-IT"/>
        </w:rPr>
        <w:t xml:space="preserve">a) la finalità del trattamento; b) la base giuridica e natura del conferimento dei dati; c) </w:t>
      </w:r>
      <w:r w:rsidR="00FE096F">
        <w:rPr>
          <w:rFonts w:ascii="Titillium" w:hAnsi="Titillium" w:cs="Calibri"/>
          <w:i/>
          <w:sz w:val="18"/>
          <w:szCs w:val="18"/>
          <w:lang w:eastAsia="it-IT"/>
        </w:rPr>
        <w:t xml:space="preserve">la </w:t>
      </w:r>
      <w:r w:rsidR="007B03F4" w:rsidRPr="007B03F4">
        <w:rPr>
          <w:rFonts w:ascii="Titillium" w:hAnsi="Titillium" w:cs="Calibri"/>
          <w:i/>
          <w:sz w:val="18"/>
          <w:szCs w:val="18"/>
          <w:lang w:eastAsia="it-IT"/>
        </w:rPr>
        <w:t xml:space="preserve">natura dei dati trattati; d) </w:t>
      </w:r>
      <w:r w:rsidR="00FE096F">
        <w:rPr>
          <w:rFonts w:ascii="Titillium" w:hAnsi="Titillium" w:cs="Calibri"/>
          <w:i/>
          <w:sz w:val="18"/>
          <w:szCs w:val="18"/>
          <w:lang w:eastAsia="it-IT"/>
        </w:rPr>
        <w:t xml:space="preserve">le </w:t>
      </w:r>
      <w:r w:rsidR="007B03F4" w:rsidRPr="007B03F4">
        <w:rPr>
          <w:rFonts w:ascii="Titillium" w:hAnsi="Titillium" w:cs="Calibri"/>
          <w:i/>
          <w:sz w:val="18"/>
          <w:szCs w:val="18"/>
          <w:lang w:eastAsia="it-IT"/>
        </w:rPr>
        <w:t xml:space="preserve">modalità del trattamento dei dati; e) </w:t>
      </w:r>
      <w:r w:rsidR="00FE096F">
        <w:rPr>
          <w:rFonts w:ascii="Titillium" w:hAnsi="Titillium" w:cs="Calibri"/>
          <w:i/>
          <w:sz w:val="18"/>
          <w:szCs w:val="18"/>
          <w:lang w:eastAsia="it-IT"/>
        </w:rPr>
        <w:t>l’</w:t>
      </w:r>
      <w:r w:rsidR="007B03F4" w:rsidRPr="007B03F4">
        <w:rPr>
          <w:rFonts w:ascii="Titillium" w:hAnsi="Titillium" w:cs="Calibri"/>
          <w:i/>
          <w:sz w:val="18"/>
          <w:szCs w:val="18"/>
          <w:lang w:eastAsia="it-IT"/>
        </w:rPr>
        <w:t xml:space="preserve">ambito di comunicazione e di diffusione dei dati; f) </w:t>
      </w:r>
      <w:r w:rsidR="00FE096F">
        <w:rPr>
          <w:rFonts w:ascii="Titillium" w:hAnsi="Titillium" w:cs="Calibri"/>
          <w:i/>
          <w:sz w:val="18"/>
          <w:szCs w:val="18"/>
          <w:lang w:eastAsia="it-IT"/>
        </w:rPr>
        <w:t>l’</w:t>
      </w:r>
      <w:r w:rsidR="007B03F4" w:rsidRPr="007B03F4">
        <w:rPr>
          <w:rFonts w:ascii="Titillium" w:hAnsi="Titillium" w:cs="Calibri"/>
          <w:i/>
          <w:sz w:val="18"/>
          <w:szCs w:val="18"/>
          <w:lang w:eastAsia="it-IT"/>
        </w:rPr>
        <w:t xml:space="preserve">ambito di comunicazione e di diffusione dei dati; g) periodo di conservazione dei dati; h) </w:t>
      </w:r>
      <w:r w:rsidR="00FE096F">
        <w:rPr>
          <w:rFonts w:ascii="Titillium" w:hAnsi="Titillium" w:cs="Calibri"/>
          <w:i/>
          <w:sz w:val="18"/>
          <w:szCs w:val="18"/>
          <w:lang w:eastAsia="it-IT"/>
        </w:rPr>
        <w:t xml:space="preserve">i </w:t>
      </w:r>
      <w:r w:rsidR="007B03F4" w:rsidRPr="007B03F4">
        <w:rPr>
          <w:rFonts w:ascii="Titillium" w:hAnsi="Titillium" w:cs="Calibri"/>
          <w:i/>
          <w:sz w:val="18"/>
          <w:szCs w:val="18"/>
          <w:lang w:eastAsia="it-IT"/>
        </w:rPr>
        <w:t xml:space="preserve">diritti del concorrente/interessato; i) </w:t>
      </w:r>
      <w:r w:rsidR="00FE096F">
        <w:rPr>
          <w:rFonts w:ascii="Titillium" w:hAnsi="Titillium" w:cs="Calibri"/>
          <w:i/>
          <w:sz w:val="18"/>
          <w:szCs w:val="18"/>
          <w:lang w:eastAsia="it-IT"/>
        </w:rPr>
        <w:t xml:space="preserve">il </w:t>
      </w:r>
      <w:r w:rsidR="007B03F4" w:rsidRPr="007B03F4">
        <w:rPr>
          <w:rFonts w:ascii="Titillium" w:hAnsi="Titillium" w:cs="Calibri"/>
          <w:i/>
          <w:sz w:val="18"/>
          <w:szCs w:val="18"/>
          <w:lang w:eastAsia="it-IT"/>
        </w:rPr>
        <w:t>titolare del trattamento e responsabile della protezione dei dati</w:t>
      </w:r>
      <w:r w:rsidR="0088581F" w:rsidRPr="007B03F4">
        <w:rPr>
          <w:rFonts w:ascii="Titillium" w:hAnsi="Titillium" w:cs="Calibri"/>
          <w:i/>
          <w:sz w:val="18"/>
          <w:szCs w:val="18"/>
          <w:lang w:eastAsia="it-IT"/>
        </w:rPr>
        <w:t>]</w:t>
      </w:r>
      <w:r w:rsidR="00255D0E">
        <w:rPr>
          <w:rFonts w:ascii="Titillium" w:hAnsi="Titillium" w:cs="Calibri"/>
          <w:sz w:val="18"/>
          <w:szCs w:val="18"/>
          <w:lang w:eastAsia="it-IT"/>
        </w:rPr>
        <w:t>.</w:t>
      </w:r>
    </w:p>
    <w:p w14:paraId="0713FB60" w14:textId="48E8DF2D" w:rsidR="00533C7E" w:rsidRPr="00FE096F" w:rsidRDefault="00533C7E" w:rsidP="00172914">
      <w:pPr>
        <w:spacing w:before="60" w:after="60"/>
        <w:rPr>
          <w:rFonts w:ascii="Titillium" w:hAnsi="Titillium" w:cs="Calibri"/>
          <w:sz w:val="18"/>
          <w:szCs w:val="18"/>
          <w:lang w:eastAsia="it-IT"/>
        </w:rPr>
      </w:pPr>
      <w:r w:rsidRPr="00AC0EF6">
        <w:rPr>
          <w:rFonts w:ascii="Titillium" w:hAnsi="Titillium" w:cs="Calibri"/>
          <w:b/>
          <w:i/>
          <w:sz w:val="18"/>
          <w:szCs w:val="18"/>
          <w:lang w:eastAsia="it-IT"/>
        </w:rPr>
        <w:t>[In alternativa</w:t>
      </w:r>
      <w:r w:rsidR="00DE507E" w:rsidRPr="00AC0EF6">
        <w:rPr>
          <w:rFonts w:ascii="Titillium" w:hAnsi="Titillium" w:cs="Calibri"/>
          <w:b/>
          <w:i/>
          <w:sz w:val="18"/>
          <w:szCs w:val="18"/>
          <w:lang w:eastAsia="it-IT"/>
        </w:rPr>
        <w:t>]</w:t>
      </w:r>
      <w:r w:rsidR="00DE507E">
        <w:rPr>
          <w:rFonts w:ascii="Titillium" w:hAnsi="Titillium" w:cs="Calibri"/>
          <w:b/>
          <w:sz w:val="18"/>
          <w:szCs w:val="18"/>
          <w:lang w:eastAsia="it-IT"/>
        </w:rPr>
        <w:t xml:space="preserve"> </w:t>
      </w:r>
      <w:r w:rsidR="00DE507E" w:rsidRPr="00DE507E">
        <w:rPr>
          <w:rFonts w:ascii="Titillium" w:hAnsi="Titillium" w:cs="Calibri"/>
          <w:sz w:val="18"/>
          <w:szCs w:val="18"/>
          <w:lang w:eastAsia="it-IT"/>
        </w:rPr>
        <w:t>I dati raccolti sono trattati e conservati ai sensi del Regolamento UE n.</w:t>
      </w:r>
      <w:r w:rsidR="00471604">
        <w:rPr>
          <w:rFonts w:ascii="Titillium" w:hAnsi="Titillium" w:cs="Calibri"/>
          <w:sz w:val="18"/>
          <w:szCs w:val="18"/>
          <w:lang w:eastAsia="it-IT"/>
        </w:rPr>
        <w:t xml:space="preserve"> </w:t>
      </w:r>
      <w:r w:rsidR="00DE507E" w:rsidRPr="00DE507E">
        <w:rPr>
          <w:rFonts w:ascii="Titillium" w:hAnsi="Titillium" w:cs="Calibri"/>
          <w:sz w:val="18"/>
          <w:szCs w:val="18"/>
          <w:lang w:eastAsia="it-IT"/>
        </w:rPr>
        <w:t>2016/679 relativo alla protezione delle persone fisiche con riguardo al trattamento dei dati personali, nonché alla libera circolazione di tali dati</w:t>
      </w:r>
      <w:r w:rsidR="00DE507E">
        <w:rPr>
          <w:rFonts w:ascii="Titillium" w:hAnsi="Titillium" w:cs="Calibri"/>
          <w:sz w:val="18"/>
          <w:szCs w:val="18"/>
          <w:lang w:eastAsia="it-IT"/>
        </w:rPr>
        <w:t xml:space="preserve">, del </w:t>
      </w:r>
      <w:r w:rsidR="00DE507E" w:rsidRPr="00DE507E">
        <w:rPr>
          <w:rFonts w:ascii="Titillium" w:hAnsi="Titillium" w:cs="Calibri"/>
          <w:sz w:val="18"/>
          <w:szCs w:val="18"/>
          <w:lang w:eastAsia="it-IT"/>
        </w:rPr>
        <w:t>decreto legislativo 30 giugno 2003, n.</w:t>
      </w:r>
      <w:r w:rsidR="00FE096F">
        <w:rPr>
          <w:rFonts w:ascii="Titillium" w:hAnsi="Titillium" w:cs="Calibri"/>
          <w:sz w:val="18"/>
          <w:szCs w:val="18"/>
          <w:lang w:eastAsia="it-IT"/>
        </w:rPr>
        <w:t xml:space="preserve"> </w:t>
      </w:r>
      <w:r w:rsidR="00DE507E" w:rsidRPr="00DE507E">
        <w:rPr>
          <w:rFonts w:ascii="Titillium" w:hAnsi="Titillium" w:cs="Calibri"/>
          <w:sz w:val="18"/>
          <w:szCs w:val="18"/>
          <w:lang w:eastAsia="it-IT"/>
        </w:rPr>
        <w:t xml:space="preserve">196 recante il “Codice in materia di protezione dei dati personali” e </w:t>
      </w:r>
      <w:proofErr w:type="spellStart"/>
      <w:r w:rsidR="00DE507E" w:rsidRPr="00DE507E">
        <w:rPr>
          <w:rFonts w:ascii="Titillium" w:hAnsi="Titillium" w:cs="Calibri"/>
          <w:sz w:val="18"/>
          <w:szCs w:val="18"/>
          <w:lang w:eastAsia="it-IT"/>
        </w:rPr>
        <w:t>ss</w:t>
      </w:r>
      <w:proofErr w:type="spellEnd"/>
      <w:r w:rsidR="00DE507E" w:rsidRPr="00DE507E">
        <w:rPr>
          <w:rFonts w:ascii="Titillium" w:hAnsi="Titillium" w:cs="Calibri"/>
          <w:sz w:val="18"/>
          <w:szCs w:val="18"/>
          <w:lang w:eastAsia="it-IT"/>
        </w:rPr>
        <w:t xml:space="preserve"> mm e ii</w:t>
      </w:r>
      <w:r w:rsidR="00DE507E">
        <w:rPr>
          <w:rFonts w:ascii="Titillium" w:hAnsi="Titillium" w:cs="Calibri"/>
          <w:sz w:val="18"/>
          <w:szCs w:val="18"/>
          <w:lang w:eastAsia="it-IT"/>
        </w:rPr>
        <w:t xml:space="preserve">, </w:t>
      </w:r>
      <w:r w:rsidR="00DE507E" w:rsidRPr="00DE507E">
        <w:rPr>
          <w:rFonts w:ascii="Titillium" w:hAnsi="Titillium" w:cs="Calibri"/>
          <w:sz w:val="18"/>
          <w:szCs w:val="18"/>
          <w:lang w:eastAsia="it-IT"/>
        </w:rPr>
        <w:t>del decreto della Presidenza del Consiglio dei Ministri n. 148/21 e dei relativi atti di attuazione</w:t>
      </w:r>
      <w:r w:rsidR="00DE507E">
        <w:rPr>
          <w:rFonts w:ascii="Titillium" w:hAnsi="Titillium" w:cs="Calibri"/>
          <w:sz w:val="18"/>
          <w:szCs w:val="18"/>
          <w:lang w:eastAsia="it-IT"/>
        </w:rPr>
        <w:t xml:space="preserve"> secondo quanto riportato nell’apposita scheda informativa allegata alla documentazione di gara sub … </w:t>
      </w:r>
      <w:r w:rsidR="00DE507E" w:rsidRPr="00FE096F">
        <w:rPr>
          <w:rFonts w:ascii="Titillium" w:hAnsi="Titillium" w:cs="Calibri"/>
          <w:i/>
          <w:sz w:val="18"/>
          <w:szCs w:val="18"/>
          <w:lang w:eastAsia="it-IT"/>
        </w:rPr>
        <w:t>[indicare il numero dell’allegato]</w:t>
      </w:r>
      <w:r w:rsidR="00DE507E">
        <w:rPr>
          <w:rFonts w:ascii="Titillium" w:hAnsi="Titillium" w:cs="Calibri"/>
          <w:i/>
          <w:sz w:val="18"/>
          <w:szCs w:val="18"/>
          <w:lang w:eastAsia="it-IT"/>
        </w:rPr>
        <w:t>.</w:t>
      </w:r>
    </w:p>
    <w:p w14:paraId="3172F432" w14:textId="77777777" w:rsidR="00A177B3" w:rsidRPr="00A177B3" w:rsidRDefault="00A177B3">
      <w:pPr>
        <w:spacing w:before="60" w:after="60"/>
        <w:rPr>
          <w:rFonts w:ascii="Titillium" w:hAnsi="Titillium" w:cs="Calibri"/>
          <w:sz w:val="18"/>
          <w:szCs w:val="18"/>
          <w:lang w:eastAsia="it-IT"/>
        </w:rPr>
      </w:pPr>
    </w:p>
    <w:tbl>
      <w:tblPr>
        <w:tblW w:w="9210" w:type="dxa"/>
        <w:tblInd w:w="-108" w:type="dxa"/>
        <w:tblLook w:val="04A0" w:firstRow="1" w:lastRow="0" w:firstColumn="1" w:lastColumn="0" w:noHBand="0" w:noVBand="1"/>
      </w:tblPr>
      <w:tblGrid>
        <w:gridCol w:w="9210"/>
      </w:tblGrid>
      <w:tr w:rsidR="004C53A8" w14:paraId="789A9AD0" w14:textId="77777777">
        <w:tc>
          <w:tcPr>
            <w:tcW w:w="9210" w:type="dxa"/>
            <w:tcBorders>
              <w:top w:val="single" w:sz="4" w:space="0" w:color="000000"/>
              <w:left w:val="single" w:sz="4" w:space="0" w:color="000000"/>
              <w:bottom w:val="single" w:sz="4" w:space="0" w:color="000000"/>
              <w:right w:val="single" w:sz="4" w:space="0" w:color="000000"/>
            </w:tcBorders>
          </w:tcPr>
          <w:p w14:paraId="21594436" w14:textId="37F7E304" w:rsidR="004C53A8" w:rsidRDefault="00870286" w:rsidP="007B03F4">
            <w:pPr>
              <w:spacing w:before="60" w:after="60"/>
              <w:rPr>
                <w:rFonts w:ascii="Titillium" w:hAnsi="Titillium" w:cs="Calibri"/>
                <w:i/>
                <w:sz w:val="18"/>
                <w:szCs w:val="18"/>
              </w:rPr>
            </w:pPr>
            <w:r>
              <w:rPr>
                <w:rFonts w:ascii="Titillium" w:hAnsi="Titillium" w:cs="Calibri"/>
                <w:i/>
                <w:sz w:val="18"/>
                <w:szCs w:val="18"/>
              </w:rPr>
              <w:t xml:space="preserve">N.B. La stazione appaltante </w:t>
            </w:r>
            <w:r w:rsidR="007B03F4">
              <w:rPr>
                <w:rFonts w:ascii="Titillium" w:hAnsi="Titillium" w:cs="Calibri"/>
                <w:i/>
                <w:sz w:val="18"/>
                <w:szCs w:val="18"/>
              </w:rPr>
              <w:t xml:space="preserve">predispone la clausola </w:t>
            </w:r>
            <w:r>
              <w:rPr>
                <w:rFonts w:ascii="Titillium" w:hAnsi="Titillium" w:cs="Calibri"/>
                <w:i/>
                <w:sz w:val="18"/>
                <w:szCs w:val="18"/>
              </w:rPr>
              <w:t>in base agli indirizzi adottati al proprio interno per l’attuazione della normativa sulla privacy.</w:t>
            </w:r>
            <w:r w:rsidR="00585A99">
              <w:rPr>
                <w:rFonts w:ascii="Titillium" w:hAnsi="Titillium" w:cs="Calibri"/>
                <w:i/>
                <w:sz w:val="18"/>
                <w:szCs w:val="18"/>
              </w:rPr>
              <w:t xml:space="preserve"> </w:t>
            </w:r>
          </w:p>
        </w:tc>
      </w:tr>
    </w:tbl>
    <w:p w14:paraId="5E321D8A" w14:textId="77777777" w:rsidR="004C53A8" w:rsidRDefault="004C53A8">
      <w:pPr>
        <w:spacing w:before="60" w:after="60"/>
        <w:rPr>
          <w:rFonts w:ascii="Titillium" w:hAnsi="Titillium" w:cs="Calibri"/>
          <w:sz w:val="18"/>
          <w:szCs w:val="18"/>
          <w:lang w:eastAsia="it-IT"/>
        </w:rPr>
      </w:pPr>
    </w:p>
    <w:sectPr w:rsidR="004C53A8" w:rsidSect="00944FFF">
      <w:headerReference w:type="default" r:id="rId19"/>
      <w:footerReference w:type="default" r:id="rId20"/>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1880" w14:textId="77777777" w:rsidR="002E5A26" w:rsidRDefault="002E5A26">
      <w:pPr>
        <w:spacing w:line="240" w:lineRule="auto"/>
      </w:pPr>
      <w:r>
        <w:separator/>
      </w:r>
    </w:p>
  </w:endnote>
  <w:endnote w:type="continuationSeparator" w:id="0">
    <w:p w14:paraId="652D071A" w14:textId="77777777" w:rsidR="002E5A26" w:rsidRDefault="002E5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w:altName w:val="Liberation Mono"/>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Gotham Light">
    <w:panose1 w:val="00000000000000000000"/>
    <w:charset w:val="00"/>
    <w:family w:val="modern"/>
    <w:notTrueType/>
    <w:pitch w:val="variable"/>
    <w:sig w:usb0="A00000AF" w:usb1="50000048" w:usb2="00000000" w:usb3="00000000" w:csb0="00000111" w:csb1="00000000"/>
  </w:font>
  <w:font w:name="Gotham Book">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penSymbol">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Book-Antiqua,Bold">
    <w:altName w:val="Times New Roman"/>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 w:name="Liberation Mon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B4F0" w14:textId="2B4D1E85" w:rsidR="002E5A26" w:rsidRDefault="002E5A26">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sidR="00C85664">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sidR="00C85664">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AC34E" w14:textId="77777777" w:rsidR="002E5A26" w:rsidRDefault="002E5A26"/>
  </w:footnote>
  <w:footnote w:type="continuationSeparator" w:id="0">
    <w:p w14:paraId="10D66AAE" w14:textId="77777777" w:rsidR="002E5A26" w:rsidRDefault="002E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B243" w14:textId="207D407D" w:rsidR="002E5A26" w:rsidRDefault="002E5A26" w:rsidP="00A7329C">
    <w:pPr>
      <w:pStyle w:val="Intestazione"/>
      <w:spacing w:after="100"/>
    </w:pPr>
    <w:r w:rsidRPr="00812E18">
      <w:rPr>
        <w:noProof/>
        <w:lang w:val="it-IT"/>
      </w:rPr>
      <w:drawing>
        <wp:anchor distT="0" distB="0" distL="114300" distR="114300" simplePos="0" relativeHeight="251659264" behindDoc="0" locked="0" layoutInCell="1" allowOverlap="1" wp14:anchorId="001FAE37" wp14:editId="0857682C">
          <wp:simplePos x="0" y="0"/>
          <wp:positionH relativeFrom="margin">
            <wp:posOffset>-426720</wp:posOffset>
          </wp:positionH>
          <wp:positionV relativeFrom="margin">
            <wp:posOffset>-490855</wp:posOffset>
          </wp:positionV>
          <wp:extent cx="2879725" cy="341630"/>
          <wp:effectExtent l="0" t="0" r="0" b="127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CEC5D2E"/>
    <w:multiLevelType w:val="hybridMultilevel"/>
    <w:tmpl w:val="0DE68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3528FF"/>
    <w:multiLevelType w:val="multilevel"/>
    <w:tmpl w:val="E3C0BE70"/>
    <w:lvl w:ilvl="0">
      <w:start w:val="1"/>
      <w:numFmt w:val="decimal"/>
      <w:lvlText w:val="%1."/>
      <w:lvlJc w:val="left"/>
      <w:pPr>
        <w:ind w:left="502" w:hanging="360"/>
      </w:pPr>
      <w:rPr>
        <w:rFonts w:ascii="Titillium" w:hAnsi="Titillium" w:hint="default"/>
        <w:b/>
        <w:i w:val="0"/>
        <w:sz w:val="18"/>
        <w:szCs w:val="18"/>
      </w:rPr>
    </w:lvl>
    <w:lvl w:ilvl="1">
      <w:start w:val="1"/>
      <w:numFmt w:val="decimal"/>
      <w:lvlText w:val="%2.2."/>
      <w:lvlJc w:val="left"/>
      <w:pPr>
        <w:ind w:left="567" w:hanging="283"/>
      </w:pPr>
      <w:rPr>
        <w:rFonts w:ascii="Titillium" w:hAnsi="Titillium" w:hint="default"/>
        <w:sz w:val="18"/>
        <w:szCs w:val="1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CC4F08"/>
    <w:multiLevelType w:val="hybridMultilevel"/>
    <w:tmpl w:val="6EBCC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92"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53F40F2"/>
    <w:multiLevelType w:val="hybridMultilevel"/>
    <w:tmpl w:val="7C380808"/>
    <w:lvl w:ilvl="0" w:tplc="04100017">
      <w:start w:val="1"/>
      <w:numFmt w:val="lowerLetter"/>
      <w:lvlText w:val="%1)"/>
      <w:lvlJc w:val="left"/>
      <w:pPr>
        <w:ind w:left="1146" w:hanging="360"/>
      </w:pPr>
    </w:lvl>
    <w:lvl w:ilvl="1" w:tplc="359E4AD2">
      <w:start w:val="1"/>
      <w:numFmt w:val="bullet"/>
      <w:lvlText w:val=""/>
      <w:lvlJc w:val="left"/>
      <w:pPr>
        <w:ind w:left="862" w:hanging="360"/>
      </w:pPr>
      <w:rPr>
        <w:rFonts w:ascii="Symbol" w:hAnsi="Symbol"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5"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8" w15:restartNumberingAfterBreak="0">
    <w:nsid w:val="1F7B6247"/>
    <w:multiLevelType w:val="hybridMultilevel"/>
    <w:tmpl w:val="AC9C72B4"/>
    <w:lvl w:ilvl="0" w:tplc="FF98058C">
      <w:start w:val="1"/>
      <w:numFmt w:val="lowerLetter"/>
      <w:lvlText w:val="%1)"/>
      <w:lvlJc w:val="left"/>
      <w:pPr>
        <w:ind w:left="720" w:hanging="360"/>
      </w:pPr>
      <w:rPr>
        <w:rFonts w:ascii="Titillium" w:hAnsi="Titillium" w:hint="default"/>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F8E4611"/>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99510F"/>
    <w:multiLevelType w:val="hybridMultilevel"/>
    <w:tmpl w:val="F86608A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2537744"/>
    <w:multiLevelType w:val="multilevel"/>
    <w:tmpl w:val="FA7E52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1516FD"/>
    <w:multiLevelType w:val="hybridMultilevel"/>
    <w:tmpl w:val="2EF8267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D97C60"/>
    <w:multiLevelType w:val="hybridMultilevel"/>
    <w:tmpl w:val="8D300C58"/>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F02F7B"/>
    <w:multiLevelType w:val="hybridMultilevel"/>
    <w:tmpl w:val="76867E6C"/>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330AA9"/>
    <w:multiLevelType w:val="multilevel"/>
    <w:tmpl w:val="4D5C5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443362"/>
    <w:multiLevelType w:val="multilevel"/>
    <w:tmpl w:val="004CE674"/>
    <w:lvl w:ilvl="0">
      <w:start w:val="3"/>
      <w:numFmt w:val="decimal"/>
      <w:lvlText w:val="%1."/>
      <w:lvlJc w:val="left"/>
      <w:pPr>
        <w:ind w:left="450" w:hanging="450"/>
      </w:pPr>
      <w:rPr>
        <w:rFonts w:ascii="Titillium" w:hAnsi="Titillium" w:hint="default"/>
        <w:sz w:val="18"/>
      </w:rPr>
    </w:lvl>
    <w:lvl w:ilvl="1">
      <w:start w:val="2"/>
      <w:numFmt w:val="decimal"/>
      <w:lvlText w:val="%1.%2."/>
      <w:lvlJc w:val="left"/>
      <w:pPr>
        <w:ind w:left="3484" w:hanging="720"/>
      </w:pPr>
      <w:rPr>
        <w:rFonts w:ascii="Titillium" w:hAnsi="Titillium" w:hint="default"/>
        <w:sz w:val="18"/>
      </w:rPr>
    </w:lvl>
    <w:lvl w:ilvl="2">
      <w:start w:val="2"/>
      <w:numFmt w:val="decimal"/>
      <w:lvlText w:val="%1.%2.%3."/>
      <w:lvlJc w:val="left"/>
      <w:pPr>
        <w:ind w:left="6248" w:hanging="720"/>
      </w:pPr>
      <w:rPr>
        <w:rFonts w:ascii="Titillium" w:hAnsi="Titillium" w:hint="default"/>
        <w:sz w:val="18"/>
      </w:rPr>
    </w:lvl>
    <w:lvl w:ilvl="3">
      <w:start w:val="1"/>
      <w:numFmt w:val="decimal"/>
      <w:lvlText w:val="%1.%2.%3.%4."/>
      <w:lvlJc w:val="left"/>
      <w:pPr>
        <w:ind w:left="9372" w:hanging="1080"/>
      </w:pPr>
      <w:rPr>
        <w:rFonts w:ascii="Titillium" w:hAnsi="Titillium" w:hint="default"/>
        <w:sz w:val="18"/>
      </w:rPr>
    </w:lvl>
    <w:lvl w:ilvl="4">
      <w:start w:val="1"/>
      <w:numFmt w:val="decimal"/>
      <w:lvlText w:val="%1.%2.%3.%4.%5."/>
      <w:lvlJc w:val="left"/>
      <w:pPr>
        <w:ind w:left="12136" w:hanging="1080"/>
      </w:pPr>
      <w:rPr>
        <w:rFonts w:ascii="Titillium" w:hAnsi="Titillium" w:hint="default"/>
        <w:sz w:val="18"/>
      </w:rPr>
    </w:lvl>
    <w:lvl w:ilvl="5">
      <w:start w:val="1"/>
      <w:numFmt w:val="decimal"/>
      <w:lvlText w:val="%1.%2.%3.%4.%5.%6."/>
      <w:lvlJc w:val="left"/>
      <w:pPr>
        <w:ind w:left="15260" w:hanging="1440"/>
      </w:pPr>
      <w:rPr>
        <w:rFonts w:ascii="Titillium" w:hAnsi="Titillium" w:hint="default"/>
        <w:sz w:val="18"/>
      </w:rPr>
    </w:lvl>
    <w:lvl w:ilvl="6">
      <w:start w:val="1"/>
      <w:numFmt w:val="decimal"/>
      <w:lvlText w:val="%1.%2.%3.%4.%5.%6.%7."/>
      <w:lvlJc w:val="left"/>
      <w:pPr>
        <w:ind w:left="18024" w:hanging="1440"/>
      </w:pPr>
      <w:rPr>
        <w:rFonts w:ascii="Titillium" w:hAnsi="Titillium" w:hint="default"/>
        <w:sz w:val="18"/>
      </w:rPr>
    </w:lvl>
    <w:lvl w:ilvl="7">
      <w:start w:val="1"/>
      <w:numFmt w:val="decimal"/>
      <w:lvlText w:val="%1.%2.%3.%4.%5.%6.%7.%8."/>
      <w:lvlJc w:val="left"/>
      <w:pPr>
        <w:ind w:left="21148" w:hanging="1800"/>
      </w:pPr>
      <w:rPr>
        <w:rFonts w:ascii="Titillium" w:hAnsi="Titillium" w:hint="default"/>
        <w:sz w:val="18"/>
      </w:rPr>
    </w:lvl>
    <w:lvl w:ilvl="8">
      <w:start w:val="1"/>
      <w:numFmt w:val="decimal"/>
      <w:lvlText w:val="%1.%2.%3.%4.%5.%6.%7.%8.%9."/>
      <w:lvlJc w:val="left"/>
      <w:pPr>
        <w:ind w:left="24272" w:hanging="2160"/>
      </w:pPr>
      <w:rPr>
        <w:rFonts w:ascii="Titillium" w:hAnsi="Titillium" w:hint="default"/>
        <w:sz w:val="18"/>
      </w:rPr>
    </w:lvl>
  </w:abstractNum>
  <w:abstractNum w:abstractNumId="27"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824D34"/>
    <w:multiLevelType w:val="multilevel"/>
    <w:tmpl w:val="28D86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CA0CCB"/>
    <w:multiLevelType w:val="multilevel"/>
    <w:tmpl w:val="C6B6C70C"/>
    <w:lvl w:ilvl="0">
      <w:start w:val="1"/>
      <w:numFmt w:val="lowerLetter"/>
      <w:lvlText w:val="%1)"/>
      <w:lvlJc w:val="left"/>
      <w:pPr>
        <w:ind w:left="928" w:hanging="360"/>
      </w:pPr>
      <w:rPr>
        <w:rFonts w:ascii="Titillium" w:hAnsi="Titillium"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14C624F"/>
    <w:multiLevelType w:val="multilevel"/>
    <w:tmpl w:val="5E7406CE"/>
    <w:lvl w:ilvl="0">
      <w:start w:val="1"/>
      <w:numFmt w:val="lowerLetter"/>
      <w:lvlText w:val="%1)"/>
      <w:lvlJc w:val="left"/>
      <w:pPr>
        <w:ind w:left="1146" w:hanging="360"/>
      </w:pPr>
      <w:rPr>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32C90623"/>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33" w15:restartNumberingAfterBreak="0">
    <w:nsid w:val="35611AFF"/>
    <w:multiLevelType w:val="multilevel"/>
    <w:tmpl w:val="B13237EC"/>
    <w:lvl w:ilvl="0">
      <w:start w:val="1"/>
      <w:numFmt w:val="decimal"/>
      <w:lvlText w:val="%1."/>
      <w:lvlJc w:val="left"/>
      <w:pPr>
        <w:ind w:left="360" w:hanging="360"/>
      </w:pPr>
      <w:rPr>
        <w:b/>
        <w:i w:val="0"/>
        <w:sz w:val="18"/>
      </w:rPr>
    </w:lvl>
    <w:lvl w:ilvl="1">
      <w:start w:val="1"/>
      <w:numFmt w:val="decimal"/>
      <w:lvlText w:val="%1.%2"/>
      <w:lvlJc w:val="left"/>
      <w:pPr>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7CA7822"/>
    <w:multiLevelType w:val="hybridMultilevel"/>
    <w:tmpl w:val="E01E5DF4"/>
    <w:lvl w:ilvl="0" w:tplc="E9F01C92">
      <w:start w:val="14"/>
      <w:numFmt w:val="bullet"/>
      <w:lvlText w:val="-"/>
      <w:lvlJc w:val="left"/>
      <w:pPr>
        <w:ind w:left="2204" w:hanging="360"/>
      </w:pPr>
      <w:rPr>
        <w:rFonts w:ascii="Titillium" w:eastAsiaTheme="minorHAnsi" w:hAnsi="Titillium" w:cs="Titillium Web"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6"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A8072F1"/>
    <w:multiLevelType w:val="multilevel"/>
    <w:tmpl w:val="595CA9C2"/>
    <w:lvl w:ilvl="0">
      <w:start w:val="12"/>
      <w:numFmt w:val="lowerLetter"/>
      <w:lvlText w:val="%1)"/>
      <w:lvlJc w:val="left"/>
      <w:pPr>
        <w:ind w:left="360" w:hanging="360"/>
      </w:pPr>
      <w:rPr>
        <w:rFonts w:ascii="Titillium" w:hAnsi="Titillium" w:hint="default"/>
        <w:b/>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3BAC6642"/>
    <w:multiLevelType w:val="hybridMultilevel"/>
    <w:tmpl w:val="95EC06A6"/>
    <w:lvl w:ilvl="0" w:tplc="04100017">
      <w:start w:val="1"/>
      <w:numFmt w:val="lowerLetter"/>
      <w:lvlText w:val="%1)"/>
      <w:lvlJc w:val="left"/>
      <w:pPr>
        <w:ind w:left="186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5426C"/>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F0613FA"/>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42" w15:restartNumberingAfterBreak="0">
    <w:nsid w:val="3F6B3A6E"/>
    <w:multiLevelType w:val="hybridMultilevel"/>
    <w:tmpl w:val="A760BE68"/>
    <w:lvl w:ilvl="0" w:tplc="DDCED728">
      <w:start w:val="1"/>
      <w:numFmt w:val="upp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43"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3F9E61BF"/>
    <w:multiLevelType w:val="hybridMultilevel"/>
    <w:tmpl w:val="5F48E318"/>
    <w:lvl w:ilvl="0" w:tplc="E9F01C92">
      <w:start w:val="14"/>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0A77BEB"/>
    <w:multiLevelType w:val="hybridMultilevel"/>
    <w:tmpl w:val="739820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3B1323A"/>
    <w:multiLevelType w:val="hybridMultilevel"/>
    <w:tmpl w:val="0E26115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F11CA0"/>
    <w:multiLevelType w:val="hybridMultilevel"/>
    <w:tmpl w:val="D23E14A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FD0447"/>
    <w:multiLevelType w:val="multilevel"/>
    <w:tmpl w:val="0792E2DA"/>
    <w:lvl w:ilvl="0">
      <w:start w:val="9"/>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A5C7CC9"/>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E210CCB"/>
    <w:multiLevelType w:val="hybridMultilevel"/>
    <w:tmpl w:val="78D62B3A"/>
    <w:lvl w:ilvl="0" w:tplc="359E4A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4" w15:restartNumberingAfterBreak="0">
    <w:nsid w:val="5075654F"/>
    <w:multiLevelType w:val="multilevel"/>
    <w:tmpl w:val="7B04E0E6"/>
    <w:lvl w:ilvl="0">
      <w:start w:val="1"/>
      <w:numFmt w:val="lowerLetter"/>
      <w:lvlText w:val="%1)"/>
      <w:lvlJc w:val="left"/>
      <w:pPr>
        <w:ind w:left="644" w:hanging="360"/>
      </w:pPr>
      <w:rPr>
        <w:rFonts w:ascii="Titillium" w:hAnsi="Titillium" w:hint="default"/>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5" w15:restartNumberingAfterBreak="0">
    <w:nsid w:val="532E40DA"/>
    <w:multiLevelType w:val="hybridMultilevel"/>
    <w:tmpl w:val="2C0C31D6"/>
    <w:lvl w:ilvl="0" w:tplc="5680F672">
      <w:start w:val="1"/>
      <w:numFmt w:val="upperLetter"/>
      <w:lvlText w:val="%1)"/>
      <w:lvlJc w:val="left"/>
      <w:pPr>
        <w:ind w:left="3468" w:hanging="360"/>
      </w:pPr>
      <w:rPr>
        <w:rFonts w:ascii="Titillium" w:hAnsi="Titillium" w:hint="default"/>
        <w:b/>
        <w:sz w:val="18"/>
      </w:rPr>
    </w:lvl>
    <w:lvl w:ilvl="1" w:tplc="04090019" w:tentative="1">
      <w:start w:val="1"/>
      <w:numFmt w:val="lowerLetter"/>
      <w:lvlText w:val="%2."/>
      <w:lvlJc w:val="left"/>
      <w:pPr>
        <w:ind w:left="4188" w:hanging="360"/>
      </w:pPr>
    </w:lvl>
    <w:lvl w:ilvl="2" w:tplc="0409001B" w:tentative="1">
      <w:start w:val="1"/>
      <w:numFmt w:val="lowerRoman"/>
      <w:lvlText w:val="%3."/>
      <w:lvlJc w:val="right"/>
      <w:pPr>
        <w:ind w:left="4908" w:hanging="180"/>
      </w:pPr>
    </w:lvl>
    <w:lvl w:ilvl="3" w:tplc="0409000F" w:tentative="1">
      <w:start w:val="1"/>
      <w:numFmt w:val="decimal"/>
      <w:lvlText w:val="%4."/>
      <w:lvlJc w:val="left"/>
      <w:pPr>
        <w:ind w:left="5628" w:hanging="360"/>
      </w:pPr>
    </w:lvl>
    <w:lvl w:ilvl="4" w:tplc="04090019" w:tentative="1">
      <w:start w:val="1"/>
      <w:numFmt w:val="lowerLetter"/>
      <w:lvlText w:val="%5."/>
      <w:lvlJc w:val="left"/>
      <w:pPr>
        <w:ind w:left="6348" w:hanging="360"/>
      </w:pPr>
    </w:lvl>
    <w:lvl w:ilvl="5" w:tplc="0409001B" w:tentative="1">
      <w:start w:val="1"/>
      <w:numFmt w:val="lowerRoman"/>
      <w:lvlText w:val="%6."/>
      <w:lvlJc w:val="right"/>
      <w:pPr>
        <w:ind w:left="7068" w:hanging="180"/>
      </w:pPr>
    </w:lvl>
    <w:lvl w:ilvl="6" w:tplc="0409000F" w:tentative="1">
      <w:start w:val="1"/>
      <w:numFmt w:val="decimal"/>
      <w:lvlText w:val="%7."/>
      <w:lvlJc w:val="left"/>
      <w:pPr>
        <w:ind w:left="7788" w:hanging="360"/>
      </w:pPr>
    </w:lvl>
    <w:lvl w:ilvl="7" w:tplc="04090019" w:tentative="1">
      <w:start w:val="1"/>
      <w:numFmt w:val="lowerLetter"/>
      <w:lvlText w:val="%8."/>
      <w:lvlJc w:val="left"/>
      <w:pPr>
        <w:ind w:left="8508" w:hanging="360"/>
      </w:pPr>
    </w:lvl>
    <w:lvl w:ilvl="8" w:tplc="0409001B" w:tentative="1">
      <w:start w:val="1"/>
      <w:numFmt w:val="lowerRoman"/>
      <w:lvlText w:val="%9."/>
      <w:lvlJc w:val="right"/>
      <w:pPr>
        <w:ind w:left="9228" w:hanging="180"/>
      </w:pPr>
    </w:lvl>
  </w:abstractNum>
  <w:abstractNum w:abstractNumId="56" w15:restartNumberingAfterBreak="0">
    <w:nsid w:val="55044B3E"/>
    <w:multiLevelType w:val="multilevel"/>
    <w:tmpl w:val="F94ED4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hAnsi="Titillium" w:hint="default"/>
        <w:sz w:val="18"/>
        <w:szCs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8CC4A90"/>
    <w:multiLevelType w:val="hybridMultilevel"/>
    <w:tmpl w:val="7616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B2316F9"/>
    <w:multiLevelType w:val="multilevel"/>
    <w:tmpl w:val="8834DE18"/>
    <w:lvl w:ilvl="0">
      <w:start w:val="1"/>
      <w:numFmt w:val="upperLetter"/>
      <w:lvlText w:val="%1)"/>
      <w:lvlJc w:val="left"/>
      <w:pPr>
        <w:ind w:left="3479" w:hanging="360"/>
      </w:pPr>
      <w:rPr>
        <w:rFonts w:ascii="Titilium" w:hAnsi="Titilium" w:hint="default"/>
        <w:b/>
        <w:bCs w:val="0"/>
        <w:sz w:val="18"/>
        <w:szCs w:val="18"/>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62" w15:restartNumberingAfterBreak="0">
    <w:nsid w:val="6123389E"/>
    <w:multiLevelType w:val="multilevel"/>
    <w:tmpl w:val="0410001F"/>
    <w:lvl w:ilvl="0">
      <w:start w:val="1"/>
      <w:numFmt w:val="decimal"/>
      <w:lvlText w:val="%1."/>
      <w:lvlJc w:val="left"/>
      <w:pPr>
        <w:ind w:left="360" w:hanging="360"/>
      </w:pPr>
      <w:rPr>
        <w:rFonts w:hint="default"/>
        <w:b/>
        <w:i w:val="0"/>
        <w:sz w:val="18"/>
        <w:szCs w:val="18"/>
      </w:rPr>
    </w:lvl>
    <w:lvl w:ilvl="1">
      <w:start w:val="1"/>
      <w:numFmt w:val="decimal"/>
      <w:lvlText w:val="%1.%2."/>
      <w:lvlJc w:val="left"/>
      <w:pPr>
        <w:ind w:left="792" w:hanging="432"/>
      </w:pPr>
      <w:rPr>
        <w:rFonts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ABA2323"/>
    <w:multiLevelType w:val="hybridMultilevel"/>
    <w:tmpl w:val="59C8E63A"/>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7" w15:restartNumberingAfterBreak="0">
    <w:nsid w:val="6B1C5936"/>
    <w:multiLevelType w:val="hybridMultilevel"/>
    <w:tmpl w:val="6AD4CB20"/>
    <w:lvl w:ilvl="0" w:tplc="392811C0">
      <w:start w:val="4"/>
      <w:numFmt w:val="bullet"/>
      <w:lvlText w:val="-"/>
      <w:lvlJc w:val="left"/>
      <w:pPr>
        <w:ind w:left="144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BE33A0F"/>
    <w:multiLevelType w:val="multilevel"/>
    <w:tmpl w:val="7D162C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E862C8"/>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70" w15:restartNumberingAfterBreak="0">
    <w:nsid w:val="708F6EA0"/>
    <w:multiLevelType w:val="multilevel"/>
    <w:tmpl w:val="EF9E413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0DF6EA0"/>
    <w:multiLevelType w:val="hybridMultilevel"/>
    <w:tmpl w:val="2C0C31D6"/>
    <w:lvl w:ilvl="0" w:tplc="FFFFFFFF">
      <w:start w:val="1"/>
      <w:numFmt w:val="upperLetter"/>
      <w:lvlText w:val="%1)"/>
      <w:lvlJc w:val="left"/>
      <w:pPr>
        <w:ind w:left="3468" w:hanging="360"/>
      </w:pPr>
      <w:rPr>
        <w:rFonts w:ascii="Titillium" w:hAnsi="Titillium" w:hint="default"/>
        <w:b/>
        <w:sz w:val="18"/>
      </w:rPr>
    </w:lvl>
    <w:lvl w:ilvl="1" w:tplc="FFFFFFFF" w:tentative="1">
      <w:start w:val="1"/>
      <w:numFmt w:val="lowerLetter"/>
      <w:lvlText w:val="%2."/>
      <w:lvlJc w:val="left"/>
      <w:pPr>
        <w:ind w:left="4188" w:hanging="360"/>
      </w:pPr>
    </w:lvl>
    <w:lvl w:ilvl="2" w:tplc="FFFFFFFF" w:tentative="1">
      <w:start w:val="1"/>
      <w:numFmt w:val="lowerRoman"/>
      <w:lvlText w:val="%3."/>
      <w:lvlJc w:val="right"/>
      <w:pPr>
        <w:ind w:left="4908" w:hanging="180"/>
      </w:pPr>
    </w:lvl>
    <w:lvl w:ilvl="3" w:tplc="FFFFFFFF" w:tentative="1">
      <w:start w:val="1"/>
      <w:numFmt w:val="decimal"/>
      <w:lvlText w:val="%4."/>
      <w:lvlJc w:val="left"/>
      <w:pPr>
        <w:ind w:left="5628" w:hanging="360"/>
      </w:pPr>
    </w:lvl>
    <w:lvl w:ilvl="4" w:tplc="FFFFFFFF" w:tentative="1">
      <w:start w:val="1"/>
      <w:numFmt w:val="lowerLetter"/>
      <w:lvlText w:val="%5."/>
      <w:lvlJc w:val="left"/>
      <w:pPr>
        <w:ind w:left="6348" w:hanging="360"/>
      </w:pPr>
    </w:lvl>
    <w:lvl w:ilvl="5" w:tplc="FFFFFFFF" w:tentative="1">
      <w:start w:val="1"/>
      <w:numFmt w:val="lowerRoman"/>
      <w:lvlText w:val="%6."/>
      <w:lvlJc w:val="right"/>
      <w:pPr>
        <w:ind w:left="7068" w:hanging="180"/>
      </w:pPr>
    </w:lvl>
    <w:lvl w:ilvl="6" w:tplc="FFFFFFFF" w:tentative="1">
      <w:start w:val="1"/>
      <w:numFmt w:val="decimal"/>
      <w:lvlText w:val="%7."/>
      <w:lvlJc w:val="left"/>
      <w:pPr>
        <w:ind w:left="7788" w:hanging="360"/>
      </w:pPr>
    </w:lvl>
    <w:lvl w:ilvl="7" w:tplc="FFFFFFFF" w:tentative="1">
      <w:start w:val="1"/>
      <w:numFmt w:val="lowerLetter"/>
      <w:lvlText w:val="%8."/>
      <w:lvlJc w:val="left"/>
      <w:pPr>
        <w:ind w:left="8508" w:hanging="360"/>
      </w:pPr>
    </w:lvl>
    <w:lvl w:ilvl="8" w:tplc="FFFFFFFF" w:tentative="1">
      <w:start w:val="1"/>
      <w:numFmt w:val="lowerRoman"/>
      <w:lvlText w:val="%9."/>
      <w:lvlJc w:val="right"/>
      <w:pPr>
        <w:ind w:left="9228" w:hanging="180"/>
      </w:pPr>
    </w:lvl>
  </w:abstractNum>
  <w:abstractNum w:abstractNumId="72" w15:restartNumberingAfterBreak="0">
    <w:nsid w:val="729510C3"/>
    <w:multiLevelType w:val="hybridMultilevel"/>
    <w:tmpl w:val="676C2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F67F74"/>
    <w:multiLevelType w:val="multilevel"/>
    <w:tmpl w:val="92A8C7C4"/>
    <w:lvl w:ilvl="0">
      <w:start w:val="1"/>
      <w:numFmt w:val="bullet"/>
      <w:lvlText w:val="-"/>
      <w:lvlJc w:val="left"/>
      <w:pPr>
        <w:ind w:left="1440" w:hanging="360"/>
      </w:pPr>
      <w:rPr>
        <w:rFonts w:ascii="Garamond" w:hAnsi="Garamond" w:cs="Times New Roman" w:hint="default"/>
        <w:b/>
        <w:i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5" w15:restartNumberingAfterBreak="0">
    <w:nsid w:val="7B1E7E7E"/>
    <w:multiLevelType w:val="hybridMultilevel"/>
    <w:tmpl w:val="0EBCC04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6" w15:restartNumberingAfterBreak="0">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D207AAE"/>
    <w:multiLevelType w:val="multilevel"/>
    <w:tmpl w:val="69E4F0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E0C6238"/>
    <w:multiLevelType w:val="hybridMultilevel"/>
    <w:tmpl w:val="AD004A22"/>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7FA36277"/>
    <w:multiLevelType w:val="hybridMultilevel"/>
    <w:tmpl w:val="64C68DC2"/>
    <w:lvl w:ilvl="0" w:tplc="0410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9"/>
  </w:num>
  <w:num w:numId="3">
    <w:abstractNumId w:val="36"/>
  </w:num>
  <w:num w:numId="4">
    <w:abstractNumId w:val="10"/>
  </w:num>
  <w:num w:numId="5">
    <w:abstractNumId w:val="28"/>
  </w:num>
  <w:num w:numId="6">
    <w:abstractNumId w:val="74"/>
  </w:num>
  <w:num w:numId="7">
    <w:abstractNumId w:val="25"/>
  </w:num>
  <w:num w:numId="8">
    <w:abstractNumId w:val="31"/>
  </w:num>
  <w:num w:numId="9">
    <w:abstractNumId w:val="29"/>
  </w:num>
  <w:num w:numId="10">
    <w:abstractNumId w:val="1"/>
  </w:num>
  <w:num w:numId="11">
    <w:abstractNumId w:val="15"/>
  </w:num>
  <w:num w:numId="12">
    <w:abstractNumId w:val="13"/>
  </w:num>
  <w:num w:numId="13">
    <w:abstractNumId w:val="3"/>
  </w:num>
  <w:num w:numId="14">
    <w:abstractNumId w:val="5"/>
  </w:num>
  <w:num w:numId="15">
    <w:abstractNumId w:val="4"/>
  </w:num>
  <w:num w:numId="16">
    <w:abstractNumId w:val="11"/>
  </w:num>
  <w:num w:numId="17">
    <w:abstractNumId w:val="48"/>
  </w:num>
  <w:num w:numId="18">
    <w:abstractNumId w:val="34"/>
  </w:num>
  <w:num w:numId="19">
    <w:abstractNumId w:val="46"/>
  </w:num>
  <w:num w:numId="20">
    <w:abstractNumId w:val="76"/>
  </w:num>
  <w:num w:numId="21">
    <w:abstractNumId w:val="60"/>
  </w:num>
  <w:num w:numId="22">
    <w:abstractNumId w:val="2"/>
  </w:num>
  <w:num w:numId="23">
    <w:abstractNumId w:val="16"/>
  </w:num>
  <w:num w:numId="24">
    <w:abstractNumId w:val="9"/>
  </w:num>
  <w:num w:numId="25">
    <w:abstractNumId w:val="38"/>
  </w:num>
  <w:num w:numId="26">
    <w:abstractNumId w:val="54"/>
  </w:num>
  <w:num w:numId="27">
    <w:abstractNumId w:val="64"/>
  </w:num>
  <w:num w:numId="28">
    <w:abstractNumId w:val="30"/>
  </w:num>
  <w:num w:numId="29">
    <w:abstractNumId w:val="61"/>
  </w:num>
  <w:num w:numId="30">
    <w:abstractNumId w:val="77"/>
  </w:num>
  <w:num w:numId="31">
    <w:abstractNumId w:val="37"/>
  </w:num>
  <w:num w:numId="32">
    <w:abstractNumId w:val="57"/>
  </w:num>
  <w:num w:numId="33">
    <w:abstractNumId w:val="0"/>
  </w:num>
  <w:num w:numId="34">
    <w:abstractNumId w:val="17"/>
  </w:num>
  <w:num w:numId="35">
    <w:abstractNumId w:val="16"/>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6">
    <w:abstractNumId w:val="50"/>
  </w:num>
  <w:num w:numId="37">
    <w:abstractNumId w:val="72"/>
  </w:num>
  <w:num w:numId="38">
    <w:abstractNumId w:val="18"/>
  </w:num>
  <w:num w:numId="39">
    <w:abstractNumId w:val="45"/>
  </w:num>
  <w:num w:numId="40">
    <w:abstractNumId w:val="12"/>
  </w:num>
  <w:num w:numId="41">
    <w:abstractNumId w:val="14"/>
  </w:num>
  <w:num w:numId="42">
    <w:abstractNumId w:val="21"/>
  </w:num>
  <w:num w:numId="43">
    <w:abstractNumId w:val="70"/>
  </w:num>
  <w:num w:numId="44">
    <w:abstractNumId w:val="47"/>
  </w:num>
  <w:num w:numId="45">
    <w:abstractNumId w:val="22"/>
  </w:num>
  <w:num w:numId="46">
    <w:abstractNumId w:val="67"/>
  </w:num>
  <w:num w:numId="47">
    <w:abstractNumId w:val="23"/>
  </w:num>
  <w:num w:numId="48">
    <w:abstractNumId w:val="65"/>
  </w:num>
  <w:num w:numId="49">
    <w:abstractNumId w:val="78"/>
  </w:num>
  <w:num w:numId="50">
    <w:abstractNumId w:val="20"/>
  </w:num>
  <w:num w:numId="51">
    <w:abstractNumId w:val="8"/>
  </w:num>
  <w:num w:numId="52">
    <w:abstractNumId w:val="24"/>
  </w:num>
  <w:num w:numId="53">
    <w:abstractNumId w:val="33"/>
  </w:num>
  <w:num w:numId="54">
    <w:abstractNumId w:val="6"/>
  </w:num>
  <w:num w:numId="55">
    <w:abstractNumId w:val="66"/>
  </w:num>
  <w:num w:numId="56">
    <w:abstractNumId w:val="43"/>
  </w:num>
  <w:num w:numId="57">
    <w:abstractNumId w:val="35"/>
  </w:num>
  <w:num w:numId="58">
    <w:abstractNumId w:val="44"/>
  </w:num>
  <w:num w:numId="59">
    <w:abstractNumId w:val="26"/>
  </w:num>
  <w:num w:numId="60">
    <w:abstractNumId w:val="7"/>
  </w:num>
  <w:num w:numId="61">
    <w:abstractNumId w:val="62"/>
  </w:num>
  <w:num w:numId="62">
    <w:abstractNumId w:val="55"/>
  </w:num>
  <w:num w:numId="63">
    <w:abstractNumId w:val="32"/>
  </w:num>
  <w:num w:numId="64">
    <w:abstractNumId w:val="53"/>
  </w:num>
  <w:num w:numId="65">
    <w:abstractNumId w:val="68"/>
  </w:num>
  <w:num w:numId="66">
    <w:abstractNumId w:val="75"/>
  </w:num>
  <w:num w:numId="67">
    <w:abstractNumId w:val="73"/>
  </w:num>
  <w:num w:numId="68">
    <w:abstractNumId w:val="49"/>
  </w:num>
  <w:num w:numId="69">
    <w:abstractNumId w:val="63"/>
  </w:num>
  <w:num w:numId="70">
    <w:abstractNumId w:val="27"/>
  </w:num>
  <w:num w:numId="71">
    <w:abstractNumId w:val="19"/>
  </w:num>
  <w:num w:numId="72">
    <w:abstractNumId w:val="56"/>
  </w:num>
  <w:num w:numId="73">
    <w:abstractNumId w:val="40"/>
  </w:num>
  <w:num w:numId="74">
    <w:abstractNumId w:val="51"/>
  </w:num>
  <w:num w:numId="75">
    <w:abstractNumId w:val="39"/>
  </w:num>
  <w:num w:numId="76">
    <w:abstractNumId w:val="42"/>
  </w:num>
  <w:num w:numId="77">
    <w:abstractNumId w:val="71"/>
  </w:num>
  <w:num w:numId="78">
    <w:abstractNumId w:val="69"/>
  </w:num>
  <w:num w:numId="79">
    <w:abstractNumId w:val="79"/>
  </w:num>
  <w:num w:numId="80">
    <w:abstractNumId w:val="41"/>
  </w:num>
  <w:num w:numId="81">
    <w:abstractNumId w:val="58"/>
  </w:num>
  <w:num w:numId="82">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en-US" w:vendorID="64" w:dllVersion="6" w:nlCheck="1" w:checkStyle="1"/>
  <w:activeWritingStyle w:appName="MSWord" w:lang="en-US" w:vendorID="64" w:dllVersion="0" w:nlCheck="1" w:checkStyle="0"/>
  <w:activeWritingStyle w:appName="MSWord" w:lang="it-IT"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A8"/>
    <w:rsid w:val="00001CF6"/>
    <w:rsid w:val="000047CD"/>
    <w:rsid w:val="00005305"/>
    <w:rsid w:val="00005387"/>
    <w:rsid w:val="0000590E"/>
    <w:rsid w:val="00005EEC"/>
    <w:rsid w:val="00006719"/>
    <w:rsid w:val="0000749D"/>
    <w:rsid w:val="00007B56"/>
    <w:rsid w:val="00007C62"/>
    <w:rsid w:val="0001096E"/>
    <w:rsid w:val="00012AFC"/>
    <w:rsid w:val="00012ECB"/>
    <w:rsid w:val="000148A7"/>
    <w:rsid w:val="00014D3A"/>
    <w:rsid w:val="000154AA"/>
    <w:rsid w:val="0001616C"/>
    <w:rsid w:val="000169E9"/>
    <w:rsid w:val="00017161"/>
    <w:rsid w:val="00020DDD"/>
    <w:rsid w:val="0002185F"/>
    <w:rsid w:val="0002232C"/>
    <w:rsid w:val="0002298D"/>
    <w:rsid w:val="00022A02"/>
    <w:rsid w:val="00022B58"/>
    <w:rsid w:val="0002365A"/>
    <w:rsid w:val="00023D01"/>
    <w:rsid w:val="00025169"/>
    <w:rsid w:val="00026D9F"/>
    <w:rsid w:val="00027CD0"/>
    <w:rsid w:val="000306BE"/>
    <w:rsid w:val="000315E8"/>
    <w:rsid w:val="00032F35"/>
    <w:rsid w:val="0003597C"/>
    <w:rsid w:val="00036784"/>
    <w:rsid w:val="00041185"/>
    <w:rsid w:val="00041A5C"/>
    <w:rsid w:val="00043CAA"/>
    <w:rsid w:val="00044072"/>
    <w:rsid w:val="00045B07"/>
    <w:rsid w:val="00045D47"/>
    <w:rsid w:val="0004614B"/>
    <w:rsid w:val="0004696D"/>
    <w:rsid w:val="000475A1"/>
    <w:rsid w:val="00050774"/>
    <w:rsid w:val="00051128"/>
    <w:rsid w:val="00052E2F"/>
    <w:rsid w:val="00052FD6"/>
    <w:rsid w:val="00053C3C"/>
    <w:rsid w:val="000572D6"/>
    <w:rsid w:val="0006009F"/>
    <w:rsid w:val="00061583"/>
    <w:rsid w:val="00061F4E"/>
    <w:rsid w:val="00063BB7"/>
    <w:rsid w:val="000654DF"/>
    <w:rsid w:val="00065688"/>
    <w:rsid w:val="00065D5F"/>
    <w:rsid w:val="0006616F"/>
    <w:rsid w:val="0006740A"/>
    <w:rsid w:val="00070045"/>
    <w:rsid w:val="00072450"/>
    <w:rsid w:val="00074B74"/>
    <w:rsid w:val="00074F92"/>
    <w:rsid w:val="0007641C"/>
    <w:rsid w:val="00080520"/>
    <w:rsid w:val="00082A7D"/>
    <w:rsid w:val="00082D01"/>
    <w:rsid w:val="00082FB9"/>
    <w:rsid w:val="00084AD6"/>
    <w:rsid w:val="000853BC"/>
    <w:rsid w:val="000871A0"/>
    <w:rsid w:val="000905D4"/>
    <w:rsid w:val="00090AED"/>
    <w:rsid w:val="00090B93"/>
    <w:rsid w:val="0009275D"/>
    <w:rsid w:val="0009290B"/>
    <w:rsid w:val="00092FE3"/>
    <w:rsid w:val="00093C46"/>
    <w:rsid w:val="00093DF9"/>
    <w:rsid w:val="0009403D"/>
    <w:rsid w:val="000947B4"/>
    <w:rsid w:val="000947B7"/>
    <w:rsid w:val="000953BD"/>
    <w:rsid w:val="00095947"/>
    <w:rsid w:val="000A09BF"/>
    <w:rsid w:val="000A0F80"/>
    <w:rsid w:val="000A1948"/>
    <w:rsid w:val="000A2417"/>
    <w:rsid w:val="000A29E8"/>
    <w:rsid w:val="000A3996"/>
    <w:rsid w:val="000A5602"/>
    <w:rsid w:val="000A607C"/>
    <w:rsid w:val="000A7AA0"/>
    <w:rsid w:val="000B0721"/>
    <w:rsid w:val="000B19D5"/>
    <w:rsid w:val="000B28F4"/>
    <w:rsid w:val="000B4A42"/>
    <w:rsid w:val="000B53F9"/>
    <w:rsid w:val="000B54FB"/>
    <w:rsid w:val="000B6B67"/>
    <w:rsid w:val="000C035F"/>
    <w:rsid w:val="000C113D"/>
    <w:rsid w:val="000C293E"/>
    <w:rsid w:val="000C29CD"/>
    <w:rsid w:val="000C344B"/>
    <w:rsid w:val="000C3B1A"/>
    <w:rsid w:val="000C48D2"/>
    <w:rsid w:val="000C4D3B"/>
    <w:rsid w:val="000C70DE"/>
    <w:rsid w:val="000C7C37"/>
    <w:rsid w:val="000D03DB"/>
    <w:rsid w:val="000D10B9"/>
    <w:rsid w:val="000D2516"/>
    <w:rsid w:val="000D2AC1"/>
    <w:rsid w:val="000D3551"/>
    <w:rsid w:val="000D4913"/>
    <w:rsid w:val="000D49E9"/>
    <w:rsid w:val="000D5C7D"/>
    <w:rsid w:val="000D6246"/>
    <w:rsid w:val="000D68B4"/>
    <w:rsid w:val="000D756B"/>
    <w:rsid w:val="000D7F75"/>
    <w:rsid w:val="000E0900"/>
    <w:rsid w:val="000E0A13"/>
    <w:rsid w:val="000E0E7C"/>
    <w:rsid w:val="000E2446"/>
    <w:rsid w:val="000E45B5"/>
    <w:rsid w:val="000E63DD"/>
    <w:rsid w:val="000E65AD"/>
    <w:rsid w:val="000E7F3A"/>
    <w:rsid w:val="000F04A8"/>
    <w:rsid w:val="000F1101"/>
    <w:rsid w:val="000F12B6"/>
    <w:rsid w:val="000F1336"/>
    <w:rsid w:val="000F205C"/>
    <w:rsid w:val="000F2975"/>
    <w:rsid w:val="000F2BBF"/>
    <w:rsid w:val="000F2CA8"/>
    <w:rsid w:val="000F3274"/>
    <w:rsid w:val="000F4352"/>
    <w:rsid w:val="000F4400"/>
    <w:rsid w:val="000F5777"/>
    <w:rsid w:val="00100922"/>
    <w:rsid w:val="001011A5"/>
    <w:rsid w:val="00101A51"/>
    <w:rsid w:val="001030AC"/>
    <w:rsid w:val="001035D6"/>
    <w:rsid w:val="00103C1C"/>
    <w:rsid w:val="00103CF8"/>
    <w:rsid w:val="00104CE7"/>
    <w:rsid w:val="001051E3"/>
    <w:rsid w:val="00105A65"/>
    <w:rsid w:val="00105D90"/>
    <w:rsid w:val="00106210"/>
    <w:rsid w:val="00106389"/>
    <w:rsid w:val="00107305"/>
    <w:rsid w:val="00110D10"/>
    <w:rsid w:val="00115049"/>
    <w:rsid w:val="00116F1A"/>
    <w:rsid w:val="0011773C"/>
    <w:rsid w:val="00117EC7"/>
    <w:rsid w:val="00120414"/>
    <w:rsid w:val="001215DB"/>
    <w:rsid w:val="00121698"/>
    <w:rsid w:val="0012169D"/>
    <w:rsid w:val="001216A9"/>
    <w:rsid w:val="00121CDF"/>
    <w:rsid w:val="00122B2F"/>
    <w:rsid w:val="001233BE"/>
    <w:rsid w:val="00123D7B"/>
    <w:rsid w:val="001249BA"/>
    <w:rsid w:val="0012543D"/>
    <w:rsid w:val="00125A3E"/>
    <w:rsid w:val="00125C63"/>
    <w:rsid w:val="00125E51"/>
    <w:rsid w:val="00125E94"/>
    <w:rsid w:val="001261F2"/>
    <w:rsid w:val="00126603"/>
    <w:rsid w:val="00127FE8"/>
    <w:rsid w:val="00130942"/>
    <w:rsid w:val="001322C5"/>
    <w:rsid w:val="00135597"/>
    <w:rsid w:val="0013560D"/>
    <w:rsid w:val="001359F2"/>
    <w:rsid w:val="00140135"/>
    <w:rsid w:val="00140144"/>
    <w:rsid w:val="001410AB"/>
    <w:rsid w:val="001410B1"/>
    <w:rsid w:val="00141178"/>
    <w:rsid w:val="00141DDC"/>
    <w:rsid w:val="00142B21"/>
    <w:rsid w:val="001438AF"/>
    <w:rsid w:val="00143EE6"/>
    <w:rsid w:val="00144EA0"/>
    <w:rsid w:val="001458F9"/>
    <w:rsid w:val="001463BD"/>
    <w:rsid w:val="001519F3"/>
    <w:rsid w:val="00151A88"/>
    <w:rsid w:val="001577D6"/>
    <w:rsid w:val="00163063"/>
    <w:rsid w:val="00163750"/>
    <w:rsid w:val="00164600"/>
    <w:rsid w:val="0016518A"/>
    <w:rsid w:val="0016603A"/>
    <w:rsid w:val="001664D7"/>
    <w:rsid w:val="00166536"/>
    <w:rsid w:val="00170F3D"/>
    <w:rsid w:val="001724C4"/>
    <w:rsid w:val="00172914"/>
    <w:rsid w:val="00172A3E"/>
    <w:rsid w:val="00173255"/>
    <w:rsid w:val="00173996"/>
    <w:rsid w:val="00174B47"/>
    <w:rsid w:val="00174E7A"/>
    <w:rsid w:val="00175117"/>
    <w:rsid w:val="0017789F"/>
    <w:rsid w:val="00177B1B"/>
    <w:rsid w:val="00181707"/>
    <w:rsid w:val="00181A06"/>
    <w:rsid w:val="00182618"/>
    <w:rsid w:val="001828F9"/>
    <w:rsid w:val="001841C2"/>
    <w:rsid w:val="0018776B"/>
    <w:rsid w:val="0018777F"/>
    <w:rsid w:val="00187BF3"/>
    <w:rsid w:val="0019010B"/>
    <w:rsid w:val="00191694"/>
    <w:rsid w:val="001918F9"/>
    <w:rsid w:val="00191C9C"/>
    <w:rsid w:val="00191F8E"/>
    <w:rsid w:val="00193D39"/>
    <w:rsid w:val="00194F94"/>
    <w:rsid w:val="001A1EAD"/>
    <w:rsid w:val="001A23C2"/>
    <w:rsid w:val="001A3B2D"/>
    <w:rsid w:val="001A53BE"/>
    <w:rsid w:val="001A55DC"/>
    <w:rsid w:val="001A597D"/>
    <w:rsid w:val="001A5D7F"/>
    <w:rsid w:val="001A646D"/>
    <w:rsid w:val="001B0323"/>
    <w:rsid w:val="001B2459"/>
    <w:rsid w:val="001B3B5C"/>
    <w:rsid w:val="001B44C8"/>
    <w:rsid w:val="001B5A3D"/>
    <w:rsid w:val="001B6072"/>
    <w:rsid w:val="001B6107"/>
    <w:rsid w:val="001B7E2D"/>
    <w:rsid w:val="001C08AC"/>
    <w:rsid w:val="001C0A88"/>
    <w:rsid w:val="001C2F72"/>
    <w:rsid w:val="001C43A2"/>
    <w:rsid w:val="001C4451"/>
    <w:rsid w:val="001C5268"/>
    <w:rsid w:val="001C532C"/>
    <w:rsid w:val="001C5BF7"/>
    <w:rsid w:val="001C5FCC"/>
    <w:rsid w:val="001C67CA"/>
    <w:rsid w:val="001C67D4"/>
    <w:rsid w:val="001C761C"/>
    <w:rsid w:val="001D0280"/>
    <w:rsid w:val="001D0EFD"/>
    <w:rsid w:val="001D23DD"/>
    <w:rsid w:val="001D2D9F"/>
    <w:rsid w:val="001D2DA9"/>
    <w:rsid w:val="001D3CF1"/>
    <w:rsid w:val="001D5E41"/>
    <w:rsid w:val="001D7C6D"/>
    <w:rsid w:val="001E0693"/>
    <w:rsid w:val="001E2327"/>
    <w:rsid w:val="001E2823"/>
    <w:rsid w:val="001E2C1D"/>
    <w:rsid w:val="001E3338"/>
    <w:rsid w:val="001E5A75"/>
    <w:rsid w:val="001E62AF"/>
    <w:rsid w:val="001E66DA"/>
    <w:rsid w:val="001E6C53"/>
    <w:rsid w:val="001E6E98"/>
    <w:rsid w:val="001E726B"/>
    <w:rsid w:val="001F0977"/>
    <w:rsid w:val="001F0A54"/>
    <w:rsid w:val="001F12D6"/>
    <w:rsid w:val="001F3065"/>
    <w:rsid w:val="001F337C"/>
    <w:rsid w:val="001F3A0A"/>
    <w:rsid w:val="001F523C"/>
    <w:rsid w:val="001F5A19"/>
    <w:rsid w:val="001F5D8F"/>
    <w:rsid w:val="001F5E45"/>
    <w:rsid w:val="001F5E5C"/>
    <w:rsid w:val="001F610A"/>
    <w:rsid w:val="001F63D3"/>
    <w:rsid w:val="001F64AE"/>
    <w:rsid w:val="001F6690"/>
    <w:rsid w:val="001F6795"/>
    <w:rsid w:val="002002E4"/>
    <w:rsid w:val="00200532"/>
    <w:rsid w:val="0020113E"/>
    <w:rsid w:val="00201412"/>
    <w:rsid w:val="002015D9"/>
    <w:rsid w:val="00201D7F"/>
    <w:rsid w:val="0020371D"/>
    <w:rsid w:val="00203B5A"/>
    <w:rsid w:val="00204C10"/>
    <w:rsid w:val="00205E05"/>
    <w:rsid w:val="00207D3F"/>
    <w:rsid w:val="00210885"/>
    <w:rsid w:val="00214043"/>
    <w:rsid w:val="00214C08"/>
    <w:rsid w:val="002152BA"/>
    <w:rsid w:val="00216767"/>
    <w:rsid w:val="00216DE8"/>
    <w:rsid w:val="00217446"/>
    <w:rsid w:val="00220822"/>
    <w:rsid w:val="00220A5E"/>
    <w:rsid w:val="0022153A"/>
    <w:rsid w:val="0022315E"/>
    <w:rsid w:val="00223E3F"/>
    <w:rsid w:val="00224AD8"/>
    <w:rsid w:val="002275B9"/>
    <w:rsid w:val="00233A66"/>
    <w:rsid w:val="00233C48"/>
    <w:rsid w:val="00235BC8"/>
    <w:rsid w:val="00235D1B"/>
    <w:rsid w:val="002414F0"/>
    <w:rsid w:val="00242213"/>
    <w:rsid w:val="00242B24"/>
    <w:rsid w:val="0024334B"/>
    <w:rsid w:val="00243A6C"/>
    <w:rsid w:val="00247025"/>
    <w:rsid w:val="002478E9"/>
    <w:rsid w:val="00247D10"/>
    <w:rsid w:val="002507BD"/>
    <w:rsid w:val="0025160B"/>
    <w:rsid w:val="00251FA4"/>
    <w:rsid w:val="00252C0A"/>
    <w:rsid w:val="0025449B"/>
    <w:rsid w:val="00254D96"/>
    <w:rsid w:val="0025573B"/>
    <w:rsid w:val="00255D0E"/>
    <w:rsid w:val="00257984"/>
    <w:rsid w:val="00260794"/>
    <w:rsid w:val="00262C8D"/>
    <w:rsid w:val="00262CBC"/>
    <w:rsid w:val="00263959"/>
    <w:rsid w:val="00264A28"/>
    <w:rsid w:val="002678CB"/>
    <w:rsid w:val="0027055D"/>
    <w:rsid w:val="00270975"/>
    <w:rsid w:val="002712AE"/>
    <w:rsid w:val="002721FB"/>
    <w:rsid w:val="0027239B"/>
    <w:rsid w:val="00272736"/>
    <w:rsid w:val="00273977"/>
    <w:rsid w:val="00275003"/>
    <w:rsid w:val="00276D70"/>
    <w:rsid w:val="00277137"/>
    <w:rsid w:val="00282DEC"/>
    <w:rsid w:val="00284063"/>
    <w:rsid w:val="00284D01"/>
    <w:rsid w:val="0028556D"/>
    <w:rsid w:val="002859D0"/>
    <w:rsid w:val="00287174"/>
    <w:rsid w:val="002874DB"/>
    <w:rsid w:val="00290A8B"/>
    <w:rsid w:val="00291685"/>
    <w:rsid w:val="00292AC2"/>
    <w:rsid w:val="002A0C7E"/>
    <w:rsid w:val="002A39BA"/>
    <w:rsid w:val="002A43C4"/>
    <w:rsid w:val="002A4654"/>
    <w:rsid w:val="002A5164"/>
    <w:rsid w:val="002A5EF6"/>
    <w:rsid w:val="002A6CE4"/>
    <w:rsid w:val="002A721F"/>
    <w:rsid w:val="002A792A"/>
    <w:rsid w:val="002B01AA"/>
    <w:rsid w:val="002B0ABA"/>
    <w:rsid w:val="002B16FD"/>
    <w:rsid w:val="002B1BF0"/>
    <w:rsid w:val="002B24B8"/>
    <w:rsid w:val="002B3ED8"/>
    <w:rsid w:val="002B4818"/>
    <w:rsid w:val="002B5D6A"/>
    <w:rsid w:val="002B60EA"/>
    <w:rsid w:val="002B6D7A"/>
    <w:rsid w:val="002B7160"/>
    <w:rsid w:val="002B7172"/>
    <w:rsid w:val="002B735D"/>
    <w:rsid w:val="002B7D94"/>
    <w:rsid w:val="002C4499"/>
    <w:rsid w:val="002C5C08"/>
    <w:rsid w:val="002C5CD2"/>
    <w:rsid w:val="002C66E4"/>
    <w:rsid w:val="002C69B7"/>
    <w:rsid w:val="002D01A4"/>
    <w:rsid w:val="002D04ED"/>
    <w:rsid w:val="002D14E7"/>
    <w:rsid w:val="002D22FA"/>
    <w:rsid w:val="002D29EE"/>
    <w:rsid w:val="002D3A34"/>
    <w:rsid w:val="002D3A79"/>
    <w:rsid w:val="002D62C2"/>
    <w:rsid w:val="002D6C21"/>
    <w:rsid w:val="002D6EEC"/>
    <w:rsid w:val="002D74E2"/>
    <w:rsid w:val="002E0081"/>
    <w:rsid w:val="002E1377"/>
    <w:rsid w:val="002E16E5"/>
    <w:rsid w:val="002E18F3"/>
    <w:rsid w:val="002E195F"/>
    <w:rsid w:val="002E49E9"/>
    <w:rsid w:val="002E5A26"/>
    <w:rsid w:val="002E6022"/>
    <w:rsid w:val="002E7642"/>
    <w:rsid w:val="002F04DB"/>
    <w:rsid w:val="002F24AA"/>
    <w:rsid w:val="002F7B1C"/>
    <w:rsid w:val="0030072B"/>
    <w:rsid w:val="00300C9D"/>
    <w:rsid w:val="0030134B"/>
    <w:rsid w:val="00301477"/>
    <w:rsid w:val="00302C06"/>
    <w:rsid w:val="003044FE"/>
    <w:rsid w:val="003069C1"/>
    <w:rsid w:val="00306A48"/>
    <w:rsid w:val="00310020"/>
    <w:rsid w:val="0031169A"/>
    <w:rsid w:val="003117C4"/>
    <w:rsid w:val="00311AF1"/>
    <w:rsid w:val="00312CBB"/>
    <w:rsid w:val="00313D24"/>
    <w:rsid w:val="0031483F"/>
    <w:rsid w:val="00314EE3"/>
    <w:rsid w:val="00314F24"/>
    <w:rsid w:val="00315AE7"/>
    <w:rsid w:val="00315C19"/>
    <w:rsid w:val="0031720A"/>
    <w:rsid w:val="003178A1"/>
    <w:rsid w:val="003254D3"/>
    <w:rsid w:val="00325944"/>
    <w:rsid w:val="003259D0"/>
    <w:rsid w:val="003262F9"/>
    <w:rsid w:val="00331144"/>
    <w:rsid w:val="00331E4A"/>
    <w:rsid w:val="00331F80"/>
    <w:rsid w:val="0033206E"/>
    <w:rsid w:val="00332E7E"/>
    <w:rsid w:val="003342AD"/>
    <w:rsid w:val="0033565D"/>
    <w:rsid w:val="00335FFE"/>
    <w:rsid w:val="00336095"/>
    <w:rsid w:val="00336599"/>
    <w:rsid w:val="0033662A"/>
    <w:rsid w:val="00337A79"/>
    <w:rsid w:val="00340EA3"/>
    <w:rsid w:val="0034138C"/>
    <w:rsid w:val="00342065"/>
    <w:rsid w:val="00342EFE"/>
    <w:rsid w:val="0034305D"/>
    <w:rsid w:val="0034789A"/>
    <w:rsid w:val="00347BFB"/>
    <w:rsid w:val="00350C24"/>
    <w:rsid w:val="0035139A"/>
    <w:rsid w:val="00352390"/>
    <w:rsid w:val="00352F6C"/>
    <w:rsid w:val="003538D4"/>
    <w:rsid w:val="00353B95"/>
    <w:rsid w:val="00356419"/>
    <w:rsid w:val="0035693B"/>
    <w:rsid w:val="00356E79"/>
    <w:rsid w:val="003619D7"/>
    <w:rsid w:val="0036223F"/>
    <w:rsid w:val="00363D51"/>
    <w:rsid w:val="00363E68"/>
    <w:rsid w:val="0036460E"/>
    <w:rsid w:val="00364DF1"/>
    <w:rsid w:val="003658B5"/>
    <w:rsid w:val="00366311"/>
    <w:rsid w:val="00366691"/>
    <w:rsid w:val="00371721"/>
    <w:rsid w:val="00371A47"/>
    <w:rsid w:val="00373F22"/>
    <w:rsid w:val="00375233"/>
    <w:rsid w:val="00375678"/>
    <w:rsid w:val="003772D7"/>
    <w:rsid w:val="003804C1"/>
    <w:rsid w:val="00380F97"/>
    <w:rsid w:val="0038130F"/>
    <w:rsid w:val="00383993"/>
    <w:rsid w:val="00385633"/>
    <w:rsid w:val="00385996"/>
    <w:rsid w:val="00386AC0"/>
    <w:rsid w:val="00387BEA"/>
    <w:rsid w:val="00393AB7"/>
    <w:rsid w:val="00393BEC"/>
    <w:rsid w:val="00394986"/>
    <w:rsid w:val="00394FF4"/>
    <w:rsid w:val="00396016"/>
    <w:rsid w:val="003960DB"/>
    <w:rsid w:val="00397198"/>
    <w:rsid w:val="003A10B9"/>
    <w:rsid w:val="003A1AFF"/>
    <w:rsid w:val="003A3033"/>
    <w:rsid w:val="003A475A"/>
    <w:rsid w:val="003A4D3D"/>
    <w:rsid w:val="003A4E78"/>
    <w:rsid w:val="003A4E8B"/>
    <w:rsid w:val="003A673A"/>
    <w:rsid w:val="003B07A1"/>
    <w:rsid w:val="003B0F6C"/>
    <w:rsid w:val="003B1A77"/>
    <w:rsid w:val="003B2C9E"/>
    <w:rsid w:val="003B35CA"/>
    <w:rsid w:val="003B49E3"/>
    <w:rsid w:val="003B4B59"/>
    <w:rsid w:val="003B5606"/>
    <w:rsid w:val="003B6241"/>
    <w:rsid w:val="003C0646"/>
    <w:rsid w:val="003C10A8"/>
    <w:rsid w:val="003C1BE5"/>
    <w:rsid w:val="003C2199"/>
    <w:rsid w:val="003C2308"/>
    <w:rsid w:val="003C2657"/>
    <w:rsid w:val="003C3DE9"/>
    <w:rsid w:val="003C3EAE"/>
    <w:rsid w:val="003C67E4"/>
    <w:rsid w:val="003D0441"/>
    <w:rsid w:val="003D1CFD"/>
    <w:rsid w:val="003D21DE"/>
    <w:rsid w:val="003D2455"/>
    <w:rsid w:val="003D3664"/>
    <w:rsid w:val="003D3C62"/>
    <w:rsid w:val="003D5277"/>
    <w:rsid w:val="003D5B9E"/>
    <w:rsid w:val="003D6F50"/>
    <w:rsid w:val="003D7007"/>
    <w:rsid w:val="003E00CC"/>
    <w:rsid w:val="003E1782"/>
    <w:rsid w:val="003E3DB6"/>
    <w:rsid w:val="003E48FD"/>
    <w:rsid w:val="003E4EEF"/>
    <w:rsid w:val="003E6215"/>
    <w:rsid w:val="003E70DE"/>
    <w:rsid w:val="003F3B5F"/>
    <w:rsid w:val="003F7B4C"/>
    <w:rsid w:val="0040308B"/>
    <w:rsid w:val="00403DD4"/>
    <w:rsid w:val="00405ADD"/>
    <w:rsid w:val="00405D59"/>
    <w:rsid w:val="00406A31"/>
    <w:rsid w:val="00406E78"/>
    <w:rsid w:val="00407815"/>
    <w:rsid w:val="00407A89"/>
    <w:rsid w:val="00412BE6"/>
    <w:rsid w:val="004134F6"/>
    <w:rsid w:val="00414909"/>
    <w:rsid w:val="00415567"/>
    <w:rsid w:val="00416639"/>
    <w:rsid w:val="004176CD"/>
    <w:rsid w:val="00417C7F"/>
    <w:rsid w:val="00421466"/>
    <w:rsid w:val="00422ED0"/>
    <w:rsid w:val="004234E6"/>
    <w:rsid w:val="0042403C"/>
    <w:rsid w:val="00425F22"/>
    <w:rsid w:val="00427681"/>
    <w:rsid w:val="00427FEE"/>
    <w:rsid w:val="004300F2"/>
    <w:rsid w:val="00432222"/>
    <w:rsid w:val="00432F75"/>
    <w:rsid w:val="0043318C"/>
    <w:rsid w:val="00434697"/>
    <w:rsid w:val="00434E4B"/>
    <w:rsid w:val="0043595E"/>
    <w:rsid w:val="00436E4D"/>
    <w:rsid w:val="0043729D"/>
    <w:rsid w:val="004378CE"/>
    <w:rsid w:val="004412F8"/>
    <w:rsid w:val="00441CB3"/>
    <w:rsid w:val="00442979"/>
    <w:rsid w:val="004439F2"/>
    <w:rsid w:val="00443CFF"/>
    <w:rsid w:val="004440F3"/>
    <w:rsid w:val="00445C59"/>
    <w:rsid w:val="004460AD"/>
    <w:rsid w:val="00446E51"/>
    <w:rsid w:val="00447D79"/>
    <w:rsid w:val="0045021F"/>
    <w:rsid w:val="00450C25"/>
    <w:rsid w:val="00450DD4"/>
    <w:rsid w:val="004548C0"/>
    <w:rsid w:val="004552C9"/>
    <w:rsid w:val="00455877"/>
    <w:rsid w:val="00455A39"/>
    <w:rsid w:val="00460DB4"/>
    <w:rsid w:val="00461BBA"/>
    <w:rsid w:val="00462358"/>
    <w:rsid w:val="004629B1"/>
    <w:rsid w:val="00462DC6"/>
    <w:rsid w:val="00463C32"/>
    <w:rsid w:val="00464444"/>
    <w:rsid w:val="00464513"/>
    <w:rsid w:val="004659DB"/>
    <w:rsid w:val="00466502"/>
    <w:rsid w:val="00466E61"/>
    <w:rsid w:val="00467601"/>
    <w:rsid w:val="00470769"/>
    <w:rsid w:val="004709AA"/>
    <w:rsid w:val="00471604"/>
    <w:rsid w:val="00472131"/>
    <w:rsid w:val="00472411"/>
    <w:rsid w:val="0047257E"/>
    <w:rsid w:val="00472F1B"/>
    <w:rsid w:val="004739BD"/>
    <w:rsid w:val="00473C06"/>
    <w:rsid w:val="00475463"/>
    <w:rsid w:val="00475FAB"/>
    <w:rsid w:val="0047743D"/>
    <w:rsid w:val="004778EB"/>
    <w:rsid w:val="004779E5"/>
    <w:rsid w:val="004806AE"/>
    <w:rsid w:val="00480CC4"/>
    <w:rsid w:val="004814CF"/>
    <w:rsid w:val="00482FC8"/>
    <w:rsid w:val="00484B81"/>
    <w:rsid w:val="00484FCC"/>
    <w:rsid w:val="00485A3D"/>
    <w:rsid w:val="00486DE9"/>
    <w:rsid w:val="00487C8A"/>
    <w:rsid w:val="004907E5"/>
    <w:rsid w:val="00490A31"/>
    <w:rsid w:val="00490FE0"/>
    <w:rsid w:val="0049277F"/>
    <w:rsid w:val="0049622C"/>
    <w:rsid w:val="004965EA"/>
    <w:rsid w:val="00497D62"/>
    <w:rsid w:val="004A0D74"/>
    <w:rsid w:val="004A1488"/>
    <w:rsid w:val="004A3978"/>
    <w:rsid w:val="004A48EC"/>
    <w:rsid w:val="004A4954"/>
    <w:rsid w:val="004A4D58"/>
    <w:rsid w:val="004A4DF0"/>
    <w:rsid w:val="004A4E18"/>
    <w:rsid w:val="004A7894"/>
    <w:rsid w:val="004A7F48"/>
    <w:rsid w:val="004B1BA3"/>
    <w:rsid w:val="004B1E07"/>
    <w:rsid w:val="004B2126"/>
    <w:rsid w:val="004B23CB"/>
    <w:rsid w:val="004B2DCF"/>
    <w:rsid w:val="004B4789"/>
    <w:rsid w:val="004B4C8D"/>
    <w:rsid w:val="004B4E14"/>
    <w:rsid w:val="004B70A9"/>
    <w:rsid w:val="004B775A"/>
    <w:rsid w:val="004B7CA7"/>
    <w:rsid w:val="004C0B3A"/>
    <w:rsid w:val="004C38E0"/>
    <w:rsid w:val="004C4B04"/>
    <w:rsid w:val="004C53A8"/>
    <w:rsid w:val="004C667D"/>
    <w:rsid w:val="004C6FBF"/>
    <w:rsid w:val="004C74F6"/>
    <w:rsid w:val="004D3794"/>
    <w:rsid w:val="004D4253"/>
    <w:rsid w:val="004D5230"/>
    <w:rsid w:val="004D5B9C"/>
    <w:rsid w:val="004E0358"/>
    <w:rsid w:val="004E0EEA"/>
    <w:rsid w:val="004E0F61"/>
    <w:rsid w:val="004E1925"/>
    <w:rsid w:val="004E1CF3"/>
    <w:rsid w:val="004E396B"/>
    <w:rsid w:val="004E3A06"/>
    <w:rsid w:val="004E5474"/>
    <w:rsid w:val="004E5603"/>
    <w:rsid w:val="004E7124"/>
    <w:rsid w:val="004E7A85"/>
    <w:rsid w:val="004F05B5"/>
    <w:rsid w:val="004F25B5"/>
    <w:rsid w:val="004F2FC5"/>
    <w:rsid w:val="004F34BE"/>
    <w:rsid w:val="004F42BB"/>
    <w:rsid w:val="004F5CAA"/>
    <w:rsid w:val="004F6DC8"/>
    <w:rsid w:val="004F7CD6"/>
    <w:rsid w:val="0050004A"/>
    <w:rsid w:val="005000A1"/>
    <w:rsid w:val="00500DB0"/>
    <w:rsid w:val="005020A5"/>
    <w:rsid w:val="00502577"/>
    <w:rsid w:val="00502F55"/>
    <w:rsid w:val="00503001"/>
    <w:rsid w:val="00503FAB"/>
    <w:rsid w:val="005048D5"/>
    <w:rsid w:val="00504A72"/>
    <w:rsid w:val="00504B2C"/>
    <w:rsid w:val="005060AD"/>
    <w:rsid w:val="00506333"/>
    <w:rsid w:val="00506B39"/>
    <w:rsid w:val="00507049"/>
    <w:rsid w:val="00507CF7"/>
    <w:rsid w:val="00507D58"/>
    <w:rsid w:val="00507F81"/>
    <w:rsid w:val="005104B1"/>
    <w:rsid w:val="00510993"/>
    <w:rsid w:val="00510B88"/>
    <w:rsid w:val="00510F40"/>
    <w:rsid w:val="0051151F"/>
    <w:rsid w:val="00511610"/>
    <w:rsid w:val="005133EE"/>
    <w:rsid w:val="00514197"/>
    <w:rsid w:val="0051425E"/>
    <w:rsid w:val="00514E03"/>
    <w:rsid w:val="0051579B"/>
    <w:rsid w:val="00517670"/>
    <w:rsid w:val="00517BB0"/>
    <w:rsid w:val="00521063"/>
    <w:rsid w:val="00521A1B"/>
    <w:rsid w:val="005223B5"/>
    <w:rsid w:val="00522B6F"/>
    <w:rsid w:val="00522F9E"/>
    <w:rsid w:val="00524481"/>
    <w:rsid w:val="005252D0"/>
    <w:rsid w:val="00526C8E"/>
    <w:rsid w:val="00527049"/>
    <w:rsid w:val="00527891"/>
    <w:rsid w:val="0053078C"/>
    <w:rsid w:val="0053108A"/>
    <w:rsid w:val="00531254"/>
    <w:rsid w:val="00531389"/>
    <w:rsid w:val="0053260F"/>
    <w:rsid w:val="00532918"/>
    <w:rsid w:val="00532DA7"/>
    <w:rsid w:val="00533C7E"/>
    <w:rsid w:val="00533FCD"/>
    <w:rsid w:val="005342D9"/>
    <w:rsid w:val="0053446E"/>
    <w:rsid w:val="00534604"/>
    <w:rsid w:val="00535A74"/>
    <w:rsid w:val="00535B75"/>
    <w:rsid w:val="0053689C"/>
    <w:rsid w:val="00536BF6"/>
    <w:rsid w:val="0053793E"/>
    <w:rsid w:val="00541CE4"/>
    <w:rsid w:val="005423E5"/>
    <w:rsid w:val="00542492"/>
    <w:rsid w:val="00547ACD"/>
    <w:rsid w:val="0055084A"/>
    <w:rsid w:val="0055172F"/>
    <w:rsid w:val="00551C70"/>
    <w:rsid w:val="0055228C"/>
    <w:rsid w:val="005533E3"/>
    <w:rsid w:val="0055379C"/>
    <w:rsid w:val="00553991"/>
    <w:rsid w:val="005547ED"/>
    <w:rsid w:val="00554E2F"/>
    <w:rsid w:val="00557FFB"/>
    <w:rsid w:val="0056180A"/>
    <w:rsid w:val="005618BE"/>
    <w:rsid w:val="00563087"/>
    <w:rsid w:val="00563140"/>
    <w:rsid w:val="00563D04"/>
    <w:rsid w:val="00564B90"/>
    <w:rsid w:val="005656B6"/>
    <w:rsid w:val="00566CA5"/>
    <w:rsid w:val="00567013"/>
    <w:rsid w:val="0056756A"/>
    <w:rsid w:val="00567DB9"/>
    <w:rsid w:val="005707D0"/>
    <w:rsid w:val="00572C9A"/>
    <w:rsid w:val="00573AF1"/>
    <w:rsid w:val="00573D0F"/>
    <w:rsid w:val="00575C1A"/>
    <w:rsid w:val="00575C31"/>
    <w:rsid w:val="0057633D"/>
    <w:rsid w:val="00576969"/>
    <w:rsid w:val="00576C9B"/>
    <w:rsid w:val="0057722A"/>
    <w:rsid w:val="005800AD"/>
    <w:rsid w:val="005824AC"/>
    <w:rsid w:val="00582A6D"/>
    <w:rsid w:val="005837CB"/>
    <w:rsid w:val="00584857"/>
    <w:rsid w:val="0058531F"/>
    <w:rsid w:val="00585A99"/>
    <w:rsid w:val="0058631A"/>
    <w:rsid w:val="0058669F"/>
    <w:rsid w:val="00587099"/>
    <w:rsid w:val="005905F3"/>
    <w:rsid w:val="00590DB4"/>
    <w:rsid w:val="00590E5E"/>
    <w:rsid w:val="00591383"/>
    <w:rsid w:val="00591431"/>
    <w:rsid w:val="00591A7F"/>
    <w:rsid w:val="00592135"/>
    <w:rsid w:val="00594191"/>
    <w:rsid w:val="0059547B"/>
    <w:rsid w:val="00596FC8"/>
    <w:rsid w:val="00597765"/>
    <w:rsid w:val="00597788"/>
    <w:rsid w:val="00597FE7"/>
    <w:rsid w:val="005A053A"/>
    <w:rsid w:val="005A0540"/>
    <w:rsid w:val="005A0708"/>
    <w:rsid w:val="005A0795"/>
    <w:rsid w:val="005A07B7"/>
    <w:rsid w:val="005A1DDE"/>
    <w:rsid w:val="005A1F82"/>
    <w:rsid w:val="005A2726"/>
    <w:rsid w:val="005A2AB3"/>
    <w:rsid w:val="005A2F78"/>
    <w:rsid w:val="005A30BF"/>
    <w:rsid w:val="005A3ACC"/>
    <w:rsid w:val="005A3D09"/>
    <w:rsid w:val="005A5710"/>
    <w:rsid w:val="005A60DC"/>
    <w:rsid w:val="005A75F1"/>
    <w:rsid w:val="005A7C0B"/>
    <w:rsid w:val="005B042B"/>
    <w:rsid w:val="005B0B92"/>
    <w:rsid w:val="005B1324"/>
    <w:rsid w:val="005B193E"/>
    <w:rsid w:val="005B2AEB"/>
    <w:rsid w:val="005B3075"/>
    <w:rsid w:val="005B36E2"/>
    <w:rsid w:val="005B3B42"/>
    <w:rsid w:val="005B4764"/>
    <w:rsid w:val="005B4BDF"/>
    <w:rsid w:val="005B4C56"/>
    <w:rsid w:val="005B4DAA"/>
    <w:rsid w:val="005C00ED"/>
    <w:rsid w:val="005C15ED"/>
    <w:rsid w:val="005C2985"/>
    <w:rsid w:val="005D0CAC"/>
    <w:rsid w:val="005D278C"/>
    <w:rsid w:val="005D2838"/>
    <w:rsid w:val="005D2897"/>
    <w:rsid w:val="005D29E0"/>
    <w:rsid w:val="005D3409"/>
    <w:rsid w:val="005D5335"/>
    <w:rsid w:val="005D63E0"/>
    <w:rsid w:val="005D6D7E"/>
    <w:rsid w:val="005D6FBF"/>
    <w:rsid w:val="005D7A3A"/>
    <w:rsid w:val="005E1B8C"/>
    <w:rsid w:val="005E33B6"/>
    <w:rsid w:val="005E3851"/>
    <w:rsid w:val="005E38E7"/>
    <w:rsid w:val="005E5146"/>
    <w:rsid w:val="005E5E16"/>
    <w:rsid w:val="005F0674"/>
    <w:rsid w:val="005F1376"/>
    <w:rsid w:val="005F2E21"/>
    <w:rsid w:val="005F2F86"/>
    <w:rsid w:val="005F328F"/>
    <w:rsid w:val="005F4DAB"/>
    <w:rsid w:val="005F52D3"/>
    <w:rsid w:val="005F77C6"/>
    <w:rsid w:val="00600C29"/>
    <w:rsid w:val="00601972"/>
    <w:rsid w:val="00601A1A"/>
    <w:rsid w:val="006020A6"/>
    <w:rsid w:val="00603D8D"/>
    <w:rsid w:val="00605270"/>
    <w:rsid w:val="00605AD3"/>
    <w:rsid w:val="00606502"/>
    <w:rsid w:val="006067BD"/>
    <w:rsid w:val="00607265"/>
    <w:rsid w:val="006078C5"/>
    <w:rsid w:val="00607E91"/>
    <w:rsid w:val="0061074E"/>
    <w:rsid w:val="00610EE5"/>
    <w:rsid w:val="006110D2"/>
    <w:rsid w:val="006126B7"/>
    <w:rsid w:val="00612D7A"/>
    <w:rsid w:val="00612F73"/>
    <w:rsid w:val="00614DC3"/>
    <w:rsid w:val="0061733B"/>
    <w:rsid w:val="0061792D"/>
    <w:rsid w:val="0062004E"/>
    <w:rsid w:val="0062074A"/>
    <w:rsid w:val="00621790"/>
    <w:rsid w:val="006229B3"/>
    <w:rsid w:val="00622A3A"/>
    <w:rsid w:val="006240C7"/>
    <w:rsid w:val="00625F2E"/>
    <w:rsid w:val="006266B8"/>
    <w:rsid w:val="00626845"/>
    <w:rsid w:val="00626907"/>
    <w:rsid w:val="00626A7B"/>
    <w:rsid w:val="0063248D"/>
    <w:rsid w:val="00632E1E"/>
    <w:rsid w:val="00635A9C"/>
    <w:rsid w:val="006361A2"/>
    <w:rsid w:val="0063668E"/>
    <w:rsid w:val="00636920"/>
    <w:rsid w:val="00637E5B"/>
    <w:rsid w:val="006405D2"/>
    <w:rsid w:val="00641C56"/>
    <w:rsid w:val="0064354D"/>
    <w:rsid w:val="0064462B"/>
    <w:rsid w:val="006456D3"/>
    <w:rsid w:val="00646F57"/>
    <w:rsid w:val="006517D3"/>
    <w:rsid w:val="00653E04"/>
    <w:rsid w:val="006550CC"/>
    <w:rsid w:val="0065511E"/>
    <w:rsid w:val="00655C22"/>
    <w:rsid w:val="00656BEE"/>
    <w:rsid w:val="006574B4"/>
    <w:rsid w:val="006605E1"/>
    <w:rsid w:val="00660B64"/>
    <w:rsid w:val="0066246E"/>
    <w:rsid w:val="0066267A"/>
    <w:rsid w:val="0066322F"/>
    <w:rsid w:val="0066585C"/>
    <w:rsid w:val="00665CBE"/>
    <w:rsid w:val="00670805"/>
    <w:rsid w:val="0067081B"/>
    <w:rsid w:val="0067210A"/>
    <w:rsid w:val="00672998"/>
    <w:rsid w:val="00672BED"/>
    <w:rsid w:val="00673ECC"/>
    <w:rsid w:val="00675DF0"/>
    <w:rsid w:val="00675EF0"/>
    <w:rsid w:val="00675F99"/>
    <w:rsid w:val="00676B8A"/>
    <w:rsid w:val="00676E04"/>
    <w:rsid w:val="0067706C"/>
    <w:rsid w:val="006801AA"/>
    <w:rsid w:val="00681C4C"/>
    <w:rsid w:val="006828D2"/>
    <w:rsid w:val="00682CDC"/>
    <w:rsid w:val="00685DD7"/>
    <w:rsid w:val="00685E87"/>
    <w:rsid w:val="00685F45"/>
    <w:rsid w:val="006866C5"/>
    <w:rsid w:val="00687FAC"/>
    <w:rsid w:val="00690F06"/>
    <w:rsid w:val="00693C94"/>
    <w:rsid w:val="0069500C"/>
    <w:rsid w:val="00695AD5"/>
    <w:rsid w:val="00695C3E"/>
    <w:rsid w:val="006979A6"/>
    <w:rsid w:val="00697AAD"/>
    <w:rsid w:val="006A15A0"/>
    <w:rsid w:val="006A17FF"/>
    <w:rsid w:val="006A25F4"/>
    <w:rsid w:val="006A2EDB"/>
    <w:rsid w:val="006A351C"/>
    <w:rsid w:val="006A3B79"/>
    <w:rsid w:val="006A4C81"/>
    <w:rsid w:val="006A529B"/>
    <w:rsid w:val="006B0128"/>
    <w:rsid w:val="006B1E07"/>
    <w:rsid w:val="006B1E26"/>
    <w:rsid w:val="006B218D"/>
    <w:rsid w:val="006B6AAA"/>
    <w:rsid w:val="006B77B9"/>
    <w:rsid w:val="006B7B6E"/>
    <w:rsid w:val="006B7F7E"/>
    <w:rsid w:val="006C0A79"/>
    <w:rsid w:val="006C3BFD"/>
    <w:rsid w:val="006C567C"/>
    <w:rsid w:val="006C5ED8"/>
    <w:rsid w:val="006D0E0F"/>
    <w:rsid w:val="006D10DD"/>
    <w:rsid w:val="006D193E"/>
    <w:rsid w:val="006D2A5E"/>
    <w:rsid w:val="006D2B52"/>
    <w:rsid w:val="006D3551"/>
    <w:rsid w:val="006D382A"/>
    <w:rsid w:val="006D3FC5"/>
    <w:rsid w:val="006D642B"/>
    <w:rsid w:val="006D7F87"/>
    <w:rsid w:val="006E08DB"/>
    <w:rsid w:val="006E0AE1"/>
    <w:rsid w:val="006E253C"/>
    <w:rsid w:val="006E2F19"/>
    <w:rsid w:val="006E3D93"/>
    <w:rsid w:val="006E511C"/>
    <w:rsid w:val="006E571E"/>
    <w:rsid w:val="006E6849"/>
    <w:rsid w:val="006E7092"/>
    <w:rsid w:val="006E7208"/>
    <w:rsid w:val="006F13EE"/>
    <w:rsid w:val="006F1FC8"/>
    <w:rsid w:val="006F2B18"/>
    <w:rsid w:val="006F4A77"/>
    <w:rsid w:val="006F5808"/>
    <w:rsid w:val="006F5DBA"/>
    <w:rsid w:val="006F6EA9"/>
    <w:rsid w:val="006F6FFB"/>
    <w:rsid w:val="006F7BDD"/>
    <w:rsid w:val="006F7F3E"/>
    <w:rsid w:val="00700292"/>
    <w:rsid w:val="00700C42"/>
    <w:rsid w:val="00702CB7"/>
    <w:rsid w:val="00703387"/>
    <w:rsid w:val="007034A1"/>
    <w:rsid w:val="0070439A"/>
    <w:rsid w:val="00704E71"/>
    <w:rsid w:val="00705258"/>
    <w:rsid w:val="007055FE"/>
    <w:rsid w:val="00705703"/>
    <w:rsid w:val="00706368"/>
    <w:rsid w:val="007064B4"/>
    <w:rsid w:val="00706D0E"/>
    <w:rsid w:val="007070FF"/>
    <w:rsid w:val="00711CB6"/>
    <w:rsid w:val="00711F6B"/>
    <w:rsid w:val="0071201D"/>
    <w:rsid w:val="0071226B"/>
    <w:rsid w:val="0071247E"/>
    <w:rsid w:val="00712579"/>
    <w:rsid w:val="00712E35"/>
    <w:rsid w:val="007131AE"/>
    <w:rsid w:val="0071510E"/>
    <w:rsid w:val="00715AD8"/>
    <w:rsid w:val="0071610E"/>
    <w:rsid w:val="0071776E"/>
    <w:rsid w:val="007210AF"/>
    <w:rsid w:val="00721252"/>
    <w:rsid w:val="007231A5"/>
    <w:rsid w:val="0072444E"/>
    <w:rsid w:val="00724829"/>
    <w:rsid w:val="00724D82"/>
    <w:rsid w:val="00724F6D"/>
    <w:rsid w:val="00730EF6"/>
    <w:rsid w:val="00733715"/>
    <w:rsid w:val="00740C13"/>
    <w:rsid w:val="007424B5"/>
    <w:rsid w:val="00742CB7"/>
    <w:rsid w:val="0074473E"/>
    <w:rsid w:val="0074536B"/>
    <w:rsid w:val="0074569F"/>
    <w:rsid w:val="00747094"/>
    <w:rsid w:val="00747F96"/>
    <w:rsid w:val="00751755"/>
    <w:rsid w:val="007518AC"/>
    <w:rsid w:val="0075257D"/>
    <w:rsid w:val="00752E04"/>
    <w:rsid w:val="00753CAF"/>
    <w:rsid w:val="007544EE"/>
    <w:rsid w:val="0075654A"/>
    <w:rsid w:val="007568E1"/>
    <w:rsid w:val="00756CD1"/>
    <w:rsid w:val="00757E91"/>
    <w:rsid w:val="00762FC3"/>
    <w:rsid w:val="00763413"/>
    <w:rsid w:val="00763512"/>
    <w:rsid w:val="007646F8"/>
    <w:rsid w:val="00765158"/>
    <w:rsid w:val="0076613F"/>
    <w:rsid w:val="00766172"/>
    <w:rsid w:val="007667CB"/>
    <w:rsid w:val="00766861"/>
    <w:rsid w:val="00766998"/>
    <w:rsid w:val="00767395"/>
    <w:rsid w:val="007676D2"/>
    <w:rsid w:val="007702FC"/>
    <w:rsid w:val="00771B26"/>
    <w:rsid w:val="00772817"/>
    <w:rsid w:val="00773AF8"/>
    <w:rsid w:val="00775250"/>
    <w:rsid w:val="00775FBF"/>
    <w:rsid w:val="0077606D"/>
    <w:rsid w:val="0077729E"/>
    <w:rsid w:val="00777306"/>
    <w:rsid w:val="007774FB"/>
    <w:rsid w:val="007777C3"/>
    <w:rsid w:val="0078038E"/>
    <w:rsid w:val="00780944"/>
    <w:rsid w:val="00780D72"/>
    <w:rsid w:val="00780DAD"/>
    <w:rsid w:val="00780F7E"/>
    <w:rsid w:val="0078130E"/>
    <w:rsid w:val="007814A7"/>
    <w:rsid w:val="00781A6B"/>
    <w:rsid w:val="00782427"/>
    <w:rsid w:val="007849A4"/>
    <w:rsid w:val="00785137"/>
    <w:rsid w:val="007866A0"/>
    <w:rsid w:val="007868F0"/>
    <w:rsid w:val="00786E7D"/>
    <w:rsid w:val="00786FB3"/>
    <w:rsid w:val="007939D8"/>
    <w:rsid w:val="0079408A"/>
    <w:rsid w:val="00794726"/>
    <w:rsid w:val="007948EB"/>
    <w:rsid w:val="0079511F"/>
    <w:rsid w:val="007954FA"/>
    <w:rsid w:val="007963A2"/>
    <w:rsid w:val="007A1EDB"/>
    <w:rsid w:val="007A2DA7"/>
    <w:rsid w:val="007A414D"/>
    <w:rsid w:val="007A654B"/>
    <w:rsid w:val="007A77B0"/>
    <w:rsid w:val="007B03F4"/>
    <w:rsid w:val="007B0818"/>
    <w:rsid w:val="007B2176"/>
    <w:rsid w:val="007B37A3"/>
    <w:rsid w:val="007B5239"/>
    <w:rsid w:val="007B5801"/>
    <w:rsid w:val="007B7D85"/>
    <w:rsid w:val="007C02EB"/>
    <w:rsid w:val="007C1053"/>
    <w:rsid w:val="007C2797"/>
    <w:rsid w:val="007C2CBB"/>
    <w:rsid w:val="007C2E4A"/>
    <w:rsid w:val="007C54C0"/>
    <w:rsid w:val="007C5D7D"/>
    <w:rsid w:val="007C5F11"/>
    <w:rsid w:val="007C655F"/>
    <w:rsid w:val="007C7742"/>
    <w:rsid w:val="007C7A52"/>
    <w:rsid w:val="007D2C48"/>
    <w:rsid w:val="007D4D4C"/>
    <w:rsid w:val="007D75F8"/>
    <w:rsid w:val="007E0AB4"/>
    <w:rsid w:val="007E10B7"/>
    <w:rsid w:val="007E2445"/>
    <w:rsid w:val="007E4BD0"/>
    <w:rsid w:val="007E5181"/>
    <w:rsid w:val="007E57B8"/>
    <w:rsid w:val="007E5F58"/>
    <w:rsid w:val="007E6FE0"/>
    <w:rsid w:val="007F087A"/>
    <w:rsid w:val="007F0925"/>
    <w:rsid w:val="007F250F"/>
    <w:rsid w:val="007F3434"/>
    <w:rsid w:val="007F3C85"/>
    <w:rsid w:val="007F4B56"/>
    <w:rsid w:val="007F54F5"/>
    <w:rsid w:val="007F67BE"/>
    <w:rsid w:val="007F7B02"/>
    <w:rsid w:val="007F7D74"/>
    <w:rsid w:val="00803301"/>
    <w:rsid w:val="00803687"/>
    <w:rsid w:val="00804D82"/>
    <w:rsid w:val="00804E47"/>
    <w:rsid w:val="008062A2"/>
    <w:rsid w:val="00810222"/>
    <w:rsid w:val="00812F43"/>
    <w:rsid w:val="008148A5"/>
    <w:rsid w:val="00814AE5"/>
    <w:rsid w:val="00815271"/>
    <w:rsid w:val="00816D4B"/>
    <w:rsid w:val="008173B5"/>
    <w:rsid w:val="008206EB"/>
    <w:rsid w:val="00822764"/>
    <w:rsid w:val="00822D54"/>
    <w:rsid w:val="008247CB"/>
    <w:rsid w:val="0082594A"/>
    <w:rsid w:val="00825BBF"/>
    <w:rsid w:val="00825C82"/>
    <w:rsid w:val="00825C9D"/>
    <w:rsid w:val="00830BBC"/>
    <w:rsid w:val="00831B65"/>
    <w:rsid w:val="0083201F"/>
    <w:rsid w:val="00832759"/>
    <w:rsid w:val="00832D4E"/>
    <w:rsid w:val="00833DAB"/>
    <w:rsid w:val="00833FB4"/>
    <w:rsid w:val="0083496B"/>
    <w:rsid w:val="0083544E"/>
    <w:rsid w:val="0083757D"/>
    <w:rsid w:val="00840480"/>
    <w:rsid w:val="00841324"/>
    <w:rsid w:val="008422C5"/>
    <w:rsid w:val="0084248D"/>
    <w:rsid w:val="00842791"/>
    <w:rsid w:val="00843077"/>
    <w:rsid w:val="00844128"/>
    <w:rsid w:val="008461F0"/>
    <w:rsid w:val="00846939"/>
    <w:rsid w:val="00846997"/>
    <w:rsid w:val="00846C4C"/>
    <w:rsid w:val="008472C3"/>
    <w:rsid w:val="00847E89"/>
    <w:rsid w:val="008507BE"/>
    <w:rsid w:val="008510CD"/>
    <w:rsid w:val="00851D38"/>
    <w:rsid w:val="00851FDE"/>
    <w:rsid w:val="008524B9"/>
    <w:rsid w:val="008531B5"/>
    <w:rsid w:val="00854EB1"/>
    <w:rsid w:val="00856A9A"/>
    <w:rsid w:val="00856DEF"/>
    <w:rsid w:val="00860210"/>
    <w:rsid w:val="00860FE3"/>
    <w:rsid w:val="00861831"/>
    <w:rsid w:val="00865266"/>
    <w:rsid w:val="0086736A"/>
    <w:rsid w:val="00867558"/>
    <w:rsid w:val="00870286"/>
    <w:rsid w:val="00871272"/>
    <w:rsid w:val="00872FA1"/>
    <w:rsid w:val="00873A46"/>
    <w:rsid w:val="00874EC4"/>
    <w:rsid w:val="00876038"/>
    <w:rsid w:val="008760ED"/>
    <w:rsid w:val="008768E7"/>
    <w:rsid w:val="00880E4F"/>
    <w:rsid w:val="00880E7D"/>
    <w:rsid w:val="00880FBE"/>
    <w:rsid w:val="00881600"/>
    <w:rsid w:val="008816E2"/>
    <w:rsid w:val="00883409"/>
    <w:rsid w:val="008841DE"/>
    <w:rsid w:val="00884F7A"/>
    <w:rsid w:val="00884FE2"/>
    <w:rsid w:val="0088581F"/>
    <w:rsid w:val="0088634C"/>
    <w:rsid w:val="008866EE"/>
    <w:rsid w:val="00887241"/>
    <w:rsid w:val="008872F1"/>
    <w:rsid w:val="00887F13"/>
    <w:rsid w:val="008905DA"/>
    <w:rsid w:val="00892B2B"/>
    <w:rsid w:val="008946D7"/>
    <w:rsid w:val="00894A49"/>
    <w:rsid w:val="00895365"/>
    <w:rsid w:val="0089550C"/>
    <w:rsid w:val="0089573E"/>
    <w:rsid w:val="008958DF"/>
    <w:rsid w:val="00897128"/>
    <w:rsid w:val="00897A88"/>
    <w:rsid w:val="008A076D"/>
    <w:rsid w:val="008A1ED8"/>
    <w:rsid w:val="008B053F"/>
    <w:rsid w:val="008B292C"/>
    <w:rsid w:val="008B37AD"/>
    <w:rsid w:val="008B3BEC"/>
    <w:rsid w:val="008B4463"/>
    <w:rsid w:val="008B51F8"/>
    <w:rsid w:val="008B5C25"/>
    <w:rsid w:val="008B7EE1"/>
    <w:rsid w:val="008C03A2"/>
    <w:rsid w:val="008C127A"/>
    <w:rsid w:val="008C134E"/>
    <w:rsid w:val="008C1761"/>
    <w:rsid w:val="008C1BEB"/>
    <w:rsid w:val="008C279F"/>
    <w:rsid w:val="008C36DE"/>
    <w:rsid w:val="008C3ED3"/>
    <w:rsid w:val="008C4CFF"/>
    <w:rsid w:val="008C5B9E"/>
    <w:rsid w:val="008C6BC9"/>
    <w:rsid w:val="008D112D"/>
    <w:rsid w:val="008D195E"/>
    <w:rsid w:val="008D35C9"/>
    <w:rsid w:val="008D3BD6"/>
    <w:rsid w:val="008D4D05"/>
    <w:rsid w:val="008D4DB8"/>
    <w:rsid w:val="008D5526"/>
    <w:rsid w:val="008D614D"/>
    <w:rsid w:val="008D6845"/>
    <w:rsid w:val="008D6E8D"/>
    <w:rsid w:val="008D7367"/>
    <w:rsid w:val="008E0AFF"/>
    <w:rsid w:val="008E0F05"/>
    <w:rsid w:val="008E1601"/>
    <w:rsid w:val="008E58FA"/>
    <w:rsid w:val="008E5C41"/>
    <w:rsid w:val="008F08D4"/>
    <w:rsid w:val="008F100F"/>
    <w:rsid w:val="008F2434"/>
    <w:rsid w:val="008F2E01"/>
    <w:rsid w:val="008F3A30"/>
    <w:rsid w:val="008F3BDE"/>
    <w:rsid w:val="008F475A"/>
    <w:rsid w:val="008F4959"/>
    <w:rsid w:val="008F6C85"/>
    <w:rsid w:val="008F7418"/>
    <w:rsid w:val="00900AFC"/>
    <w:rsid w:val="00901807"/>
    <w:rsid w:val="009023A4"/>
    <w:rsid w:val="00902CAC"/>
    <w:rsid w:val="0090329D"/>
    <w:rsid w:val="00903622"/>
    <w:rsid w:val="009042E8"/>
    <w:rsid w:val="00905DB4"/>
    <w:rsid w:val="00906156"/>
    <w:rsid w:val="00912A10"/>
    <w:rsid w:val="00912DAB"/>
    <w:rsid w:val="009133D6"/>
    <w:rsid w:val="00913C1B"/>
    <w:rsid w:val="00915716"/>
    <w:rsid w:val="00915FCC"/>
    <w:rsid w:val="009166D1"/>
    <w:rsid w:val="009167C5"/>
    <w:rsid w:val="009167FC"/>
    <w:rsid w:val="00922227"/>
    <w:rsid w:val="00922457"/>
    <w:rsid w:val="00922FC9"/>
    <w:rsid w:val="009242EB"/>
    <w:rsid w:val="00925E37"/>
    <w:rsid w:val="00926B13"/>
    <w:rsid w:val="00927CFB"/>
    <w:rsid w:val="009308CD"/>
    <w:rsid w:val="00930AF9"/>
    <w:rsid w:val="00931302"/>
    <w:rsid w:val="00934464"/>
    <w:rsid w:val="00934D87"/>
    <w:rsid w:val="0093796D"/>
    <w:rsid w:val="00941DC6"/>
    <w:rsid w:val="0094237C"/>
    <w:rsid w:val="009432DD"/>
    <w:rsid w:val="00944586"/>
    <w:rsid w:val="00944C58"/>
    <w:rsid w:val="00944FFF"/>
    <w:rsid w:val="009469D9"/>
    <w:rsid w:val="00950882"/>
    <w:rsid w:val="0095177A"/>
    <w:rsid w:val="009519DD"/>
    <w:rsid w:val="00954345"/>
    <w:rsid w:val="009549BA"/>
    <w:rsid w:val="00955528"/>
    <w:rsid w:val="00955636"/>
    <w:rsid w:val="00955E2E"/>
    <w:rsid w:val="009560B2"/>
    <w:rsid w:val="009564C4"/>
    <w:rsid w:val="009567AD"/>
    <w:rsid w:val="00960B3A"/>
    <w:rsid w:val="00961043"/>
    <w:rsid w:val="0096318D"/>
    <w:rsid w:val="00963AC7"/>
    <w:rsid w:val="009651A3"/>
    <w:rsid w:val="0096520F"/>
    <w:rsid w:val="009678EB"/>
    <w:rsid w:val="00970309"/>
    <w:rsid w:val="00972304"/>
    <w:rsid w:val="00973F3B"/>
    <w:rsid w:val="00974DF5"/>
    <w:rsid w:val="0097523D"/>
    <w:rsid w:val="00975A61"/>
    <w:rsid w:val="00976053"/>
    <w:rsid w:val="00976D4B"/>
    <w:rsid w:val="009770F9"/>
    <w:rsid w:val="00980704"/>
    <w:rsid w:val="0098123D"/>
    <w:rsid w:val="0098455B"/>
    <w:rsid w:val="009863BB"/>
    <w:rsid w:val="0098725B"/>
    <w:rsid w:val="00987E2A"/>
    <w:rsid w:val="009906FB"/>
    <w:rsid w:val="0099078E"/>
    <w:rsid w:val="00990BA6"/>
    <w:rsid w:val="009911C6"/>
    <w:rsid w:val="009913B7"/>
    <w:rsid w:val="00991D53"/>
    <w:rsid w:val="00992D8F"/>
    <w:rsid w:val="0099414D"/>
    <w:rsid w:val="0099471A"/>
    <w:rsid w:val="009949AB"/>
    <w:rsid w:val="009949E1"/>
    <w:rsid w:val="00994C0B"/>
    <w:rsid w:val="00994C13"/>
    <w:rsid w:val="00995F41"/>
    <w:rsid w:val="009A1B99"/>
    <w:rsid w:val="009A1BDC"/>
    <w:rsid w:val="009A2063"/>
    <w:rsid w:val="009A251A"/>
    <w:rsid w:val="009A2F19"/>
    <w:rsid w:val="009A34A4"/>
    <w:rsid w:val="009A363A"/>
    <w:rsid w:val="009A3D10"/>
    <w:rsid w:val="009A5741"/>
    <w:rsid w:val="009A683A"/>
    <w:rsid w:val="009A6B8E"/>
    <w:rsid w:val="009A6CEE"/>
    <w:rsid w:val="009B0C28"/>
    <w:rsid w:val="009B342F"/>
    <w:rsid w:val="009B3AFC"/>
    <w:rsid w:val="009B5696"/>
    <w:rsid w:val="009B5B63"/>
    <w:rsid w:val="009B6C63"/>
    <w:rsid w:val="009B76BD"/>
    <w:rsid w:val="009C116C"/>
    <w:rsid w:val="009C3AE8"/>
    <w:rsid w:val="009C432B"/>
    <w:rsid w:val="009C5604"/>
    <w:rsid w:val="009C5C3C"/>
    <w:rsid w:val="009C6153"/>
    <w:rsid w:val="009C6573"/>
    <w:rsid w:val="009C66BC"/>
    <w:rsid w:val="009C7FCD"/>
    <w:rsid w:val="009D0354"/>
    <w:rsid w:val="009D237A"/>
    <w:rsid w:val="009D4C23"/>
    <w:rsid w:val="009D5B9E"/>
    <w:rsid w:val="009D6846"/>
    <w:rsid w:val="009D68B1"/>
    <w:rsid w:val="009E0487"/>
    <w:rsid w:val="009E086C"/>
    <w:rsid w:val="009E2561"/>
    <w:rsid w:val="009E32A5"/>
    <w:rsid w:val="009E3F4C"/>
    <w:rsid w:val="009E408C"/>
    <w:rsid w:val="009E47EE"/>
    <w:rsid w:val="009E5200"/>
    <w:rsid w:val="009E5678"/>
    <w:rsid w:val="009E5CD4"/>
    <w:rsid w:val="009E5FA1"/>
    <w:rsid w:val="009E7FEE"/>
    <w:rsid w:val="009F0E0D"/>
    <w:rsid w:val="009F0EE6"/>
    <w:rsid w:val="009F1861"/>
    <w:rsid w:val="009F1AE0"/>
    <w:rsid w:val="009F2987"/>
    <w:rsid w:val="009F2B33"/>
    <w:rsid w:val="009F3558"/>
    <w:rsid w:val="009F414F"/>
    <w:rsid w:val="009F4BC4"/>
    <w:rsid w:val="009F5D2E"/>
    <w:rsid w:val="00A00D73"/>
    <w:rsid w:val="00A010C5"/>
    <w:rsid w:val="00A019F6"/>
    <w:rsid w:val="00A021DC"/>
    <w:rsid w:val="00A02FA4"/>
    <w:rsid w:val="00A03BE2"/>
    <w:rsid w:val="00A0423D"/>
    <w:rsid w:val="00A053D8"/>
    <w:rsid w:val="00A054A2"/>
    <w:rsid w:val="00A05525"/>
    <w:rsid w:val="00A059A3"/>
    <w:rsid w:val="00A05B93"/>
    <w:rsid w:val="00A066C2"/>
    <w:rsid w:val="00A10C00"/>
    <w:rsid w:val="00A117A5"/>
    <w:rsid w:val="00A118E5"/>
    <w:rsid w:val="00A1302C"/>
    <w:rsid w:val="00A139B0"/>
    <w:rsid w:val="00A1476D"/>
    <w:rsid w:val="00A156C6"/>
    <w:rsid w:val="00A16F27"/>
    <w:rsid w:val="00A177B3"/>
    <w:rsid w:val="00A1783A"/>
    <w:rsid w:val="00A17C7D"/>
    <w:rsid w:val="00A17D48"/>
    <w:rsid w:val="00A20272"/>
    <w:rsid w:val="00A2098D"/>
    <w:rsid w:val="00A213AB"/>
    <w:rsid w:val="00A23538"/>
    <w:rsid w:val="00A240CE"/>
    <w:rsid w:val="00A2765A"/>
    <w:rsid w:val="00A2786D"/>
    <w:rsid w:val="00A31927"/>
    <w:rsid w:val="00A32472"/>
    <w:rsid w:val="00A32595"/>
    <w:rsid w:val="00A33299"/>
    <w:rsid w:val="00A336F7"/>
    <w:rsid w:val="00A33ECF"/>
    <w:rsid w:val="00A344E8"/>
    <w:rsid w:val="00A34DFE"/>
    <w:rsid w:val="00A365D1"/>
    <w:rsid w:val="00A36939"/>
    <w:rsid w:val="00A36C70"/>
    <w:rsid w:val="00A407A7"/>
    <w:rsid w:val="00A40E05"/>
    <w:rsid w:val="00A41778"/>
    <w:rsid w:val="00A420F1"/>
    <w:rsid w:val="00A42183"/>
    <w:rsid w:val="00A426D8"/>
    <w:rsid w:val="00A42BA3"/>
    <w:rsid w:val="00A46C0B"/>
    <w:rsid w:val="00A51228"/>
    <w:rsid w:val="00A51BAA"/>
    <w:rsid w:val="00A54A9A"/>
    <w:rsid w:val="00A5587A"/>
    <w:rsid w:val="00A55C52"/>
    <w:rsid w:val="00A55F58"/>
    <w:rsid w:val="00A57892"/>
    <w:rsid w:val="00A616C3"/>
    <w:rsid w:val="00A62476"/>
    <w:rsid w:val="00A65180"/>
    <w:rsid w:val="00A664B8"/>
    <w:rsid w:val="00A676A9"/>
    <w:rsid w:val="00A71354"/>
    <w:rsid w:val="00A730CA"/>
    <w:rsid w:val="00A7329C"/>
    <w:rsid w:val="00A73606"/>
    <w:rsid w:val="00A73BEB"/>
    <w:rsid w:val="00A758BE"/>
    <w:rsid w:val="00A75D2D"/>
    <w:rsid w:val="00A76F5D"/>
    <w:rsid w:val="00A80997"/>
    <w:rsid w:val="00A80E13"/>
    <w:rsid w:val="00A81977"/>
    <w:rsid w:val="00A81A84"/>
    <w:rsid w:val="00A823AA"/>
    <w:rsid w:val="00A82EBA"/>
    <w:rsid w:val="00A83638"/>
    <w:rsid w:val="00A841FD"/>
    <w:rsid w:val="00A86262"/>
    <w:rsid w:val="00A866AE"/>
    <w:rsid w:val="00A87259"/>
    <w:rsid w:val="00A90609"/>
    <w:rsid w:val="00A91827"/>
    <w:rsid w:val="00A926EC"/>
    <w:rsid w:val="00A9383E"/>
    <w:rsid w:val="00A939B4"/>
    <w:rsid w:val="00A93FCE"/>
    <w:rsid w:val="00A9695B"/>
    <w:rsid w:val="00A97D6B"/>
    <w:rsid w:val="00AA00BF"/>
    <w:rsid w:val="00AA3CB6"/>
    <w:rsid w:val="00AA42A1"/>
    <w:rsid w:val="00AA4E06"/>
    <w:rsid w:val="00AA65BA"/>
    <w:rsid w:val="00AA6A95"/>
    <w:rsid w:val="00AA77D1"/>
    <w:rsid w:val="00AB2024"/>
    <w:rsid w:val="00AB22F3"/>
    <w:rsid w:val="00AB3C56"/>
    <w:rsid w:val="00AB4795"/>
    <w:rsid w:val="00AB637C"/>
    <w:rsid w:val="00AB6E87"/>
    <w:rsid w:val="00AB7FF5"/>
    <w:rsid w:val="00AC00A8"/>
    <w:rsid w:val="00AC0147"/>
    <w:rsid w:val="00AC045C"/>
    <w:rsid w:val="00AC0EF6"/>
    <w:rsid w:val="00AC1705"/>
    <w:rsid w:val="00AC2A43"/>
    <w:rsid w:val="00AC3CE3"/>
    <w:rsid w:val="00AC450C"/>
    <w:rsid w:val="00AC488F"/>
    <w:rsid w:val="00AC5132"/>
    <w:rsid w:val="00AC56CE"/>
    <w:rsid w:val="00AC6A6E"/>
    <w:rsid w:val="00AC748D"/>
    <w:rsid w:val="00AD1171"/>
    <w:rsid w:val="00AD2899"/>
    <w:rsid w:val="00AD3779"/>
    <w:rsid w:val="00AD3B0A"/>
    <w:rsid w:val="00AD6E88"/>
    <w:rsid w:val="00AD6F23"/>
    <w:rsid w:val="00AE02A4"/>
    <w:rsid w:val="00AE1C4F"/>
    <w:rsid w:val="00AE4667"/>
    <w:rsid w:val="00AE4D10"/>
    <w:rsid w:val="00AE5B00"/>
    <w:rsid w:val="00AE7A6A"/>
    <w:rsid w:val="00AF26A1"/>
    <w:rsid w:val="00AF2915"/>
    <w:rsid w:val="00AF2D58"/>
    <w:rsid w:val="00AF455B"/>
    <w:rsid w:val="00AF601A"/>
    <w:rsid w:val="00AF6CCE"/>
    <w:rsid w:val="00B00281"/>
    <w:rsid w:val="00B00E3D"/>
    <w:rsid w:val="00B01357"/>
    <w:rsid w:val="00B01FB8"/>
    <w:rsid w:val="00B02226"/>
    <w:rsid w:val="00B03E29"/>
    <w:rsid w:val="00B040E1"/>
    <w:rsid w:val="00B102C5"/>
    <w:rsid w:val="00B11A0D"/>
    <w:rsid w:val="00B15DDE"/>
    <w:rsid w:val="00B16085"/>
    <w:rsid w:val="00B17298"/>
    <w:rsid w:val="00B1739C"/>
    <w:rsid w:val="00B205AA"/>
    <w:rsid w:val="00B22C9B"/>
    <w:rsid w:val="00B23272"/>
    <w:rsid w:val="00B24154"/>
    <w:rsid w:val="00B242AE"/>
    <w:rsid w:val="00B309E3"/>
    <w:rsid w:val="00B30E15"/>
    <w:rsid w:val="00B323B8"/>
    <w:rsid w:val="00B32871"/>
    <w:rsid w:val="00B33BC1"/>
    <w:rsid w:val="00B35770"/>
    <w:rsid w:val="00B35CDB"/>
    <w:rsid w:val="00B37D27"/>
    <w:rsid w:val="00B409D1"/>
    <w:rsid w:val="00B40EE6"/>
    <w:rsid w:val="00B419FD"/>
    <w:rsid w:val="00B42CE8"/>
    <w:rsid w:val="00B43331"/>
    <w:rsid w:val="00B443C9"/>
    <w:rsid w:val="00B4477E"/>
    <w:rsid w:val="00B44957"/>
    <w:rsid w:val="00B461F9"/>
    <w:rsid w:val="00B478F6"/>
    <w:rsid w:val="00B50FE7"/>
    <w:rsid w:val="00B51681"/>
    <w:rsid w:val="00B516F1"/>
    <w:rsid w:val="00B532F3"/>
    <w:rsid w:val="00B54432"/>
    <w:rsid w:val="00B544AA"/>
    <w:rsid w:val="00B55848"/>
    <w:rsid w:val="00B56C0F"/>
    <w:rsid w:val="00B56F83"/>
    <w:rsid w:val="00B600D2"/>
    <w:rsid w:val="00B60A34"/>
    <w:rsid w:val="00B60E67"/>
    <w:rsid w:val="00B61237"/>
    <w:rsid w:val="00B62E34"/>
    <w:rsid w:val="00B63B53"/>
    <w:rsid w:val="00B64136"/>
    <w:rsid w:val="00B64CC9"/>
    <w:rsid w:val="00B65977"/>
    <w:rsid w:val="00B6695D"/>
    <w:rsid w:val="00B670A7"/>
    <w:rsid w:val="00B6737B"/>
    <w:rsid w:val="00B700E1"/>
    <w:rsid w:val="00B7018A"/>
    <w:rsid w:val="00B7089B"/>
    <w:rsid w:val="00B7182E"/>
    <w:rsid w:val="00B71887"/>
    <w:rsid w:val="00B71B93"/>
    <w:rsid w:val="00B73481"/>
    <w:rsid w:val="00B76CCF"/>
    <w:rsid w:val="00B76F1F"/>
    <w:rsid w:val="00B77F98"/>
    <w:rsid w:val="00B8054C"/>
    <w:rsid w:val="00B8066C"/>
    <w:rsid w:val="00B80A64"/>
    <w:rsid w:val="00B81323"/>
    <w:rsid w:val="00B81529"/>
    <w:rsid w:val="00B84BAD"/>
    <w:rsid w:val="00B8500F"/>
    <w:rsid w:val="00B8624D"/>
    <w:rsid w:val="00B87B2B"/>
    <w:rsid w:val="00B87E4D"/>
    <w:rsid w:val="00B9186C"/>
    <w:rsid w:val="00B92C43"/>
    <w:rsid w:val="00B9457F"/>
    <w:rsid w:val="00B949C4"/>
    <w:rsid w:val="00B950AB"/>
    <w:rsid w:val="00B9553A"/>
    <w:rsid w:val="00B95FCA"/>
    <w:rsid w:val="00B96F42"/>
    <w:rsid w:val="00BA0870"/>
    <w:rsid w:val="00BA1078"/>
    <w:rsid w:val="00BA120E"/>
    <w:rsid w:val="00BA22E2"/>
    <w:rsid w:val="00BA3F7B"/>
    <w:rsid w:val="00BA4EEE"/>
    <w:rsid w:val="00BA57CB"/>
    <w:rsid w:val="00BA6CB0"/>
    <w:rsid w:val="00BB179D"/>
    <w:rsid w:val="00BB30E7"/>
    <w:rsid w:val="00BB39F6"/>
    <w:rsid w:val="00BB3D1D"/>
    <w:rsid w:val="00BB5F32"/>
    <w:rsid w:val="00BC2442"/>
    <w:rsid w:val="00BC41F7"/>
    <w:rsid w:val="00BC4869"/>
    <w:rsid w:val="00BC51C4"/>
    <w:rsid w:val="00BD13B0"/>
    <w:rsid w:val="00BD1533"/>
    <w:rsid w:val="00BD31DB"/>
    <w:rsid w:val="00BD4419"/>
    <w:rsid w:val="00BD7752"/>
    <w:rsid w:val="00BD7B35"/>
    <w:rsid w:val="00BD7D5F"/>
    <w:rsid w:val="00BE4DA1"/>
    <w:rsid w:val="00BE6C5B"/>
    <w:rsid w:val="00BE7944"/>
    <w:rsid w:val="00BE7B2D"/>
    <w:rsid w:val="00BF0DAF"/>
    <w:rsid w:val="00BF1B14"/>
    <w:rsid w:val="00BF1D05"/>
    <w:rsid w:val="00BF1DA2"/>
    <w:rsid w:val="00BF470E"/>
    <w:rsid w:val="00BF79E9"/>
    <w:rsid w:val="00C03BDE"/>
    <w:rsid w:val="00C05D6E"/>
    <w:rsid w:val="00C0627C"/>
    <w:rsid w:val="00C063FA"/>
    <w:rsid w:val="00C0684C"/>
    <w:rsid w:val="00C06B88"/>
    <w:rsid w:val="00C06CB7"/>
    <w:rsid w:val="00C11A69"/>
    <w:rsid w:val="00C12981"/>
    <w:rsid w:val="00C13CB4"/>
    <w:rsid w:val="00C1438D"/>
    <w:rsid w:val="00C15C22"/>
    <w:rsid w:val="00C1651C"/>
    <w:rsid w:val="00C167B6"/>
    <w:rsid w:val="00C16B7A"/>
    <w:rsid w:val="00C17735"/>
    <w:rsid w:val="00C20116"/>
    <w:rsid w:val="00C25436"/>
    <w:rsid w:val="00C26077"/>
    <w:rsid w:val="00C26966"/>
    <w:rsid w:val="00C26A3E"/>
    <w:rsid w:val="00C26CB3"/>
    <w:rsid w:val="00C276FF"/>
    <w:rsid w:val="00C3158B"/>
    <w:rsid w:val="00C32E81"/>
    <w:rsid w:val="00C33490"/>
    <w:rsid w:val="00C339B8"/>
    <w:rsid w:val="00C3427A"/>
    <w:rsid w:val="00C35064"/>
    <w:rsid w:val="00C3655E"/>
    <w:rsid w:val="00C365A8"/>
    <w:rsid w:val="00C37C3C"/>
    <w:rsid w:val="00C37F85"/>
    <w:rsid w:val="00C408B2"/>
    <w:rsid w:val="00C40996"/>
    <w:rsid w:val="00C40D89"/>
    <w:rsid w:val="00C41AF9"/>
    <w:rsid w:val="00C421CD"/>
    <w:rsid w:val="00C4226D"/>
    <w:rsid w:val="00C4241F"/>
    <w:rsid w:val="00C42728"/>
    <w:rsid w:val="00C45478"/>
    <w:rsid w:val="00C47552"/>
    <w:rsid w:val="00C50629"/>
    <w:rsid w:val="00C50ABC"/>
    <w:rsid w:val="00C518CE"/>
    <w:rsid w:val="00C545FB"/>
    <w:rsid w:val="00C55562"/>
    <w:rsid w:val="00C56678"/>
    <w:rsid w:val="00C57666"/>
    <w:rsid w:val="00C57930"/>
    <w:rsid w:val="00C57FE1"/>
    <w:rsid w:val="00C6254F"/>
    <w:rsid w:val="00C63392"/>
    <w:rsid w:val="00C64C9D"/>
    <w:rsid w:val="00C65659"/>
    <w:rsid w:val="00C67558"/>
    <w:rsid w:val="00C70823"/>
    <w:rsid w:val="00C72F00"/>
    <w:rsid w:val="00C73237"/>
    <w:rsid w:val="00C74567"/>
    <w:rsid w:val="00C74D0A"/>
    <w:rsid w:val="00C7509A"/>
    <w:rsid w:val="00C75D08"/>
    <w:rsid w:val="00C76CD5"/>
    <w:rsid w:val="00C83433"/>
    <w:rsid w:val="00C83DFA"/>
    <w:rsid w:val="00C83F64"/>
    <w:rsid w:val="00C85664"/>
    <w:rsid w:val="00C85F69"/>
    <w:rsid w:val="00C8691C"/>
    <w:rsid w:val="00C86A03"/>
    <w:rsid w:val="00C87621"/>
    <w:rsid w:val="00C879C2"/>
    <w:rsid w:val="00C87E4F"/>
    <w:rsid w:val="00C90D49"/>
    <w:rsid w:val="00C90E01"/>
    <w:rsid w:val="00C911CD"/>
    <w:rsid w:val="00C93155"/>
    <w:rsid w:val="00C93A93"/>
    <w:rsid w:val="00C940DE"/>
    <w:rsid w:val="00C95AAE"/>
    <w:rsid w:val="00C96998"/>
    <w:rsid w:val="00C972FF"/>
    <w:rsid w:val="00C974E2"/>
    <w:rsid w:val="00C97DDD"/>
    <w:rsid w:val="00CA0833"/>
    <w:rsid w:val="00CA11F5"/>
    <w:rsid w:val="00CA204E"/>
    <w:rsid w:val="00CA2C41"/>
    <w:rsid w:val="00CA345E"/>
    <w:rsid w:val="00CA3E12"/>
    <w:rsid w:val="00CA40EB"/>
    <w:rsid w:val="00CA4E71"/>
    <w:rsid w:val="00CA4EDB"/>
    <w:rsid w:val="00CA5865"/>
    <w:rsid w:val="00CA5BC6"/>
    <w:rsid w:val="00CA7455"/>
    <w:rsid w:val="00CB0248"/>
    <w:rsid w:val="00CB0435"/>
    <w:rsid w:val="00CB0AD7"/>
    <w:rsid w:val="00CB12BD"/>
    <w:rsid w:val="00CB214A"/>
    <w:rsid w:val="00CB22CC"/>
    <w:rsid w:val="00CB235F"/>
    <w:rsid w:val="00CB2511"/>
    <w:rsid w:val="00CB2EA8"/>
    <w:rsid w:val="00CB3C28"/>
    <w:rsid w:val="00CB3F05"/>
    <w:rsid w:val="00CB5329"/>
    <w:rsid w:val="00CC0A91"/>
    <w:rsid w:val="00CC0BEE"/>
    <w:rsid w:val="00CC0FC6"/>
    <w:rsid w:val="00CC2790"/>
    <w:rsid w:val="00CC5B4D"/>
    <w:rsid w:val="00CC5F1E"/>
    <w:rsid w:val="00CC69B5"/>
    <w:rsid w:val="00CC6A11"/>
    <w:rsid w:val="00CC6C3C"/>
    <w:rsid w:val="00CC7383"/>
    <w:rsid w:val="00CD003E"/>
    <w:rsid w:val="00CD1899"/>
    <w:rsid w:val="00CD254C"/>
    <w:rsid w:val="00CD2A6F"/>
    <w:rsid w:val="00CD3EBE"/>
    <w:rsid w:val="00CD43C4"/>
    <w:rsid w:val="00CD5AC3"/>
    <w:rsid w:val="00CD688F"/>
    <w:rsid w:val="00CE007F"/>
    <w:rsid w:val="00CE0806"/>
    <w:rsid w:val="00CE0ADB"/>
    <w:rsid w:val="00CE0E39"/>
    <w:rsid w:val="00CE2140"/>
    <w:rsid w:val="00CE28AD"/>
    <w:rsid w:val="00CE31A4"/>
    <w:rsid w:val="00CE3B8C"/>
    <w:rsid w:val="00CE3EE4"/>
    <w:rsid w:val="00CE3F49"/>
    <w:rsid w:val="00CE407B"/>
    <w:rsid w:val="00CE41F7"/>
    <w:rsid w:val="00CE5410"/>
    <w:rsid w:val="00CE5505"/>
    <w:rsid w:val="00CE5551"/>
    <w:rsid w:val="00CE61E8"/>
    <w:rsid w:val="00CE7B6D"/>
    <w:rsid w:val="00CF0C59"/>
    <w:rsid w:val="00CF13CF"/>
    <w:rsid w:val="00CF1CE2"/>
    <w:rsid w:val="00CF20F8"/>
    <w:rsid w:val="00CF354D"/>
    <w:rsid w:val="00CF3AD8"/>
    <w:rsid w:val="00CF3E51"/>
    <w:rsid w:val="00CF55DC"/>
    <w:rsid w:val="00CF5BC6"/>
    <w:rsid w:val="00D07070"/>
    <w:rsid w:val="00D1092C"/>
    <w:rsid w:val="00D10A6E"/>
    <w:rsid w:val="00D10F14"/>
    <w:rsid w:val="00D11E56"/>
    <w:rsid w:val="00D12B0F"/>
    <w:rsid w:val="00D12CCB"/>
    <w:rsid w:val="00D12E92"/>
    <w:rsid w:val="00D16350"/>
    <w:rsid w:val="00D16364"/>
    <w:rsid w:val="00D164F6"/>
    <w:rsid w:val="00D17AA2"/>
    <w:rsid w:val="00D203BA"/>
    <w:rsid w:val="00D20585"/>
    <w:rsid w:val="00D20FC8"/>
    <w:rsid w:val="00D2210C"/>
    <w:rsid w:val="00D23775"/>
    <w:rsid w:val="00D23E43"/>
    <w:rsid w:val="00D265F0"/>
    <w:rsid w:val="00D2747D"/>
    <w:rsid w:val="00D2751A"/>
    <w:rsid w:val="00D27F98"/>
    <w:rsid w:val="00D301B2"/>
    <w:rsid w:val="00D3135F"/>
    <w:rsid w:val="00D31D18"/>
    <w:rsid w:val="00D31D49"/>
    <w:rsid w:val="00D349DE"/>
    <w:rsid w:val="00D352EE"/>
    <w:rsid w:val="00D360F7"/>
    <w:rsid w:val="00D36299"/>
    <w:rsid w:val="00D367A8"/>
    <w:rsid w:val="00D36EAF"/>
    <w:rsid w:val="00D37159"/>
    <w:rsid w:val="00D3747A"/>
    <w:rsid w:val="00D4022F"/>
    <w:rsid w:val="00D40F73"/>
    <w:rsid w:val="00D43361"/>
    <w:rsid w:val="00D4357C"/>
    <w:rsid w:val="00D44232"/>
    <w:rsid w:val="00D467CF"/>
    <w:rsid w:val="00D51A07"/>
    <w:rsid w:val="00D51CB5"/>
    <w:rsid w:val="00D5484B"/>
    <w:rsid w:val="00D551C8"/>
    <w:rsid w:val="00D55E75"/>
    <w:rsid w:val="00D5643C"/>
    <w:rsid w:val="00D566A1"/>
    <w:rsid w:val="00D57729"/>
    <w:rsid w:val="00D60EDC"/>
    <w:rsid w:val="00D61317"/>
    <w:rsid w:val="00D62CD0"/>
    <w:rsid w:val="00D62EFE"/>
    <w:rsid w:val="00D632C4"/>
    <w:rsid w:val="00D63970"/>
    <w:rsid w:val="00D64795"/>
    <w:rsid w:val="00D70CCA"/>
    <w:rsid w:val="00D71A47"/>
    <w:rsid w:val="00D71B72"/>
    <w:rsid w:val="00D71C8F"/>
    <w:rsid w:val="00D738B8"/>
    <w:rsid w:val="00D74841"/>
    <w:rsid w:val="00D74FA2"/>
    <w:rsid w:val="00D760CE"/>
    <w:rsid w:val="00D764A6"/>
    <w:rsid w:val="00D766E1"/>
    <w:rsid w:val="00D77D9B"/>
    <w:rsid w:val="00D80C1E"/>
    <w:rsid w:val="00D81FD8"/>
    <w:rsid w:val="00D82BA3"/>
    <w:rsid w:val="00D83434"/>
    <w:rsid w:val="00D83FEC"/>
    <w:rsid w:val="00D840A7"/>
    <w:rsid w:val="00D84343"/>
    <w:rsid w:val="00D8442A"/>
    <w:rsid w:val="00D846F5"/>
    <w:rsid w:val="00D84BB7"/>
    <w:rsid w:val="00D855B9"/>
    <w:rsid w:val="00D86312"/>
    <w:rsid w:val="00D874D7"/>
    <w:rsid w:val="00D903E7"/>
    <w:rsid w:val="00D9095F"/>
    <w:rsid w:val="00D90974"/>
    <w:rsid w:val="00D91357"/>
    <w:rsid w:val="00D91A50"/>
    <w:rsid w:val="00D9231F"/>
    <w:rsid w:val="00D93AD9"/>
    <w:rsid w:val="00D95141"/>
    <w:rsid w:val="00D95E6D"/>
    <w:rsid w:val="00D95F9F"/>
    <w:rsid w:val="00D97348"/>
    <w:rsid w:val="00DA0862"/>
    <w:rsid w:val="00DA0D73"/>
    <w:rsid w:val="00DA180B"/>
    <w:rsid w:val="00DA2CC3"/>
    <w:rsid w:val="00DA36D2"/>
    <w:rsid w:val="00DA52BE"/>
    <w:rsid w:val="00DA5E31"/>
    <w:rsid w:val="00DA5F7D"/>
    <w:rsid w:val="00DA63E9"/>
    <w:rsid w:val="00DA7DB6"/>
    <w:rsid w:val="00DB0A41"/>
    <w:rsid w:val="00DB25D7"/>
    <w:rsid w:val="00DB3A1B"/>
    <w:rsid w:val="00DB50FD"/>
    <w:rsid w:val="00DB6ACC"/>
    <w:rsid w:val="00DB7699"/>
    <w:rsid w:val="00DB7924"/>
    <w:rsid w:val="00DC1565"/>
    <w:rsid w:val="00DC299E"/>
    <w:rsid w:val="00DC3E7E"/>
    <w:rsid w:val="00DC448A"/>
    <w:rsid w:val="00DC4C93"/>
    <w:rsid w:val="00DC50AD"/>
    <w:rsid w:val="00DC5701"/>
    <w:rsid w:val="00DC78BC"/>
    <w:rsid w:val="00DD0BA8"/>
    <w:rsid w:val="00DD0FD8"/>
    <w:rsid w:val="00DD1FEA"/>
    <w:rsid w:val="00DD2F52"/>
    <w:rsid w:val="00DD4719"/>
    <w:rsid w:val="00DD6A89"/>
    <w:rsid w:val="00DD73F4"/>
    <w:rsid w:val="00DD7DBD"/>
    <w:rsid w:val="00DE0BE1"/>
    <w:rsid w:val="00DE0E16"/>
    <w:rsid w:val="00DE507E"/>
    <w:rsid w:val="00DE51A8"/>
    <w:rsid w:val="00DE52F1"/>
    <w:rsid w:val="00DE559B"/>
    <w:rsid w:val="00DE55B1"/>
    <w:rsid w:val="00DE5825"/>
    <w:rsid w:val="00DE598B"/>
    <w:rsid w:val="00DE64C2"/>
    <w:rsid w:val="00DF35A8"/>
    <w:rsid w:val="00DF40D3"/>
    <w:rsid w:val="00DF6104"/>
    <w:rsid w:val="00DF766A"/>
    <w:rsid w:val="00E03124"/>
    <w:rsid w:val="00E03374"/>
    <w:rsid w:val="00E03B98"/>
    <w:rsid w:val="00E03D46"/>
    <w:rsid w:val="00E05876"/>
    <w:rsid w:val="00E05F30"/>
    <w:rsid w:val="00E062AB"/>
    <w:rsid w:val="00E069AA"/>
    <w:rsid w:val="00E10143"/>
    <w:rsid w:val="00E10448"/>
    <w:rsid w:val="00E109ED"/>
    <w:rsid w:val="00E10ABF"/>
    <w:rsid w:val="00E11EBF"/>
    <w:rsid w:val="00E125D6"/>
    <w:rsid w:val="00E145A4"/>
    <w:rsid w:val="00E147B6"/>
    <w:rsid w:val="00E16A9E"/>
    <w:rsid w:val="00E17E31"/>
    <w:rsid w:val="00E21353"/>
    <w:rsid w:val="00E21AE6"/>
    <w:rsid w:val="00E225B0"/>
    <w:rsid w:val="00E24C82"/>
    <w:rsid w:val="00E25EB5"/>
    <w:rsid w:val="00E277EE"/>
    <w:rsid w:val="00E30759"/>
    <w:rsid w:val="00E31D10"/>
    <w:rsid w:val="00E32E22"/>
    <w:rsid w:val="00E34026"/>
    <w:rsid w:val="00E342F5"/>
    <w:rsid w:val="00E344DF"/>
    <w:rsid w:val="00E35355"/>
    <w:rsid w:val="00E35399"/>
    <w:rsid w:val="00E3554D"/>
    <w:rsid w:val="00E408AB"/>
    <w:rsid w:val="00E40AA2"/>
    <w:rsid w:val="00E41EDE"/>
    <w:rsid w:val="00E42841"/>
    <w:rsid w:val="00E42CEB"/>
    <w:rsid w:val="00E45209"/>
    <w:rsid w:val="00E4545E"/>
    <w:rsid w:val="00E4634E"/>
    <w:rsid w:val="00E471D9"/>
    <w:rsid w:val="00E504AF"/>
    <w:rsid w:val="00E509CC"/>
    <w:rsid w:val="00E50D9E"/>
    <w:rsid w:val="00E510F1"/>
    <w:rsid w:val="00E512C4"/>
    <w:rsid w:val="00E51974"/>
    <w:rsid w:val="00E526B2"/>
    <w:rsid w:val="00E52AAF"/>
    <w:rsid w:val="00E54899"/>
    <w:rsid w:val="00E568FF"/>
    <w:rsid w:val="00E600B1"/>
    <w:rsid w:val="00E605D7"/>
    <w:rsid w:val="00E61755"/>
    <w:rsid w:val="00E61DA0"/>
    <w:rsid w:val="00E6392E"/>
    <w:rsid w:val="00E64307"/>
    <w:rsid w:val="00E64968"/>
    <w:rsid w:val="00E65590"/>
    <w:rsid w:val="00E65A3B"/>
    <w:rsid w:val="00E65F3C"/>
    <w:rsid w:val="00E66A34"/>
    <w:rsid w:val="00E6791D"/>
    <w:rsid w:val="00E67F93"/>
    <w:rsid w:val="00E7138C"/>
    <w:rsid w:val="00E73246"/>
    <w:rsid w:val="00E75120"/>
    <w:rsid w:val="00E766D2"/>
    <w:rsid w:val="00E80A9A"/>
    <w:rsid w:val="00E826FF"/>
    <w:rsid w:val="00E82E07"/>
    <w:rsid w:val="00E845BA"/>
    <w:rsid w:val="00E86C65"/>
    <w:rsid w:val="00E9163A"/>
    <w:rsid w:val="00E923F0"/>
    <w:rsid w:val="00E93A8B"/>
    <w:rsid w:val="00E95312"/>
    <w:rsid w:val="00E9605F"/>
    <w:rsid w:val="00E96D65"/>
    <w:rsid w:val="00E97742"/>
    <w:rsid w:val="00E97DAA"/>
    <w:rsid w:val="00EA01C4"/>
    <w:rsid w:val="00EA2056"/>
    <w:rsid w:val="00EA3352"/>
    <w:rsid w:val="00EA3367"/>
    <w:rsid w:val="00EA51A8"/>
    <w:rsid w:val="00EA5B14"/>
    <w:rsid w:val="00EA67B4"/>
    <w:rsid w:val="00EA70B5"/>
    <w:rsid w:val="00EA70C7"/>
    <w:rsid w:val="00EA7358"/>
    <w:rsid w:val="00EB3D58"/>
    <w:rsid w:val="00EB46E8"/>
    <w:rsid w:val="00EB47A4"/>
    <w:rsid w:val="00EB523E"/>
    <w:rsid w:val="00EB6D81"/>
    <w:rsid w:val="00EC063E"/>
    <w:rsid w:val="00EC088D"/>
    <w:rsid w:val="00EC0FA7"/>
    <w:rsid w:val="00EC54FF"/>
    <w:rsid w:val="00EC60E5"/>
    <w:rsid w:val="00EC6709"/>
    <w:rsid w:val="00EC7716"/>
    <w:rsid w:val="00ED1959"/>
    <w:rsid w:val="00ED1BBB"/>
    <w:rsid w:val="00ED1F35"/>
    <w:rsid w:val="00ED3B52"/>
    <w:rsid w:val="00ED3F2A"/>
    <w:rsid w:val="00ED40D0"/>
    <w:rsid w:val="00ED59A5"/>
    <w:rsid w:val="00ED7933"/>
    <w:rsid w:val="00EE0150"/>
    <w:rsid w:val="00EE1906"/>
    <w:rsid w:val="00EE235B"/>
    <w:rsid w:val="00EE2F42"/>
    <w:rsid w:val="00EE41D5"/>
    <w:rsid w:val="00EE6338"/>
    <w:rsid w:val="00EE681D"/>
    <w:rsid w:val="00EE79C2"/>
    <w:rsid w:val="00EF0C5E"/>
    <w:rsid w:val="00EF19B1"/>
    <w:rsid w:val="00EF2DCB"/>
    <w:rsid w:val="00EF30CC"/>
    <w:rsid w:val="00EF337C"/>
    <w:rsid w:val="00EF3E51"/>
    <w:rsid w:val="00EF4968"/>
    <w:rsid w:val="00EF4DF6"/>
    <w:rsid w:val="00EF75B0"/>
    <w:rsid w:val="00F00628"/>
    <w:rsid w:val="00F01168"/>
    <w:rsid w:val="00F011D7"/>
    <w:rsid w:val="00F02FF9"/>
    <w:rsid w:val="00F031A3"/>
    <w:rsid w:val="00F03728"/>
    <w:rsid w:val="00F03E73"/>
    <w:rsid w:val="00F06837"/>
    <w:rsid w:val="00F06D2A"/>
    <w:rsid w:val="00F101D6"/>
    <w:rsid w:val="00F131A5"/>
    <w:rsid w:val="00F131CC"/>
    <w:rsid w:val="00F14085"/>
    <w:rsid w:val="00F16718"/>
    <w:rsid w:val="00F17627"/>
    <w:rsid w:val="00F17B7C"/>
    <w:rsid w:val="00F200D9"/>
    <w:rsid w:val="00F20287"/>
    <w:rsid w:val="00F20BF8"/>
    <w:rsid w:val="00F2262B"/>
    <w:rsid w:val="00F22AC3"/>
    <w:rsid w:val="00F25643"/>
    <w:rsid w:val="00F25D3D"/>
    <w:rsid w:val="00F26600"/>
    <w:rsid w:val="00F26ABD"/>
    <w:rsid w:val="00F2716E"/>
    <w:rsid w:val="00F31931"/>
    <w:rsid w:val="00F33A60"/>
    <w:rsid w:val="00F35D54"/>
    <w:rsid w:val="00F35D82"/>
    <w:rsid w:val="00F36360"/>
    <w:rsid w:val="00F36FE3"/>
    <w:rsid w:val="00F37AB2"/>
    <w:rsid w:val="00F40093"/>
    <w:rsid w:val="00F40249"/>
    <w:rsid w:val="00F4177A"/>
    <w:rsid w:val="00F44182"/>
    <w:rsid w:val="00F44937"/>
    <w:rsid w:val="00F460F1"/>
    <w:rsid w:val="00F510A8"/>
    <w:rsid w:val="00F52868"/>
    <w:rsid w:val="00F53D3E"/>
    <w:rsid w:val="00F5507D"/>
    <w:rsid w:val="00F555F9"/>
    <w:rsid w:val="00F563E7"/>
    <w:rsid w:val="00F570C2"/>
    <w:rsid w:val="00F57774"/>
    <w:rsid w:val="00F61D09"/>
    <w:rsid w:val="00F635E0"/>
    <w:rsid w:val="00F65B5E"/>
    <w:rsid w:val="00F67720"/>
    <w:rsid w:val="00F6778C"/>
    <w:rsid w:val="00F67E14"/>
    <w:rsid w:val="00F70887"/>
    <w:rsid w:val="00F72B41"/>
    <w:rsid w:val="00F72D73"/>
    <w:rsid w:val="00F73B02"/>
    <w:rsid w:val="00F74E49"/>
    <w:rsid w:val="00F75651"/>
    <w:rsid w:val="00F775FE"/>
    <w:rsid w:val="00F77A92"/>
    <w:rsid w:val="00F77C17"/>
    <w:rsid w:val="00F77C7D"/>
    <w:rsid w:val="00F810E5"/>
    <w:rsid w:val="00F81592"/>
    <w:rsid w:val="00F81BCD"/>
    <w:rsid w:val="00F820D7"/>
    <w:rsid w:val="00F82773"/>
    <w:rsid w:val="00F82DCF"/>
    <w:rsid w:val="00F846E6"/>
    <w:rsid w:val="00F84EFB"/>
    <w:rsid w:val="00F8515F"/>
    <w:rsid w:val="00F86058"/>
    <w:rsid w:val="00F86219"/>
    <w:rsid w:val="00F86361"/>
    <w:rsid w:val="00F86364"/>
    <w:rsid w:val="00F87243"/>
    <w:rsid w:val="00F87888"/>
    <w:rsid w:val="00F913F4"/>
    <w:rsid w:val="00F915C9"/>
    <w:rsid w:val="00F92F0C"/>
    <w:rsid w:val="00F9431B"/>
    <w:rsid w:val="00F9608E"/>
    <w:rsid w:val="00F968CC"/>
    <w:rsid w:val="00FA010F"/>
    <w:rsid w:val="00FA2BF1"/>
    <w:rsid w:val="00FA33A9"/>
    <w:rsid w:val="00FA38AC"/>
    <w:rsid w:val="00FA3C31"/>
    <w:rsid w:val="00FA3F36"/>
    <w:rsid w:val="00FA48A4"/>
    <w:rsid w:val="00FA520B"/>
    <w:rsid w:val="00FA595A"/>
    <w:rsid w:val="00FB119D"/>
    <w:rsid w:val="00FB1A7A"/>
    <w:rsid w:val="00FB23AD"/>
    <w:rsid w:val="00FB243C"/>
    <w:rsid w:val="00FB3112"/>
    <w:rsid w:val="00FB3959"/>
    <w:rsid w:val="00FB5253"/>
    <w:rsid w:val="00FB566D"/>
    <w:rsid w:val="00FC012B"/>
    <w:rsid w:val="00FC1023"/>
    <w:rsid w:val="00FC1667"/>
    <w:rsid w:val="00FC1924"/>
    <w:rsid w:val="00FC2704"/>
    <w:rsid w:val="00FC2E92"/>
    <w:rsid w:val="00FC45D7"/>
    <w:rsid w:val="00FC4EFD"/>
    <w:rsid w:val="00FC513F"/>
    <w:rsid w:val="00FC55EC"/>
    <w:rsid w:val="00FC5FFC"/>
    <w:rsid w:val="00FD043B"/>
    <w:rsid w:val="00FD0C04"/>
    <w:rsid w:val="00FD309B"/>
    <w:rsid w:val="00FD5820"/>
    <w:rsid w:val="00FE0914"/>
    <w:rsid w:val="00FE096F"/>
    <w:rsid w:val="00FE19FA"/>
    <w:rsid w:val="00FE1DD4"/>
    <w:rsid w:val="00FE2AF1"/>
    <w:rsid w:val="00FE317D"/>
    <w:rsid w:val="00FE4368"/>
    <w:rsid w:val="00FE5504"/>
    <w:rsid w:val="00FE59C3"/>
    <w:rsid w:val="00FE6033"/>
    <w:rsid w:val="00FE7AB7"/>
    <w:rsid w:val="00FF0BFA"/>
    <w:rsid w:val="00FF28C2"/>
    <w:rsid w:val="00FF2D55"/>
    <w:rsid w:val="00FF3FE8"/>
    <w:rsid w:val="00FF68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FA95"/>
  <w15:docId w15:val="{234B5382-7D63-4392-A08B-28429377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0833"/>
    <w:pPr>
      <w:spacing w:line="276" w:lineRule="auto"/>
      <w:jc w:val="both"/>
    </w:pPr>
    <w:rPr>
      <w:rFonts w:ascii="Garamond" w:eastAsia="Times New Roman" w:hAnsi="Garamond"/>
      <w:sz w:val="24"/>
      <w:szCs w:val="22"/>
      <w:lang w:eastAsia="en-US"/>
    </w:rPr>
  </w:style>
  <w:style w:type="paragraph" w:styleId="Titolo1">
    <w:name w:val="heading 1"/>
    <w:basedOn w:val="Normale"/>
    <w:next w:val="Titolo2"/>
    <w:qFormat/>
    <w:pPr>
      <w:keepNext/>
      <w:keepLines/>
      <w:spacing w:before="280" w:after="280"/>
      <w:jc w:val="center"/>
      <w:outlineLvl w:val="0"/>
    </w:pPr>
    <w:rPr>
      <w:rFonts w:eastAsia="Calibri"/>
      <w:b/>
      <w:bCs/>
      <w:sz w:val="28"/>
      <w:szCs w:val="28"/>
      <w:lang w:val="x-none" w:eastAsia="x-none"/>
    </w:rPr>
  </w:style>
  <w:style w:type="paragraph" w:styleId="Titolo2">
    <w:name w:val="heading 2"/>
    <w:basedOn w:val="Normale"/>
    <w:next w:val="Titolo3"/>
    <w:qFormat/>
    <w:pPr>
      <w:keepNext/>
      <w:spacing w:before="560" w:after="120"/>
      <w:outlineLvl w:val="1"/>
    </w:pPr>
    <w:rPr>
      <w:b/>
      <w:bCs/>
      <w:iCs/>
      <w:caps/>
      <w:szCs w:val="28"/>
      <w:lang w:val="x-none"/>
    </w:rPr>
  </w:style>
  <w:style w:type="paragraph" w:styleId="Titolo3">
    <w:name w:val="heading 3"/>
    <w:basedOn w:val="Normale"/>
    <w:next w:val="Normale"/>
    <w:qFormat/>
    <w:pPr>
      <w:keepNext/>
      <w:spacing w:before="240" w:after="60"/>
      <w:outlineLvl w:val="2"/>
    </w:pPr>
    <w:rPr>
      <w:b/>
      <w:bCs/>
      <w:caps/>
      <w:sz w:val="22"/>
      <w:szCs w:val="26"/>
      <w:lang w:val="x-none"/>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Garamond" w:hAnsi="Garamond"/>
      <w:b/>
      <w:bCs/>
      <w:sz w:val="28"/>
      <w:szCs w:val="28"/>
      <w:lang w:val="x-none" w:eastAsia="x-none"/>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estofumettoCarattere">
    <w:name w:val="Testo fumetto Carattere"/>
    <w:qFormat/>
    <w:rPr>
      <w:rFonts w:ascii="Tahoma" w:hAnsi="Tahoma" w:cs="Tahoma"/>
      <w:sz w:val="16"/>
      <w:szCs w:val="16"/>
    </w:rPr>
  </w:style>
  <w:style w:type="character" w:customStyle="1" w:styleId="IntestazioneCarattere">
    <w:name w:val="Intestazione Carattere"/>
    <w:qFormat/>
    <w:rPr>
      <w:rFonts w:eastAsia="Times New Roman" w:cs="Times New Roman"/>
      <w:lang w:val="x-none" w:eastAsia="it-IT"/>
    </w:rPr>
  </w:style>
  <w:style w:type="character" w:customStyle="1" w:styleId="PidipaginaCarattere">
    <w:name w:val="Piè di pagina Carattere"/>
    <w:qFormat/>
    <w:rPr>
      <w:rFonts w:eastAsia="Times New Roman" w:cs="Times New Roman"/>
      <w:lang w:val="x-none" w:eastAsia="it-IT"/>
    </w:rPr>
  </w:style>
  <w:style w:type="character" w:customStyle="1" w:styleId="TestonotaapidipaginaCarattere">
    <w:name w:val="Testo nota a piè di pagina Carattere"/>
    <w:qFormat/>
    <w:rPr>
      <w:rFonts w:eastAsia="Times New Roman"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semiHidden/>
    <w:unhideWhenUsed/>
    <w:qFormat/>
    <w:rsid w:val="00CE51F7"/>
    <w:rPr>
      <w:vertAlign w:val="superscript"/>
    </w:rPr>
  </w:style>
  <w:style w:type="character" w:customStyle="1" w:styleId="CollegamentoInternet">
    <w:name w:val="Collegamento Internet"/>
    <w:basedOn w:val="Carpredefinitoparagrafo"/>
    <w:uiPriority w:val="99"/>
    <w:unhideWhenUsed/>
    <w:rsid w:val="00D24928"/>
    <w:rPr>
      <w:color w:val="0563C1" w:themeColor="hyperlink"/>
      <w:u w:val="single"/>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NoSpacingChar">
    <w:name w:val="No Spacing Char"/>
    <w:qFormat/>
    <w:rPr>
      <w:sz w:val="22"/>
      <w:szCs w:val="22"/>
      <w:lang w:val="it-IT" w:eastAsia="en-US" w:bidi="ar-SA"/>
    </w:rPr>
  </w:style>
  <w:style w:type="character" w:customStyle="1" w:styleId="Enfasi">
    <w:name w:val="Enfasi"/>
    <w:qFormat/>
    <w:rPr>
      <w:rFonts w:cs="Times New Roman"/>
      <w:i/>
      <w:iCs/>
    </w:rPr>
  </w:style>
  <w:style w:type="character" w:customStyle="1" w:styleId="TestonotadichiusuraCarattere">
    <w:name w:val="Testo nota di chiusura Carattere"/>
    <w:qFormat/>
    <w:rPr>
      <w:rFonts w:eastAsia="Times New Roman"/>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descrizione">
    <w:name w:val="descrizione"/>
    <w:qFormat/>
    <w:rPr>
      <w:b/>
      <w:bCs/>
      <w:color w:val="5B76A0"/>
      <w:sz w:val="28"/>
      <w:szCs w:val="28"/>
    </w:rPr>
  </w:style>
  <w:style w:type="character" w:styleId="Enfasigrassetto">
    <w:name w:val="Strong"/>
    <w:qFormat/>
    <w:rPr>
      <w:b/>
      <w:bCs/>
    </w:rPr>
  </w:style>
  <w:style w:type="character" w:customStyle="1" w:styleId="provvrubrica">
    <w:name w:val="provv_rubrica"/>
    <w:qFormat/>
    <w:rPr>
      <w:i/>
      <w:iCs/>
    </w:rPr>
  </w:style>
  <w:style w:type="character" w:styleId="Rimandocommento">
    <w:name w:val="annotation reference"/>
    <w:qFormat/>
    <w:rPr>
      <w:sz w:val="16"/>
      <w:szCs w:val="16"/>
    </w:rPr>
  </w:style>
  <w:style w:type="character" w:customStyle="1" w:styleId="TestocommentoCarattere">
    <w:name w:val="Testo commento Carattere"/>
    <w:qFormat/>
    <w:rPr>
      <w:rFonts w:eastAsia="Times New Roman"/>
      <w:lang w:eastAsia="en-US"/>
    </w:rPr>
  </w:style>
  <w:style w:type="character" w:customStyle="1" w:styleId="SoggettocommentoCarattere">
    <w:name w:val="Soggetto commento Carattere"/>
    <w:qFormat/>
    <w:rPr>
      <w:rFonts w:eastAsia="Times New Roman"/>
      <w:b/>
      <w:bCs/>
      <w:lang w:eastAsia="en-US"/>
    </w:rPr>
  </w:style>
  <w:style w:type="character" w:customStyle="1" w:styleId="provvnumcomma">
    <w:name w:val="provv_numcomma"/>
    <w:basedOn w:val="Carpredefinitoparagrafo"/>
    <w:qFormat/>
  </w:style>
  <w:style w:type="character" w:customStyle="1" w:styleId="anchorantimarker">
    <w:name w:val="anchor_anti_marker"/>
    <w:qFormat/>
    <w:rPr>
      <w:color w:val="000000"/>
    </w:rPr>
  </w:style>
  <w:style w:type="character" w:customStyle="1" w:styleId="linkneltesto">
    <w:name w:val="link_nel_testo"/>
    <w:qFormat/>
    <w:rPr>
      <w:i/>
      <w:iCs/>
    </w:rPr>
  </w:style>
  <w:style w:type="character" w:customStyle="1" w:styleId="CorpotestoCarattere1">
    <w:name w:val="Corpo testo Carattere1"/>
    <w:qFormat/>
    <w:rPr>
      <w:rFonts w:ascii="Times New Roman" w:eastAsia="Times New Roman" w:hAnsi="Times New Roman"/>
      <w:sz w:val="26"/>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Titolo2Carattere">
    <w:name w:val="Titolo 2 Carattere"/>
    <w:qFormat/>
    <w:rPr>
      <w:rFonts w:ascii="Garamond" w:eastAsia="Times New Roman" w:hAnsi="Garamond"/>
      <w:b/>
      <w:bCs/>
      <w:iCs/>
      <w:caps/>
      <w:sz w:val="24"/>
      <w:szCs w:val="28"/>
      <w:lang w:val="x-none" w:eastAsia="en-U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provvnumart">
    <w:name w:val="provv_numart"/>
    <w:qFormat/>
    <w:rPr>
      <w:b/>
      <w:bCs/>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vigore">
    <w:name w:val="provv_vigore"/>
    <w:qFormat/>
    <w:rPr>
      <w:vanish w:val="0"/>
    </w:rPr>
  </w:style>
  <w:style w:type="character" w:customStyle="1" w:styleId="riferimento1">
    <w:name w:val="riferimento1"/>
    <w:qFormat/>
    <w:rPr>
      <w:i/>
      <w:iCs/>
      <w:color w:val="058940"/>
    </w:rPr>
  </w:style>
  <w:style w:type="character" w:customStyle="1" w:styleId="SottotitoloCarattere">
    <w:name w:val="Sottotitolo Carattere"/>
    <w:qFormat/>
    <w:rPr>
      <w:rFonts w:ascii="Cambria" w:eastAsia="Times New Roman" w:hAnsi="Cambria" w:cs="Times New Roman"/>
      <w:sz w:val="24"/>
      <w:szCs w:val="24"/>
      <w:lang w:eastAsia="en-US"/>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CollegamentoInternetvisitato">
    <w:name w:val="Collegamento Internet visitato"/>
    <w:rPr>
      <w:color w:val="800080"/>
      <w:u w:val="single"/>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styleId="Numeropagina">
    <w:name w:val="page number"/>
    <w:qFormat/>
  </w:style>
  <w:style w:type="character" w:customStyle="1" w:styleId="RientrocorpodeltestoCarattere">
    <w:name w:val="Rientro corpo del testo Carattere"/>
    <w:qFormat/>
    <w:rPr>
      <w:rFonts w:ascii="Times New Roman" w:eastAsia="Times New Roman" w:hAnsi="Times New Roman"/>
      <w:b/>
      <w:bCs/>
      <w:i/>
      <w:iCs/>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CarattereCarattere2">
    <w:name w:val="Carattere Carattere2"/>
    <w:qFormat/>
    <w:rPr>
      <w:sz w:val="26"/>
      <w:szCs w:val="24"/>
      <w:lang w:val="it-IT" w:eastAsia="it-IT" w:bidi="ar-SA"/>
    </w:rPr>
  </w:style>
  <w:style w:type="character" w:customStyle="1" w:styleId="st1">
    <w:name w:val="st1"/>
    <w:qFormat/>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styleId="Testosegnaposto">
    <w:name w:val="Placeholder Text"/>
    <w:basedOn w:val="Carpredefinitoparagrafo"/>
    <w:qFormat/>
    <w:rPr>
      <w:color w:val="808080"/>
    </w:rPr>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qFormat/>
  </w:style>
  <w:style w:type="character" w:customStyle="1" w:styleId="Saltoaindice">
    <w:name w:val="Salto a indice"/>
    <w:qFormat/>
  </w:style>
  <w:style w:type="character" w:customStyle="1" w:styleId="WW8Num27z0">
    <w:name w:val="WW8Num27z0"/>
    <w:qFormat/>
    <w:rPr>
      <w:rFonts w:ascii="Calibri" w:hAnsi="Calibri" w:cs="Calibri"/>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34"/>
    <w:qFormat/>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TitoloParagrafoChar">
    <w:name w:val="Titolo Paragrafo Char"/>
    <w:qFormat/>
    <w:rPr>
      <w:rFonts w:ascii="Calibri Light" w:eastAsia="0" w:hAnsi="Calibri Light"/>
      <w:color w:val="2F5496"/>
      <w:sz w:val="28"/>
    </w:rPr>
  </w:style>
  <w:style w:type="character" w:customStyle="1" w:styleId="Titolo7Carattere">
    <w:name w:val="Titolo 7 Carattere"/>
    <w:qFormat/>
    <w:rPr>
      <w:rFonts w:ascii="Calibri Light" w:eastAsia="0" w:hAnsi="Calibri Light"/>
      <w:i/>
      <w:iCs/>
      <w:color w:val="1F3763"/>
    </w:rPr>
  </w:style>
  <w:style w:type="character" w:customStyle="1" w:styleId="Titolo6Carattere">
    <w:name w:val="Titolo 6 Carattere"/>
    <w:qFormat/>
    <w:rPr>
      <w:rFonts w:ascii="Calibri Light" w:eastAsia="0" w:hAnsi="Calibri Light"/>
      <w:color w:val="1F3763"/>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ParagrafobaseChar">
    <w:name w:val="[Paragrafo base] Char"/>
    <w:qFormat/>
    <w:rPr>
      <w:rFonts w:ascii="Minion Pro" w:eastAsia="Minion Pro" w:hAnsi="Minion Pro"/>
      <w:color w:val="000000"/>
    </w:rPr>
  </w:style>
  <w:style w:type="character" w:customStyle="1" w:styleId="NessunaspaziaturaCarattere">
    <w:name w:val="Nessuna spaziatura Carattere"/>
    <w:qFormat/>
    <w:rPr>
      <w:rFonts w:eastAsia="0"/>
      <w:szCs w:val="22"/>
      <w:lang w:eastAsia="en-US"/>
    </w:rPr>
  </w:style>
  <w:style w:type="character" w:customStyle="1" w:styleId="Caratteridinumerazione">
    <w:name w:val="Caratteri di numerazione"/>
    <w:qFormat/>
  </w:style>
  <w:style w:type="character" w:customStyle="1" w:styleId="Menzionenonrisolta1">
    <w:name w:val="Menzione non risolta1"/>
    <w:basedOn w:val="Carpredefinitoparagrafo"/>
    <w:qFormat/>
    <w:rPr>
      <w:color w:val="605E5C"/>
      <w:highlight w:val="lightGray"/>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Titolo">
    <w:name w:val="Title"/>
    <w:basedOn w:val="Normale"/>
    <w:next w:val="Corpotesto"/>
    <w:qFormat/>
    <w:pPr>
      <w:spacing w:before="240" w:after="60"/>
      <w:jc w:val="center"/>
      <w:outlineLvl w:val="0"/>
    </w:pPr>
    <w:rPr>
      <w:rFonts w:ascii="Cambria" w:hAnsi="Cambria"/>
      <w:b/>
      <w:bCs/>
      <w:kern w:val="2"/>
      <w:sz w:val="32"/>
      <w:szCs w:val="32"/>
      <w:lang w:val="x-none"/>
    </w:rPr>
  </w:style>
  <w:style w:type="paragraph" w:styleId="Corpotesto">
    <w:name w:val="Body Text"/>
    <w:basedOn w:val="Normale"/>
    <w:pPr>
      <w:widowControl w:val="0"/>
      <w:spacing w:line="259" w:lineRule="exact"/>
    </w:pPr>
    <w:rPr>
      <w:rFonts w:ascii="Times New Roman" w:hAnsi="Times New Roman"/>
      <w:sz w:val="26"/>
      <w:szCs w:val="20"/>
      <w:lang w:val="x-none" w:eastAsia="x-none"/>
    </w:rPr>
  </w:style>
  <w:style w:type="paragraph" w:styleId="Elenco">
    <w:name w:val="List"/>
    <w:basedOn w:val="Corpotesto"/>
    <w:rPr>
      <w:rFonts w:cs="Lucida Sans"/>
    </w:rPr>
  </w:style>
  <w:style w:type="paragraph" w:styleId="Didascalia">
    <w:name w:val="caption"/>
    <w:basedOn w:val="Normale"/>
    <w:next w:val="Normale"/>
    <w:qFormat/>
    <w:pPr>
      <w:spacing w:before="120"/>
    </w:pPr>
    <w:rPr>
      <w:iCs/>
      <w:szCs w:val="18"/>
    </w:rPr>
  </w:style>
  <w:style w:type="paragraph" w:customStyle="1" w:styleId="Indice">
    <w:name w:val="Indice"/>
    <w:basedOn w:val="Normale"/>
    <w:qFormat/>
    <w:pPr>
      <w:suppressLineNumbers/>
    </w:pPr>
    <w:rPr>
      <w:rFonts w:cs="Lucida Sans"/>
    </w:rPr>
  </w:style>
  <w:style w:type="paragraph" w:customStyle="1" w:styleId="Default">
    <w:name w:val="Default"/>
    <w:qFormat/>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qFormat/>
    <w:pPr>
      <w:spacing w:line="240" w:lineRule="auto"/>
    </w:pPr>
    <w:rPr>
      <w:rFonts w:ascii="Tahoma" w:eastAsia="Calibri" w:hAnsi="Tahoma"/>
      <w:sz w:val="16"/>
      <w:szCs w:val="16"/>
      <w:lang w:val="x-none" w:eastAsia="x-none"/>
    </w:rPr>
  </w:style>
  <w:style w:type="paragraph" w:customStyle="1" w:styleId="Paragrafoelenco1">
    <w:name w:val="Paragrafo elenco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spacing w:before="280" w:after="280" w:line="240" w:lineRule="auto"/>
    </w:pPr>
    <w:rPr>
      <w:sz w:val="20"/>
      <w:szCs w:val="20"/>
      <w:lang w:val="x-none" w:eastAsia="it-IT"/>
    </w:rPr>
  </w:style>
  <w:style w:type="paragraph" w:styleId="Pidipagina">
    <w:name w:val="footer"/>
    <w:basedOn w:val="Normale"/>
    <w:pPr>
      <w:tabs>
        <w:tab w:val="center" w:pos="4819"/>
        <w:tab w:val="right" w:pos="9638"/>
      </w:tabs>
      <w:spacing w:before="280" w:after="280" w:line="240" w:lineRule="auto"/>
    </w:pPr>
    <w:rPr>
      <w:sz w:val="20"/>
      <w:szCs w:val="20"/>
      <w:lang w:val="x-none" w:eastAsia="it-IT"/>
    </w:rPr>
  </w:style>
  <w:style w:type="paragraph" w:styleId="Testonotaapidipagina">
    <w:name w:val="footnote text"/>
    <w:basedOn w:val="Normale"/>
    <w:pPr>
      <w:spacing w:before="280" w:after="280" w:line="240" w:lineRule="auto"/>
    </w:pPr>
    <w:rPr>
      <w:sz w:val="20"/>
      <w:szCs w:val="20"/>
      <w:lang w:val="x-none" w:eastAsia="it-IT"/>
    </w:rPr>
  </w:style>
  <w:style w:type="paragraph" w:customStyle="1" w:styleId="provvr0">
    <w:name w:val="provv_r0"/>
    <w:basedOn w:val="Normale"/>
    <w:qFormat/>
    <w:pPr>
      <w:spacing w:before="280" w:after="280" w:line="240" w:lineRule="auto"/>
    </w:pPr>
    <w:rPr>
      <w:rFonts w:ascii="Times New Roman" w:eastAsia="Calibri" w:hAnsi="Times New Roman"/>
      <w:szCs w:val="24"/>
      <w:lang w:eastAsia="it-IT"/>
    </w:rPr>
  </w:style>
  <w:style w:type="paragraph" w:customStyle="1" w:styleId="popolo">
    <w:name w:val="popolo"/>
    <w:basedOn w:val="Normale"/>
    <w:qFormat/>
    <w:pPr>
      <w:spacing w:before="280" w:after="280" w:line="240" w:lineRule="auto"/>
    </w:pPr>
    <w:rPr>
      <w:rFonts w:eastAsia="Calibri"/>
      <w:sz w:val="30"/>
      <w:szCs w:val="30"/>
      <w:lang w:eastAsia="it-IT"/>
    </w:rPr>
  </w:style>
  <w:style w:type="paragraph" w:customStyle="1" w:styleId="Stile1">
    <w:name w:val="Stile1"/>
    <w:basedOn w:val="Titolo1"/>
    <w:qFormat/>
    <w:pPr>
      <w:spacing w:line="240" w:lineRule="atLeast"/>
    </w:pPr>
    <w:rPr>
      <w:rFonts w:ascii="Times New Roman" w:hAnsi="Times New Roman"/>
      <w:lang w:eastAsia="it-IT"/>
    </w:rPr>
  </w:style>
  <w:style w:type="paragraph" w:styleId="Sommario1">
    <w:name w:val="toc 1"/>
    <w:basedOn w:val="Normale"/>
    <w:next w:val="Normale"/>
    <w:autoRedefine/>
    <w:uiPriority w:val="39"/>
    <w:rsid w:val="00BC51C4"/>
    <w:pPr>
      <w:tabs>
        <w:tab w:val="left" w:leader="dot" w:pos="284"/>
        <w:tab w:val="right" w:leader="dot" w:pos="9629"/>
      </w:tabs>
      <w:jc w:val="left"/>
    </w:pPr>
    <w:rPr>
      <w:bCs/>
      <w:sz w:val="20"/>
      <w:szCs w:val="20"/>
    </w:rPr>
  </w:style>
  <w:style w:type="paragraph" w:styleId="Sommario2">
    <w:name w:val="toc 2"/>
    <w:basedOn w:val="Normale"/>
    <w:next w:val="Sommario3"/>
    <w:autoRedefine/>
    <w:uiPriority w:val="39"/>
    <w:pPr>
      <w:tabs>
        <w:tab w:val="left" w:pos="440"/>
        <w:tab w:val="right" w:leader="dot" w:pos="9629"/>
      </w:tabs>
      <w:spacing w:line="336" w:lineRule="auto"/>
      <w:ind w:left="442" w:hanging="442"/>
    </w:pPr>
    <w:rPr>
      <w:smallCaps/>
      <w:sz w:val="20"/>
      <w:szCs w:val="20"/>
    </w:rPr>
  </w:style>
  <w:style w:type="paragraph" w:customStyle="1" w:styleId="Nessunaspaziatura1">
    <w:name w:val="Nessuna spaziatura1"/>
    <w:qFormat/>
    <w:pPr>
      <w:spacing w:line="276" w:lineRule="auto"/>
      <w:jc w:val="both"/>
    </w:pPr>
    <w:rPr>
      <w:sz w:val="22"/>
      <w:szCs w:val="22"/>
      <w:lang w:eastAsia="en-US"/>
    </w:rPr>
  </w:style>
  <w:style w:type="paragraph" w:styleId="NormaleWeb">
    <w:name w:val="Normal (Web)"/>
    <w:basedOn w:val="Normale"/>
    <w:qFormat/>
    <w:pPr>
      <w:spacing w:before="280" w:after="280"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qFormat/>
  </w:style>
  <w:style w:type="paragraph" w:styleId="Testonotadichiusura">
    <w:name w:val="endnote text"/>
    <w:basedOn w:val="Normale"/>
    <w:rPr>
      <w:sz w:val="20"/>
      <w:szCs w:val="20"/>
      <w:lang w:val="x-none"/>
    </w:rPr>
  </w:style>
  <w:style w:type="paragraph" w:customStyle="1" w:styleId="provvr1">
    <w:name w:val="provv_r1"/>
    <w:basedOn w:val="Normale"/>
    <w:qFormat/>
    <w:pPr>
      <w:spacing w:before="280" w:after="280" w:line="240" w:lineRule="auto"/>
      <w:ind w:firstLine="400"/>
    </w:pPr>
    <w:rPr>
      <w:rFonts w:ascii="Times New Roman" w:hAnsi="Times New Roman"/>
      <w:szCs w:val="24"/>
      <w:lang w:eastAsia="it-IT"/>
    </w:rPr>
  </w:style>
  <w:style w:type="paragraph" w:styleId="Testocommento">
    <w:name w:val="annotation text"/>
    <w:basedOn w:val="Normale"/>
    <w:qFormat/>
    <w:rPr>
      <w:sz w:val="20"/>
      <w:szCs w:val="20"/>
      <w:lang w:val="x-none"/>
    </w:rPr>
  </w:style>
  <w:style w:type="paragraph" w:styleId="Soggettocommento">
    <w:name w:val="annotation subject"/>
    <w:basedOn w:val="Testocommento"/>
    <w:next w:val="Testocommento"/>
    <w:qFormat/>
    <w:rPr>
      <w:b/>
      <w:bCs/>
    </w:rPr>
  </w:style>
  <w:style w:type="paragraph" w:customStyle="1" w:styleId="stile10">
    <w:name w:val="stile1"/>
    <w:basedOn w:val="Normale"/>
    <w:qFormat/>
    <w:pPr>
      <w:spacing w:before="280" w:after="280" w:line="240" w:lineRule="auto"/>
    </w:pPr>
    <w:rPr>
      <w:rFonts w:ascii="Times New Roman" w:hAnsi="Times New Roman"/>
      <w:szCs w:val="24"/>
      <w:lang w:eastAsia="it-IT"/>
    </w:rPr>
  </w:style>
  <w:style w:type="paragraph" w:customStyle="1" w:styleId="bollo">
    <w:name w:val="bollo"/>
    <w:basedOn w:val="Normale"/>
    <w:qFormat/>
    <w:pPr>
      <w:spacing w:line="567" w:lineRule="atLeast"/>
    </w:pPr>
    <w:rPr>
      <w:rFonts w:ascii="Times New Roman" w:hAnsi="Times New Roman"/>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ind w:left="720"/>
    </w:pPr>
    <w:rPr>
      <w:rFonts w:eastAsia="Calibri"/>
      <w:lang w:eastAsia="it-IT"/>
    </w:rPr>
  </w:style>
  <w:style w:type="paragraph" w:customStyle="1" w:styleId="provvnota">
    <w:name w:val="provv_nota"/>
    <w:basedOn w:val="Normale"/>
    <w:qFormat/>
    <w:pPr>
      <w:spacing w:before="280" w:after="280" w:line="240" w:lineRule="auto"/>
    </w:pPr>
    <w:rPr>
      <w:rFonts w:ascii="Times New Roman" w:hAnsi="Times New Roman"/>
      <w:szCs w:val="24"/>
      <w:lang w:eastAsia="it-IT"/>
    </w:rPr>
  </w:style>
  <w:style w:type="paragraph" w:customStyle="1" w:styleId="provvestremo">
    <w:name w:val="provv_estremo"/>
    <w:basedOn w:val="Normale"/>
    <w:qFormat/>
    <w:pPr>
      <w:spacing w:before="280" w:after="280" w:line="240" w:lineRule="auto"/>
    </w:pPr>
    <w:rPr>
      <w:rFonts w:ascii="Times New Roman" w:hAnsi="Times New Roman"/>
      <w:b/>
      <w:bCs/>
      <w:szCs w:val="24"/>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styleId="Revisione">
    <w:name w:val="Revision"/>
    <w:qFormat/>
    <w:pPr>
      <w:spacing w:line="276" w:lineRule="auto"/>
      <w:jc w:val="both"/>
    </w:pPr>
    <w:rPr>
      <w:rFonts w:eastAsia="Times New Roman"/>
      <w:sz w:val="22"/>
      <w:szCs w:val="22"/>
      <w:lang w:eastAsia="en-US"/>
    </w:rPr>
  </w:style>
  <w:style w:type="paragraph" w:styleId="Rientrocorpodeltesto3">
    <w:name w:val="Body Text Indent 3"/>
    <w:basedOn w:val="Normale"/>
    <w:qFormat/>
    <w:pPr>
      <w:spacing w:after="120"/>
      <w:ind w:left="283"/>
    </w:pPr>
    <w:rPr>
      <w:sz w:val="16"/>
      <w:szCs w:val="16"/>
      <w:lang w:val="x-none"/>
    </w:rPr>
  </w:style>
  <w:style w:type="paragraph" w:customStyle="1" w:styleId="Rub1">
    <w:name w:val="Rub1"/>
    <w:basedOn w:val="Normale"/>
    <w:qFormat/>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qFormat/>
    <w:pPr>
      <w:spacing w:after="120" w:line="480" w:lineRule="auto"/>
    </w:pPr>
    <w:rPr>
      <w:lang w:val="x-none"/>
    </w:rPr>
  </w:style>
  <w:style w:type="paragraph" w:customStyle="1" w:styleId="Rientrocorpodeltesto21">
    <w:name w:val="Rientro corpo del testo 21"/>
    <w:basedOn w:val="Normale"/>
    <w:qFormat/>
    <w:pPr>
      <w:spacing w:line="240" w:lineRule="auto"/>
      <w:ind w:left="360"/>
    </w:pPr>
    <w:rPr>
      <w:rFonts w:ascii="Times New Roman" w:hAnsi="Times New Roman"/>
      <w:szCs w:val="20"/>
      <w:lang w:eastAsia="it-IT"/>
    </w:rPr>
  </w:style>
  <w:style w:type="paragraph" w:customStyle="1" w:styleId="noteapi">
    <w:name w:val="note a piè"/>
    <w:basedOn w:val="Testonotaapidipagina"/>
    <w:qFormat/>
    <w:rPr>
      <w:rFonts w:ascii="Times New Roman" w:hAnsi="Times New Roman"/>
    </w:rPr>
  </w:style>
  <w:style w:type="paragraph" w:styleId="Mappadocumento">
    <w:name w:val="Document Map"/>
    <w:basedOn w:val="Normale"/>
    <w:qFormat/>
    <w:rPr>
      <w:rFonts w:ascii="Tahoma" w:hAnsi="Tahoma"/>
      <w:sz w:val="16"/>
      <w:szCs w:val="16"/>
      <w:lang w:val="x-none"/>
    </w:rPr>
  </w:style>
  <w:style w:type="paragraph" w:customStyle="1" w:styleId="grassetto1">
    <w:name w:val="grassetto1"/>
    <w:basedOn w:val="Normale"/>
    <w:qFormat/>
    <w:pPr>
      <w:spacing w:after="24" w:line="240" w:lineRule="auto"/>
      <w:jc w:val="left"/>
    </w:pPr>
    <w:rPr>
      <w:rFonts w:ascii="Times New Roman" w:hAnsi="Times New Roman"/>
      <w:b/>
      <w:bCs/>
      <w:szCs w:val="24"/>
      <w:lang w:eastAsia="it-IT"/>
    </w:rPr>
  </w:style>
  <w:style w:type="paragraph" w:styleId="Sottotitolo">
    <w:name w:val="Subtitle"/>
    <w:basedOn w:val="Normale"/>
    <w:next w:val="Normale"/>
    <w:qFormat/>
    <w:pPr>
      <w:spacing w:after="60"/>
      <w:jc w:val="center"/>
      <w:outlineLvl w:val="1"/>
    </w:pPr>
    <w:rPr>
      <w:rFonts w:ascii="Cambria" w:hAnsi="Cambria"/>
      <w:szCs w:val="24"/>
      <w:lang w:val="x-none"/>
    </w:rPr>
  </w:style>
  <w:style w:type="paragraph" w:styleId="Titolosommario">
    <w:name w:val="TOC Heading"/>
    <w:basedOn w:val="Titolo1"/>
    <w:next w:val="Normale"/>
    <w:qFormat/>
    <w:pPr>
      <w:jc w:val="left"/>
    </w:pPr>
    <w:rPr>
      <w:rFonts w:eastAsia="Times New Roman"/>
      <w:lang w:val="it-IT" w:eastAsia="it-IT"/>
    </w:rPr>
  </w:style>
  <w:style w:type="paragraph" w:customStyle="1" w:styleId="provvc">
    <w:name w:val="provv_c"/>
    <w:basedOn w:val="Normale"/>
    <w:qFormat/>
    <w:pPr>
      <w:spacing w:before="280" w:after="280" w:line="240" w:lineRule="auto"/>
      <w:jc w:val="center"/>
    </w:pPr>
    <w:rPr>
      <w:rFonts w:ascii="Times New Roman" w:hAnsi="Times New Roman"/>
      <w:szCs w:val="24"/>
      <w:lang w:eastAsia="it-IT"/>
    </w:rPr>
  </w:style>
  <w:style w:type="paragraph" w:styleId="Sommario3">
    <w:name w:val="toc 3"/>
    <w:basedOn w:val="Normale"/>
    <w:next w:val="Normale"/>
    <w:autoRedefine/>
    <w:uiPriority w:val="39"/>
    <w:rsid w:val="00BC51C4"/>
    <w:pPr>
      <w:tabs>
        <w:tab w:val="left" w:pos="1100"/>
        <w:tab w:val="right" w:leader="dot" w:pos="9629"/>
      </w:tabs>
      <w:spacing w:line="240" w:lineRule="auto"/>
      <w:ind w:left="896" w:hanging="454"/>
      <w:jc w:val="left"/>
    </w:pPr>
    <w:rPr>
      <w:iCs/>
      <w:sz w:val="20"/>
      <w:szCs w:val="20"/>
    </w:rPr>
  </w:style>
  <w:style w:type="paragraph" w:customStyle="1" w:styleId="Rientrocorpodeltesto211">
    <w:name w:val="Rientro corpo del testo 211"/>
    <w:basedOn w:val="Normale"/>
    <w:qFormat/>
    <w:pPr>
      <w:spacing w:line="240" w:lineRule="auto"/>
      <w:ind w:left="360"/>
    </w:pPr>
    <w:rPr>
      <w:rFonts w:ascii="Times New Roman" w:hAnsi="Times New Roman"/>
      <w:szCs w:val="20"/>
      <w:lang w:eastAsia="it-IT"/>
    </w:rPr>
  </w:style>
  <w:style w:type="paragraph" w:styleId="Rientrocorpodeltesto2">
    <w:name w:val="Body Text Indent 2"/>
    <w:basedOn w:val="Normale"/>
    <w:qFormat/>
    <w:pPr>
      <w:tabs>
        <w:tab w:val="left" w:pos="1068"/>
      </w:tabs>
      <w:spacing w:line="240" w:lineRule="auto"/>
      <w:ind w:left="720"/>
    </w:pPr>
    <w:rPr>
      <w:rFonts w:ascii="Times New Roman" w:hAnsi="Times New Roman"/>
      <w:szCs w:val="24"/>
      <w:lang w:eastAsia="it-IT"/>
    </w:rPr>
  </w:style>
  <w:style w:type="paragraph" w:customStyle="1" w:styleId="sche3">
    <w:name w:val="sche_3"/>
    <w:qFormat/>
    <w:pPr>
      <w:widowControl w:val="0"/>
      <w:jc w:val="both"/>
      <w:textAlignment w:val="baseline"/>
    </w:pPr>
    <w:rPr>
      <w:rFonts w:ascii="Times New Roman" w:eastAsia="Times New Roman" w:hAnsi="Times New Roman"/>
      <w:sz w:val="24"/>
      <w:lang w:val="en-US"/>
    </w:rPr>
  </w:style>
  <w:style w:type="paragraph" w:customStyle="1" w:styleId="Text2">
    <w:name w:val="Text 2"/>
    <w:basedOn w:val="Normale"/>
    <w:qFormat/>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paragraph" w:styleId="Corpodeltesto3">
    <w:name w:val="Body Text 3"/>
    <w:basedOn w:val="Normale"/>
    <w:qFormat/>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paragraph" w:customStyle="1" w:styleId="Rub3">
    <w:name w:val="Rub3"/>
    <w:basedOn w:val="Normale"/>
    <w:next w:val="Normale"/>
    <w:qFormat/>
    <w:pPr>
      <w:tabs>
        <w:tab w:val="left" w:pos="709"/>
      </w:tabs>
      <w:spacing w:line="240" w:lineRule="auto"/>
    </w:pPr>
    <w:rPr>
      <w:rFonts w:ascii="Times New Roman" w:hAnsi="Times New Roman"/>
      <w:b/>
      <w:i/>
      <w:sz w:val="20"/>
      <w:szCs w:val="20"/>
      <w:lang w:eastAsia="it-IT"/>
    </w:rPr>
  </w:style>
  <w:style w:type="paragraph" w:customStyle="1" w:styleId="Titoloparagrafobandotipo">
    <w:name w:val="Titolo paragrafo bando tipo"/>
    <w:basedOn w:val="Sottotitolo"/>
    <w:autoRedefine/>
    <w:qFormat/>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pPr>
      <w:widowControl/>
      <w:spacing w:line="240" w:lineRule="auto"/>
      <w:jc w:val="left"/>
    </w:pPr>
    <w:rPr>
      <w:rFonts w:ascii="EUAlbertina" w:hAnsi="EUAlbertina" w:cs="Times New Roman"/>
      <w:color w:val="auto"/>
    </w:rPr>
  </w:style>
  <w:style w:type="paragraph" w:customStyle="1" w:styleId="CM31">
    <w:name w:val="CM3+1"/>
    <w:basedOn w:val="Default"/>
    <w:next w:val="Default"/>
    <w:qFormat/>
    <w:pPr>
      <w:widowControl/>
      <w:spacing w:line="240" w:lineRule="auto"/>
      <w:jc w:val="left"/>
    </w:pPr>
    <w:rPr>
      <w:rFonts w:ascii="EUAlbertina" w:hAnsi="EUAlbertina" w:cs="Times New Roman"/>
      <w:color w:val="auto"/>
    </w:rPr>
  </w:style>
  <w:style w:type="paragraph" w:styleId="Nessunaspaziatura">
    <w:name w:val="No Spacing"/>
    <w:qFormat/>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Pr>
      <w:rFonts w:cs="Calibri"/>
      <w:szCs w:val="24"/>
      <w:lang w:eastAsia="it-IT"/>
    </w:rPr>
  </w:style>
  <w:style w:type="paragraph" w:styleId="Sommario4">
    <w:name w:val="toc 4"/>
    <w:basedOn w:val="Normale"/>
    <w:next w:val="Normale"/>
    <w:autoRedefine/>
    <w:pPr>
      <w:ind w:left="660"/>
      <w:jc w:val="left"/>
    </w:pPr>
    <w:rPr>
      <w:rFonts w:ascii="Calibri" w:hAnsi="Calibri"/>
      <w:sz w:val="18"/>
      <w:szCs w:val="18"/>
    </w:rPr>
  </w:style>
  <w:style w:type="paragraph" w:styleId="Sommario5">
    <w:name w:val="toc 5"/>
    <w:basedOn w:val="Normale"/>
    <w:next w:val="Normale"/>
    <w:autoRedefine/>
    <w:pPr>
      <w:ind w:left="880"/>
      <w:jc w:val="left"/>
    </w:pPr>
    <w:rPr>
      <w:rFonts w:ascii="Calibri" w:hAnsi="Calibri"/>
      <w:sz w:val="18"/>
      <w:szCs w:val="18"/>
    </w:rPr>
  </w:style>
  <w:style w:type="paragraph" w:styleId="Sommario6">
    <w:name w:val="toc 6"/>
    <w:basedOn w:val="Normale"/>
    <w:next w:val="Normale"/>
    <w:autoRedefine/>
    <w:pPr>
      <w:ind w:left="1100"/>
      <w:jc w:val="left"/>
    </w:pPr>
    <w:rPr>
      <w:rFonts w:ascii="Calibri" w:hAnsi="Calibri"/>
      <w:sz w:val="18"/>
      <w:szCs w:val="18"/>
    </w:rPr>
  </w:style>
  <w:style w:type="paragraph" w:styleId="Sommario7">
    <w:name w:val="toc 7"/>
    <w:basedOn w:val="Normale"/>
    <w:next w:val="Normale"/>
    <w:autoRedefine/>
    <w:pPr>
      <w:ind w:left="1320"/>
      <w:jc w:val="left"/>
    </w:pPr>
    <w:rPr>
      <w:rFonts w:ascii="Calibri" w:hAnsi="Calibri"/>
      <w:sz w:val="18"/>
      <w:szCs w:val="18"/>
    </w:rPr>
  </w:style>
  <w:style w:type="paragraph" w:styleId="Sommario8">
    <w:name w:val="toc 8"/>
    <w:basedOn w:val="Normale"/>
    <w:next w:val="Normale"/>
    <w:autoRedefine/>
    <w:pPr>
      <w:ind w:left="1540"/>
      <w:jc w:val="left"/>
    </w:pPr>
    <w:rPr>
      <w:rFonts w:ascii="Calibri" w:hAnsi="Calibri"/>
      <w:sz w:val="18"/>
      <w:szCs w:val="18"/>
    </w:rPr>
  </w:style>
  <w:style w:type="paragraph" w:styleId="Sommario9">
    <w:name w:val="toc 9"/>
    <w:basedOn w:val="Normale"/>
    <w:next w:val="Normale"/>
    <w:autoRedefine/>
    <w:pPr>
      <w:ind w:left="1760"/>
      <w:jc w:val="left"/>
    </w:pPr>
    <w:rPr>
      <w:rFonts w:ascii="Calibri" w:hAnsi="Calibri"/>
      <w:sz w:val="18"/>
      <w:szCs w:val="18"/>
    </w:rPr>
  </w:style>
  <w:style w:type="paragraph" w:styleId="Testonormale">
    <w:name w:val="Plain Text"/>
    <w:basedOn w:val="Normale"/>
    <w:qFormat/>
    <w:pPr>
      <w:jc w:val="left"/>
    </w:pPr>
    <w:rPr>
      <w:rFonts w:cs="Consolas"/>
      <w:szCs w:val="21"/>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Standard">
    <w:name w:val="Standard"/>
    <w:qFormat/>
    <w:pPr>
      <w:suppressAutoHyphens/>
      <w:spacing w:after="160" w:line="259" w:lineRule="auto"/>
      <w:textAlignment w:val="baseline"/>
    </w:pPr>
    <w:rPr>
      <w:sz w:val="24"/>
      <w:lang w:eastAsia="en-US"/>
    </w:r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Testocitato">
    <w:name w:val="Testo citato"/>
    <w:basedOn w:val="Normale"/>
    <w:qFormat/>
    <w:pPr>
      <w:spacing w:after="283"/>
      <w:ind w:left="567" w:right="567"/>
    </w:pPr>
  </w:style>
  <w:style w:type="paragraph" w:customStyle="1" w:styleId="DefinitionTerm">
    <w:name w:val="Definition Term"/>
    <w:basedOn w:val="Normale"/>
    <w:qFormat/>
  </w:style>
  <w:style w:type="paragraph" w:customStyle="1" w:styleId="DefinitionList">
    <w:name w:val="Definition List"/>
    <w:basedOn w:val="Normale"/>
    <w:qFormat/>
    <w:pPr>
      <w:ind w:left="360"/>
    </w:pPr>
  </w:style>
  <w:style w:type="paragraph" w:customStyle="1" w:styleId="H1">
    <w:name w:val="H1"/>
    <w:basedOn w:val="Normale"/>
    <w:qFormat/>
    <w:pPr>
      <w:keepNext/>
      <w:spacing w:before="100" w:after="100"/>
      <w:outlineLvl w:val="1"/>
    </w:pPr>
    <w:rPr>
      <w:b/>
      <w:kern w:val="2"/>
      <w:sz w:val="48"/>
    </w:rPr>
  </w:style>
  <w:style w:type="paragraph" w:customStyle="1" w:styleId="H2">
    <w:name w:val="H2"/>
    <w:basedOn w:val="Normale"/>
    <w:qFormat/>
    <w:pPr>
      <w:keepNext/>
      <w:spacing w:before="100" w:after="100"/>
      <w:outlineLvl w:val="2"/>
    </w:pPr>
    <w:rPr>
      <w:b/>
      <w:sz w:val="36"/>
    </w:rPr>
  </w:style>
  <w:style w:type="paragraph" w:customStyle="1" w:styleId="H3">
    <w:name w:val="H3"/>
    <w:basedOn w:val="Normale"/>
    <w:qFormat/>
    <w:pPr>
      <w:keepNext/>
      <w:spacing w:before="100" w:after="100"/>
      <w:outlineLvl w:val="3"/>
    </w:pPr>
    <w:rPr>
      <w:b/>
      <w:sz w:val="28"/>
    </w:rPr>
  </w:style>
  <w:style w:type="paragraph" w:customStyle="1" w:styleId="H4">
    <w:name w:val="H4"/>
    <w:basedOn w:val="Normale"/>
    <w:qFormat/>
    <w:pPr>
      <w:keepNext/>
      <w:spacing w:before="100" w:after="100"/>
      <w:outlineLvl w:val="4"/>
    </w:pPr>
    <w:rPr>
      <w:b/>
    </w:rPr>
  </w:style>
  <w:style w:type="paragraph" w:customStyle="1" w:styleId="H5">
    <w:name w:val="H5"/>
    <w:basedOn w:val="Normale"/>
    <w:qFormat/>
    <w:pPr>
      <w:keepNext/>
      <w:spacing w:before="100" w:after="100"/>
      <w:outlineLvl w:val="5"/>
    </w:pPr>
    <w:rPr>
      <w:b/>
      <w:sz w:val="20"/>
    </w:rPr>
  </w:style>
  <w:style w:type="paragraph" w:customStyle="1" w:styleId="H6">
    <w:name w:val="H6"/>
    <w:basedOn w:val="Normale"/>
    <w:qFormat/>
    <w:pPr>
      <w:keepNext/>
      <w:spacing w:before="100" w:after="100"/>
      <w:outlineLvl w:val="6"/>
    </w:pPr>
    <w:rPr>
      <w:b/>
      <w:sz w:val="16"/>
    </w:rPr>
  </w:style>
  <w:style w:type="paragraph" w:customStyle="1" w:styleId="Address">
    <w:name w:val="Address"/>
    <w:basedOn w:val="Normale"/>
    <w:qFormat/>
    <w:rPr>
      <w:i/>
    </w:rPr>
  </w:style>
  <w:style w:type="paragraph" w:customStyle="1" w:styleId="Blockquote">
    <w:name w:val="Blockquote"/>
    <w:basedOn w:val="Normale"/>
    <w:qFormat/>
    <w:pPr>
      <w:spacing w:before="100" w:after="100"/>
      <w:ind w:left="360" w:right="360"/>
    </w:p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style>
  <w:style w:type="numbering" w:customStyle="1" w:styleId="Stile2">
    <w:name w:val="Stile2"/>
    <w:qFormat/>
  </w:style>
  <w:style w:type="numbering" w:customStyle="1" w:styleId="WW8Num27">
    <w:name w:val="WW8Num27"/>
    <w:qFormat/>
  </w:style>
  <w:style w:type="table" w:styleId="Grigliatabella">
    <w:name w:val="Table Grid"/>
    <w:basedOn w:val="Tabellanormale"/>
    <w:uiPriority w:val="39"/>
    <w:rsid w:val="0051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2E4A"/>
    <w:rPr>
      <w:color w:val="0563C1" w:themeColor="hyperlink"/>
      <w:u w:val="single"/>
    </w:rPr>
  </w:style>
  <w:style w:type="table" w:styleId="Grigliatabellachiara">
    <w:name w:val="Grid Table Light"/>
    <w:basedOn w:val="Tabellanormale"/>
    <w:uiPriority w:val="40"/>
    <w:rsid w:val="00D80C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notaapidipagina">
    <w:name w:val="footnote reference"/>
    <w:basedOn w:val="Carpredefinitoparagrafo"/>
    <w:uiPriority w:val="99"/>
    <w:semiHidden/>
    <w:unhideWhenUsed/>
    <w:rsid w:val="009B0C28"/>
    <w:rPr>
      <w:vertAlign w:val="superscript"/>
    </w:rPr>
  </w:style>
  <w:style w:type="character" w:styleId="Collegamentovisitato">
    <w:name w:val="FollowedHyperlink"/>
    <w:basedOn w:val="Carpredefinitoparagrafo"/>
    <w:uiPriority w:val="99"/>
    <w:semiHidden/>
    <w:unhideWhenUsed/>
    <w:rsid w:val="00201412"/>
    <w:rPr>
      <w:color w:val="954F72" w:themeColor="followedHyperlink"/>
      <w:u w:val="single"/>
    </w:rPr>
  </w:style>
  <w:style w:type="character" w:customStyle="1" w:styleId="Menzionenonrisolta2">
    <w:name w:val="Menzione non risolta2"/>
    <w:basedOn w:val="Carpredefinitoparagrafo"/>
    <w:uiPriority w:val="99"/>
    <w:semiHidden/>
    <w:unhideWhenUsed/>
    <w:rsid w:val="004E396B"/>
    <w:rPr>
      <w:color w:val="605E5C"/>
      <w:shd w:val="clear" w:color="auto" w:fill="E1DFDD"/>
    </w:rPr>
  </w:style>
  <w:style w:type="character" w:customStyle="1" w:styleId="Menzionenonrisolta3">
    <w:name w:val="Menzione non risolta3"/>
    <w:basedOn w:val="Carpredefinitoparagrafo"/>
    <w:uiPriority w:val="99"/>
    <w:semiHidden/>
    <w:unhideWhenUsed/>
    <w:rsid w:val="004B4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6119">
      <w:bodyDiv w:val="1"/>
      <w:marLeft w:val="0"/>
      <w:marRight w:val="0"/>
      <w:marTop w:val="0"/>
      <w:marBottom w:val="0"/>
      <w:divBdr>
        <w:top w:val="none" w:sz="0" w:space="0" w:color="auto"/>
        <w:left w:val="none" w:sz="0" w:space="0" w:color="auto"/>
        <w:bottom w:val="none" w:sz="0" w:space="0" w:color="auto"/>
        <w:right w:val="none" w:sz="0" w:space="0" w:color="auto"/>
      </w:divBdr>
    </w:div>
    <w:div w:id="223683947">
      <w:bodyDiv w:val="1"/>
      <w:marLeft w:val="0"/>
      <w:marRight w:val="0"/>
      <w:marTop w:val="0"/>
      <w:marBottom w:val="0"/>
      <w:divBdr>
        <w:top w:val="none" w:sz="0" w:space="0" w:color="auto"/>
        <w:left w:val="none" w:sz="0" w:space="0" w:color="auto"/>
        <w:bottom w:val="none" w:sz="0" w:space="0" w:color="auto"/>
        <w:right w:val="none" w:sz="0" w:space="0" w:color="auto"/>
      </w:divBdr>
    </w:div>
    <w:div w:id="274946685">
      <w:bodyDiv w:val="1"/>
      <w:marLeft w:val="0"/>
      <w:marRight w:val="0"/>
      <w:marTop w:val="0"/>
      <w:marBottom w:val="0"/>
      <w:divBdr>
        <w:top w:val="none" w:sz="0" w:space="0" w:color="auto"/>
        <w:left w:val="none" w:sz="0" w:space="0" w:color="auto"/>
        <w:bottom w:val="none" w:sz="0" w:space="0" w:color="auto"/>
        <w:right w:val="none" w:sz="0" w:space="0" w:color="auto"/>
      </w:divBdr>
    </w:div>
    <w:div w:id="369112057">
      <w:bodyDiv w:val="1"/>
      <w:marLeft w:val="0"/>
      <w:marRight w:val="0"/>
      <w:marTop w:val="0"/>
      <w:marBottom w:val="0"/>
      <w:divBdr>
        <w:top w:val="none" w:sz="0" w:space="0" w:color="auto"/>
        <w:left w:val="none" w:sz="0" w:space="0" w:color="auto"/>
        <w:bottom w:val="none" w:sz="0" w:space="0" w:color="auto"/>
        <w:right w:val="none" w:sz="0" w:space="0" w:color="auto"/>
      </w:divBdr>
    </w:div>
    <w:div w:id="373119581">
      <w:bodyDiv w:val="1"/>
      <w:marLeft w:val="0"/>
      <w:marRight w:val="0"/>
      <w:marTop w:val="0"/>
      <w:marBottom w:val="0"/>
      <w:divBdr>
        <w:top w:val="none" w:sz="0" w:space="0" w:color="auto"/>
        <w:left w:val="none" w:sz="0" w:space="0" w:color="auto"/>
        <w:bottom w:val="none" w:sz="0" w:space="0" w:color="auto"/>
        <w:right w:val="none" w:sz="0" w:space="0" w:color="auto"/>
      </w:divBdr>
    </w:div>
    <w:div w:id="511645752">
      <w:bodyDiv w:val="1"/>
      <w:marLeft w:val="0"/>
      <w:marRight w:val="0"/>
      <w:marTop w:val="0"/>
      <w:marBottom w:val="0"/>
      <w:divBdr>
        <w:top w:val="none" w:sz="0" w:space="0" w:color="auto"/>
        <w:left w:val="none" w:sz="0" w:space="0" w:color="auto"/>
        <w:bottom w:val="none" w:sz="0" w:space="0" w:color="auto"/>
        <w:right w:val="none" w:sz="0" w:space="0" w:color="auto"/>
      </w:divBdr>
    </w:div>
    <w:div w:id="570962877">
      <w:bodyDiv w:val="1"/>
      <w:marLeft w:val="0"/>
      <w:marRight w:val="0"/>
      <w:marTop w:val="0"/>
      <w:marBottom w:val="0"/>
      <w:divBdr>
        <w:top w:val="none" w:sz="0" w:space="0" w:color="auto"/>
        <w:left w:val="none" w:sz="0" w:space="0" w:color="auto"/>
        <w:bottom w:val="none" w:sz="0" w:space="0" w:color="auto"/>
        <w:right w:val="none" w:sz="0" w:space="0" w:color="auto"/>
      </w:divBdr>
    </w:div>
    <w:div w:id="615478402">
      <w:bodyDiv w:val="1"/>
      <w:marLeft w:val="0"/>
      <w:marRight w:val="0"/>
      <w:marTop w:val="0"/>
      <w:marBottom w:val="0"/>
      <w:divBdr>
        <w:top w:val="none" w:sz="0" w:space="0" w:color="auto"/>
        <w:left w:val="none" w:sz="0" w:space="0" w:color="auto"/>
        <w:bottom w:val="none" w:sz="0" w:space="0" w:color="auto"/>
        <w:right w:val="none" w:sz="0" w:space="0" w:color="auto"/>
      </w:divBdr>
    </w:div>
    <w:div w:id="879321098">
      <w:bodyDiv w:val="1"/>
      <w:marLeft w:val="0"/>
      <w:marRight w:val="0"/>
      <w:marTop w:val="0"/>
      <w:marBottom w:val="0"/>
      <w:divBdr>
        <w:top w:val="none" w:sz="0" w:space="0" w:color="auto"/>
        <w:left w:val="none" w:sz="0" w:space="0" w:color="auto"/>
        <w:bottom w:val="none" w:sz="0" w:space="0" w:color="auto"/>
        <w:right w:val="none" w:sz="0" w:space="0" w:color="auto"/>
      </w:divBdr>
    </w:div>
    <w:div w:id="893467469">
      <w:bodyDiv w:val="1"/>
      <w:marLeft w:val="0"/>
      <w:marRight w:val="0"/>
      <w:marTop w:val="0"/>
      <w:marBottom w:val="0"/>
      <w:divBdr>
        <w:top w:val="none" w:sz="0" w:space="0" w:color="auto"/>
        <w:left w:val="none" w:sz="0" w:space="0" w:color="auto"/>
        <w:bottom w:val="none" w:sz="0" w:space="0" w:color="auto"/>
        <w:right w:val="none" w:sz="0" w:space="0" w:color="auto"/>
      </w:divBdr>
    </w:div>
    <w:div w:id="896165886">
      <w:bodyDiv w:val="1"/>
      <w:marLeft w:val="0"/>
      <w:marRight w:val="0"/>
      <w:marTop w:val="0"/>
      <w:marBottom w:val="0"/>
      <w:divBdr>
        <w:top w:val="none" w:sz="0" w:space="0" w:color="auto"/>
        <w:left w:val="none" w:sz="0" w:space="0" w:color="auto"/>
        <w:bottom w:val="none" w:sz="0" w:space="0" w:color="auto"/>
        <w:right w:val="none" w:sz="0" w:space="0" w:color="auto"/>
      </w:divBdr>
    </w:div>
    <w:div w:id="1324431087">
      <w:bodyDiv w:val="1"/>
      <w:marLeft w:val="0"/>
      <w:marRight w:val="0"/>
      <w:marTop w:val="0"/>
      <w:marBottom w:val="0"/>
      <w:divBdr>
        <w:top w:val="none" w:sz="0" w:space="0" w:color="auto"/>
        <w:left w:val="none" w:sz="0" w:space="0" w:color="auto"/>
        <w:bottom w:val="none" w:sz="0" w:space="0" w:color="auto"/>
        <w:right w:val="none" w:sz="0" w:space="0" w:color="auto"/>
      </w:divBdr>
    </w:div>
    <w:div w:id="1407142869">
      <w:bodyDiv w:val="1"/>
      <w:marLeft w:val="0"/>
      <w:marRight w:val="0"/>
      <w:marTop w:val="0"/>
      <w:marBottom w:val="0"/>
      <w:divBdr>
        <w:top w:val="none" w:sz="0" w:space="0" w:color="auto"/>
        <w:left w:val="none" w:sz="0" w:space="0" w:color="auto"/>
        <w:bottom w:val="none" w:sz="0" w:space="0" w:color="auto"/>
        <w:right w:val="none" w:sz="0" w:space="0" w:color="auto"/>
      </w:divBdr>
    </w:div>
    <w:div w:id="1735740779">
      <w:bodyDiv w:val="1"/>
      <w:marLeft w:val="0"/>
      <w:marRight w:val="0"/>
      <w:marTop w:val="0"/>
      <w:marBottom w:val="0"/>
      <w:divBdr>
        <w:top w:val="none" w:sz="0" w:space="0" w:color="auto"/>
        <w:left w:val="none" w:sz="0" w:space="0" w:color="auto"/>
        <w:bottom w:val="none" w:sz="0" w:space="0" w:color="auto"/>
        <w:right w:val="none" w:sz="0" w:space="0" w:color="auto"/>
      </w:divBdr>
    </w:div>
    <w:div w:id="1869444133">
      <w:bodyDiv w:val="1"/>
      <w:marLeft w:val="0"/>
      <w:marRight w:val="0"/>
      <w:marTop w:val="0"/>
      <w:marBottom w:val="0"/>
      <w:divBdr>
        <w:top w:val="none" w:sz="0" w:space="0" w:color="auto"/>
        <w:left w:val="none" w:sz="0" w:space="0" w:color="auto"/>
        <w:bottom w:val="none" w:sz="0" w:space="0" w:color="auto"/>
        <w:right w:val="none" w:sz="0" w:space="0" w:color="auto"/>
      </w:divBdr>
    </w:div>
    <w:div w:id="1903713500">
      <w:bodyDiv w:val="1"/>
      <w:marLeft w:val="0"/>
      <w:marRight w:val="0"/>
      <w:marTop w:val="0"/>
      <w:marBottom w:val="0"/>
      <w:divBdr>
        <w:top w:val="none" w:sz="0" w:space="0" w:color="auto"/>
        <w:left w:val="none" w:sz="0" w:space="0" w:color="auto"/>
        <w:bottom w:val="none" w:sz="0" w:space="0" w:color="auto"/>
        <w:right w:val="none" w:sz="0" w:space="0" w:color="auto"/>
      </w:divBdr>
    </w:div>
    <w:div w:id="2072540280">
      <w:bodyDiv w:val="1"/>
      <w:marLeft w:val="0"/>
      <w:marRight w:val="0"/>
      <w:marTop w:val="0"/>
      <w:marBottom w:val="0"/>
      <w:divBdr>
        <w:top w:val="none" w:sz="0" w:space="0" w:color="auto"/>
        <w:left w:val="none" w:sz="0" w:space="0" w:color="auto"/>
        <w:bottom w:val="none" w:sz="0" w:space="0" w:color="auto"/>
        <w:right w:val="none" w:sz="0" w:space="0" w:color="auto"/>
      </w:divBdr>
    </w:div>
    <w:div w:id="2143376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1993_0385.htm" TargetMode="External"/><Relationship Id="rId13" Type="http://schemas.openxmlformats.org/officeDocument/2006/relationships/hyperlink" Target="https://www.anticorruzione.it/-/gestione-contributi-gara" TargetMode="External"/><Relationship Id="rId18" Type="http://schemas.openxmlformats.org/officeDocument/2006/relationships/hyperlink" Target="http://bd01.leggiditalia.it/cgi-bin/FulShow?TIPO=5&amp;NOTXT=1&amp;KEY=01LX0000107749ART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nticorruzione.it/-/garanzie-finanziarie" TargetMode="External"/><Relationship Id="rId17" Type="http://schemas.openxmlformats.org/officeDocument/2006/relationships/hyperlink" Target="http://www.indicenormativa.it/norma/urn:nir:presidente.repubblica:decreto:1972-10-26;642" TargetMode="External"/><Relationship Id="rId2" Type="http://schemas.openxmlformats.org/officeDocument/2006/relationships/numbering" Target="numbering.xml"/><Relationship Id="rId16" Type="http://schemas.openxmlformats.org/officeDocument/2006/relationships/hyperlink" Target="https://www.anticorruzione.it/-/gestione-contributi-ga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ss.it/ivass/imprese_jsp/HomePage.jsp" TargetMode="External"/><Relationship Id="rId5" Type="http://schemas.openxmlformats.org/officeDocument/2006/relationships/webSettings" Target="webSettings.xml"/><Relationship Id="rId15" Type="http://schemas.openxmlformats.org/officeDocument/2006/relationships/hyperlink" Target="https://www.anticorruzione.it/-/portale-dei-pagamenti-di-anac" TargetMode="External"/><Relationship Id="rId10" Type="http://schemas.openxmlformats.org/officeDocument/2006/relationships/hyperlink" Target="http://www.bancaditalia.it/compiti/vigilanza/avvisi-pub/garanzie-finanziar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caditalia.it/compiti/vigilanza/intermediari/index.html" TargetMode="External"/><Relationship Id="rId14" Type="http://schemas.openxmlformats.org/officeDocument/2006/relationships/hyperlink" Target="https://www.anticorruzione.it/-/gestione-contributi-gar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B0A0-ADE2-45CC-A06A-25CA88DF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4534</TotalTime>
  <Pages>46</Pages>
  <Words>25435</Words>
  <Characters>144982</Characters>
  <Application>Microsoft Office Word</Application>
  <DocSecurity>0</DocSecurity>
  <Lines>1208</Lines>
  <Paragraphs>340</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AVCP</Company>
  <LinksUpToDate>false</LinksUpToDate>
  <CharactersWithSpaces>170077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Laura Savelli</dc:creator>
  <cp:keywords/>
  <dc:description/>
  <cp:lastModifiedBy>Labbadia Alessia</cp:lastModifiedBy>
  <cp:revision>107</cp:revision>
  <cp:lastPrinted>2023-04-13T16:27:00Z</cp:lastPrinted>
  <dcterms:created xsi:type="dcterms:W3CDTF">2023-04-11T14:27:00Z</dcterms:created>
  <dcterms:modified xsi:type="dcterms:W3CDTF">2023-07-06T15:13:00Z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AVCP</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