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2D1" w:rsidRDefault="000B62D1" w:rsidP="00D20EF9">
      <w:pPr>
        <w:tabs>
          <w:tab w:val="clear" w:pos="5664"/>
          <w:tab w:val="clear" w:pos="6265"/>
        </w:tabs>
        <w:spacing w:after="0" w:line="240" w:lineRule="auto"/>
        <w:ind w:left="6521"/>
        <w:jc w:val="right"/>
        <w:rPr>
          <w:b/>
          <w:szCs w:val="24"/>
        </w:rPr>
      </w:pPr>
    </w:p>
    <w:p w:rsidR="00D94A7B" w:rsidRPr="006E1524" w:rsidRDefault="006E1524" w:rsidP="006E1524">
      <w:pPr>
        <w:tabs>
          <w:tab w:val="clear" w:pos="5664"/>
          <w:tab w:val="clear" w:pos="6265"/>
        </w:tabs>
        <w:spacing w:after="0" w:line="240" w:lineRule="auto"/>
        <w:ind w:left="851"/>
        <w:rPr>
          <w:rFonts w:ascii="Gotham Light" w:eastAsiaTheme="majorEastAsia" w:hAnsi="Gotham Light" w:cstheme="majorBidi"/>
          <w:color w:val="2770B7"/>
          <w:sz w:val="28"/>
          <w:szCs w:val="24"/>
        </w:rPr>
      </w:pPr>
      <w:r w:rsidRPr="006E1524">
        <w:rPr>
          <w:rFonts w:ascii="Gotham Light" w:eastAsiaTheme="majorEastAsia" w:hAnsi="Gotham Light" w:cstheme="majorBidi"/>
          <w:color w:val="2770B7"/>
          <w:sz w:val="28"/>
          <w:szCs w:val="24"/>
        </w:rPr>
        <w:t>Presidente</w:t>
      </w:r>
    </w:p>
    <w:p w:rsidR="00D94A7B" w:rsidRDefault="00D94A7B" w:rsidP="00D20EF9">
      <w:pPr>
        <w:tabs>
          <w:tab w:val="clear" w:pos="5664"/>
          <w:tab w:val="clear" w:pos="6265"/>
        </w:tabs>
        <w:spacing w:after="0" w:line="240" w:lineRule="auto"/>
        <w:ind w:left="6521"/>
        <w:jc w:val="right"/>
        <w:rPr>
          <w:b/>
          <w:szCs w:val="24"/>
        </w:rPr>
      </w:pPr>
    </w:p>
    <w:p w:rsidR="006E1524" w:rsidRDefault="006E1524" w:rsidP="00D20EF9">
      <w:pPr>
        <w:tabs>
          <w:tab w:val="clear" w:pos="5664"/>
          <w:tab w:val="clear" w:pos="6265"/>
        </w:tabs>
        <w:spacing w:after="0" w:line="240" w:lineRule="auto"/>
        <w:ind w:left="6521"/>
        <w:jc w:val="right"/>
        <w:rPr>
          <w:b/>
          <w:szCs w:val="24"/>
        </w:rPr>
      </w:pPr>
    </w:p>
    <w:p w:rsidR="005C1D85" w:rsidRDefault="005C1D85" w:rsidP="00D20EF9">
      <w:pPr>
        <w:tabs>
          <w:tab w:val="clear" w:pos="5664"/>
          <w:tab w:val="clear" w:pos="6265"/>
        </w:tabs>
        <w:spacing w:after="0" w:line="240" w:lineRule="auto"/>
        <w:ind w:left="6521"/>
        <w:jc w:val="right"/>
        <w:rPr>
          <w:b/>
          <w:szCs w:val="24"/>
        </w:rPr>
      </w:pPr>
    </w:p>
    <w:p w:rsidR="005C1D85" w:rsidRDefault="005C1D85" w:rsidP="00D20EF9">
      <w:pPr>
        <w:tabs>
          <w:tab w:val="clear" w:pos="5664"/>
          <w:tab w:val="clear" w:pos="6265"/>
        </w:tabs>
        <w:spacing w:after="0" w:line="240" w:lineRule="auto"/>
        <w:ind w:left="6521"/>
        <w:jc w:val="right"/>
        <w:rPr>
          <w:b/>
          <w:szCs w:val="24"/>
        </w:rPr>
      </w:pPr>
    </w:p>
    <w:p w:rsidR="00225A4F" w:rsidRPr="00693AEA" w:rsidRDefault="00225A4F" w:rsidP="00225A4F">
      <w:pPr>
        <w:tabs>
          <w:tab w:val="clear" w:pos="5664"/>
          <w:tab w:val="clear" w:pos="6265"/>
        </w:tabs>
        <w:spacing w:after="0" w:line="240" w:lineRule="auto"/>
        <w:ind w:left="6521"/>
        <w:jc w:val="right"/>
        <w:rPr>
          <w:b/>
          <w:caps/>
          <w:szCs w:val="24"/>
        </w:rPr>
      </w:pPr>
      <w:r w:rsidRPr="00693AEA">
        <w:rPr>
          <w:b/>
          <w:caps/>
          <w:szCs w:val="24"/>
        </w:rPr>
        <w:t>Comune di San Giuseppe Jato</w:t>
      </w:r>
    </w:p>
    <w:p w:rsidR="00225A4F" w:rsidRPr="002644CA" w:rsidRDefault="0075259C" w:rsidP="00225A4F">
      <w:pPr>
        <w:tabs>
          <w:tab w:val="clear" w:pos="5664"/>
          <w:tab w:val="clear" w:pos="6265"/>
        </w:tabs>
        <w:spacing w:after="0" w:line="240" w:lineRule="auto"/>
        <w:ind w:left="6521"/>
        <w:jc w:val="right"/>
        <w:rPr>
          <w:szCs w:val="24"/>
        </w:rPr>
      </w:pPr>
      <w:r>
        <w:rPr>
          <w:szCs w:val="24"/>
        </w:rPr>
        <w:t>Indirizzo [omissis]</w:t>
      </w:r>
    </w:p>
    <w:p w:rsidR="0075259C" w:rsidRDefault="0075259C" w:rsidP="0075259C">
      <w:pPr>
        <w:tabs>
          <w:tab w:val="clear" w:pos="5664"/>
          <w:tab w:val="clear" w:pos="6265"/>
        </w:tabs>
        <w:spacing w:after="0" w:line="240" w:lineRule="auto"/>
        <w:ind w:left="6521"/>
        <w:jc w:val="right"/>
      </w:pPr>
      <w:r>
        <w:t>PEC [omissis]</w:t>
      </w:r>
    </w:p>
    <w:p w:rsidR="00694EBC" w:rsidRPr="001A74BC" w:rsidRDefault="0075259C" w:rsidP="0075259C">
      <w:pPr>
        <w:tabs>
          <w:tab w:val="clear" w:pos="5664"/>
          <w:tab w:val="clear" w:pos="6265"/>
        </w:tabs>
        <w:spacing w:after="0" w:line="240" w:lineRule="auto"/>
        <w:ind w:left="6521"/>
        <w:jc w:val="right"/>
        <w:rPr>
          <w:i/>
          <w:sz w:val="16"/>
          <w:szCs w:val="16"/>
        </w:rPr>
      </w:pPr>
      <w:r w:rsidRPr="0075259C">
        <w:rPr>
          <w:i/>
        </w:rPr>
        <w:t>Alla</w:t>
      </w:r>
      <w:r>
        <w:t xml:space="preserve"> </w:t>
      </w:r>
      <w:r w:rsidR="00225A4F" w:rsidRPr="001A74BC">
        <w:rPr>
          <w:i/>
          <w:sz w:val="16"/>
          <w:szCs w:val="16"/>
        </w:rPr>
        <w:t xml:space="preserve">c.a. del </w:t>
      </w:r>
      <w:r w:rsidR="00040D94" w:rsidRPr="001A74BC">
        <w:rPr>
          <w:i/>
          <w:sz w:val="16"/>
          <w:szCs w:val="16"/>
        </w:rPr>
        <w:t xml:space="preserve">RUP </w:t>
      </w:r>
      <w:r>
        <w:rPr>
          <w:i/>
          <w:sz w:val="16"/>
          <w:szCs w:val="16"/>
        </w:rPr>
        <w:t>[omissis]</w:t>
      </w:r>
    </w:p>
    <w:p w:rsidR="00040D94" w:rsidRPr="001A74BC" w:rsidRDefault="00040D94" w:rsidP="001A74BC">
      <w:pPr>
        <w:pStyle w:val="Paragrafoelenco"/>
        <w:tabs>
          <w:tab w:val="clear" w:pos="4956"/>
          <w:tab w:val="clear" w:pos="5664"/>
          <w:tab w:val="clear" w:pos="6265"/>
        </w:tabs>
        <w:spacing w:after="0" w:line="240" w:lineRule="auto"/>
        <w:ind w:left="4536"/>
        <w:jc w:val="right"/>
        <w:rPr>
          <w:i/>
          <w:sz w:val="16"/>
          <w:szCs w:val="16"/>
        </w:rPr>
      </w:pPr>
      <w:r w:rsidRPr="001A74BC">
        <w:rPr>
          <w:i/>
          <w:sz w:val="16"/>
          <w:szCs w:val="16"/>
        </w:rPr>
        <w:t xml:space="preserve">Alla c.a. del </w:t>
      </w:r>
      <w:proofErr w:type="spellStart"/>
      <w:r w:rsidRPr="001A74BC">
        <w:rPr>
          <w:i/>
          <w:sz w:val="16"/>
          <w:szCs w:val="16"/>
        </w:rPr>
        <w:t>Resp</w:t>
      </w:r>
      <w:proofErr w:type="spellEnd"/>
      <w:r w:rsidRPr="001A74BC">
        <w:rPr>
          <w:i/>
          <w:sz w:val="16"/>
          <w:szCs w:val="16"/>
        </w:rPr>
        <w:t xml:space="preserve">. Settore Tecnico e LL.PP. </w:t>
      </w:r>
      <w:r w:rsidR="0075259C" w:rsidRPr="0075259C">
        <w:rPr>
          <w:i/>
          <w:sz w:val="16"/>
          <w:szCs w:val="16"/>
        </w:rPr>
        <w:t>[omissis]</w:t>
      </w:r>
    </w:p>
    <w:p w:rsidR="00040D94" w:rsidRPr="001A74BC" w:rsidRDefault="00040D94" w:rsidP="001A74BC">
      <w:pPr>
        <w:pStyle w:val="Paragrafoelenco"/>
        <w:tabs>
          <w:tab w:val="clear" w:pos="5664"/>
          <w:tab w:val="clear" w:pos="6265"/>
        </w:tabs>
        <w:spacing w:after="0" w:line="240" w:lineRule="auto"/>
        <w:ind w:left="4678"/>
        <w:jc w:val="right"/>
        <w:rPr>
          <w:sz w:val="16"/>
          <w:szCs w:val="16"/>
        </w:rPr>
        <w:sectPr w:rsidR="00040D94" w:rsidRPr="001A74BC" w:rsidSect="00866323">
          <w:headerReference w:type="default" r:id="rId11"/>
          <w:footerReference w:type="default" r:id="rId12"/>
          <w:pgSz w:w="11906" w:h="16838"/>
          <w:pgMar w:top="1702" w:right="1134" w:bottom="1418" w:left="1134" w:header="1696" w:footer="720" w:gutter="0"/>
          <w:cols w:space="708"/>
          <w:docGrid w:linePitch="360"/>
        </w:sectPr>
      </w:pPr>
      <w:r w:rsidRPr="001A74BC">
        <w:rPr>
          <w:i/>
          <w:sz w:val="16"/>
          <w:szCs w:val="16"/>
        </w:rPr>
        <w:t xml:space="preserve">Alla c.a. del Segretario Generale e RPCT </w:t>
      </w:r>
      <w:r w:rsidR="0075259C" w:rsidRPr="0075259C">
        <w:rPr>
          <w:i/>
          <w:sz w:val="16"/>
          <w:szCs w:val="16"/>
        </w:rPr>
        <w:t>[omissis]</w:t>
      </w:r>
    </w:p>
    <w:p w:rsidR="00D20EF9" w:rsidRDefault="00D20EF9" w:rsidP="0019477D"/>
    <w:p w:rsidR="00C11E78" w:rsidRDefault="00C11E78" w:rsidP="00866323">
      <w:pPr>
        <w:ind w:left="0"/>
      </w:pPr>
    </w:p>
    <w:p w:rsidR="005C1D85" w:rsidRDefault="005C1D85" w:rsidP="00866323">
      <w:pPr>
        <w:ind w:left="0"/>
      </w:pPr>
    </w:p>
    <w:p w:rsidR="005C1D85" w:rsidRDefault="005C1D85" w:rsidP="00866323">
      <w:pPr>
        <w:ind w:left="0"/>
        <w:sectPr w:rsidR="005C1D85" w:rsidSect="00694EBC">
          <w:type w:val="continuous"/>
          <w:pgSz w:w="11906" w:h="16838"/>
          <w:pgMar w:top="1417" w:right="1134" w:bottom="1134" w:left="1134" w:header="2835" w:footer="708" w:gutter="0"/>
          <w:cols w:space="708"/>
          <w:docGrid w:linePitch="360"/>
        </w:sectPr>
      </w:pPr>
    </w:p>
    <w:p w:rsidR="00225A4F" w:rsidRPr="00E907FC" w:rsidRDefault="00225A4F" w:rsidP="00225A4F">
      <w:pPr>
        <w:pStyle w:val="ANAC-TitoloParagrafo"/>
        <w:rPr>
          <w:sz w:val="20"/>
        </w:rPr>
      </w:pPr>
      <w:r w:rsidRPr="00BE308F">
        <w:rPr>
          <w:b/>
        </w:rPr>
        <w:lastRenderedPageBreak/>
        <w:t xml:space="preserve">Fasc. </w:t>
      </w:r>
      <w:proofErr w:type="spellStart"/>
      <w:r w:rsidRPr="00BE308F">
        <w:rPr>
          <w:b/>
        </w:rPr>
        <w:t>Anac</w:t>
      </w:r>
      <w:proofErr w:type="spellEnd"/>
      <w:r w:rsidRPr="00BE308F">
        <w:rPr>
          <w:b/>
        </w:rPr>
        <w:t xml:space="preserve"> n. 3523/2016</w:t>
      </w:r>
      <w:r w:rsidRPr="00704AB2">
        <w:t xml:space="preserve"> </w:t>
      </w:r>
      <w:r w:rsidRPr="00E907FC">
        <w:rPr>
          <w:sz w:val="20"/>
        </w:rPr>
        <w:t>(da citare nella corrispondenza)</w:t>
      </w:r>
    </w:p>
    <w:p w:rsidR="00225A4F" w:rsidRDefault="00225A4F" w:rsidP="00225A4F">
      <w:pPr>
        <w:pStyle w:val="ANAC-TitoloParagrafo"/>
      </w:pPr>
    </w:p>
    <w:p w:rsidR="00225A4F" w:rsidRDefault="00225A4F" w:rsidP="00225A4F">
      <w:pPr>
        <w:pStyle w:val="ANAC-TitoloParagrafo"/>
      </w:pPr>
      <w:r>
        <w:t xml:space="preserve">Oggetto </w:t>
      </w:r>
    </w:p>
    <w:p w:rsidR="00225A4F" w:rsidRPr="00F76AF2" w:rsidRDefault="00225A4F" w:rsidP="00225A4F">
      <w:pPr>
        <w:spacing w:line="276" w:lineRule="auto"/>
        <w:jc w:val="both"/>
        <w:rPr>
          <w:sz w:val="4"/>
        </w:rPr>
      </w:pPr>
    </w:p>
    <w:p w:rsidR="006E1524" w:rsidRPr="006E1524" w:rsidRDefault="006E1524" w:rsidP="006E1524">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76" w:lineRule="auto"/>
        <w:ind w:right="-1"/>
        <w:contextualSpacing/>
        <w:jc w:val="both"/>
        <w:rPr>
          <w:rFonts w:eastAsia="Calibri" w:cs="Calibri"/>
          <w:b/>
        </w:rPr>
      </w:pPr>
      <w:r w:rsidRPr="006E1524">
        <w:rPr>
          <w:rFonts w:eastAsia="Calibri" w:cs="Calibri"/>
          <w:b/>
        </w:rPr>
        <w:t>Comune di San Giuseppe Jato (PA).</w:t>
      </w:r>
    </w:p>
    <w:p w:rsidR="00BE308F" w:rsidRDefault="006E1524" w:rsidP="006E1524">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76" w:lineRule="auto"/>
        <w:ind w:right="-1"/>
        <w:contextualSpacing/>
        <w:jc w:val="both"/>
        <w:rPr>
          <w:rFonts w:eastAsia="Calibri" w:cs="Calibri"/>
          <w:b/>
        </w:rPr>
      </w:pPr>
      <w:r w:rsidRPr="006E1524">
        <w:rPr>
          <w:rFonts w:eastAsia="Calibri" w:cs="Calibri"/>
          <w:b/>
        </w:rPr>
        <w:t xml:space="preserve">Lavori di realizzazione di un palazzetto dello sport con annessa piscina. </w:t>
      </w:r>
    </w:p>
    <w:p w:rsidR="006E1524" w:rsidRPr="006E1524" w:rsidRDefault="006E1524" w:rsidP="006E1524">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76" w:lineRule="auto"/>
        <w:ind w:right="-1"/>
        <w:contextualSpacing/>
        <w:jc w:val="both"/>
        <w:rPr>
          <w:rFonts w:eastAsia="Calibri" w:cs="Calibri"/>
          <w:b/>
        </w:rPr>
      </w:pPr>
      <w:r w:rsidRPr="006E1524">
        <w:rPr>
          <w:rFonts w:eastAsia="Calibri" w:cs="Calibri"/>
          <w:b/>
        </w:rPr>
        <w:t>Importo complessivo € 6.960.000,00. CIG 03578077AB</w:t>
      </w:r>
    </w:p>
    <w:p w:rsidR="005066B7" w:rsidRPr="00DA1876" w:rsidRDefault="00DA1876" w:rsidP="00DA1876">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after="0" w:line="276" w:lineRule="auto"/>
        <w:ind w:right="-1"/>
        <w:contextualSpacing/>
        <w:jc w:val="both"/>
        <w:rPr>
          <w:rFonts w:eastAsia="Calibri" w:cs="Calibri"/>
          <w:b/>
        </w:rPr>
      </w:pPr>
      <w:r w:rsidRPr="00DA1876">
        <w:rPr>
          <w:rFonts w:eastAsia="Calibri" w:cs="Calibri"/>
          <w:b/>
        </w:rPr>
        <w:t xml:space="preserve">Nota </w:t>
      </w:r>
      <w:r w:rsidR="00052A81">
        <w:rPr>
          <w:rFonts w:eastAsia="Calibri" w:cs="Calibri"/>
          <w:b/>
        </w:rPr>
        <w:t xml:space="preserve">di definizione del procedimento </w:t>
      </w:r>
      <w:r w:rsidRPr="00DA1876">
        <w:rPr>
          <w:rFonts w:eastAsia="Calibri" w:cs="Calibri"/>
          <w:b/>
        </w:rPr>
        <w:t>istruttorio ex art. 21 del Regolamento di vigilanza.</w:t>
      </w:r>
    </w:p>
    <w:p w:rsidR="00C11E78" w:rsidRDefault="00C11E78" w:rsidP="00515AE7">
      <w:pPr>
        <w:spacing w:after="0" w:line="276" w:lineRule="auto"/>
        <w:jc w:val="both"/>
      </w:pPr>
    </w:p>
    <w:p w:rsidR="006E1524" w:rsidRPr="006E1524" w:rsidRDefault="006E1524" w:rsidP="006E1524">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spacing w:before="3" w:after="0" w:line="276" w:lineRule="auto"/>
        <w:ind w:right="-1"/>
        <w:contextualSpacing/>
        <w:jc w:val="both"/>
        <w:rPr>
          <w:rFonts w:eastAsia="Calibri" w:cs="Calibri"/>
        </w:rPr>
      </w:pPr>
      <w:r w:rsidRPr="006E1524">
        <w:rPr>
          <w:rFonts w:eastAsia="Calibri" w:cs="Calibri"/>
        </w:rPr>
        <w:t>Dall’esame della documentazione acquisita risulta che le sofferte vicende societarie delle tre ditte che si sono succedute nell’esecuzione hanno condizionato negativamente l’iter tecnico/amministrativo dei lavori specialmente riguardo alla dilazione dei tempi, al punto che l’intervento, a distanza di ben undici anni dall’aggiudicazione, è ben lungi dalla sua conclusione.</w:t>
      </w:r>
    </w:p>
    <w:p w:rsidR="006E1524" w:rsidRPr="006E1524" w:rsidRDefault="006E1524" w:rsidP="006E1524">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spacing w:before="3" w:after="0" w:line="276" w:lineRule="auto"/>
        <w:ind w:right="-1"/>
        <w:contextualSpacing/>
        <w:jc w:val="both"/>
        <w:rPr>
          <w:rFonts w:eastAsia="Calibri" w:cs="Calibri"/>
        </w:rPr>
      </w:pPr>
    </w:p>
    <w:p w:rsidR="006E1524" w:rsidRPr="006E1524" w:rsidRDefault="006E1524" w:rsidP="006E1524">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spacing w:before="3" w:after="0" w:line="276" w:lineRule="auto"/>
        <w:ind w:right="-1"/>
        <w:contextualSpacing/>
        <w:jc w:val="both"/>
        <w:rPr>
          <w:rFonts w:eastAsia="Calibri" w:cs="Calibri"/>
        </w:rPr>
      </w:pPr>
      <w:r w:rsidRPr="006E1524">
        <w:rPr>
          <w:rFonts w:eastAsia="Calibri" w:cs="Calibri"/>
        </w:rPr>
        <w:t xml:space="preserve">Purtuttavia, occorre anche rimarcare che l’intervento è stato caratterizzato da alcuni elementi di sicura criticità ascrivibili all’azione </w:t>
      </w:r>
      <w:r>
        <w:rPr>
          <w:rFonts w:eastAsia="Calibri" w:cs="Calibri"/>
        </w:rPr>
        <w:t>di codesta</w:t>
      </w:r>
      <w:r w:rsidRPr="006E1524">
        <w:rPr>
          <w:rFonts w:eastAsia="Calibri" w:cs="Calibri"/>
        </w:rPr>
        <w:t xml:space="preserve"> Stazione Appaltante.</w:t>
      </w:r>
    </w:p>
    <w:p w:rsidR="006E1524" w:rsidRDefault="006E1524" w:rsidP="006E1524">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spacing w:before="3" w:after="0" w:line="276" w:lineRule="auto"/>
        <w:ind w:right="-1"/>
        <w:contextualSpacing/>
        <w:jc w:val="both"/>
        <w:rPr>
          <w:rFonts w:eastAsia="Calibri" w:cs="Calibri"/>
          <w:iCs/>
          <w:lang w:bidi="it-IT"/>
        </w:rPr>
      </w:pPr>
      <w:r w:rsidRPr="006E1524">
        <w:rPr>
          <w:rFonts w:eastAsia="Calibri" w:cs="Calibri"/>
        </w:rPr>
        <w:t>In primo luogo si rileva che a condizionare negativamente lo svolgimento dei lavori</w:t>
      </w:r>
      <w:r w:rsidR="00050D0D">
        <w:rPr>
          <w:rFonts w:eastAsia="Calibri" w:cs="Calibri"/>
        </w:rPr>
        <w:t>,</w:t>
      </w:r>
      <w:r w:rsidRPr="006E1524">
        <w:rPr>
          <w:rFonts w:eastAsia="Calibri" w:cs="Calibri"/>
        </w:rPr>
        <w:t xml:space="preserve"> in particolar modo nella fase iniziale</w:t>
      </w:r>
      <w:r w:rsidR="00050D0D">
        <w:rPr>
          <w:rFonts w:eastAsia="Calibri" w:cs="Calibri"/>
        </w:rPr>
        <w:t>,</w:t>
      </w:r>
      <w:r w:rsidRPr="006E1524">
        <w:rPr>
          <w:rFonts w:eastAsia="Calibri" w:cs="Calibri"/>
        </w:rPr>
        <w:t xml:space="preserve"> è stata una progettazione non adeguatamente approfondita quantomeno nella valutazione delle caratteristiche </w:t>
      </w:r>
      <w:proofErr w:type="spellStart"/>
      <w:r w:rsidRPr="006E1524">
        <w:rPr>
          <w:rFonts w:eastAsia="Calibri" w:cs="Calibri"/>
        </w:rPr>
        <w:t>geomeccaniche</w:t>
      </w:r>
      <w:proofErr w:type="spellEnd"/>
      <w:r w:rsidRPr="006E1524">
        <w:rPr>
          <w:rFonts w:eastAsia="Calibri" w:cs="Calibri"/>
        </w:rPr>
        <w:t xml:space="preserve"> del terreno tanto da necessitare di consistenti interventi integrativi e modificativi confluiti nella Perizia di variante n. 1 approvata con Determina dirigenziale n. 917 del 20.10.2011. Difatti, </w:t>
      </w:r>
      <w:r w:rsidRPr="006E1524">
        <w:rPr>
          <w:rFonts w:eastAsia="Calibri" w:cs="Calibri"/>
          <w:iCs/>
        </w:rPr>
        <w:t>prima ancora della consegna dei lavori e delle consequenziali opere di sbancamento, si constatava la presenza, a seguito di sondaggi meccanici effettuati dall’impresa, di uno spesso strato di terreno di riporto di scarsa consistenza nei pressi della adiacente strada regionale, non rilevato negli studi geologici e geotecnici a supporto della progettazione definitiva ed esecutiva. Tale circostanza, ritenuta sopravvenuta ed imprevedibile,  faceva propendere per la necessità di realizzare dei tratti di paratia in c.a. da ubicare a monte della struttura del palazzetto e della piscina, in punti ove, per la natura del terreno di scavo, per la distanza ridotta tra la struttura da realizzare e la soprastante strada provinciale, e per la significativa differenza di quota tra le due opere anzi dette, nel caso di sbancamento senza inseriment</w:t>
      </w:r>
      <w:r w:rsidR="00050D0D">
        <w:rPr>
          <w:rFonts w:eastAsia="Calibri" w:cs="Calibri"/>
          <w:iCs/>
        </w:rPr>
        <w:t>o di paratia, si sarebbe potuto</w:t>
      </w:r>
      <w:r w:rsidRPr="006E1524">
        <w:rPr>
          <w:rFonts w:eastAsia="Calibri" w:cs="Calibri"/>
          <w:iCs/>
        </w:rPr>
        <w:t xml:space="preserve"> determinare il franamento delle scarpate di scavo e dissesti alla soprastante strada che ne avrebbero potuto pregiudicare la funzionalità</w:t>
      </w:r>
      <w:r w:rsidRPr="006E1524">
        <w:rPr>
          <w:rFonts w:eastAsia="Calibri" w:cs="Calibri"/>
          <w:i/>
          <w:iCs/>
        </w:rPr>
        <w:t>.</w:t>
      </w:r>
      <w:r w:rsidRPr="006E1524">
        <w:rPr>
          <w:rFonts w:eastAsia="Calibri" w:cs="Calibri"/>
          <w:iCs/>
        </w:rPr>
        <w:t xml:space="preserve"> Inoltre, </w:t>
      </w:r>
      <w:r w:rsidRPr="006E1524">
        <w:rPr>
          <w:rFonts w:eastAsia="Calibri" w:cs="Calibri"/>
          <w:iCs/>
          <w:lang w:bidi="it-IT"/>
        </w:rPr>
        <w:t xml:space="preserve">ultimate le operazioni di sbancamento </w:t>
      </w:r>
      <w:r w:rsidRPr="006E1524">
        <w:rPr>
          <w:rFonts w:eastAsia="Calibri" w:cs="Calibri"/>
          <w:iCs/>
          <w:lang w:bidi="it-IT"/>
        </w:rPr>
        <w:lastRenderedPageBreak/>
        <w:t xml:space="preserve">della piscina si riscontrava che il piano di posa delle fondazioni della stessa era per buona parte costituito da uno strato di terreno di riporto, poco consistente, con scarse caratteristiche </w:t>
      </w:r>
      <w:proofErr w:type="spellStart"/>
      <w:r w:rsidRPr="006E1524">
        <w:rPr>
          <w:rFonts w:eastAsia="Calibri" w:cs="Calibri"/>
          <w:iCs/>
          <w:lang w:bidi="it-IT"/>
        </w:rPr>
        <w:t>geomeccaniche</w:t>
      </w:r>
      <w:proofErr w:type="spellEnd"/>
      <w:r w:rsidRPr="006E1524">
        <w:rPr>
          <w:rFonts w:eastAsia="Calibri" w:cs="Calibri"/>
          <w:iCs/>
          <w:lang w:bidi="it-IT"/>
        </w:rPr>
        <w:t>, sicuramente non idoneo a sopportare i carichi trasmessi dalla platea di fondazione prevista in progetto (così come rilevato nella relazione geologica integrat</w:t>
      </w:r>
      <w:r w:rsidR="00050D0D">
        <w:rPr>
          <w:rFonts w:eastAsia="Calibri" w:cs="Calibri"/>
          <w:iCs/>
          <w:lang w:bidi="it-IT"/>
        </w:rPr>
        <w:t>iva redatta in data 29.09.2011); tale circostanza</w:t>
      </w:r>
      <w:r w:rsidRPr="006E1524">
        <w:rPr>
          <w:rFonts w:eastAsia="Calibri" w:cs="Calibri"/>
          <w:iCs/>
          <w:lang w:bidi="it-IT"/>
        </w:rPr>
        <w:t xml:space="preserve"> suggeriva di apportare una modifica strutturale al progetto cambiando le fondazioni della piscina da dirette a indirette su pali. Occorre rimarcare, inoltre, che le modifiche introdotte con questa variante non sono state risolutive in quanto hanno interessato la sola piscina. Avendo le paratie influenzato lo stato tensionale delle strutture del palazzetto si è reso necessario anche predisporre una variante strutturale per quest’ultimo, perfezionata solo nel 2018. Tale circostanza ha avuto ripercussioni sia sulla consegna totale dei lavori (a lungo richiesta dalle imprese esecutrici e a lungo differita dall’Amministrazione) sia sullo sviluppo delle pretese risarcitorie delle imprese (risolte a seguito di atto di transazione stipulato con la </w:t>
      </w:r>
      <w:r w:rsidR="0075259C" w:rsidRPr="0075259C">
        <w:rPr>
          <w:rFonts w:eastAsia="Calibri" w:cs="Calibri"/>
          <w:i/>
          <w:iCs/>
          <w:lang w:bidi="it-IT"/>
        </w:rPr>
        <w:t>[omissis]</w:t>
      </w:r>
      <w:r w:rsidRPr="006E1524">
        <w:rPr>
          <w:rFonts w:eastAsia="Calibri" w:cs="Calibri"/>
          <w:iCs/>
          <w:lang w:bidi="it-IT"/>
        </w:rPr>
        <w:t xml:space="preserve"> nel maggio 2018). Si ritiene pertanto che </w:t>
      </w:r>
      <w:r w:rsidR="0033096E">
        <w:rPr>
          <w:rFonts w:eastAsia="Calibri" w:cs="Calibri"/>
          <w:iCs/>
          <w:lang w:bidi="it-IT"/>
        </w:rPr>
        <w:t xml:space="preserve">codesta </w:t>
      </w:r>
      <w:r w:rsidRPr="006E1524">
        <w:rPr>
          <w:rFonts w:eastAsia="Calibri" w:cs="Calibri"/>
          <w:iCs/>
          <w:lang w:bidi="it-IT"/>
        </w:rPr>
        <w:t xml:space="preserve">Stazione Appaltante nell’atto di predisporre la Perizia di variante n. 1 non abbia adeguatamente ponderato le cause a cui ricondurre le lavorazioni diverse e/o aggiuntive da inserire in perizia, poiché l’insufficiente caratterizzazione dei terreni di posa avrebbe dovuto suggerire di ricondurre almeno una parte di esse alla fattispecie dell’errore o omissione di progettazione ai sensi dell’art. 25, comma 1, </w:t>
      </w:r>
      <w:proofErr w:type="spellStart"/>
      <w:r w:rsidRPr="006E1524">
        <w:rPr>
          <w:rFonts w:eastAsia="Calibri" w:cs="Calibri"/>
          <w:iCs/>
          <w:lang w:bidi="it-IT"/>
        </w:rPr>
        <w:t>lett</w:t>
      </w:r>
      <w:proofErr w:type="spellEnd"/>
      <w:r w:rsidRPr="006E1524">
        <w:rPr>
          <w:rFonts w:eastAsia="Calibri" w:cs="Calibri"/>
          <w:iCs/>
          <w:lang w:bidi="it-IT"/>
        </w:rPr>
        <w:t>. d) dell’allora vigente l. 109/94.</w:t>
      </w:r>
    </w:p>
    <w:p w:rsidR="00180BB1" w:rsidRPr="00423DCC" w:rsidRDefault="00180BB1" w:rsidP="00180BB1">
      <w:pPr>
        <w:pStyle w:val="Corpotesto"/>
        <w:spacing w:before="3" w:line="276" w:lineRule="auto"/>
        <w:ind w:left="1701" w:right="-1"/>
        <w:contextualSpacing/>
        <w:rPr>
          <w:rFonts w:ascii="Titillium" w:hAnsi="Titillium"/>
          <w:iCs/>
          <w:sz w:val="18"/>
          <w:szCs w:val="18"/>
          <w:lang w:bidi="it-IT"/>
        </w:rPr>
      </w:pPr>
      <w:r>
        <w:rPr>
          <w:rFonts w:ascii="Titillium" w:hAnsi="Titillium"/>
          <w:iCs/>
          <w:sz w:val="18"/>
          <w:szCs w:val="18"/>
          <w:lang w:bidi="it-IT"/>
        </w:rPr>
        <w:t>In secondo luogo si rileva un elevato numero di figure, spesso ricorrenti, che si sono avvicendate nel ruolo di RUP. Tale circostanza, ha avuto effetti sicuramente negativi sull’andamento dei lavori in termini di continuità di gestione configurando una azione amministrativa non improntata ai principi di efficienza e di efficacia, secondo procedure improntate a tempestività, trasparenza e correttezza di cui all’art. 1 dell’allora vigente L. 109/94 (ora trasfusi ne</w:t>
      </w:r>
      <w:r w:rsidRPr="00971FE3">
        <w:rPr>
          <w:rFonts w:ascii="Titillium" w:hAnsi="Titillium"/>
          <w:sz w:val="18"/>
          <w:szCs w:val="18"/>
        </w:rPr>
        <w:t>ll’art. 30 del d.lgs. 50/2016</w:t>
      </w:r>
      <w:r>
        <w:rPr>
          <w:rFonts w:ascii="Titillium" w:hAnsi="Titillium"/>
          <w:sz w:val="18"/>
          <w:szCs w:val="18"/>
        </w:rPr>
        <w:t>).</w:t>
      </w:r>
    </w:p>
    <w:p w:rsidR="006E1524" w:rsidRPr="006E1524" w:rsidRDefault="006E1524" w:rsidP="006E1524">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spacing w:before="3" w:after="0" w:line="276" w:lineRule="auto"/>
        <w:ind w:right="-1"/>
        <w:contextualSpacing/>
        <w:jc w:val="both"/>
        <w:rPr>
          <w:rFonts w:eastAsia="Calibri" w:cs="Calibri"/>
        </w:rPr>
      </w:pPr>
      <w:r w:rsidRPr="006E1524">
        <w:rPr>
          <w:rFonts w:eastAsia="Calibri" w:cs="Calibri"/>
        </w:rPr>
        <w:t xml:space="preserve">Infine, un altro elemento di criticità è costituito dal massiccio ricorso ad affidamenti </w:t>
      </w:r>
      <w:r w:rsidR="00180BB1">
        <w:rPr>
          <w:rFonts w:eastAsia="Calibri" w:cs="Calibri"/>
        </w:rPr>
        <w:t xml:space="preserve">diretti (in prevalenza) o con procedura negoziata </w:t>
      </w:r>
      <w:r w:rsidRPr="006E1524">
        <w:rPr>
          <w:rFonts w:eastAsia="Calibri" w:cs="Calibri"/>
        </w:rPr>
        <w:t xml:space="preserve">di incarichi tecnici a professionisti esterni all’amministrazione, attribuiti con varie motivazioni nell’ambito dell’intervento di cui trattasi. </w:t>
      </w:r>
      <w:r w:rsidR="00180BB1">
        <w:rPr>
          <w:rFonts w:eastAsia="Calibri" w:cs="Calibri"/>
        </w:rPr>
        <w:t>Anomali</w:t>
      </w:r>
      <w:r w:rsidRPr="006E1524">
        <w:rPr>
          <w:rFonts w:eastAsia="Calibri" w:cs="Calibri"/>
        </w:rPr>
        <w:t xml:space="preserve"> </w:t>
      </w:r>
      <w:r w:rsidR="00180BB1">
        <w:rPr>
          <w:rFonts w:eastAsia="Calibri" w:cs="Calibri"/>
        </w:rPr>
        <w:t xml:space="preserve">risultano, peraltro, i </w:t>
      </w:r>
      <w:r w:rsidRPr="006E1524">
        <w:rPr>
          <w:rFonts w:eastAsia="Calibri" w:cs="Calibri"/>
        </w:rPr>
        <w:t>casi in cui un certo incarico tecnico è stato affidato dapprima in via diretta a un determinato prof</w:t>
      </w:r>
      <w:r w:rsidR="00180BB1">
        <w:rPr>
          <w:rFonts w:eastAsia="Calibri" w:cs="Calibri"/>
        </w:rPr>
        <w:t>essionista, poi revocato in considerazione del tetto</w:t>
      </w:r>
      <w:r w:rsidRPr="006E1524">
        <w:rPr>
          <w:rFonts w:eastAsia="Calibri" w:cs="Calibri"/>
        </w:rPr>
        <w:t xml:space="preserve"> massimo di importo </w:t>
      </w:r>
      <w:r w:rsidR="00180BB1">
        <w:rPr>
          <w:rFonts w:eastAsia="Calibri" w:cs="Calibri"/>
        </w:rPr>
        <w:t xml:space="preserve">consentito </w:t>
      </w:r>
      <w:r w:rsidRPr="006E1524">
        <w:rPr>
          <w:rFonts w:eastAsia="Calibri" w:cs="Calibri"/>
        </w:rPr>
        <w:t>per l’affidamento diretto e poi riaffidato allo stesso professionista al termine dell’esperimento di una procedura negoziata tra più professionisti. Pertanto, per un verso si evidenzia una spesa notevole (ben € 828.90</w:t>
      </w:r>
      <w:r w:rsidR="00097289">
        <w:rPr>
          <w:rFonts w:eastAsia="Calibri" w:cs="Calibri"/>
        </w:rPr>
        <w:t>6,41) per compensi</w:t>
      </w:r>
      <w:r w:rsidRPr="006E1524">
        <w:rPr>
          <w:rFonts w:eastAsia="Calibri" w:cs="Calibri"/>
        </w:rPr>
        <w:t xml:space="preserve"> </w:t>
      </w:r>
      <w:r w:rsidR="00180BB1">
        <w:rPr>
          <w:rFonts w:eastAsia="Calibri" w:cs="Calibri"/>
        </w:rPr>
        <w:t>a professionisti e</w:t>
      </w:r>
      <w:r w:rsidR="00097289">
        <w:rPr>
          <w:rFonts w:eastAsia="Calibri" w:cs="Calibri"/>
        </w:rPr>
        <w:t>sterni, abbondantemente sopra la soglia comunitaria</w:t>
      </w:r>
      <w:r w:rsidRPr="006E1524">
        <w:rPr>
          <w:rFonts w:eastAsia="Calibri" w:cs="Calibri"/>
        </w:rPr>
        <w:t>, atteso che alcune prestazioni avrebbero potuto essere accorpate e affidate a mezzo di procedura ad evidenza pubblica; per altro</w:t>
      </w:r>
      <w:r w:rsidR="00097289">
        <w:rPr>
          <w:rFonts w:eastAsia="Calibri" w:cs="Calibri"/>
        </w:rPr>
        <w:t xml:space="preserve"> verso, si rileva</w:t>
      </w:r>
      <w:r w:rsidRPr="006E1524">
        <w:rPr>
          <w:rFonts w:eastAsia="Calibri" w:cs="Calibri"/>
        </w:rPr>
        <w:t xml:space="preserve"> una scarsa trasparenza nelle modalità utilizzate per l’individuazione dei professionisti.</w:t>
      </w:r>
    </w:p>
    <w:p w:rsidR="00DA1876" w:rsidRDefault="00DA1876" w:rsidP="00097289">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spacing w:before="3" w:after="0" w:line="276" w:lineRule="auto"/>
        <w:ind w:left="0" w:right="-1"/>
        <w:contextualSpacing/>
        <w:jc w:val="both"/>
        <w:rPr>
          <w:rFonts w:eastAsia="Calibri" w:cs="Calibri"/>
          <w:w w:val="105"/>
        </w:rPr>
      </w:pPr>
    </w:p>
    <w:p w:rsidR="006E1524" w:rsidRDefault="006E1524" w:rsidP="006E1524">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spacing w:before="3" w:after="0" w:line="276" w:lineRule="auto"/>
        <w:ind w:right="-1"/>
        <w:contextualSpacing/>
        <w:jc w:val="both"/>
        <w:rPr>
          <w:rFonts w:eastAsia="Calibri" w:cs="Calibri"/>
          <w:w w:val="105"/>
        </w:rPr>
      </w:pPr>
      <w:r w:rsidRPr="006E1524">
        <w:rPr>
          <w:rFonts w:eastAsia="Calibri" w:cs="Calibri"/>
          <w:w w:val="105"/>
        </w:rPr>
        <w:t xml:space="preserve">Allo stato attuale l’intervento appare giunto ad una cruciale fase di snodo poiché </w:t>
      </w:r>
      <w:r w:rsidR="0033096E">
        <w:rPr>
          <w:rFonts w:eastAsia="Calibri" w:cs="Calibri"/>
          <w:w w:val="105"/>
        </w:rPr>
        <w:t xml:space="preserve">risulta che </w:t>
      </w:r>
      <w:r>
        <w:rPr>
          <w:rFonts w:eastAsia="Calibri" w:cs="Calibri"/>
          <w:w w:val="105"/>
        </w:rPr>
        <w:t xml:space="preserve">codesta </w:t>
      </w:r>
      <w:r w:rsidR="0033096E">
        <w:rPr>
          <w:rFonts w:eastAsia="Calibri" w:cs="Calibri"/>
          <w:w w:val="105"/>
        </w:rPr>
        <w:t xml:space="preserve">Stazione Appaltante ha ultimato </w:t>
      </w:r>
      <w:r w:rsidRPr="006E1524">
        <w:rPr>
          <w:rFonts w:eastAsia="Calibri" w:cs="Calibri"/>
          <w:w w:val="105"/>
        </w:rPr>
        <w:t xml:space="preserve">gli atti relativi alla contabilità finale di quanto sin qui eseguito ed è in attesa di acquisire gli esiti del collaudo, attività propedeutiche alla chiusura definitiva del rapporto con la </w:t>
      </w:r>
      <w:r w:rsidR="000F793F" w:rsidRPr="000F793F">
        <w:rPr>
          <w:rFonts w:eastAsia="Calibri" w:cs="Calibri"/>
          <w:i/>
          <w:w w:val="105"/>
        </w:rPr>
        <w:t>[omissis]</w:t>
      </w:r>
      <w:r w:rsidRPr="006E1524">
        <w:rPr>
          <w:rFonts w:eastAsia="Calibri" w:cs="Calibri"/>
          <w:w w:val="105"/>
        </w:rPr>
        <w:t xml:space="preserve"> e all’affidamento della prosecuzione dei lavori a</w:t>
      </w:r>
      <w:r w:rsidR="000F793F">
        <w:rPr>
          <w:rFonts w:eastAsia="Calibri" w:cs="Calibri"/>
          <w:w w:val="105"/>
        </w:rPr>
        <w:t xml:space="preserve"> </w:t>
      </w:r>
      <w:r w:rsidR="000F793F" w:rsidRPr="000F793F">
        <w:rPr>
          <w:rFonts w:eastAsia="Calibri" w:cs="Calibri"/>
          <w:i/>
          <w:w w:val="105"/>
        </w:rPr>
        <w:t>[omissis]</w:t>
      </w:r>
      <w:r w:rsidRPr="006E1524">
        <w:rPr>
          <w:rFonts w:eastAsia="Calibri" w:cs="Calibri"/>
          <w:w w:val="105"/>
        </w:rPr>
        <w:t>, impresa partecipante all’originaria procedura di gara.</w:t>
      </w:r>
    </w:p>
    <w:p w:rsidR="00DA1876" w:rsidRDefault="00DA1876" w:rsidP="00DA1876">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spacing w:before="3" w:after="0" w:line="276" w:lineRule="auto"/>
        <w:ind w:right="-1"/>
        <w:contextualSpacing/>
        <w:jc w:val="both"/>
        <w:rPr>
          <w:rFonts w:eastAsia="Calibri" w:cs="Calibri"/>
          <w:w w:val="105"/>
        </w:rPr>
      </w:pPr>
      <w:r>
        <w:rPr>
          <w:rFonts w:eastAsia="Calibri" w:cs="Calibri"/>
          <w:w w:val="105"/>
        </w:rPr>
        <w:t>Con riguardo alla prosecuzione dei lavori, si rinvia a codesto Comune la valutazione</w:t>
      </w:r>
      <w:r w:rsidRPr="006E1524">
        <w:rPr>
          <w:rFonts w:eastAsia="Calibri" w:cs="Calibri"/>
          <w:w w:val="105"/>
        </w:rPr>
        <w:t xml:space="preserve"> anche </w:t>
      </w:r>
      <w:r>
        <w:rPr>
          <w:rFonts w:eastAsia="Calibri" w:cs="Calibri"/>
          <w:w w:val="105"/>
        </w:rPr>
        <w:t>del</w:t>
      </w:r>
      <w:r w:rsidRPr="006E1524">
        <w:rPr>
          <w:rFonts w:eastAsia="Calibri" w:cs="Calibri"/>
          <w:w w:val="105"/>
        </w:rPr>
        <w:t>l’opportunità di indire una nuova proced</w:t>
      </w:r>
      <w:bookmarkStart w:id="0" w:name="_GoBack"/>
      <w:bookmarkEnd w:id="0"/>
      <w:r w:rsidRPr="006E1524">
        <w:rPr>
          <w:rFonts w:eastAsia="Calibri" w:cs="Calibri"/>
          <w:w w:val="105"/>
        </w:rPr>
        <w:t>ura gara, ovviamente assoggettata al d.lgs. 50/2016; tale soluzione, da adottare</w:t>
      </w:r>
      <w:r>
        <w:rPr>
          <w:rFonts w:eastAsia="Calibri" w:cs="Calibri"/>
          <w:w w:val="105"/>
        </w:rPr>
        <w:t xml:space="preserve"> unitamente a una revisione </w:t>
      </w:r>
      <w:r w:rsidRPr="006E1524">
        <w:rPr>
          <w:rFonts w:eastAsia="Calibri" w:cs="Calibri"/>
          <w:w w:val="105"/>
        </w:rPr>
        <w:t xml:space="preserve">globale del progetto, </w:t>
      </w:r>
      <w:r>
        <w:rPr>
          <w:rFonts w:eastAsia="Calibri" w:cs="Calibri"/>
          <w:w w:val="105"/>
        </w:rPr>
        <w:t xml:space="preserve">se </w:t>
      </w:r>
      <w:proofErr w:type="spellStart"/>
      <w:r>
        <w:rPr>
          <w:rFonts w:eastAsia="Calibri" w:cs="Calibri"/>
          <w:w w:val="105"/>
        </w:rPr>
        <w:t>necessaria</w:t>
      </w:r>
      <w:proofErr w:type="spellEnd"/>
      <w:r>
        <w:rPr>
          <w:rFonts w:eastAsia="Calibri" w:cs="Calibri"/>
          <w:w w:val="105"/>
        </w:rPr>
        <w:t xml:space="preserve">, </w:t>
      </w:r>
      <w:r w:rsidRPr="006E1524">
        <w:rPr>
          <w:rFonts w:eastAsia="Calibri" w:cs="Calibri"/>
          <w:w w:val="105"/>
        </w:rPr>
        <w:t xml:space="preserve">avrebbe il beneficio di riportare l’intervento all’attualità evitando </w:t>
      </w:r>
      <w:r>
        <w:rPr>
          <w:rFonts w:eastAsia="Calibri" w:cs="Calibri"/>
          <w:w w:val="105"/>
        </w:rPr>
        <w:t>a codesta</w:t>
      </w:r>
      <w:r w:rsidRPr="006E1524">
        <w:rPr>
          <w:rFonts w:eastAsia="Calibri" w:cs="Calibri"/>
          <w:w w:val="105"/>
        </w:rPr>
        <w:t xml:space="preserve"> Stazione Appaltante il rischio di contenziosi con l’impresa appaltatrice per l’aggiornamento delle condizioni economiche</w:t>
      </w:r>
      <w:r>
        <w:rPr>
          <w:rFonts w:eastAsia="Calibri" w:cs="Calibri"/>
          <w:w w:val="105"/>
        </w:rPr>
        <w:t xml:space="preserve"> dell’appalto.</w:t>
      </w:r>
    </w:p>
    <w:p w:rsidR="00DA1876" w:rsidRDefault="00DA1876" w:rsidP="006E1524">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spacing w:before="3" w:after="0" w:line="276" w:lineRule="auto"/>
        <w:ind w:right="-1"/>
        <w:contextualSpacing/>
        <w:jc w:val="both"/>
        <w:rPr>
          <w:rFonts w:eastAsia="Calibri" w:cs="Calibri"/>
          <w:w w:val="105"/>
        </w:rPr>
      </w:pPr>
    </w:p>
    <w:p w:rsidR="00DA1876" w:rsidRPr="006E1524" w:rsidRDefault="00DA1876" w:rsidP="006E1524">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spacing w:before="3" w:after="0" w:line="276" w:lineRule="auto"/>
        <w:ind w:right="-1"/>
        <w:contextualSpacing/>
        <w:jc w:val="both"/>
        <w:rPr>
          <w:rFonts w:eastAsia="Calibri" w:cs="Calibri"/>
          <w:w w:val="105"/>
        </w:rPr>
      </w:pPr>
    </w:p>
    <w:p w:rsidR="00DA1876" w:rsidRPr="004863F8" w:rsidRDefault="00DA1876" w:rsidP="004863F8">
      <w:pPr>
        <w:spacing w:after="0" w:line="276" w:lineRule="auto"/>
        <w:jc w:val="both"/>
      </w:pPr>
      <w:r>
        <w:t xml:space="preserve">In base a quanto sopra esposto ed in attuazione del relativo deliberato consiliare in data </w:t>
      </w:r>
      <w:r w:rsidR="001D608D">
        <w:t xml:space="preserve">24 novembre </w:t>
      </w:r>
      <w:r>
        <w:t>2021, si comunica la definizione della presente istruttoria</w:t>
      </w:r>
      <w:r w:rsidR="00646221">
        <w:t xml:space="preserve"> ai sensi dell’art. 21 del vigente Regolamento </w:t>
      </w:r>
      <w:r w:rsidR="00646221">
        <w:lastRenderedPageBreak/>
        <w:t>di vigilanza</w:t>
      </w:r>
      <w:r>
        <w:t xml:space="preserve">, con invito nei riguardi di codesta stazione appaltante a voler tener conto, per il successivo sviluppo della procedura, di quanto specificatamente dedotto e rilevato nella presente </w:t>
      </w:r>
      <w:r w:rsidR="004863F8">
        <w:t>comunicazione e a voler trasmette</w:t>
      </w:r>
      <w:r>
        <w:t xml:space="preserve">re </w:t>
      </w:r>
      <w:r>
        <w:rPr>
          <w:rFonts w:eastAsia="Calibri" w:cs="Calibri"/>
          <w:w w:val="105"/>
        </w:rPr>
        <w:t xml:space="preserve">il certificato di collaudo e il relativo provvedimento attuativo </w:t>
      </w:r>
      <w:r w:rsidR="004863F8">
        <w:rPr>
          <w:rFonts w:eastAsia="Calibri" w:cs="Calibri"/>
          <w:w w:val="105"/>
        </w:rPr>
        <w:t xml:space="preserve">delle opere eseguite, </w:t>
      </w:r>
      <w:r>
        <w:rPr>
          <w:rFonts w:eastAsia="Calibri" w:cs="Calibri"/>
          <w:w w:val="105"/>
        </w:rPr>
        <w:t>non appena intervenuti</w:t>
      </w:r>
      <w:r>
        <w:t xml:space="preserve"> </w:t>
      </w:r>
      <w:r w:rsidR="004863F8">
        <w:t xml:space="preserve">nonché </w:t>
      </w:r>
      <w:r>
        <w:t>le valutazioni condotte e le in</w:t>
      </w:r>
      <w:r w:rsidR="004863F8">
        <w:t>iziative eventualmente attivate per il completamento dell’opera.</w:t>
      </w:r>
    </w:p>
    <w:p w:rsidR="00DA1876" w:rsidRDefault="00DA1876" w:rsidP="00DA1876">
      <w:pPr>
        <w:spacing w:after="0" w:line="276" w:lineRule="auto"/>
        <w:jc w:val="both"/>
      </w:pPr>
      <w:r>
        <w:t xml:space="preserve">Per il riscontro, si assegna il termine di 30 giorni dal ricevimento della presente ai sensi dell'art. 213, comma 13 del d.gs. 50/2016. </w:t>
      </w:r>
    </w:p>
    <w:p w:rsidR="00C11E78" w:rsidRDefault="00C11E78" w:rsidP="00866323">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spacing w:before="3" w:after="0" w:line="276" w:lineRule="auto"/>
        <w:ind w:right="-1"/>
        <w:contextualSpacing/>
        <w:jc w:val="both"/>
      </w:pPr>
    </w:p>
    <w:p w:rsidR="0000229B" w:rsidRDefault="0000229B" w:rsidP="00515AE7">
      <w:pPr>
        <w:spacing w:after="0" w:line="276" w:lineRule="auto"/>
        <w:jc w:val="both"/>
      </w:pPr>
    </w:p>
    <w:tbl>
      <w:tblPr>
        <w:tblW w:w="4118" w:type="pct"/>
        <w:tblInd w:w="1560" w:type="dxa"/>
        <w:tblLayout w:type="fixed"/>
        <w:tblCellMar>
          <w:top w:w="57" w:type="dxa"/>
          <w:left w:w="57" w:type="dxa"/>
          <w:bottom w:w="57" w:type="dxa"/>
          <w:right w:w="57" w:type="dxa"/>
        </w:tblCellMar>
        <w:tblLook w:val="04A0" w:firstRow="1" w:lastRow="0" w:firstColumn="1" w:lastColumn="0" w:noHBand="0" w:noVBand="1"/>
      </w:tblPr>
      <w:tblGrid>
        <w:gridCol w:w="2692"/>
        <w:gridCol w:w="2269"/>
        <w:gridCol w:w="2977"/>
      </w:tblGrid>
      <w:tr w:rsidR="00FD5640" w:rsidRPr="001D46B5" w:rsidTr="002E1D54">
        <w:trPr>
          <w:trHeight w:val="658"/>
        </w:trPr>
        <w:tc>
          <w:tcPr>
            <w:tcW w:w="1696" w:type="pct"/>
            <w:shd w:val="clear" w:color="auto" w:fill="2770B7"/>
            <w:vAlign w:val="center"/>
          </w:tcPr>
          <w:p w:rsidR="00FD5640" w:rsidRPr="00CA7C8A" w:rsidRDefault="00FD5640" w:rsidP="000F3E11">
            <w:pPr>
              <w:pStyle w:val="ANCATABELLATITOLOBIANCO"/>
              <w:ind w:left="0"/>
              <w:rPr>
                <w:lang w:val="it-IT"/>
              </w:rPr>
            </w:pPr>
          </w:p>
        </w:tc>
        <w:tc>
          <w:tcPr>
            <w:tcW w:w="1429" w:type="pct"/>
            <w:shd w:val="clear" w:color="auto" w:fill="2770B7"/>
          </w:tcPr>
          <w:p w:rsidR="00FD5640" w:rsidRPr="00CA7C8A" w:rsidRDefault="00FD5640" w:rsidP="000F3E11">
            <w:pPr>
              <w:pStyle w:val="ANCATABELLATITOLOBIANCO"/>
              <w:ind w:left="0"/>
              <w:rPr>
                <w:lang w:val="it-IT"/>
              </w:rPr>
            </w:pPr>
          </w:p>
        </w:tc>
        <w:tc>
          <w:tcPr>
            <w:tcW w:w="1875" w:type="pct"/>
            <w:shd w:val="clear" w:color="auto" w:fill="2770B7"/>
            <w:vAlign w:val="center"/>
          </w:tcPr>
          <w:p w:rsidR="00FD5640" w:rsidRPr="00CA7C8A" w:rsidRDefault="00FD5640" w:rsidP="006E1524">
            <w:pPr>
              <w:pStyle w:val="ANCATABELLATITOLOBIANCO"/>
              <w:ind w:left="0"/>
              <w:rPr>
                <w:lang w:val="it-IT"/>
              </w:rPr>
            </w:pPr>
            <w:r w:rsidRPr="00CA7C8A">
              <w:rPr>
                <w:lang w:val="it-IT"/>
              </w:rPr>
              <w:t xml:space="preserve">Il </w:t>
            </w:r>
            <w:r w:rsidR="006E1524">
              <w:rPr>
                <w:lang w:val="it-IT"/>
              </w:rPr>
              <w:t>Presidente</w:t>
            </w:r>
          </w:p>
        </w:tc>
      </w:tr>
      <w:tr w:rsidR="00FD5640" w:rsidRPr="008D38A2" w:rsidTr="002E1D54">
        <w:trPr>
          <w:trHeight w:val="233"/>
        </w:trPr>
        <w:tc>
          <w:tcPr>
            <w:tcW w:w="1696" w:type="pct"/>
            <w:shd w:val="clear" w:color="auto" w:fill="auto"/>
            <w:vAlign w:val="center"/>
          </w:tcPr>
          <w:p w:rsidR="00FD5640" w:rsidRPr="00627BF7" w:rsidRDefault="00FD5640" w:rsidP="000F3E11">
            <w:pPr>
              <w:ind w:left="0"/>
              <w:rPr>
                <w:i/>
              </w:rPr>
            </w:pPr>
          </w:p>
        </w:tc>
        <w:tc>
          <w:tcPr>
            <w:tcW w:w="1429" w:type="pct"/>
            <w:shd w:val="clear" w:color="auto" w:fill="auto"/>
          </w:tcPr>
          <w:p w:rsidR="00FD5640" w:rsidRPr="00627BF7" w:rsidRDefault="00FD5640" w:rsidP="000F3E11">
            <w:pPr>
              <w:ind w:left="0"/>
              <w:rPr>
                <w:i/>
              </w:rPr>
            </w:pPr>
          </w:p>
        </w:tc>
        <w:tc>
          <w:tcPr>
            <w:tcW w:w="1875" w:type="pct"/>
            <w:shd w:val="clear" w:color="auto" w:fill="auto"/>
            <w:vAlign w:val="center"/>
          </w:tcPr>
          <w:p w:rsidR="00FD5640" w:rsidRPr="00627BF7" w:rsidRDefault="006E1524" w:rsidP="005E20B5">
            <w:pPr>
              <w:spacing w:after="0"/>
              <w:ind w:left="0"/>
              <w:rPr>
                <w:i/>
              </w:rPr>
            </w:pPr>
            <w:r>
              <w:rPr>
                <w:i/>
              </w:rPr>
              <w:t xml:space="preserve">Avv. Giuseppe </w:t>
            </w:r>
            <w:proofErr w:type="spellStart"/>
            <w:r>
              <w:rPr>
                <w:i/>
              </w:rPr>
              <w:t>Busia</w:t>
            </w:r>
            <w:proofErr w:type="spellEnd"/>
            <w:r w:rsidR="00FD5640">
              <w:rPr>
                <w:i/>
              </w:rPr>
              <w:t xml:space="preserve">    </w:t>
            </w:r>
          </w:p>
        </w:tc>
      </w:tr>
    </w:tbl>
    <w:p w:rsidR="00644208" w:rsidRDefault="00866323" w:rsidP="005E20B5">
      <w:pPr>
        <w:ind w:left="0"/>
      </w:pPr>
      <w:r>
        <w:rPr>
          <w:i/>
        </w:rPr>
        <w:tab/>
      </w:r>
      <w:r>
        <w:rPr>
          <w:i/>
        </w:rPr>
        <w:tab/>
      </w:r>
      <w:r>
        <w:rPr>
          <w:i/>
        </w:rPr>
        <w:tab/>
      </w:r>
      <w:r>
        <w:rPr>
          <w:i/>
        </w:rPr>
        <w:tab/>
      </w:r>
      <w:r>
        <w:rPr>
          <w:i/>
        </w:rPr>
        <w:tab/>
      </w:r>
      <w:r>
        <w:rPr>
          <w:i/>
        </w:rPr>
        <w:tab/>
      </w:r>
    </w:p>
    <w:sectPr w:rsidR="00644208" w:rsidSect="008302A1">
      <w:headerReference w:type="default" r:id="rId13"/>
      <w:footerReference w:type="default" r:id="rId14"/>
      <w:type w:val="continuous"/>
      <w:pgSz w:w="11906" w:h="16838"/>
      <w:pgMar w:top="2268" w:right="1134" w:bottom="1418" w:left="1134" w:header="720" w:footer="6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D8C" w:rsidRDefault="00A23D8C" w:rsidP="0019477D">
      <w:r>
        <w:separator/>
      </w:r>
    </w:p>
  </w:endnote>
  <w:endnote w:type="continuationSeparator" w:id="0">
    <w:p w:rsidR="00A23D8C" w:rsidRDefault="00A23D8C" w:rsidP="0019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Light">
    <w:altName w:val="Calibri"/>
    <w:panose1 w:val="00000000000000000000"/>
    <w:charset w:val="00"/>
    <w:family w:val="modern"/>
    <w:notTrueType/>
    <w:pitch w:val="variable"/>
    <w:sig w:usb0="A00000AF" w:usb1="5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Titillium Web">
    <w:altName w:val="Times New Roman"/>
    <w:charset w:val="4D"/>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panose1 w:val="00000000000000000000"/>
    <w:charset w:val="00"/>
    <w:family w:val="modern"/>
    <w:notTrueType/>
    <w:pitch w:val="variable"/>
    <w:sig w:usb0="A00000AF" w:usb1="5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Gotham Medium">
    <w:altName w:val="Calibri"/>
    <w:charset w:val="00"/>
    <w:family w:val="auto"/>
    <w:pitch w:val="variable"/>
    <w:sig w:usb0="800000AF" w:usb1="40000048" w:usb2="00000000" w:usb3="00000000" w:csb0="000001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33A" w:rsidRDefault="00DB633A" w:rsidP="0019477D">
    <w:pPr>
      <w:pStyle w:val="Pidipagina"/>
    </w:pPr>
  </w:p>
  <w:p w:rsidR="00DB633A" w:rsidRDefault="00DB633A" w:rsidP="007B080A">
    <w:pPr>
      <w:spacing w:line="276" w:lineRule="auto"/>
      <w:ind w:left="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02C" w:rsidRDefault="00DB002C" w:rsidP="0019477D">
    <w:pPr>
      <w:pStyle w:val="Pidipagina"/>
      <w:rPr>
        <w:noProof/>
      </w:rPr>
    </w:pPr>
  </w:p>
  <w:p w:rsidR="00DB633A" w:rsidRPr="00DB633A" w:rsidRDefault="0019477D" w:rsidP="00DB633A">
    <w:pPr>
      <w:pStyle w:val="Pidipagina"/>
      <w:jc w:val="right"/>
      <w:rPr>
        <w:color w:val="2770B7"/>
      </w:rPr>
    </w:pPr>
    <w:r w:rsidRPr="00FD5BC7">
      <w:rPr>
        <w:rFonts w:ascii="Gotham Light" w:hAnsi="Gotham Light"/>
        <w:color w:val="2770B7"/>
      </w:rPr>
      <w:t>AUTORITÀ NAZIONALE ANTICORRUZIONE</w:t>
    </w:r>
    <w:r w:rsidRPr="00FD5BC7">
      <w:rPr>
        <w:color w:val="2770B7"/>
      </w:rPr>
      <w:t xml:space="preserve"> </w:t>
    </w:r>
    <w:r w:rsidRPr="00FD5BC7">
      <w:rPr>
        <w:rFonts w:ascii="Gotham Light" w:hAnsi="Gotham Light"/>
        <w:color w:val="2770B7"/>
      </w:rPr>
      <w:t xml:space="preserve"> |  </w:t>
    </w:r>
    <w:r w:rsidRPr="00FD5BC7">
      <w:rPr>
        <w:rFonts w:ascii="Gotham Medium" w:hAnsi="Gotham Medium"/>
        <w:color w:val="2770B7"/>
      </w:rPr>
      <w:fldChar w:fldCharType="begin"/>
    </w:r>
    <w:r w:rsidRPr="00FD5BC7">
      <w:rPr>
        <w:rFonts w:ascii="Gotham Medium" w:hAnsi="Gotham Medium"/>
        <w:color w:val="2770B7"/>
      </w:rPr>
      <w:instrText>PAGE  \* Arabic</w:instrText>
    </w:r>
    <w:r w:rsidRPr="00FD5BC7">
      <w:rPr>
        <w:rFonts w:ascii="Gotham Medium" w:hAnsi="Gotham Medium"/>
        <w:color w:val="2770B7"/>
      </w:rPr>
      <w:fldChar w:fldCharType="separate"/>
    </w:r>
    <w:r w:rsidR="000F793F">
      <w:rPr>
        <w:rFonts w:ascii="Gotham Medium" w:hAnsi="Gotham Medium"/>
        <w:noProof/>
        <w:color w:val="2770B7"/>
      </w:rPr>
      <w:t>3</w:t>
    </w:r>
    <w:r w:rsidRPr="00FD5BC7">
      <w:rPr>
        <w:rFonts w:ascii="Gotham Medium" w:hAnsi="Gotham Medium"/>
        <w:color w:val="2770B7"/>
      </w:rPr>
      <w:fldChar w:fldCharType="end"/>
    </w:r>
    <w:r w:rsidRPr="00FD5BC7">
      <w:rPr>
        <w:rFonts w:ascii="Gotham Medium" w:hAnsi="Gotham Medium"/>
        <w:color w:val="2770B7"/>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D8C" w:rsidRDefault="00A23D8C" w:rsidP="0019477D">
      <w:r>
        <w:separator/>
      </w:r>
    </w:p>
  </w:footnote>
  <w:footnote w:type="continuationSeparator" w:id="0">
    <w:p w:rsidR="00A23D8C" w:rsidRDefault="00A23D8C" w:rsidP="001947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EBC" w:rsidRDefault="000B62D1" w:rsidP="000B62D1">
    <w:pPr>
      <w:pStyle w:val="Intestazione"/>
      <w:ind w:left="0"/>
    </w:pPr>
    <w:r w:rsidRPr="000B62D1">
      <w:rPr>
        <w:noProof/>
        <w:lang w:eastAsia="it-IT"/>
      </w:rPr>
      <w:drawing>
        <wp:inline distT="0" distB="0" distL="0" distR="0">
          <wp:extent cx="3248025" cy="384382"/>
          <wp:effectExtent l="0" t="0" r="0" b="0"/>
          <wp:docPr id="14" name="Immagine 14" descr="C:\Users\p.urciuoli\Desktop\Nuovi moduli\MARCHIO_ANAC_SFUMA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rciuoli\Desktop\Nuovi moduli\MARCHIO_ANAC_SFUMAT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7046" cy="39136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02C" w:rsidRDefault="00DB002C" w:rsidP="0019477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30E8"/>
    <w:multiLevelType w:val="hybridMultilevel"/>
    <w:tmpl w:val="E06AE9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335922"/>
    <w:multiLevelType w:val="hybridMultilevel"/>
    <w:tmpl w:val="2CC4C974"/>
    <w:lvl w:ilvl="0" w:tplc="09C062E0">
      <w:start w:val="1"/>
      <w:numFmt w:val="decimal"/>
      <w:pStyle w:val="TitoloParagrafo"/>
      <w:lvlText w:val="%1."/>
      <w:lvlJc w:val="left"/>
      <w:pPr>
        <w:ind w:left="1920" w:hanging="360"/>
      </w:pPr>
      <w:rPr>
        <w:rFonts w:ascii="Gotham Light" w:hAnsi="Gotham Light" w:hint="default"/>
        <w:b/>
        <w:i w:val="0"/>
        <w:color w:val="4472C4" w:themeColor="accent1"/>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abstractNum w:abstractNumId="2" w15:restartNumberingAfterBreak="0">
    <w:nsid w:val="51171D64"/>
    <w:multiLevelType w:val="hybridMultilevel"/>
    <w:tmpl w:val="9A2AC456"/>
    <w:lvl w:ilvl="0" w:tplc="04100001">
      <w:start w:val="1"/>
      <w:numFmt w:val="bullet"/>
      <w:lvlText w:val=""/>
      <w:lvlJc w:val="left"/>
      <w:pPr>
        <w:ind w:left="6390" w:hanging="360"/>
      </w:pPr>
      <w:rPr>
        <w:rFonts w:ascii="Symbol" w:hAnsi="Symbol" w:hint="default"/>
      </w:rPr>
    </w:lvl>
    <w:lvl w:ilvl="1" w:tplc="04100003" w:tentative="1">
      <w:start w:val="1"/>
      <w:numFmt w:val="bullet"/>
      <w:lvlText w:val="o"/>
      <w:lvlJc w:val="left"/>
      <w:pPr>
        <w:ind w:left="7110" w:hanging="360"/>
      </w:pPr>
      <w:rPr>
        <w:rFonts w:ascii="Courier New" w:hAnsi="Courier New" w:cs="Courier New" w:hint="default"/>
      </w:rPr>
    </w:lvl>
    <w:lvl w:ilvl="2" w:tplc="04100005" w:tentative="1">
      <w:start w:val="1"/>
      <w:numFmt w:val="bullet"/>
      <w:lvlText w:val=""/>
      <w:lvlJc w:val="left"/>
      <w:pPr>
        <w:ind w:left="7830" w:hanging="360"/>
      </w:pPr>
      <w:rPr>
        <w:rFonts w:ascii="Wingdings" w:hAnsi="Wingdings" w:hint="default"/>
      </w:rPr>
    </w:lvl>
    <w:lvl w:ilvl="3" w:tplc="04100001" w:tentative="1">
      <w:start w:val="1"/>
      <w:numFmt w:val="bullet"/>
      <w:lvlText w:val=""/>
      <w:lvlJc w:val="left"/>
      <w:pPr>
        <w:ind w:left="8550" w:hanging="360"/>
      </w:pPr>
      <w:rPr>
        <w:rFonts w:ascii="Symbol" w:hAnsi="Symbol" w:hint="default"/>
      </w:rPr>
    </w:lvl>
    <w:lvl w:ilvl="4" w:tplc="04100003" w:tentative="1">
      <w:start w:val="1"/>
      <w:numFmt w:val="bullet"/>
      <w:lvlText w:val="o"/>
      <w:lvlJc w:val="left"/>
      <w:pPr>
        <w:ind w:left="9270" w:hanging="360"/>
      </w:pPr>
      <w:rPr>
        <w:rFonts w:ascii="Courier New" w:hAnsi="Courier New" w:cs="Courier New" w:hint="default"/>
      </w:rPr>
    </w:lvl>
    <w:lvl w:ilvl="5" w:tplc="04100005" w:tentative="1">
      <w:start w:val="1"/>
      <w:numFmt w:val="bullet"/>
      <w:lvlText w:val=""/>
      <w:lvlJc w:val="left"/>
      <w:pPr>
        <w:ind w:left="9990" w:hanging="360"/>
      </w:pPr>
      <w:rPr>
        <w:rFonts w:ascii="Wingdings" w:hAnsi="Wingdings" w:hint="default"/>
      </w:rPr>
    </w:lvl>
    <w:lvl w:ilvl="6" w:tplc="04100001" w:tentative="1">
      <w:start w:val="1"/>
      <w:numFmt w:val="bullet"/>
      <w:lvlText w:val=""/>
      <w:lvlJc w:val="left"/>
      <w:pPr>
        <w:ind w:left="10710" w:hanging="360"/>
      </w:pPr>
      <w:rPr>
        <w:rFonts w:ascii="Symbol" w:hAnsi="Symbol" w:hint="default"/>
      </w:rPr>
    </w:lvl>
    <w:lvl w:ilvl="7" w:tplc="04100003" w:tentative="1">
      <w:start w:val="1"/>
      <w:numFmt w:val="bullet"/>
      <w:lvlText w:val="o"/>
      <w:lvlJc w:val="left"/>
      <w:pPr>
        <w:ind w:left="11430" w:hanging="360"/>
      </w:pPr>
      <w:rPr>
        <w:rFonts w:ascii="Courier New" w:hAnsi="Courier New" w:cs="Courier New" w:hint="default"/>
      </w:rPr>
    </w:lvl>
    <w:lvl w:ilvl="8" w:tplc="04100005" w:tentative="1">
      <w:start w:val="1"/>
      <w:numFmt w:val="bullet"/>
      <w:lvlText w:val=""/>
      <w:lvlJc w:val="left"/>
      <w:pPr>
        <w:ind w:left="12150" w:hanging="360"/>
      </w:pPr>
      <w:rPr>
        <w:rFonts w:ascii="Wingdings" w:hAnsi="Wingdings" w:hint="default"/>
      </w:rPr>
    </w:lvl>
  </w:abstractNum>
  <w:abstractNum w:abstractNumId="3" w15:restartNumberingAfterBreak="0">
    <w:nsid w:val="75F63279"/>
    <w:multiLevelType w:val="hybridMultilevel"/>
    <w:tmpl w:val="35A69264"/>
    <w:lvl w:ilvl="0" w:tplc="AC48C5AC">
      <w:numFmt w:val="bullet"/>
      <w:lvlText w:val="•"/>
      <w:lvlJc w:val="left"/>
      <w:pPr>
        <w:ind w:left="496" w:hanging="372"/>
      </w:pPr>
      <w:rPr>
        <w:rFonts w:ascii="Calibri" w:eastAsia="Calibri" w:hAnsi="Calibri" w:cs="Calibri" w:hint="default"/>
        <w:w w:val="93"/>
        <w:lang w:val="it-IT" w:eastAsia="en-US" w:bidi="ar-SA"/>
      </w:rPr>
    </w:lvl>
    <w:lvl w:ilvl="1" w:tplc="E4C2840E">
      <w:numFmt w:val="bullet"/>
      <w:lvlText w:val="•"/>
      <w:lvlJc w:val="left"/>
      <w:pPr>
        <w:ind w:left="1408" w:hanging="372"/>
      </w:pPr>
      <w:rPr>
        <w:rFonts w:hint="default"/>
        <w:lang w:val="it-IT" w:eastAsia="en-US" w:bidi="ar-SA"/>
      </w:rPr>
    </w:lvl>
    <w:lvl w:ilvl="2" w:tplc="7376131C">
      <w:numFmt w:val="bullet"/>
      <w:lvlText w:val="•"/>
      <w:lvlJc w:val="left"/>
      <w:pPr>
        <w:ind w:left="2316" w:hanging="372"/>
      </w:pPr>
      <w:rPr>
        <w:rFonts w:hint="default"/>
        <w:lang w:val="it-IT" w:eastAsia="en-US" w:bidi="ar-SA"/>
      </w:rPr>
    </w:lvl>
    <w:lvl w:ilvl="3" w:tplc="91D4DA04">
      <w:numFmt w:val="bullet"/>
      <w:lvlText w:val="•"/>
      <w:lvlJc w:val="left"/>
      <w:pPr>
        <w:ind w:left="3224" w:hanging="372"/>
      </w:pPr>
      <w:rPr>
        <w:rFonts w:hint="default"/>
        <w:lang w:val="it-IT" w:eastAsia="en-US" w:bidi="ar-SA"/>
      </w:rPr>
    </w:lvl>
    <w:lvl w:ilvl="4" w:tplc="4D368838">
      <w:numFmt w:val="bullet"/>
      <w:lvlText w:val="•"/>
      <w:lvlJc w:val="left"/>
      <w:pPr>
        <w:ind w:left="4132" w:hanging="372"/>
      </w:pPr>
      <w:rPr>
        <w:rFonts w:hint="default"/>
        <w:lang w:val="it-IT" w:eastAsia="en-US" w:bidi="ar-SA"/>
      </w:rPr>
    </w:lvl>
    <w:lvl w:ilvl="5" w:tplc="308E0712">
      <w:numFmt w:val="bullet"/>
      <w:lvlText w:val="•"/>
      <w:lvlJc w:val="left"/>
      <w:pPr>
        <w:ind w:left="5040" w:hanging="372"/>
      </w:pPr>
      <w:rPr>
        <w:rFonts w:hint="default"/>
        <w:lang w:val="it-IT" w:eastAsia="en-US" w:bidi="ar-SA"/>
      </w:rPr>
    </w:lvl>
    <w:lvl w:ilvl="6" w:tplc="8DE8A776">
      <w:numFmt w:val="bullet"/>
      <w:lvlText w:val="•"/>
      <w:lvlJc w:val="left"/>
      <w:pPr>
        <w:ind w:left="5948" w:hanging="372"/>
      </w:pPr>
      <w:rPr>
        <w:rFonts w:hint="default"/>
        <w:lang w:val="it-IT" w:eastAsia="en-US" w:bidi="ar-SA"/>
      </w:rPr>
    </w:lvl>
    <w:lvl w:ilvl="7" w:tplc="E2D8F462">
      <w:numFmt w:val="bullet"/>
      <w:lvlText w:val="•"/>
      <w:lvlJc w:val="left"/>
      <w:pPr>
        <w:ind w:left="6856" w:hanging="372"/>
      </w:pPr>
      <w:rPr>
        <w:rFonts w:hint="default"/>
        <w:lang w:val="it-IT" w:eastAsia="en-US" w:bidi="ar-SA"/>
      </w:rPr>
    </w:lvl>
    <w:lvl w:ilvl="8" w:tplc="EE1EA684">
      <w:numFmt w:val="bullet"/>
      <w:lvlText w:val="•"/>
      <w:lvlJc w:val="left"/>
      <w:pPr>
        <w:ind w:left="7764" w:hanging="372"/>
      </w:pPr>
      <w:rPr>
        <w:rFonts w:hint="default"/>
        <w:lang w:val="it-IT"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BC"/>
    <w:rsid w:val="0000229B"/>
    <w:rsid w:val="00013788"/>
    <w:rsid w:val="00017CDE"/>
    <w:rsid w:val="00021911"/>
    <w:rsid w:val="000310F6"/>
    <w:rsid w:val="00035E40"/>
    <w:rsid w:val="00040D94"/>
    <w:rsid w:val="00041E0E"/>
    <w:rsid w:val="00050D0D"/>
    <w:rsid w:val="00052A81"/>
    <w:rsid w:val="0006225A"/>
    <w:rsid w:val="00075B8C"/>
    <w:rsid w:val="00097289"/>
    <w:rsid w:val="000A33F7"/>
    <w:rsid w:val="000B3A6A"/>
    <w:rsid w:val="000B62D1"/>
    <w:rsid w:val="000F793F"/>
    <w:rsid w:val="00100848"/>
    <w:rsid w:val="0010244C"/>
    <w:rsid w:val="001128E9"/>
    <w:rsid w:val="00117E1B"/>
    <w:rsid w:val="00120C50"/>
    <w:rsid w:val="00160265"/>
    <w:rsid w:val="00166B01"/>
    <w:rsid w:val="00170BA6"/>
    <w:rsid w:val="00180BB1"/>
    <w:rsid w:val="00182A7F"/>
    <w:rsid w:val="00185B62"/>
    <w:rsid w:val="00186D07"/>
    <w:rsid w:val="0019477D"/>
    <w:rsid w:val="001A74BC"/>
    <w:rsid w:val="001D090C"/>
    <w:rsid w:val="001D608D"/>
    <w:rsid w:val="00210EEB"/>
    <w:rsid w:val="00225A4F"/>
    <w:rsid w:val="00275BC4"/>
    <w:rsid w:val="00283EB9"/>
    <w:rsid w:val="0028549D"/>
    <w:rsid w:val="00293B2C"/>
    <w:rsid w:val="002947F4"/>
    <w:rsid w:val="002A3C88"/>
    <w:rsid w:val="002C11FE"/>
    <w:rsid w:val="002C705A"/>
    <w:rsid w:val="002D60E0"/>
    <w:rsid w:val="002E1D54"/>
    <w:rsid w:val="002E5531"/>
    <w:rsid w:val="0030504A"/>
    <w:rsid w:val="00313EDF"/>
    <w:rsid w:val="003222D9"/>
    <w:rsid w:val="00323256"/>
    <w:rsid w:val="0033096E"/>
    <w:rsid w:val="0039325E"/>
    <w:rsid w:val="00394F08"/>
    <w:rsid w:val="0039788B"/>
    <w:rsid w:val="003A0A3F"/>
    <w:rsid w:val="003B3214"/>
    <w:rsid w:val="003C5B08"/>
    <w:rsid w:val="003D2424"/>
    <w:rsid w:val="003F0936"/>
    <w:rsid w:val="003F55FB"/>
    <w:rsid w:val="003F60AA"/>
    <w:rsid w:val="003F6F32"/>
    <w:rsid w:val="00421463"/>
    <w:rsid w:val="004227B6"/>
    <w:rsid w:val="004316B4"/>
    <w:rsid w:val="004333A1"/>
    <w:rsid w:val="0043490F"/>
    <w:rsid w:val="00444E81"/>
    <w:rsid w:val="00453DDE"/>
    <w:rsid w:val="004613E2"/>
    <w:rsid w:val="00465534"/>
    <w:rsid w:val="00471226"/>
    <w:rsid w:val="004863F8"/>
    <w:rsid w:val="004908BC"/>
    <w:rsid w:val="004B3F01"/>
    <w:rsid w:val="004D3953"/>
    <w:rsid w:val="004F46F8"/>
    <w:rsid w:val="004F77B7"/>
    <w:rsid w:val="00503FA0"/>
    <w:rsid w:val="005066B7"/>
    <w:rsid w:val="00515AE7"/>
    <w:rsid w:val="005506FF"/>
    <w:rsid w:val="00550FDB"/>
    <w:rsid w:val="00563F8D"/>
    <w:rsid w:val="00567CB0"/>
    <w:rsid w:val="00570676"/>
    <w:rsid w:val="005870A6"/>
    <w:rsid w:val="00597FA5"/>
    <w:rsid w:val="005B4302"/>
    <w:rsid w:val="005C1D85"/>
    <w:rsid w:val="005E1FD0"/>
    <w:rsid w:val="005E205F"/>
    <w:rsid w:val="005E20B5"/>
    <w:rsid w:val="00644208"/>
    <w:rsid w:val="00646221"/>
    <w:rsid w:val="0066038A"/>
    <w:rsid w:val="00664B98"/>
    <w:rsid w:val="00693AEA"/>
    <w:rsid w:val="00694EBC"/>
    <w:rsid w:val="006D54B5"/>
    <w:rsid w:val="006E1524"/>
    <w:rsid w:val="00704AB2"/>
    <w:rsid w:val="00711854"/>
    <w:rsid w:val="00742AD6"/>
    <w:rsid w:val="0075259C"/>
    <w:rsid w:val="00757ED0"/>
    <w:rsid w:val="00762D32"/>
    <w:rsid w:val="0078687B"/>
    <w:rsid w:val="00786974"/>
    <w:rsid w:val="007A42A6"/>
    <w:rsid w:val="007B080A"/>
    <w:rsid w:val="007D6970"/>
    <w:rsid w:val="008302A1"/>
    <w:rsid w:val="00830CCF"/>
    <w:rsid w:val="00856629"/>
    <w:rsid w:val="00857080"/>
    <w:rsid w:val="00866323"/>
    <w:rsid w:val="00872168"/>
    <w:rsid w:val="00886C7A"/>
    <w:rsid w:val="00891AF4"/>
    <w:rsid w:val="008B14B6"/>
    <w:rsid w:val="008D48BA"/>
    <w:rsid w:val="009033D6"/>
    <w:rsid w:val="0091121C"/>
    <w:rsid w:val="009147F3"/>
    <w:rsid w:val="009238C8"/>
    <w:rsid w:val="00956ED6"/>
    <w:rsid w:val="00957610"/>
    <w:rsid w:val="00960E1A"/>
    <w:rsid w:val="00986576"/>
    <w:rsid w:val="009A3745"/>
    <w:rsid w:val="009F0845"/>
    <w:rsid w:val="009F35A9"/>
    <w:rsid w:val="00A05669"/>
    <w:rsid w:val="00A216B8"/>
    <w:rsid w:val="00A23D8C"/>
    <w:rsid w:val="00A33BAF"/>
    <w:rsid w:val="00A5329B"/>
    <w:rsid w:val="00A560A3"/>
    <w:rsid w:val="00A7580A"/>
    <w:rsid w:val="00A90F85"/>
    <w:rsid w:val="00AC1479"/>
    <w:rsid w:val="00B01FF5"/>
    <w:rsid w:val="00B8189C"/>
    <w:rsid w:val="00B842D9"/>
    <w:rsid w:val="00BB0566"/>
    <w:rsid w:val="00BC2921"/>
    <w:rsid w:val="00BE308F"/>
    <w:rsid w:val="00C11E78"/>
    <w:rsid w:val="00C34AAC"/>
    <w:rsid w:val="00C412A5"/>
    <w:rsid w:val="00C5174E"/>
    <w:rsid w:val="00C576E0"/>
    <w:rsid w:val="00C8271F"/>
    <w:rsid w:val="00C849EB"/>
    <w:rsid w:val="00C85B30"/>
    <w:rsid w:val="00C97BFA"/>
    <w:rsid w:val="00CC1303"/>
    <w:rsid w:val="00CC1772"/>
    <w:rsid w:val="00D13E0B"/>
    <w:rsid w:val="00D20EF9"/>
    <w:rsid w:val="00D21834"/>
    <w:rsid w:val="00D665AF"/>
    <w:rsid w:val="00D77DE7"/>
    <w:rsid w:val="00D94A7B"/>
    <w:rsid w:val="00DA1876"/>
    <w:rsid w:val="00DA2512"/>
    <w:rsid w:val="00DB002C"/>
    <w:rsid w:val="00DB20DF"/>
    <w:rsid w:val="00DB633A"/>
    <w:rsid w:val="00DD5D0C"/>
    <w:rsid w:val="00DD767D"/>
    <w:rsid w:val="00E074B1"/>
    <w:rsid w:val="00E60FDD"/>
    <w:rsid w:val="00E843E5"/>
    <w:rsid w:val="00E85915"/>
    <w:rsid w:val="00E907FC"/>
    <w:rsid w:val="00E90FC8"/>
    <w:rsid w:val="00E93CD3"/>
    <w:rsid w:val="00EA3C5F"/>
    <w:rsid w:val="00EA697F"/>
    <w:rsid w:val="00EC4B51"/>
    <w:rsid w:val="00ED1AA9"/>
    <w:rsid w:val="00ED549A"/>
    <w:rsid w:val="00ED719C"/>
    <w:rsid w:val="00EF0D02"/>
    <w:rsid w:val="00EF4E1B"/>
    <w:rsid w:val="00F20C53"/>
    <w:rsid w:val="00F26D26"/>
    <w:rsid w:val="00F41DF8"/>
    <w:rsid w:val="00F632B6"/>
    <w:rsid w:val="00F65201"/>
    <w:rsid w:val="00F708F5"/>
    <w:rsid w:val="00F76AF2"/>
    <w:rsid w:val="00FA72B5"/>
    <w:rsid w:val="00FB3592"/>
    <w:rsid w:val="00FC58BA"/>
    <w:rsid w:val="00FD56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B33044"/>
  <w15:docId w15:val="{42F9B0F0-5C07-47CB-866F-9557BA7A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477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360" w:lineRule="auto"/>
      <w:ind w:left="1701" w:right="142"/>
    </w:pPr>
    <w:rPr>
      <w:rFonts w:ascii="Titillium" w:hAnsi="Titillium" w:cs="Titillium Web"/>
      <w:sz w:val="18"/>
      <w:szCs w:val="18"/>
    </w:rPr>
  </w:style>
  <w:style w:type="paragraph" w:styleId="Titolo3">
    <w:name w:val="heading 3"/>
    <w:basedOn w:val="Normale"/>
    <w:next w:val="Normale"/>
    <w:link w:val="Titolo3Carattere"/>
    <w:uiPriority w:val="9"/>
    <w:semiHidden/>
    <w:unhideWhenUsed/>
    <w:qFormat/>
    <w:rsid w:val="00313EDF"/>
    <w:pPr>
      <w:keepNext/>
      <w:keepLines/>
      <w:spacing w:before="200" w:after="0"/>
      <w:outlineLvl w:val="2"/>
    </w:pPr>
    <w:rPr>
      <w:rFonts w:asciiTheme="majorHAnsi" w:eastAsiaTheme="majorEastAsia" w:hAnsiTheme="majorHAnsi" w:cstheme="majorBidi"/>
      <w:b/>
      <w:bCs/>
      <w:color w:val="4472C4" w:themeColor="accent1"/>
    </w:rPr>
  </w:style>
  <w:style w:type="paragraph" w:styleId="Titolo5">
    <w:name w:val="heading 5"/>
    <w:basedOn w:val="Normale"/>
    <w:next w:val="Normale"/>
    <w:link w:val="Titolo5Carattere"/>
    <w:uiPriority w:val="9"/>
    <w:semiHidden/>
    <w:unhideWhenUsed/>
    <w:qFormat/>
    <w:rsid w:val="00694E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4E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4EBC"/>
  </w:style>
  <w:style w:type="paragraph" w:styleId="Pidipagina">
    <w:name w:val="footer"/>
    <w:basedOn w:val="Normale"/>
    <w:link w:val="PidipaginaCarattere"/>
    <w:uiPriority w:val="99"/>
    <w:unhideWhenUsed/>
    <w:rsid w:val="00694E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4EBC"/>
  </w:style>
  <w:style w:type="paragraph" w:customStyle="1" w:styleId="Paragrafobase">
    <w:name w:val="[Paragrafo base]"/>
    <w:basedOn w:val="Normale"/>
    <w:link w:val="ParagrafobaseChar"/>
    <w:uiPriority w:val="99"/>
    <w:rsid w:val="00694EBC"/>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sid w:val="00694EBC"/>
    <w:rPr>
      <w:rFonts w:ascii="Minion Pro" w:hAnsi="Minion Pro" w:cs="Minion Pro"/>
      <w:color w:val="000000"/>
      <w:sz w:val="24"/>
      <w:szCs w:val="24"/>
    </w:rPr>
  </w:style>
  <w:style w:type="paragraph" w:customStyle="1" w:styleId="TitoloParagrafo">
    <w:name w:val="Titolo Paragrafo"/>
    <w:basedOn w:val="Titolo5"/>
    <w:qFormat/>
    <w:rsid w:val="00694EBC"/>
    <w:pPr>
      <w:numPr>
        <w:numId w:val="1"/>
      </w:numPr>
      <w:spacing w:line="240" w:lineRule="auto"/>
    </w:pPr>
    <w:rPr>
      <w:sz w:val="28"/>
      <w:szCs w:val="24"/>
    </w:rPr>
  </w:style>
  <w:style w:type="paragraph" w:customStyle="1" w:styleId="ANAC-TitoloParagrafo">
    <w:name w:val="ANAC - Titolo Paragrafo"/>
    <w:basedOn w:val="TitoloParagrafo"/>
    <w:link w:val="ANAC-TitoloParagrafoCarattere"/>
    <w:qFormat/>
    <w:rsid w:val="0019477D"/>
    <w:pPr>
      <w:numPr>
        <w:numId w:val="0"/>
      </w:numPr>
      <w:ind w:left="1560"/>
    </w:pPr>
    <w:rPr>
      <w:rFonts w:ascii="Gotham Light" w:hAnsi="Gotham Light"/>
      <w:color w:val="2770B7"/>
    </w:rPr>
  </w:style>
  <w:style w:type="character" w:customStyle="1" w:styleId="ANAC-TitoloParagrafoCarattere">
    <w:name w:val="ANAC - Titolo Paragrafo Carattere"/>
    <w:basedOn w:val="Carpredefinitoparagrafo"/>
    <w:link w:val="ANAC-TitoloParagrafo"/>
    <w:rsid w:val="0019477D"/>
    <w:rPr>
      <w:rFonts w:ascii="Gotham Light" w:eastAsiaTheme="majorEastAsia" w:hAnsi="Gotham Light" w:cstheme="majorBidi"/>
      <w:color w:val="2770B7"/>
      <w:sz w:val="28"/>
      <w:szCs w:val="24"/>
    </w:rPr>
  </w:style>
  <w:style w:type="character" w:customStyle="1" w:styleId="Titolo5Carattere">
    <w:name w:val="Titolo 5 Carattere"/>
    <w:basedOn w:val="Carpredefinitoparagrafo"/>
    <w:link w:val="Titolo5"/>
    <w:uiPriority w:val="9"/>
    <w:semiHidden/>
    <w:rsid w:val="00694EBC"/>
    <w:rPr>
      <w:rFonts w:asciiTheme="majorHAnsi" w:eastAsiaTheme="majorEastAsia" w:hAnsiTheme="majorHAnsi" w:cstheme="majorBidi"/>
      <w:color w:val="2F5496" w:themeColor="accent1" w:themeShade="BF"/>
    </w:rPr>
  </w:style>
  <w:style w:type="table" w:styleId="Grigliatabella">
    <w:name w:val="Table Grid"/>
    <w:basedOn w:val="Tabellanormale"/>
    <w:uiPriority w:val="39"/>
    <w:rsid w:val="0046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CATABELLATITOLOBIANCO">
    <w:name w:val="ANCA_TABELLA_TITOLO BIANCO"/>
    <w:basedOn w:val="Normale"/>
    <w:qFormat/>
    <w:rsid w:val="00FD5640"/>
    <w:pPr>
      <w:spacing w:line="276" w:lineRule="auto"/>
      <w:ind w:left="1560"/>
    </w:pPr>
    <w:rPr>
      <w:rFonts w:ascii="Gotham Book" w:hAnsi="Gotham Book"/>
      <w:color w:val="FFFFFF" w:themeColor="background1"/>
      <w:sz w:val="20"/>
      <w:szCs w:val="20"/>
      <w:lang w:val="en-US"/>
    </w:rPr>
  </w:style>
  <w:style w:type="character" w:customStyle="1" w:styleId="Titolo3Carattere">
    <w:name w:val="Titolo 3 Carattere"/>
    <w:basedOn w:val="Carpredefinitoparagrafo"/>
    <w:link w:val="Titolo3"/>
    <w:uiPriority w:val="9"/>
    <w:semiHidden/>
    <w:rsid w:val="00313EDF"/>
    <w:rPr>
      <w:rFonts w:asciiTheme="majorHAnsi" w:eastAsiaTheme="majorEastAsia" w:hAnsiTheme="majorHAnsi" w:cstheme="majorBidi"/>
      <w:b/>
      <w:bCs/>
      <w:color w:val="4472C4" w:themeColor="accent1"/>
      <w:sz w:val="18"/>
      <w:szCs w:val="18"/>
    </w:rPr>
  </w:style>
  <w:style w:type="paragraph" w:styleId="Testofumetto">
    <w:name w:val="Balloon Text"/>
    <w:basedOn w:val="Normale"/>
    <w:link w:val="TestofumettoCarattere"/>
    <w:uiPriority w:val="99"/>
    <w:semiHidden/>
    <w:unhideWhenUsed/>
    <w:rsid w:val="0016026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0265"/>
    <w:rPr>
      <w:rFonts w:ascii="Tahoma" w:hAnsi="Tahoma" w:cs="Tahoma"/>
      <w:sz w:val="16"/>
      <w:szCs w:val="16"/>
    </w:rPr>
  </w:style>
  <w:style w:type="character" w:styleId="Collegamentoipertestuale">
    <w:name w:val="Hyperlink"/>
    <w:basedOn w:val="Carpredefinitoparagrafo"/>
    <w:uiPriority w:val="99"/>
    <w:unhideWhenUsed/>
    <w:rsid w:val="00225A4F"/>
    <w:rPr>
      <w:color w:val="0563C1" w:themeColor="hyperlink"/>
      <w:u w:val="single"/>
    </w:rPr>
  </w:style>
  <w:style w:type="paragraph" w:styleId="Paragrafoelenco">
    <w:name w:val="List Paragraph"/>
    <w:basedOn w:val="Normale"/>
    <w:uiPriority w:val="34"/>
    <w:qFormat/>
    <w:rsid w:val="00225A4F"/>
    <w:pPr>
      <w:ind w:left="720"/>
      <w:contextualSpacing/>
    </w:pPr>
  </w:style>
  <w:style w:type="character" w:customStyle="1" w:styleId="Bodytext2">
    <w:name w:val="Body text (2)_"/>
    <w:basedOn w:val="Carpredefinitoparagrafo"/>
    <w:link w:val="Bodytext20"/>
    <w:rsid w:val="00225A4F"/>
    <w:rPr>
      <w:rFonts w:ascii="Calibri" w:eastAsia="Calibri" w:hAnsi="Calibri" w:cs="Calibri"/>
      <w:shd w:val="clear" w:color="auto" w:fill="FFFFFF"/>
    </w:rPr>
  </w:style>
  <w:style w:type="paragraph" w:customStyle="1" w:styleId="Bodytext20">
    <w:name w:val="Body text (2)"/>
    <w:basedOn w:val="Normale"/>
    <w:link w:val="Bodytext2"/>
    <w:rsid w:val="00225A4F"/>
    <w:pPr>
      <w:widowControl w:val="0"/>
      <w:shd w:val="clear" w:color="auto" w:fill="FFFFFF"/>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spacing w:before="1140" w:after="360" w:line="0" w:lineRule="atLeast"/>
      <w:ind w:left="0" w:right="0" w:hanging="220"/>
    </w:pPr>
    <w:rPr>
      <w:rFonts w:ascii="Calibri" w:eastAsia="Calibri" w:hAnsi="Calibri" w:cs="Calibri"/>
      <w:sz w:val="22"/>
      <w:szCs w:val="22"/>
    </w:rPr>
  </w:style>
  <w:style w:type="paragraph" w:styleId="Corpotesto">
    <w:name w:val="Body Text"/>
    <w:basedOn w:val="Normale"/>
    <w:link w:val="CorpotestoCarattere"/>
    <w:uiPriority w:val="1"/>
    <w:qFormat/>
    <w:rsid w:val="00180BB1"/>
    <w:pPr>
      <w:widowControl w:val="0"/>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autoSpaceDE w:val="0"/>
      <w:autoSpaceDN w:val="0"/>
      <w:spacing w:after="0" w:line="240" w:lineRule="auto"/>
      <w:ind w:left="0" w:right="0"/>
      <w:jc w:val="both"/>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180BB1"/>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971957">
      <w:bodyDiv w:val="1"/>
      <w:marLeft w:val="0"/>
      <w:marRight w:val="0"/>
      <w:marTop w:val="0"/>
      <w:marBottom w:val="0"/>
      <w:divBdr>
        <w:top w:val="none" w:sz="0" w:space="0" w:color="auto"/>
        <w:left w:val="none" w:sz="0" w:space="0" w:color="auto"/>
        <w:bottom w:val="none" w:sz="0" w:space="0" w:color="auto"/>
        <w:right w:val="none" w:sz="0" w:space="0" w:color="auto"/>
      </w:divBdr>
    </w:div>
    <w:div w:id="986397563">
      <w:bodyDiv w:val="1"/>
      <w:marLeft w:val="0"/>
      <w:marRight w:val="0"/>
      <w:marTop w:val="0"/>
      <w:marBottom w:val="0"/>
      <w:divBdr>
        <w:top w:val="none" w:sz="0" w:space="0" w:color="auto"/>
        <w:left w:val="none" w:sz="0" w:space="0" w:color="auto"/>
        <w:bottom w:val="none" w:sz="0" w:space="0" w:color="auto"/>
        <w:right w:val="none" w:sz="0" w:space="0" w:color="auto"/>
      </w:divBdr>
    </w:div>
    <w:div w:id="1091705033">
      <w:bodyDiv w:val="1"/>
      <w:marLeft w:val="0"/>
      <w:marRight w:val="0"/>
      <w:marTop w:val="0"/>
      <w:marBottom w:val="0"/>
      <w:divBdr>
        <w:top w:val="none" w:sz="0" w:space="0" w:color="auto"/>
        <w:left w:val="none" w:sz="0" w:space="0" w:color="auto"/>
        <w:bottom w:val="none" w:sz="0" w:space="0" w:color="auto"/>
        <w:right w:val="none" w:sz="0" w:space="0" w:color="auto"/>
      </w:divBdr>
    </w:div>
    <w:div w:id="178534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ef6b725-9c57-468c-a981-9c5e9851ad11">DMDJSSH6JNYS-1207385524-171</_dlc_DocId>
    <_dlc_DocIdUrl xmlns="2ef6b725-9c57-468c-a981-9c5e9851ad11">
      <Url>http://esespfe16/intranet/collaborazione/nuovaidentitavisiva/_layouts/15/DocIdRedir.aspx?ID=DMDJSSH6JNYS-1207385524-171</Url>
      <Description>DMDJSSH6JNYS-1207385524-171</Description>
    </_dlc_DocIdUrl>
    <Descrizione xmlns="858caf0d-fa43-49a6-8dbc-d57b37ac135a">Modello di Lettera</Descrizion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593CECC9FBA0F42AC5A832076EE311E" ma:contentTypeVersion="2" ma:contentTypeDescription="Creare un nuovo documento." ma:contentTypeScope="" ma:versionID="26a235167c73a1349f55f722bb33aaa4">
  <xsd:schema xmlns:xsd="http://www.w3.org/2001/XMLSchema" xmlns:xs="http://www.w3.org/2001/XMLSchema" xmlns:p="http://schemas.microsoft.com/office/2006/metadata/properties" xmlns:ns2="2ef6b725-9c57-468c-a981-9c5e9851ad11" xmlns:ns3="82f6872c-ea9f-47e6-9729-095c4256b5ed" xmlns:ns4="858caf0d-fa43-49a6-8dbc-d57b37ac135a" targetNamespace="http://schemas.microsoft.com/office/2006/metadata/properties" ma:root="true" ma:fieldsID="979cd295e4ee554d8048ba35d1928dcb" ns2:_="" ns3:_="" ns4:_="">
    <xsd:import namespace="2ef6b725-9c57-468c-a981-9c5e9851ad11"/>
    <xsd:import namespace="82f6872c-ea9f-47e6-9729-095c4256b5ed"/>
    <xsd:import namespace="858caf0d-fa43-49a6-8dbc-d57b37ac135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Descriz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b725-9c57-468c-a981-9c5e9851ad11"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f6872c-ea9f-47e6-9729-095c4256b5ed"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af0d-fa43-49a6-8dbc-d57b37ac135a" elementFormDefault="qualified">
    <xsd:import namespace="http://schemas.microsoft.com/office/2006/documentManagement/types"/>
    <xsd:import namespace="http://schemas.microsoft.com/office/infopath/2007/PartnerControls"/>
    <xsd:element name="Descrizione" ma:index="12" nillable="true" ma:displayName="Descrizione" ma:internalName="Descriz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20358-32F2-404E-9CE5-27D9459ED67D}">
  <ds:schemaRefs>
    <ds:schemaRef ds:uri="http://schemas.microsoft.com/sharepoint/events"/>
  </ds:schemaRefs>
</ds:datastoreItem>
</file>

<file path=customXml/itemProps2.xml><?xml version="1.0" encoding="utf-8"?>
<ds:datastoreItem xmlns:ds="http://schemas.openxmlformats.org/officeDocument/2006/customXml" ds:itemID="{9AB86BAF-ACE0-453A-B72E-E39940D2F6D9}">
  <ds:schemaRefs>
    <ds:schemaRef ds:uri="http://schemas.microsoft.com/sharepoint/v3/contenttype/forms"/>
  </ds:schemaRefs>
</ds:datastoreItem>
</file>

<file path=customXml/itemProps3.xml><?xml version="1.0" encoding="utf-8"?>
<ds:datastoreItem xmlns:ds="http://schemas.openxmlformats.org/officeDocument/2006/customXml" ds:itemID="{7CC74544-6598-473A-9875-AFD4029944BE}">
  <ds:schemaRefs>
    <ds:schemaRef ds:uri="82f6872c-ea9f-47e6-9729-095c4256b5ed"/>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858caf0d-fa43-49a6-8dbc-d57b37ac135a"/>
    <ds:schemaRef ds:uri="2ef6b725-9c57-468c-a981-9c5e9851ad11"/>
    <ds:schemaRef ds:uri="http://www.w3.org/XML/1998/namespace"/>
  </ds:schemaRefs>
</ds:datastoreItem>
</file>

<file path=customXml/itemProps4.xml><?xml version="1.0" encoding="utf-8"?>
<ds:datastoreItem xmlns:ds="http://schemas.openxmlformats.org/officeDocument/2006/customXml" ds:itemID="{ECDAD9CD-7D9A-4E53-ADF0-A0C3C0165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b725-9c57-468c-a981-9c5e9851ad11"/>
    <ds:schemaRef ds:uri="82f6872c-ea9f-47e6-9729-095c4256b5ed"/>
    <ds:schemaRef ds:uri="858caf0d-fa43-49a6-8dbc-d57b37ac1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1132</Words>
  <Characters>6456</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Cecilia Martini</dc:creator>
  <cp:lastModifiedBy>Urciuoli Pietro</cp:lastModifiedBy>
  <cp:revision>3</cp:revision>
  <dcterms:created xsi:type="dcterms:W3CDTF">2021-12-10T13:54:00Z</dcterms:created>
  <dcterms:modified xsi:type="dcterms:W3CDTF">2022-07-06T13:47:00Z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0x0101007593CECC9FBA0F42AC5A832076EE311E</vt:lpwstr>
  </property>
  <property fmtid="{D5CDD505-2E9C-101B-9397-08002B2CF9AE}" pid="3" name="_dlc_DocIdItemGuid">
    <vt:lpwstr>57c145dc-0fc3-46ee-90f8-758c6a19607c</vt:lpwstr>
  </property>
</Properties>
</file>