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37" w:rsidRDefault="008D43D1" w:rsidP="001B6737">
      <w:pPr>
        <w:tabs>
          <w:tab w:val="left" w:pos="2774"/>
        </w:tabs>
        <w:spacing w:before="120" w:after="120" w:line="276" w:lineRule="auto"/>
        <w:ind w:right="-2"/>
        <w:jc w:val="center"/>
        <w:rPr>
          <w:rFonts w:ascii="Gotham Light" w:hAnsi="Gotham Light" w:cs="Arial"/>
          <w:color w:val="2E74B5"/>
          <w:sz w:val="28"/>
          <w:szCs w:val="28"/>
        </w:rPr>
      </w:pPr>
      <w:r w:rsidRPr="008D43D1">
        <w:rPr>
          <w:rFonts w:ascii="Gotham Light" w:hAnsi="Gotham Light" w:cs="Arial"/>
          <w:color w:val="2E74B5"/>
          <w:sz w:val="28"/>
          <w:szCs w:val="28"/>
        </w:rPr>
        <w:t>DETERMINA A CONTRARRE</w:t>
      </w:r>
    </w:p>
    <w:p w:rsidR="001B6737" w:rsidRPr="000B0365" w:rsidRDefault="001B6737" w:rsidP="001B6737">
      <w:pPr>
        <w:tabs>
          <w:tab w:val="left" w:pos="2774"/>
        </w:tabs>
        <w:spacing w:before="120" w:after="120" w:line="276" w:lineRule="auto"/>
        <w:ind w:right="-2"/>
        <w:jc w:val="center"/>
        <w:rPr>
          <w:rFonts w:ascii="Gotham Light" w:hAnsi="Gotham Light" w:cs="Arial"/>
          <w:color w:val="2E74B5"/>
          <w:sz w:val="28"/>
          <w:szCs w:val="28"/>
        </w:rPr>
      </w:pPr>
    </w:p>
    <w:p w:rsidR="008D43D1" w:rsidRPr="001B6737" w:rsidRDefault="008D43D1" w:rsidP="008D43D1">
      <w:pPr>
        <w:spacing w:before="120" w:after="120" w:line="276" w:lineRule="auto"/>
        <w:jc w:val="both"/>
        <w:rPr>
          <w:rFonts w:ascii="Titillium" w:hAnsi="Titillium"/>
          <w:b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 xml:space="preserve">VISTO </w:t>
      </w:r>
      <w:r w:rsidRPr="001B6737">
        <w:rPr>
          <w:rFonts w:ascii="Titillium" w:hAnsi="Titillium"/>
          <w:sz w:val="21"/>
          <w:szCs w:val="21"/>
        </w:rPr>
        <w:t>il decreto legislativo 18 aprile 2016, n. 50, ed in particolare il comma 2 dell’art. 32, il quale prevede che, prima dell’avvio delle procedure di affidamento dei contratti pubblici, le stazioni appaltanti, in conformità ai propri ordinamenti, decretino o determinino di contrarre, individuando gli elementi essenziali del contratto e i criteri di selezione degli operatori economici e delle offerte</w:t>
      </w:r>
      <w:r w:rsidRPr="001B6737">
        <w:rPr>
          <w:rFonts w:ascii="Titillium" w:hAnsi="Titillium"/>
          <w:b/>
          <w:sz w:val="21"/>
          <w:szCs w:val="21"/>
        </w:rPr>
        <w:t>;</w:t>
      </w:r>
    </w:p>
    <w:p w:rsidR="00A638C9" w:rsidRPr="001B6737" w:rsidRDefault="00A638C9" w:rsidP="00367439">
      <w:pPr>
        <w:pStyle w:val="Corpodeltesto2"/>
        <w:spacing w:before="120" w:line="276" w:lineRule="auto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 xml:space="preserve">VISTO </w:t>
      </w:r>
      <w:r w:rsidRPr="001B6737">
        <w:rPr>
          <w:rFonts w:ascii="Titillium" w:hAnsi="Titillium"/>
          <w:sz w:val="21"/>
          <w:szCs w:val="21"/>
        </w:rPr>
        <w:t>il decreto legge 16 luglio 2020, n. 76</w:t>
      </w:r>
      <w:r w:rsidR="003E37AF" w:rsidRPr="001B6737">
        <w:rPr>
          <w:rFonts w:ascii="Titillium" w:hAnsi="Titillium"/>
          <w:sz w:val="21"/>
          <w:szCs w:val="21"/>
        </w:rPr>
        <w:t>,</w:t>
      </w:r>
      <w:r w:rsidRPr="001B6737">
        <w:rPr>
          <w:rFonts w:ascii="Titillium" w:hAnsi="Titillium"/>
          <w:sz w:val="21"/>
          <w:szCs w:val="21"/>
        </w:rPr>
        <w:t xml:space="preserve"> convertito nella legge 11 settembre 2020, n. 120, e successive modifiche</w:t>
      </w:r>
      <w:r w:rsidR="0070288E" w:rsidRPr="001B6737">
        <w:rPr>
          <w:rFonts w:ascii="Titillium" w:hAnsi="Titillium"/>
          <w:sz w:val="21"/>
          <w:szCs w:val="21"/>
        </w:rPr>
        <w:t xml:space="preserve"> e integrazioni</w:t>
      </w:r>
      <w:r w:rsidRPr="001B6737">
        <w:rPr>
          <w:rFonts w:ascii="Titillium" w:hAnsi="Titillium"/>
          <w:sz w:val="21"/>
          <w:szCs w:val="21"/>
        </w:rPr>
        <w:t>;</w:t>
      </w:r>
    </w:p>
    <w:p w:rsidR="000B0365" w:rsidRPr="001B6737" w:rsidRDefault="00BE4BF9" w:rsidP="00950301">
      <w:pPr>
        <w:pStyle w:val="Corpodeltesto2"/>
        <w:spacing w:before="120" w:line="276" w:lineRule="auto"/>
        <w:ind w:right="-1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>VISTO</w:t>
      </w:r>
      <w:r w:rsidRPr="001B6737">
        <w:rPr>
          <w:rFonts w:ascii="Titillium" w:hAnsi="Titillium"/>
          <w:sz w:val="21"/>
          <w:szCs w:val="21"/>
        </w:rPr>
        <w:t xml:space="preserve"> il </w:t>
      </w:r>
      <w:r w:rsidR="000B0365" w:rsidRPr="001B6737">
        <w:rPr>
          <w:rFonts w:ascii="Titillium" w:hAnsi="Titillium"/>
          <w:sz w:val="21"/>
          <w:szCs w:val="21"/>
        </w:rPr>
        <w:t>Regolamento per la disciplina dei contratti pubblici di servizi e forniture stipulati dall’Autorità approvato con Delibera n. 538 del 7.7.2021 e pubblicato in data 21.7.2021;</w:t>
      </w:r>
    </w:p>
    <w:p w:rsidR="00761CF9" w:rsidRPr="001B6737" w:rsidRDefault="00761CF9" w:rsidP="00950301">
      <w:pPr>
        <w:pStyle w:val="Corpodeltesto2"/>
        <w:spacing w:before="120" w:line="276" w:lineRule="auto"/>
        <w:ind w:right="-1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 xml:space="preserve">VISTO </w:t>
      </w:r>
      <w:r w:rsidRPr="001B6737">
        <w:rPr>
          <w:rFonts w:ascii="Titillium" w:hAnsi="Titillium"/>
          <w:sz w:val="21"/>
          <w:szCs w:val="21"/>
        </w:rPr>
        <w:t>il Regolamento concernente la disciplina contabile dell’Autorità Nazionale Anticorruzione approvato dal Consiglio dell’Autorità nella seduta del 7 luglio 2021 ed entrato in vigore il 1° gennaio 2022;</w:t>
      </w:r>
    </w:p>
    <w:p w:rsidR="00071061" w:rsidRDefault="00071061" w:rsidP="00071061">
      <w:pPr>
        <w:spacing w:after="100" w:line="276" w:lineRule="auto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 xml:space="preserve">CONSIDERATO </w:t>
      </w:r>
      <w:r w:rsidR="00C56D95" w:rsidRPr="001B6737">
        <w:rPr>
          <w:rFonts w:ascii="Titillium" w:hAnsi="Titillium"/>
          <w:sz w:val="21"/>
          <w:szCs w:val="21"/>
        </w:rPr>
        <w:t>che</w:t>
      </w:r>
      <w:r w:rsidRPr="001B6737">
        <w:rPr>
          <w:rFonts w:ascii="Titillium" w:hAnsi="Titillium"/>
          <w:sz w:val="21"/>
          <w:szCs w:val="21"/>
        </w:rPr>
        <w:t xml:space="preserve"> </w:t>
      </w:r>
      <w:r w:rsidR="00183E01" w:rsidRPr="001B6737">
        <w:rPr>
          <w:rFonts w:ascii="Titillium" w:hAnsi="Titillium"/>
          <w:sz w:val="21"/>
          <w:szCs w:val="21"/>
        </w:rPr>
        <w:t>in data 16 e 17</w:t>
      </w:r>
      <w:r w:rsidR="00C56D95" w:rsidRPr="001B6737">
        <w:rPr>
          <w:rFonts w:ascii="Titillium" w:hAnsi="Titillium"/>
          <w:sz w:val="21"/>
          <w:szCs w:val="21"/>
        </w:rPr>
        <w:t xml:space="preserve"> marzo 2023 è in programma</w:t>
      </w:r>
      <w:r w:rsidR="00021475" w:rsidRPr="001B6737">
        <w:rPr>
          <w:rFonts w:ascii="Titillium" w:hAnsi="Titillium"/>
          <w:sz w:val="21"/>
          <w:szCs w:val="21"/>
        </w:rPr>
        <w:t xml:space="preserve"> a Roma</w:t>
      </w:r>
      <w:r w:rsidR="0073208C">
        <w:rPr>
          <w:rFonts w:ascii="Titillium" w:hAnsi="Titillium"/>
          <w:sz w:val="21"/>
          <w:szCs w:val="21"/>
        </w:rPr>
        <w:t xml:space="preserve"> –</w:t>
      </w:r>
      <w:r w:rsidR="00C56D95" w:rsidRPr="001B6737">
        <w:rPr>
          <w:rFonts w:ascii="Titillium" w:hAnsi="Titillium"/>
          <w:sz w:val="21"/>
          <w:szCs w:val="21"/>
        </w:rPr>
        <w:t xml:space="preserve"> con org</w:t>
      </w:r>
      <w:r w:rsidR="000E0F5F">
        <w:rPr>
          <w:rFonts w:ascii="Titillium" w:hAnsi="Titillium"/>
          <w:sz w:val="21"/>
          <w:szCs w:val="21"/>
        </w:rPr>
        <w:t xml:space="preserve">anizzazione a cura dell’A.N.AC., della Commissione degli appalti pubblici della Repubblica albanese e di Open </w:t>
      </w:r>
      <w:proofErr w:type="spellStart"/>
      <w:r w:rsidR="000E0F5F">
        <w:rPr>
          <w:rFonts w:ascii="Titillium" w:hAnsi="Titillium"/>
          <w:sz w:val="21"/>
          <w:szCs w:val="21"/>
        </w:rPr>
        <w:t>Contracting</w:t>
      </w:r>
      <w:proofErr w:type="spellEnd"/>
      <w:r w:rsidR="000E0F5F">
        <w:rPr>
          <w:rFonts w:ascii="Titillium" w:hAnsi="Titillium"/>
          <w:sz w:val="21"/>
          <w:szCs w:val="21"/>
        </w:rPr>
        <w:t xml:space="preserve"> Partnership</w:t>
      </w:r>
      <w:r w:rsidR="0073208C">
        <w:rPr>
          <w:rFonts w:ascii="Titillium" w:hAnsi="Titillium"/>
          <w:sz w:val="21"/>
          <w:szCs w:val="21"/>
        </w:rPr>
        <w:t xml:space="preserve"> –</w:t>
      </w:r>
      <w:r w:rsidRPr="001B6737">
        <w:rPr>
          <w:rFonts w:ascii="Titillium" w:hAnsi="Titillium"/>
          <w:sz w:val="21"/>
          <w:szCs w:val="21"/>
        </w:rPr>
        <w:t xml:space="preserve"> </w:t>
      </w:r>
      <w:r w:rsidR="00183E01" w:rsidRPr="001B6737">
        <w:rPr>
          <w:rFonts w:ascii="Titillium" w:hAnsi="Titillium"/>
          <w:sz w:val="21"/>
          <w:szCs w:val="21"/>
        </w:rPr>
        <w:t>il Joint Workshop ANAC-KPP-OCP sul tema “</w:t>
      </w:r>
      <w:proofErr w:type="spellStart"/>
      <w:r w:rsidR="00183E01" w:rsidRPr="001B6737">
        <w:rPr>
          <w:rFonts w:ascii="Titillium" w:hAnsi="Titillium"/>
          <w:i/>
          <w:sz w:val="21"/>
          <w:szCs w:val="21"/>
        </w:rPr>
        <w:t>Transparency</w:t>
      </w:r>
      <w:proofErr w:type="spellEnd"/>
      <w:r w:rsidR="00183E01" w:rsidRPr="001B6737">
        <w:rPr>
          <w:rFonts w:ascii="Titillium" w:hAnsi="Titillium"/>
          <w:i/>
          <w:sz w:val="21"/>
          <w:szCs w:val="21"/>
        </w:rPr>
        <w:t xml:space="preserve"> and </w:t>
      </w:r>
      <w:proofErr w:type="spellStart"/>
      <w:r w:rsidR="00183E01" w:rsidRPr="001B6737">
        <w:rPr>
          <w:rFonts w:ascii="Titillium" w:hAnsi="Titillium"/>
          <w:i/>
          <w:sz w:val="21"/>
          <w:szCs w:val="21"/>
        </w:rPr>
        <w:t>corruption</w:t>
      </w:r>
      <w:proofErr w:type="spellEnd"/>
      <w:r w:rsidR="00183E01" w:rsidRPr="001B6737">
        <w:rPr>
          <w:rFonts w:ascii="Titillium" w:hAnsi="Titillium"/>
          <w:i/>
          <w:sz w:val="21"/>
          <w:szCs w:val="21"/>
        </w:rPr>
        <w:t xml:space="preserve"> </w:t>
      </w:r>
      <w:proofErr w:type="spellStart"/>
      <w:r w:rsidR="00183E01" w:rsidRPr="001B6737">
        <w:rPr>
          <w:rFonts w:ascii="Titillium" w:hAnsi="Titillium"/>
          <w:i/>
          <w:sz w:val="21"/>
          <w:szCs w:val="21"/>
        </w:rPr>
        <w:t>prevention</w:t>
      </w:r>
      <w:proofErr w:type="spellEnd"/>
      <w:r w:rsidR="00183E01" w:rsidRPr="001B6737">
        <w:rPr>
          <w:rFonts w:ascii="Titillium" w:hAnsi="Titillium"/>
          <w:i/>
          <w:sz w:val="21"/>
          <w:szCs w:val="21"/>
        </w:rPr>
        <w:t xml:space="preserve"> in public </w:t>
      </w:r>
      <w:proofErr w:type="spellStart"/>
      <w:r w:rsidR="00183E01" w:rsidRPr="001B6737">
        <w:rPr>
          <w:rFonts w:ascii="Titillium" w:hAnsi="Titillium"/>
          <w:i/>
          <w:sz w:val="21"/>
          <w:szCs w:val="21"/>
        </w:rPr>
        <w:t>procurement</w:t>
      </w:r>
      <w:proofErr w:type="spellEnd"/>
      <w:r w:rsidR="00183E01" w:rsidRPr="001B6737">
        <w:rPr>
          <w:rFonts w:ascii="Titillium" w:hAnsi="Titillium"/>
          <w:i/>
          <w:sz w:val="21"/>
          <w:szCs w:val="21"/>
        </w:rPr>
        <w:t xml:space="preserve">: </w:t>
      </w:r>
      <w:proofErr w:type="spellStart"/>
      <w:r w:rsidR="00183E01" w:rsidRPr="001B6737">
        <w:rPr>
          <w:rFonts w:ascii="Titillium" w:hAnsi="Titillium"/>
          <w:i/>
          <w:sz w:val="21"/>
          <w:szCs w:val="21"/>
        </w:rPr>
        <w:t>Methods</w:t>
      </w:r>
      <w:proofErr w:type="spellEnd"/>
      <w:r w:rsidR="00183E01" w:rsidRPr="001B6737">
        <w:rPr>
          <w:rFonts w:ascii="Titillium" w:hAnsi="Titillium"/>
          <w:i/>
          <w:sz w:val="21"/>
          <w:szCs w:val="21"/>
        </w:rPr>
        <w:t xml:space="preserve"> and best </w:t>
      </w:r>
      <w:proofErr w:type="spellStart"/>
      <w:r w:rsidR="00183E01" w:rsidRPr="001B6737">
        <w:rPr>
          <w:rFonts w:ascii="Titillium" w:hAnsi="Titillium"/>
          <w:i/>
          <w:sz w:val="21"/>
          <w:szCs w:val="21"/>
        </w:rPr>
        <w:t>practices</w:t>
      </w:r>
      <w:proofErr w:type="spellEnd"/>
      <w:r w:rsidR="00183E01" w:rsidRPr="001B6737">
        <w:rPr>
          <w:rFonts w:ascii="Titillium" w:hAnsi="Titillium"/>
          <w:sz w:val="21"/>
          <w:szCs w:val="21"/>
        </w:rPr>
        <w:t>”</w:t>
      </w:r>
      <w:r w:rsidR="00105AB2" w:rsidRPr="001B6737">
        <w:rPr>
          <w:rFonts w:ascii="Titillium" w:hAnsi="Titillium"/>
          <w:sz w:val="21"/>
          <w:szCs w:val="21"/>
        </w:rPr>
        <w:t>,</w:t>
      </w:r>
      <w:r w:rsidRPr="001B6737">
        <w:rPr>
          <w:rFonts w:ascii="Titillium" w:hAnsi="Titillium"/>
          <w:sz w:val="21"/>
          <w:szCs w:val="21"/>
        </w:rPr>
        <w:t xml:space="preserve"> quale momento </w:t>
      </w:r>
      <w:r w:rsidR="00AD5040" w:rsidRPr="001B6737">
        <w:rPr>
          <w:rFonts w:ascii="Titillium" w:hAnsi="Titillium"/>
          <w:sz w:val="21"/>
          <w:szCs w:val="21"/>
        </w:rPr>
        <w:t xml:space="preserve">essenziale </w:t>
      </w:r>
      <w:r w:rsidRPr="001B6737">
        <w:rPr>
          <w:rFonts w:ascii="Titillium" w:hAnsi="Titillium"/>
          <w:sz w:val="21"/>
          <w:szCs w:val="21"/>
        </w:rPr>
        <w:t>di</w:t>
      </w:r>
      <w:r w:rsidR="00AD5040" w:rsidRPr="001B6737">
        <w:rPr>
          <w:rFonts w:ascii="Titillium" w:hAnsi="Titillium"/>
          <w:sz w:val="21"/>
          <w:szCs w:val="21"/>
        </w:rPr>
        <w:t xml:space="preserve"> confronto a livello internazionale e di</w:t>
      </w:r>
      <w:r w:rsidRPr="001B6737">
        <w:rPr>
          <w:rFonts w:ascii="Titillium" w:hAnsi="Titillium"/>
          <w:sz w:val="21"/>
          <w:szCs w:val="21"/>
        </w:rPr>
        <w:t xml:space="preserve"> </w:t>
      </w:r>
      <w:r w:rsidR="00AD5040" w:rsidRPr="001B6737">
        <w:rPr>
          <w:rFonts w:ascii="Titillium" w:hAnsi="Titillium"/>
          <w:sz w:val="21"/>
          <w:szCs w:val="21"/>
        </w:rPr>
        <w:t>condivi</w:t>
      </w:r>
      <w:r w:rsidR="00183E01" w:rsidRPr="001B6737">
        <w:rPr>
          <w:rFonts w:ascii="Titillium" w:hAnsi="Titillium"/>
          <w:sz w:val="21"/>
          <w:szCs w:val="21"/>
        </w:rPr>
        <w:t>sione di esperienze e buone pratiche in materia di trasparenza e prevenzione della corruzione nel settore dei contratti pubblici e riguardo il migliore utilizzo dei dati relativi agli appalti</w:t>
      </w:r>
      <w:r w:rsidR="00021475" w:rsidRPr="001B6737">
        <w:rPr>
          <w:rFonts w:ascii="Titillium" w:hAnsi="Titillium"/>
          <w:sz w:val="21"/>
          <w:szCs w:val="21"/>
        </w:rPr>
        <w:t xml:space="preserve"> (cfr.</w:t>
      </w:r>
      <w:r w:rsidR="000E0F5F">
        <w:rPr>
          <w:rFonts w:ascii="Titillium" w:hAnsi="Titillium"/>
          <w:sz w:val="21"/>
          <w:szCs w:val="21"/>
        </w:rPr>
        <w:t xml:space="preserve"> comunicazione del Presidente p. 2 adunanza del Consiglio del 25.1.2023 e lettera di invito </w:t>
      </w:r>
      <w:proofErr w:type="spellStart"/>
      <w:r w:rsidR="00183E01" w:rsidRPr="001B6737">
        <w:rPr>
          <w:rFonts w:ascii="Titillium" w:hAnsi="Titillium"/>
          <w:sz w:val="21"/>
          <w:szCs w:val="21"/>
        </w:rPr>
        <w:t>prot</w:t>
      </w:r>
      <w:proofErr w:type="spellEnd"/>
      <w:r w:rsidR="00183E01" w:rsidRPr="001B6737">
        <w:rPr>
          <w:rFonts w:ascii="Titillium" w:hAnsi="Titillium"/>
          <w:sz w:val="21"/>
          <w:szCs w:val="21"/>
        </w:rPr>
        <w:t>. n. 18398 del 7.3.2023</w:t>
      </w:r>
      <w:r w:rsidR="00021475" w:rsidRPr="001B6737">
        <w:rPr>
          <w:rFonts w:ascii="Titillium" w:hAnsi="Titillium"/>
          <w:sz w:val="21"/>
          <w:szCs w:val="21"/>
        </w:rPr>
        <w:t>)</w:t>
      </w:r>
      <w:r w:rsidRPr="001B6737">
        <w:rPr>
          <w:rFonts w:ascii="Titillium" w:hAnsi="Titillium"/>
          <w:sz w:val="21"/>
          <w:szCs w:val="21"/>
        </w:rPr>
        <w:t>;</w:t>
      </w:r>
    </w:p>
    <w:p w:rsidR="00183E01" w:rsidRDefault="009829DE" w:rsidP="003C7B00">
      <w:pPr>
        <w:pStyle w:val="Corpodeltesto2"/>
        <w:spacing w:before="120" w:line="276" w:lineRule="auto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>VISTA</w:t>
      </w:r>
      <w:r w:rsidRPr="001B6737">
        <w:rPr>
          <w:rFonts w:ascii="Titillium" w:hAnsi="Titillium"/>
          <w:sz w:val="21"/>
          <w:szCs w:val="21"/>
        </w:rPr>
        <w:t xml:space="preserve"> la </w:t>
      </w:r>
      <w:r w:rsidR="00C9406A">
        <w:rPr>
          <w:rFonts w:ascii="Titillium" w:hAnsi="Titillium"/>
          <w:sz w:val="21"/>
          <w:szCs w:val="21"/>
        </w:rPr>
        <w:t>nota</w:t>
      </w:r>
      <w:r w:rsidR="000E0F5F">
        <w:rPr>
          <w:rFonts w:ascii="Titillium" w:hAnsi="Titillium"/>
          <w:sz w:val="21"/>
          <w:szCs w:val="21"/>
        </w:rPr>
        <w:t xml:space="preserve"> </w:t>
      </w:r>
      <w:proofErr w:type="spellStart"/>
      <w:r w:rsidR="000E0F5F">
        <w:rPr>
          <w:rFonts w:ascii="Titillium" w:hAnsi="Titillium"/>
          <w:sz w:val="21"/>
          <w:szCs w:val="21"/>
        </w:rPr>
        <w:t>prot</w:t>
      </w:r>
      <w:proofErr w:type="spellEnd"/>
      <w:r w:rsidR="000E0F5F">
        <w:rPr>
          <w:rFonts w:ascii="Titillium" w:hAnsi="Titillium"/>
          <w:sz w:val="21"/>
          <w:szCs w:val="21"/>
        </w:rPr>
        <w:t>. n. 19811 del 10.3.2023</w:t>
      </w:r>
      <w:r w:rsidRPr="001B6737">
        <w:rPr>
          <w:rFonts w:ascii="Titillium" w:hAnsi="Titillium"/>
          <w:sz w:val="21"/>
          <w:szCs w:val="21"/>
        </w:rPr>
        <w:t xml:space="preserve"> con la quale l’Ufficio </w:t>
      </w:r>
      <w:r w:rsidR="00021475" w:rsidRPr="001B6737">
        <w:rPr>
          <w:rFonts w:ascii="Titillium" w:hAnsi="Titillium"/>
          <w:sz w:val="21"/>
          <w:szCs w:val="21"/>
        </w:rPr>
        <w:t xml:space="preserve">Relazioni Internazionali dell’Autorità </w:t>
      </w:r>
      <w:r w:rsidR="00071061" w:rsidRPr="001B6737">
        <w:rPr>
          <w:rFonts w:ascii="Titillium" w:hAnsi="Titillium"/>
          <w:sz w:val="21"/>
          <w:szCs w:val="21"/>
        </w:rPr>
        <w:t>ha rappre</w:t>
      </w:r>
      <w:r w:rsidR="00021475" w:rsidRPr="001B6737">
        <w:rPr>
          <w:rFonts w:ascii="Titillium" w:hAnsi="Titillium"/>
          <w:sz w:val="21"/>
          <w:szCs w:val="21"/>
        </w:rPr>
        <w:t>sentato l’esigenza di acquisire</w:t>
      </w:r>
      <w:r w:rsidR="00071061" w:rsidRPr="001B6737">
        <w:rPr>
          <w:rFonts w:ascii="Titillium" w:hAnsi="Titillium"/>
          <w:sz w:val="21"/>
          <w:szCs w:val="21"/>
        </w:rPr>
        <w:t xml:space="preserve">, con riferimento al </w:t>
      </w:r>
      <w:r w:rsidR="00183E01" w:rsidRPr="001B6737">
        <w:rPr>
          <w:rFonts w:ascii="Titillium" w:hAnsi="Titillium"/>
          <w:sz w:val="21"/>
          <w:szCs w:val="21"/>
        </w:rPr>
        <w:t>Joint Workshop</w:t>
      </w:r>
      <w:r w:rsidR="00105AB2" w:rsidRPr="001B6737">
        <w:rPr>
          <w:rFonts w:ascii="Titillium" w:hAnsi="Titillium"/>
          <w:sz w:val="21"/>
          <w:szCs w:val="21"/>
        </w:rPr>
        <w:t xml:space="preserve"> sopra descritto</w:t>
      </w:r>
      <w:r w:rsidR="00071061" w:rsidRPr="001B6737">
        <w:rPr>
          <w:rFonts w:ascii="Titillium" w:hAnsi="Titillium"/>
          <w:sz w:val="21"/>
          <w:szCs w:val="21"/>
        </w:rPr>
        <w:t>,</w:t>
      </w:r>
      <w:r w:rsidR="00183E01" w:rsidRPr="001B6737">
        <w:rPr>
          <w:rFonts w:ascii="Titillium" w:hAnsi="Titillium"/>
          <w:sz w:val="21"/>
          <w:szCs w:val="21"/>
        </w:rPr>
        <w:t xml:space="preserve"> </w:t>
      </w:r>
      <w:r w:rsidR="00EC5774">
        <w:rPr>
          <w:rFonts w:ascii="Titillium" w:hAnsi="Titillium"/>
          <w:sz w:val="21"/>
          <w:szCs w:val="21"/>
        </w:rPr>
        <w:t xml:space="preserve">servizi di ristorazione consistenti nella somministrazione di </w:t>
      </w:r>
      <w:r w:rsidR="003C6B89" w:rsidRPr="001B6737">
        <w:rPr>
          <w:rFonts w:ascii="Titillium" w:hAnsi="Titillium"/>
          <w:sz w:val="21"/>
          <w:szCs w:val="21"/>
        </w:rPr>
        <w:t>n. 2</w:t>
      </w:r>
      <w:r w:rsidR="00021475" w:rsidRPr="001B6737">
        <w:rPr>
          <w:rFonts w:ascii="Titillium" w:hAnsi="Titillium"/>
          <w:sz w:val="21"/>
          <w:szCs w:val="21"/>
        </w:rPr>
        <w:t xml:space="preserve"> </w:t>
      </w:r>
      <w:r w:rsidR="00021475" w:rsidRPr="001B6737">
        <w:rPr>
          <w:rFonts w:ascii="Titillium" w:hAnsi="Titillium"/>
          <w:i/>
          <w:sz w:val="21"/>
          <w:szCs w:val="21"/>
        </w:rPr>
        <w:t>coffee break</w:t>
      </w:r>
      <w:r w:rsidR="00EC5774">
        <w:rPr>
          <w:rFonts w:ascii="Titillium" w:hAnsi="Titillium"/>
          <w:sz w:val="21"/>
          <w:szCs w:val="21"/>
        </w:rPr>
        <w:t>,</w:t>
      </w:r>
      <w:r w:rsidR="003C6B89" w:rsidRPr="001B6737">
        <w:rPr>
          <w:rFonts w:ascii="Titillium" w:hAnsi="Titillium"/>
          <w:sz w:val="21"/>
          <w:szCs w:val="21"/>
        </w:rPr>
        <w:t xml:space="preserve"> n. 2 </w:t>
      </w:r>
      <w:r w:rsidR="003C6B89" w:rsidRPr="001B6737">
        <w:rPr>
          <w:rFonts w:ascii="Titillium" w:hAnsi="Titillium"/>
          <w:i/>
          <w:sz w:val="21"/>
          <w:szCs w:val="21"/>
        </w:rPr>
        <w:t>l</w:t>
      </w:r>
      <w:r w:rsidR="000E0F5F">
        <w:rPr>
          <w:rFonts w:ascii="Titillium" w:hAnsi="Titillium"/>
          <w:i/>
          <w:sz w:val="21"/>
          <w:szCs w:val="21"/>
        </w:rPr>
        <w:t>ight l</w:t>
      </w:r>
      <w:r w:rsidR="003C6B89" w:rsidRPr="001B6737">
        <w:rPr>
          <w:rFonts w:ascii="Titillium" w:hAnsi="Titillium"/>
          <w:i/>
          <w:sz w:val="21"/>
          <w:szCs w:val="21"/>
        </w:rPr>
        <w:t>unch</w:t>
      </w:r>
      <w:r w:rsidR="006B2875">
        <w:rPr>
          <w:rFonts w:ascii="Titillium" w:hAnsi="Titillium"/>
          <w:sz w:val="21"/>
          <w:szCs w:val="21"/>
        </w:rPr>
        <w:t xml:space="preserve"> e</w:t>
      </w:r>
      <w:r w:rsidR="000E0F5F">
        <w:rPr>
          <w:rFonts w:ascii="Titillium" w:hAnsi="Titillium"/>
          <w:sz w:val="21"/>
          <w:szCs w:val="21"/>
        </w:rPr>
        <w:t xml:space="preserve"> n. 1 cena</w:t>
      </w:r>
      <w:r w:rsidR="003C6B89" w:rsidRPr="001B6737">
        <w:rPr>
          <w:rFonts w:ascii="Titillium" w:hAnsi="Titillium"/>
          <w:sz w:val="21"/>
          <w:szCs w:val="21"/>
        </w:rPr>
        <w:t xml:space="preserve"> </w:t>
      </w:r>
      <w:r w:rsidR="000E0F5F">
        <w:rPr>
          <w:rFonts w:ascii="Titillium" w:hAnsi="Titillium"/>
          <w:sz w:val="21"/>
          <w:szCs w:val="21"/>
        </w:rPr>
        <w:t>per n. 25</w:t>
      </w:r>
      <w:r w:rsidR="00021475" w:rsidRPr="001B6737">
        <w:rPr>
          <w:rFonts w:ascii="Titillium" w:hAnsi="Titillium"/>
          <w:sz w:val="21"/>
          <w:szCs w:val="21"/>
        </w:rPr>
        <w:t xml:space="preserve"> persone</w:t>
      </w:r>
      <w:r w:rsidR="00C9406A" w:rsidRPr="00C9406A">
        <w:rPr>
          <w:rFonts w:ascii="Titillium" w:hAnsi="Titillium"/>
          <w:sz w:val="21"/>
          <w:szCs w:val="21"/>
        </w:rPr>
        <w:t xml:space="preserve"> </w:t>
      </w:r>
      <w:r w:rsidR="00C9406A">
        <w:rPr>
          <w:rFonts w:ascii="Titillium" w:hAnsi="Titillium"/>
          <w:sz w:val="21"/>
          <w:szCs w:val="21"/>
        </w:rPr>
        <w:t>presso il locale L’Antico Forno di Piazza Trevi e il ristorante Al 34 in Roma, sulla base dei preventivi di spesa precedentemente richiesti dall’Ufficio Gare e Logistica</w:t>
      </w:r>
      <w:r w:rsidR="003C6B89" w:rsidRPr="001B6737">
        <w:rPr>
          <w:rFonts w:ascii="Titillium" w:hAnsi="Titillium"/>
          <w:sz w:val="21"/>
          <w:szCs w:val="21"/>
        </w:rPr>
        <w:t>;</w:t>
      </w:r>
    </w:p>
    <w:p w:rsidR="003C7B00" w:rsidRDefault="003C7B00" w:rsidP="00950301">
      <w:pPr>
        <w:pStyle w:val="Corpodeltesto2"/>
        <w:spacing w:before="120" w:line="276" w:lineRule="auto"/>
        <w:ind w:right="-1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>VISTO</w:t>
      </w:r>
      <w:r w:rsidRPr="001B6737">
        <w:rPr>
          <w:rFonts w:ascii="Titillium" w:hAnsi="Titillium"/>
          <w:sz w:val="21"/>
          <w:szCs w:val="21"/>
        </w:rPr>
        <w:t xml:space="preserve"> il preventivo di spesa prodotto dall’operatore econo</w:t>
      </w:r>
      <w:r w:rsidR="00CA4A95">
        <w:rPr>
          <w:rFonts w:ascii="Titillium" w:hAnsi="Titillium"/>
          <w:sz w:val="21"/>
          <w:szCs w:val="21"/>
        </w:rPr>
        <w:t>mico Trentaquattro S.r.l.</w:t>
      </w:r>
      <w:r w:rsidRPr="001B6737">
        <w:rPr>
          <w:rFonts w:ascii="Titillium" w:hAnsi="Titillium"/>
          <w:sz w:val="21"/>
          <w:szCs w:val="21"/>
        </w:rPr>
        <w:t>, registrato al protocollo in in</w:t>
      </w:r>
      <w:r w:rsidR="00CA4A95">
        <w:rPr>
          <w:rFonts w:ascii="Titillium" w:hAnsi="Titillium"/>
          <w:sz w:val="21"/>
          <w:szCs w:val="21"/>
        </w:rPr>
        <w:t>gresso dell’Autorità al n. 19190 del 9.3.2023</w:t>
      </w:r>
      <w:r w:rsidR="004F1147">
        <w:rPr>
          <w:rFonts w:ascii="Titillium" w:hAnsi="Titillium"/>
          <w:sz w:val="21"/>
          <w:szCs w:val="21"/>
        </w:rPr>
        <w:t>, il quale presenta</w:t>
      </w:r>
      <w:r w:rsidRPr="001B6737">
        <w:rPr>
          <w:rFonts w:ascii="Titillium" w:hAnsi="Titillium"/>
          <w:sz w:val="21"/>
          <w:szCs w:val="21"/>
        </w:rPr>
        <w:t>, per il servizio di ristorazione da eroga</w:t>
      </w:r>
      <w:r w:rsidR="00CA4A95">
        <w:rPr>
          <w:rFonts w:ascii="Titillium" w:hAnsi="Titillium"/>
          <w:sz w:val="21"/>
          <w:szCs w:val="21"/>
        </w:rPr>
        <w:t>rsi presso</w:t>
      </w:r>
      <w:r w:rsidR="00C9406A">
        <w:rPr>
          <w:rFonts w:ascii="Titillium" w:hAnsi="Titillium"/>
          <w:sz w:val="21"/>
          <w:szCs w:val="21"/>
        </w:rPr>
        <w:t xml:space="preserve"> il ristorante A</w:t>
      </w:r>
      <w:r w:rsidR="00CA4A95">
        <w:rPr>
          <w:rFonts w:ascii="Titillium" w:hAnsi="Titillium"/>
          <w:sz w:val="21"/>
          <w:szCs w:val="21"/>
        </w:rPr>
        <w:t>l 34, sito in Roma, via Mario de’ Fiori n. 34</w:t>
      </w:r>
      <w:r w:rsidR="003C6D50" w:rsidRPr="001B6737">
        <w:rPr>
          <w:rFonts w:ascii="Titillium" w:hAnsi="Titillium"/>
          <w:sz w:val="21"/>
          <w:szCs w:val="21"/>
        </w:rPr>
        <w:t>,</w:t>
      </w:r>
      <w:r w:rsidR="00CA4A95">
        <w:rPr>
          <w:rFonts w:ascii="Titillium" w:hAnsi="Titillium"/>
          <w:sz w:val="21"/>
          <w:szCs w:val="21"/>
        </w:rPr>
        <w:t xml:space="preserve"> </w:t>
      </w:r>
      <w:r w:rsidRPr="001B6737">
        <w:rPr>
          <w:rFonts w:ascii="Titillium" w:hAnsi="Titillium"/>
          <w:sz w:val="21"/>
          <w:szCs w:val="21"/>
        </w:rPr>
        <w:t xml:space="preserve">la </w:t>
      </w:r>
      <w:r w:rsidR="003C6D50" w:rsidRPr="001B6737">
        <w:rPr>
          <w:rFonts w:ascii="Titillium" w:hAnsi="Titillium"/>
          <w:sz w:val="21"/>
          <w:szCs w:val="21"/>
        </w:rPr>
        <w:t>sera del 16</w:t>
      </w:r>
      <w:r w:rsidRPr="001B6737">
        <w:rPr>
          <w:rFonts w:ascii="Titillium" w:hAnsi="Titillium"/>
          <w:sz w:val="21"/>
          <w:szCs w:val="21"/>
        </w:rPr>
        <w:t xml:space="preserve"> marzo 2023</w:t>
      </w:r>
      <w:r w:rsidR="00CA4A95">
        <w:rPr>
          <w:rFonts w:ascii="Titillium" w:hAnsi="Titillium"/>
          <w:sz w:val="21"/>
          <w:szCs w:val="21"/>
        </w:rPr>
        <w:t>, un costo a persona pari ad € 50,00</w:t>
      </w:r>
      <w:r w:rsidRPr="001B6737">
        <w:rPr>
          <w:rFonts w:ascii="Titillium" w:hAnsi="Titillium"/>
          <w:sz w:val="21"/>
          <w:szCs w:val="21"/>
        </w:rPr>
        <w:t>, IVA al 10% inclusa, per una spesa compl</w:t>
      </w:r>
      <w:r w:rsidR="00CA4A95">
        <w:rPr>
          <w:rFonts w:ascii="Titillium" w:hAnsi="Titillium"/>
          <w:sz w:val="21"/>
          <w:szCs w:val="21"/>
        </w:rPr>
        <w:t xml:space="preserve">essiva </w:t>
      </w:r>
      <w:r w:rsidR="004F1147" w:rsidRPr="00D16BA2">
        <w:rPr>
          <w:rFonts w:ascii="Titillium" w:hAnsi="Titillium"/>
          <w:sz w:val="21"/>
          <w:szCs w:val="21"/>
        </w:rPr>
        <w:t xml:space="preserve">per </w:t>
      </w:r>
      <w:proofErr w:type="gramStart"/>
      <w:r w:rsidR="004F1147" w:rsidRPr="00D16BA2">
        <w:rPr>
          <w:rFonts w:ascii="Titillium" w:hAnsi="Titillium"/>
          <w:sz w:val="21"/>
          <w:szCs w:val="21"/>
        </w:rPr>
        <w:t>le n.</w:t>
      </w:r>
      <w:proofErr w:type="gramEnd"/>
      <w:r w:rsidR="00D16BA2" w:rsidRPr="00D16BA2">
        <w:rPr>
          <w:rFonts w:ascii="Titillium" w:hAnsi="Titillium"/>
          <w:sz w:val="21"/>
          <w:szCs w:val="21"/>
        </w:rPr>
        <w:t xml:space="preserve"> </w:t>
      </w:r>
      <w:r w:rsidR="000A6992" w:rsidRPr="000A6992">
        <w:rPr>
          <w:rFonts w:ascii="Titillium" w:hAnsi="Titillium"/>
          <w:sz w:val="21"/>
          <w:szCs w:val="21"/>
        </w:rPr>
        <w:t>25</w:t>
      </w:r>
      <w:r w:rsidR="00CA4A95" w:rsidRPr="000A6992">
        <w:rPr>
          <w:rFonts w:ascii="Titillium" w:hAnsi="Titillium"/>
          <w:sz w:val="21"/>
          <w:szCs w:val="21"/>
        </w:rPr>
        <w:t xml:space="preserve"> persone</w:t>
      </w:r>
      <w:r w:rsidR="004F1147" w:rsidRPr="00D16BA2">
        <w:rPr>
          <w:rFonts w:ascii="Titillium" w:hAnsi="Titillium"/>
          <w:sz w:val="21"/>
          <w:szCs w:val="21"/>
        </w:rPr>
        <w:t xml:space="preserve"> previste</w:t>
      </w:r>
      <w:r w:rsidR="00CA4A95" w:rsidRPr="00D16BA2">
        <w:rPr>
          <w:rFonts w:ascii="Titillium" w:hAnsi="Titillium"/>
          <w:sz w:val="21"/>
          <w:szCs w:val="21"/>
        </w:rPr>
        <w:t xml:space="preserve"> pari quindi ad </w:t>
      </w:r>
      <w:r w:rsidR="00D16BA2" w:rsidRPr="00D16BA2">
        <w:rPr>
          <w:rFonts w:ascii="Titillium" w:hAnsi="Titillium"/>
          <w:sz w:val="21"/>
          <w:szCs w:val="21"/>
        </w:rPr>
        <w:t xml:space="preserve">€ </w:t>
      </w:r>
      <w:r w:rsidR="000A6992" w:rsidRPr="000A6992">
        <w:rPr>
          <w:rFonts w:ascii="Titillium" w:hAnsi="Titillium"/>
          <w:sz w:val="21"/>
          <w:szCs w:val="21"/>
        </w:rPr>
        <w:t>1.25</w:t>
      </w:r>
      <w:r w:rsidR="00D16BA2" w:rsidRPr="000A6992">
        <w:rPr>
          <w:rFonts w:ascii="Titillium" w:hAnsi="Titillium"/>
          <w:sz w:val="21"/>
          <w:szCs w:val="21"/>
        </w:rPr>
        <w:t>0</w:t>
      </w:r>
      <w:r w:rsidR="004F1147" w:rsidRPr="000A6992">
        <w:rPr>
          <w:rFonts w:ascii="Titillium" w:hAnsi="Titillium"/>
          <w:sz w:val="21"/>
          <w:szCs w:val="21"/>
        </w:rPr>
        <w:t>,00</w:t>
      </w:r>
      <w:r w:rsidRPr="000A6992">
        <w:rPr>
          <w:rFonts w:ascii="Titillium" w:hAnsi="Titillium"/>
          <w:sz w:val="21"/>
          <w:szCs w:val="21"/>
        </w:rPr>
        <w:t>,</w:t>
      </w:r>
      <w:r w:rsidRPr="001B6737">
        <w:rPr>
          <w:rFonts w:ascii="Titillium" w:hAnsi="Titillium"/>
          <w:sz w:val="21"/>
          <w:szCs w:val="21"/>
        </w:rPr>
        <w:t xml:space="preserve"> IVA al 10% inclusa; </w:t>
      </w:r>
    </w:p>
    <w:p w:rsidR="00D16BA2" w:rsidRPr="001B6737" w:rsidRDefault="00D16BA2" w:rsidP="00950301">
      <w:pPr>
        <w:pStyle w:val="Corpodeltesto2"/>
        <w:spacing w:before="120" w:line="276" w:lineRule="auto"/>
        <w:ind w:right="-1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>VISTO</w:t>
      </w:r>
      <w:r w:rsidRPr="001B6737">
        <w:rPr>
          <w:rFonts w:ascii="Titillium" w:hAnsi="Titillium"/>
          <w:sz w:val="21"/>
          <w:szCs w:val="21"/>
        </w:rPr>
        <w:t xml:space="preserve"> il preventivo di spesa prodotto dall’operatore economico </w:t>
      </w:r>
      <w:r w:rsidR="00C9406A">
        <w:rPr>
          <w:rFonts w:ascii="Titillium" w:hAnsi="Titillium"/>
          <w:sz w:val="21"/>
          <w:szCs w:val="21"/>
        </w:rPr>
        <w:t>Riposati Giovanni S.a.s.</w:t>
      </w:r>
      <w:r w:rsidRPr="001B6737">
        <w:rPr>
          <w:rFonts w:ascii="Titillium" w:hAnsi="Titillium"/>
          <w:sz w:val="21"/>
          <w:szCs w:val="21"/>
        </w:rPr>
        <w:t xml:space="preserve">, gestore del locale </w:t>
      </w:r>
      <w:r w:rsidR="00C9406A">
        <w:rPr>
          <w:rFonts w:ascii="Titillium" w:hAnsi="Titillium"/>
          <w:sz w:val="21"/>
          <w:szCs w:val="21"/>
        </w:rPr>
        <w:t>L’Antico Forno di Piazza Trevi in Roma</w:t>
      </w:r>
      <w:r w:rsidRPr="001B6737">
        <w:rPr>
          <w:rFonts w:ascii="Titillium" w:hAnsi="Titillium"/>
          <w:sz w:val="21"/>
          <w:szCs w:val="21"/>
        </w:rPr>
        <w:t>, registrato al protocollo in in</w:t>
      </w:r>
      <w:r w:rsidR="00C9406A">
        <w:rPr>
          <w:rFonts w:ascii="Titillium" w:hAnsi="Titillium"/>
          <w:sz w:val="21"/>
          <w:szCs w:val="21"/>
        </w:rPr>
        <w:t>gresso dell’Autorità al n. 19379 del 9.3.2023</w:t>
      </w:r>
      <w:r w:rsidRPr="001B6737">
        <w:rPr>
          <w:rFonts w:ascii="Titillium" w:hAnsi="Titillium"/>
          <w:sz w:val="21"/>
          <w:szCs w:val="21"/>
        </w:rPr>
        <w:t xml:space="preserve">, il quale prevede, per il servizio di ristorazione consistente nell’erogazione di n. 2 </w:t>
      </w:r>
      <w:r w:rsidRPr="001B6737">
        <w:rPr>
          <w:rFonts w:ascii="Titillium" w:hAnsi="Titillium"/>
          <w:i/>
          <w:sz w:val="21"/>
          <w:szCs w:val="21"/>
        </w:rPr>
        <w:t>coffee break</w:t>
      </w:r>
      <w:r w:rsidRPr="001B6737">
        <w:rPr>
          <w:rFonts w:ascii="Titillium" w:hAnsi="Titillium"/>
          <w:sz w:val="21"/>
          <w:szCs w:val="21"/>
        </w:rPr>
        <w:t xml:space="preserve"> e di n. 2 </w:t>
      </w:r>
      <w:r w:rsidRPr="001B6737">
        <w:rPr>
          <w:rFonts w:ascii="Titillium" w:hAnsi="Titillium"/>
          <w:i/>
          <w:sz w:val="21"/>
          <w:szCs w:val="21"/>
        </w:rPr>
        <w:t>light lunch</w:t>
      </w:r>
      <w:r w:rsidRPr="001B6737">
        <w:rPr>
          <w:rFonts w:ascii="Titillium" w:hAnsi="Titillium"/>
          <w:sz w:val="21"/>
          <w:szCs w:val="21"/>
        </w:rPr>
        <w:t xml:space="preserve"> nei giorni 16 e 17 marzo 2023, un</w:t>
      </w:r>
      <w:r w:rsidR="00C9406A">
        <w:rPr>
          <w:rFonts w:ascii="Titillium" w:hAnsi="Titillium"/>
          <w:sz w:val="21"/>
          <w:szCs w:val="21"/>
        </w:rPr>
        <w:t xml:space="preserve"> costo a persona pari ad € 50,00</w:t>
      </w:r>
      <w:r w:rsidRPr="001B6737">
        <w:rPr>
          <w:rFonts w:ascii="Titillium" w:hAnsi="Titillium"/>
          <w:sz w:val="21"/>
          <w:szCs w:val="21"/>
        </w:rPr>
        <w:t xml:space="preserve">, IVA al 10% </w:t>
      </w:r>
      <w:r w:rsidRPr="001B6737">
        <w:rPr>
          <w:rFonts w:ascii="Titillium" w:hAnsi="Titillium"/>
          <w:sz w:val="21"/>
          <w:szCs w:val="21"/>
        </w:rPr>
        <w:lastRenderedPageBreak/>
        <w:t xml:space="preserve">inclusa, per una spesa complessiva </w:t>
      </w:r>
      <w:r w:rsidR="00C9406A">
        <w:rPr>
          <w:rFonts w:ascii="Titillium" w:hAnsi="Titillium"/>
          <w:sz w:val="21"/>
          <w:szCs w:val="21"/>
        </w:rPr>
        <w:t xml:space="preserve">per le n. </w:t>
      </w:r>
      <w:r w:rsidR="000A6992" w:rsidRPr="000A6992">
        <w:rPr>
          <w:rFonts w:ascii="Titillium" w:hAnsi="Titillium"/>
          <w:sz w:val="21"/>
          <w:szCs w:val="21"/>
        </w:rPr>
        <w:t>25</w:t>
      </w:r>
      <w:r w:rsidR="00C9406A" w:rsidRPr="000A6992">
        <w:rPr>
          <w:rFonts w:ascii="Titillium" w:hAnsi="Titillium"/>
          <w:sz w:val="21"/>
          <w:szCs w:val="21"/>
        </w:rPr>
        <w:t xml:space="preserve"> persone previste </w:t>
      </w:r>
      <w:r w:rsidRPr="000A6992">
        <w:rPr>
          <w:rFonts w:ascii="Titillium" w:hAnsi="Titillium"/>
          <w:sz w:val="21"/>
          <w:szCs w:val="21"/>
        </w:rPr>
        <w:t>pari quindi ad</w:t>
      </w:r>
      <w:r w:rsidR="00C9406A" w:rsidRPr="000A6992">
        <w:rPr>
          <w:rFonts w:ascii="Titillium" w:hAnsi="Titillium"/>
          <w:sz w:val="21"/>
          <w:szCs w:val="21"/>
        </w:rPr>
        <w:t xml:space="preserve"> € </w:t>
      </w:r>
      <w:r w:rsidR="000A6992" w:rsidRPr="000A6992">
        <w:rPr>
          <w:rFonts w:ascii="Titillium" w:hAnsi="Titillium"/>
          <w:sz w:val="21"/>
          <w:szCs w:val="21"/>
        </w:rPr>
        <w:t>1.25</w:t>
      </w:r>
      <w:r w:rsidR="00C9406A" w:rsidRPr="000A6992">
        <w:rPr>
          <w:rFonts w:ascii="Titillium" w:hAnsi="Titillium"/>
          <w:sz w:val="21"/>
          <w:szCs w:val="21"/>
        </w:rPr>
        <w:t>0,00</w:t>
      </w:r>
      <w:r w:rsidRPr="000A6992">
        <w:rPr>
          <w:rFonts w:ascii="Titillium" w:hAnsi="Titillium"/>
          <w:sz w:val="21"/>
          <w:szCs w:val="21"/>
        </w:rPr>
        <w:t>, IVA</w:t>
      </w:r>
      <w:r w:rsidRPr="001B6737">
        <w:rPr>
          <w:rFonts w:ascii="Titillium" w:hAnsi="Titillium"/>
          <w:sz w:val="21"/>
          <w:szCs w:val="21"/>
        </w:rPr>
        <w:t xml:space="preserve"> al 10% inclusa;  </w:t>
      </w:r>
    </w:p>
    <w:p w:rsidR="009978BF" w:rsidRPr="001B6737" w:rsidRDefault="0070288E" w:rsidP="00950301">
      <w:pPr>
        <w:pStyle w:val="Corpodeltesto2"/>
        <w:spacing w:before="120" w:line="276" w:lineRule="auto"/>
        <w:ind w:right="-1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>RITENUTO</w:t>
      </w:r>
      <w:r w:rsidRPr="001B6737">
        <w:rPr>
          <w:rFonts w:ascii="Titillium" w:hAnsi="Titillium"/>
          <w:sz w:val="21"/>
          <w:szCs w:val="21"/>
        </w:rPr>
        <w:t xml:space="preserve"> opportuno</w:t>
      </w:r>
      <w:r w:rsidR="003C7B00" w:rsidRPr="001B6737">
        <w:rPr>
          <w:rFonts w:ascii="Titillium" w:hAnsi="Titillium"/>
          <w:sz w:val="21"/>
          <w:szCs w:val="21"/>
        </w:rPr>
        <w:t xml:space="preserve"> accettare le </w:t>
      </w:r>
      <w:r w:rsidR="00ED09B9" w:rsidRPr="001B6737">
        <w:rPr>
          <w:rFonts w:ascii="Titillium" w:hAnsi="Titillium"/>
          <w:sz w:val="21"/>
          <w:szCs w:val="21"/>
        </w:rPr>
        <w:t>of</w:t>
      </w:r>
      <w:r w:rsidR="003C7B00" w:rsidRPr="001B6737">
        <w:rPr>
          <w:rFonts w:ascii="Titillium" w:hAnsi="Titillium"/>
          <w:sz w:val="21"/>
          <w:szCs w:val="21"/>
        </w:rPr>
        <w:t xml:space="preserve">ferte formulate dagli </w:t>
      </w:r>
      <w:r w:rsidR="00EE5D29" w:rsidRPr="001B6737">
        <w:rPr>
          <w:rFonts w:ascii="Titillium" w:hAnsi="Titillium"/>
          <w:sz w:val="21"/>
          <w:szCs w:val="21"/>
        </w:rPr>
        <w:t>ope</w:t>
      </w:r>
      <w:r w:rsidR="00C9406A">
        <w:rPr>
          <w:rFonts w:ascii="Titillium" w:hAnsi="Titillium"/>
          <w:sz w:val="21"/>
          <w:szCs w:val="21"/>
        </w:rPr>
        <w:t>ratori economici</w:t>
      </w:r>
      <w:r w:rsidR="002853DC">
        <w:rPr>
          <w:rFonts w:ascii="Titillium" w:hAnsi="Titillium"/>
          <w:sz w:val="21"/>
          <w:szCs w:val="21"/>
        </w:rPr>
        <w:t xml:space="preserve"> Trentaquattro S.r.l.</w:t>
      </w:r>
      <w:r w:rsidR="00C9406A">
        <w:rPr>
          <w:rFonts w:ascii="Titillium" w:hAnsi="Titillium"/>
          <w:sz w:val="21"/>
          <w:szCs w:val="21"/>
        </w:rPr>
        <w:t xml:space="preserve"> e Riposati Giovanni S.a.s.</w:t>
      </w:r>
      <w:r w:rsidR="00F81FD3" w:rsidRPr="001B6737">
        <w:rPr>
          <w:rFonts w:ascii="Titillium" w:hAnsi="Titillium"/>
          <w:sz w:val="21"/>
          <w:szCs w:val="21"/>
        </w:rPr>
        <w:t>;</w:t>
      </w:r>
      <w:r w:rsidR="00ED09B9" w:rsidRPr="001B6737">
        <w:rPr>
          <w:rFonts w:ascii="Titillium" w:hAnsi="Titillium"/>
          <w:sz w:val="21"/>
          <w:szCs w:val="21"/>
        </w:rPr>
        <w:t xml:space="preserve"> </w:t>
      </w:r>
    </w:p>
    <w:p w:rsidR="009978BF" w:rsidRPr="001B6737" w:rsidRDefault="009978BF" w:rsidP="00950301">
      <w:pPr>
        <w:pStyle w:val="Corpodeltesto2"/>
        <w:spacing w:before="120" w:line="276" w:lineRule="auto"/>
        <w:ind w:right="-1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 xml:space="preserve">CONSIDERATO </w:t>
      </w:r>
      <w:r w:rsidRPr="001B6737">
        <w:rPr>
          <w:rFonts w:ascii="Titillium" w:hAnsi="Titillium"/>
          <w:sz w:val="21"/>
          <w:szCs w:val="21"/>
        </w:rPr>
        <w:t>che sussistono i presuppo</w:t>
      </w:r>
      <w:r w:rsidR="003C7B00" w:rsidRPr="001B6737">
        <w:rPr>
          <w:rFonts w:ascii="Titillium" w:hAnsi="Titillium"/>
          <w:sz w:val="21"/>
          <w:szCs w:val="21"/>
        </w:rPr>
        <w:t>sti per procedere ad affidamenti diretti</w:t>
      </w:r>
      <w:r w:rsidRPr="001B6737">
        <w:rPr>
          <w:rFonts w:ascii="Titillium" w:hAnsi="Titillium"/>
          <w:sz w:val="21"/>
          <w:szCs w:val="21"/>
        </w:rPr>
        <w:t xml:space="preserve"> ai sensi</w:t>
      </w:r>
      <w:r w:rsidR="00E00D45" w:rsidRPr="001B6737">
        <w:rPr>
          <w:rFonts w:ascii="Titillium" w:hAnsi="Titillium"/>
          <w:sz w:val="21"/>
          <w:szCs w:val="21"/>
        </w:rPr>
        <w:t xml:space="preserve"> dell’art. 36, comma 2, lett. a) del d.lgs. 50/2016, in combinato disposto con </w:t>
      </w:r>
      <w:r w:rsidRPr="001B6737">
        <w:rPr>
          <w:rFonts w:ascii="Titillium" w:hAnsi="Titillium"/>
          <w:sz w:val="21"/>
          <w:szCs w:val="21"/>
        </w:rPr>
        <w:t xml:space="preserve">l’art. </w:t>
      </w:r>
      <w:r w:rsidR="006E0391" w:rsidRPr="001B6737">
        <w:rPr>
          <w:rFonts w:ascii="Titillium" w:hAnsi="Titillium"/>
          <w:sz w:val="21"/>
          <w:szCs w:val="21"/>
        </w:rPr>
        <w:t>1, comma 2, lett.</w:t>
      </w:r>
      <w:r w:rsidRPr="001B6737">
        <w:rPr>
          <w:rFonts w:ascii="Titillium" w:hAnsi="Titillium"/>
          <w:sz w:val="21"/>
          <w:szCs w:val="21"/>
        </w:rPr>
        <w:t xml:space="preserve"> a)</w:t>
      </w:r>
      <w:r w:rsidR="000C603C" w:rsidRPr="001B6737">
        <w:rPr>
          <w:rFonts w:ascii="Titillium" w:hAnsi="Titillium"/>
          <w:sz w:val="21"/>
          <w:szCs w:val="21"/>
        </w:rPr>
        <w:t xml:space="preserve"> del d.l. n. </w:t>
      </w:r>
      <w:r w:rsidRPr="001B6737">
        <w:rPr>
          <w:rFonts w:ascii="Titillium" w:hAnsi="Titillium"/>
          <w:sz w:val="21"/>
          <w:szCs w:val="21"/>
        </w:rPr>
        <w:t>76/2020, convertito con modificazioni dalla l. 120/2020;</w:t>
      </w:r>
    </w:p>
    <w:p w:rsidR="003C6D50" w:rsidRPr="001B6737" w:rsidRDefault="003C6D50" w:rsidP="00950301">
      <w:pPr>
        <w:pStyle w:val="Corpodeltesto2"/>
        <w:spacing w:before="120" w:line="276" w:lineRule="auto"/>
        <w:ind w:right="-1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>CONSIDERATO</w:t>
      </w:r>
      <w:r w:rsidRPr="001B6737">
        <w:rPr>
          <w:rFonts w:ascii="Titillium" w:hAnsi="Titillium"/>
          <w:sz w:val="21"/>
          <w:szCs w:val="21"/>
        </w:rPr>
        <w:t xml:space="preserve"> altresì che gli operatori economici sopra indicati sono stati individuati nel rispetto del principio di rotazione degli inviti e degli affidamenti; </w:t>
      </w:r>
    </w:p>
    <w:p w:rsidR="001B6737" w:rsidRDefault="00EE5D29" w:rsidP="00950301">
      <w:pPr>
        <w:pStyle w:val="Corpodeltesto2"/>
        <w:spacing w:before="120" w:line="276" w:lineRule="auto"/>
        <w:ind w:right="-1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b/>
          <w:sz w:val="21"/>
          <w:szCs w:val="21"/>
        </w:rPr>
        <w:t>ACCERTATO</w:t>
      </w:r>
      <w:r w:rsidRPr="001B6737">
        <w:rPr>
          <w:rFonts w:ascii="Titillium" w:hAnsi="Titillium"/>
          <w:sz w:val="21"/>
          <w:szCs w:val="21"/>
        </w:rPr>
        <w:t xml:space="preserve"> che la disponibilità finanziaria sul pertinente capitolo n. 1309.0 del bilancio di previsione 2023 dell’Autorità </w:t>
      </w:r>
      <w:r w:rsidR="00734E59" w:rsidRPr="001B6737">
        <w:rPr>
          <w:rFonts w:ascii="Titillium" w:hAnsi="Titillium"/>
          <w:sz w:val="21"/>
          <w:szCs w:val="21"/>
        </w:rPr>
        <w:t xml:space="preserve">– </w:t>
      </w:r>
      <w:r w:rsidRPr="001B6737">
        <w:rPr>
          <w:rFonts w:ascii="Titillium" w:hAnsi="Titillium"/>
          <w:sz w:val="21"/>
          <w:szCs w:val="21"/>
        </w:rPr>
        <w:t>approvato con</w:t>
      </w:r>
      <w:r w:rsidR="00734E59" w:rsidRPr="001B6737">
        <w:rPr>
          <w:rFonts w:ascii="Titillium" w:hAnsi="Titillium"/>
          <w:sz w:val="21"/>
          <w:szCs w:val="21"/>
        </w:rPr>
        <w:t xml:space="preserve"> delibera n. 623 del 20.12.2022</w:t>
      </w:r>
      <w:r w:rsidRPr="001B6737">
        <w:rPr>
          <w:rFonts w:ascii="Titillium" w:hAnsi="Titillium"/>
          <w:sz w:val="21"/>
          <w:szCs w:val="21"/>
        </w:rPr>
        <w:t xml:space="preserve"> </w:t>
      </w:r>
      <w:r w:rsidR="00734E59" w:rsidRPr="001B6737">
        <w:rPr>
          <w:rFonts w:ascii="Titillium" w:hAnsi="Titillium"/>
          <w:sz w:val="21"/>
          <w:szCs w:val="21"/>
        </w:rPr>
        <w:t xml:space="preserve">– (voce del Piano dei conti U.1.03.02.02.005) </w:t>
      </w:r>
      <w:r w:rsidRPr="001B6737">
        <w:rPr>
          <w:rFonts w:ascii="Titillium" w:hAnsi="Titillium"/>
          <w:sz w:val="21"/>
          <w:szCs w:val="21"/>
        </w:rPr>
        <w:t xml:space="preserve">è congrua per accogliere la spesa stimata per </w:t>
      </w:r>
      <w:r w:rsidR="005C4108" w:rsidRPr="001B6737">
        <w:rPr>
          <w:rFonts w:ascii="Titillium" w:hAnsi="Titillium"/>
          <w:sz w:val="21"/>
          <w:szCs w:val="21"/>
        </w:rPr>
        <w:t>gli affidamenti</w:t>
      </w:r>
      <w:r w:rsidRPr="001B6737">
        <w:rPr>
          <w:rFonts w:ascii="Titillium" w:hAnsi="Titillium"/>
          <w:sz w:val="21"/>
          <w:szCs w:val="21"/>
        </w:rPr>
        <w:t xml:space="preserve"> in esame;</w:t>
      </w:r>
    </w:p>
    <w:p w:rsidR="001B6737" w:rsidRPr="001B6737" w:rsidRDefault="001B6737" w:rsidP="00950301">
      <w:pPr>
        <w:pStyle w:val="Corpodeltesto2"/>
        <w:spacing w:before="120" w:line="276" w:lineRule="auto"/>
        <w:ind w:right="-1"/>
        <w:jc w:val="both"/>
        <w:rPr>
          <w:rFonts w:ascii="Titillium" w:hAnsi="Titillium"/>
          <w:sz w:val="20"/>
          <w:szCs w:val="20"/>
        </w:rPr>
      </w:pPr>
    </w:p>
    <w:p w:rsidR="001B6737" w:rsidRDefault="000A25AD" w:rsidP="001B6737">
      <w:pPr>
        <w:spacing w:before="120" w:after="120" w:line="276" w:lineRule="auto"/>
        <w:ind w:right="-1"/>
        <w:jc w:val="center"/>
        <w:rPr>
          <w:rFonts w:ascii="Gotham Light" w:hAnsi="Gotham Light" w:cs="Arial"/>
          <w:color w:val="2E74B5"/>
          <w:sz w:val="28"/>
          <w:szCs w:val="28"/>
        </w:rPr>
      </w:pPr>
      <w:r w:rsidRPr="000F5E27">
        <w:rPr>
          <w:rFonts w:ascii="Gotham Light" w:hAnsi="Gotham Light" w:cs="Arial"/>
          <w:color w:val="2E74B5"/>
          <w:sz w:val="28"/>
          <w:szCs w:val="28"/>
        </w:rPr>
        <w:t>D I S P O N E</w:t>
      </w:r>
    </w:p>
    <w:p w:rsidR="001B6737" w:rsidRPr="001B6737" w:rsidRDefault="001B6737" w:rsidP="001B6737">
      <w:pPr>
        <w:spacing w:before="120" w:after="120" w:line="276" w:lineRule="auto"/>
        <w:ind w:right="-1"/>
        <w:jc w:val="center"/>
        <w:rPr>
          <w:rFonts w:ascii="Gotham Light" w:hAnsi="Gotham Light" w:cs="Arial"/>
          <w:color w:val="2E74B5"/>
          <w:sz w:val="20"/>
          <w:szCs w:val="20"/>
        </w:rPr>
      </w:pPr>
    </w:p>
    <w:p w:rsidR="00C9406A" w:rsidRPr="001B6737" w:rsidRDefault="00C9406A" w:rsidP="00C9406A">
      <w:pPr>
        <w:pStyle w:val="Paragrafoelenco"/>
        <w:numPr>
          <w:ilvl w:val="0"/>
          <w:numId w:val="5"/>
        </w:numPr>
        <w:spacing w:after="120" w:line="276" w:lineRule="auto"/>
        <w:ind w:left="284" w:right="-1" w:hanging="284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sz w:val="21"/>
          <w:szCs w:val="21"/>
        </w:rPr>
        <w:t xml:space="preserve">di affidare, ai sensi dell’art. 36, comma 2, </w:t>
      </w:r>
      <w:proofErr w:type="spellStart"/>
      <w:r w:rsidRPr="001B6737">
        <w:rPr>
          <w:rFonts w:ascii="Titillium" w:hAnsi="Titillium"/>
          <w:sz w:val="21"/>
          <w:szCs w:val="21"/>
        </w:rPr>
        <w:t>lett</w:t>
      </w:r>
      <w:proofErr w:type="spellEnd"/>
      <w:r w:rsidRPr="001B6737">
        <w:rPr>
          <w:rFonts w:ascii="Titillium" w:hAnsi="Titillium"/>
          <w:sz w:val="21"/>
          <w:szCs w:val="21"/>
        </w:rPr>
        <w:t xml:space="preserve">. a) del d.lgs. 50/2016, in combinato disposto con l’art. 1, comma 2, </w:t>
      </w:r>
      <w:proofErr w:type="spellStart"/>
      <w:r w:rsidRPr="001B6737">
        <w:rPr>
          <w:rFonts w:ascii="Titillium" w:hAnsi="Titillium"/>
          <w:sz w:val="21"/>
          <w:szCs w:val="21"/>
        </w:rPr>
        <w:t>lett</w:t>
      </w:r>
      <w:proofErr w:type="spellEnd"/>
      <w:r w:rsidRPr="001B6737">
        <w:rPr>
          <w:rFonts w:ascii="Titillium" w:hAnsi="Titillium"/>
          <w:sz w:val="21"/>
          <w:szCs w:val="21"/>
        </w:rPr>
        <w:t xml:space="preserve">. a) del </w:t>
      </w:r>
      <w:proofErr w:type="spellStart"/>
      <w:r w:rsidRPr="001B6737">
        <w:rPr>
          <w:rFonts w:ascii="Titillium" w:hAnsi="Titillium"/>
          <w:sz w:val="21"/>
          <w:szCs w:val="21"/>
        </w:rPr>
        <w:t>d.l.</w:t>
      </w:r>
      <w:proofErr w:type="spellEnd"/>
      <w:r w:rsidRPr="001B6737">
        <w:rPr>
          <w:rFonts w:ascii="Titillium" w:hAnsi="Titillium"/>
          <w:sz w:val="21"/>
          <w:szCs w:val="21"/>
        </w:rPr>
        <w:t xml:space="preserve"> 76/2020, convertito con modificazioni dalla l. 120/2020, il servizio di ristorazione da erogarsi presso il</w:t>
      </w:r>
      <w:r w:rsidR="00884056">
        <w:rPr>
          <w:rFonts w:ascii="Titillium" w:hAnsi="Titillium"/>
          <w:sz w:val="21"/>
          <w:szCs w:val="21"/>
        </w:rPr>
        <w:t xml:space="preserve"> ristorante A</w:t>
      </w:r>
      <w:r w:rsidR="00C117D0">
        <w:rPr>
          <w:rFonts w:ascii="Titillium" w:hAnsi="Titillium"/>
          <w:sz w:val="21"/>
          <w:szCs w:val="21"/>
        </w:rPr>
        <w:t>l 34, sito in Roma, V</w:t>
      </w:r>
      <w:r>
        <w:rPr>
          <w:rFonts w:ascii="Titillium" w:hAnsi="Titillium"/>
          <w:sz w:val="21"/>
          <w:szCs w:val="21"/>
        </w:rPr>
        <w:t>ia Mario de’ Fiori n. 34</w:t>
      </w:r>
      <w:r w:rsidRPr="001B6737">
        <w:rPr>
          <w:rFonts w:ascii="Titillium" w:hAnsi="Titillium"/>
          <w:sz w:val="21"/>
          <w:szCs w:val="21"/>
        </w:rPr>
        <w:t xml:space="preserve">, </w:t>
      </w:r>
      <w:r w:rsidR="00F26DBE" w:rsidRPr="001B6737">
        <w:rPr>
          <w:rFonts w:ascii="Titillium" w:hAnsi="Titillium"/>
          <w:sz w:val="21"/>
          <w:szCs w:val="21"/>
        </w:rPr>
        <w:t>la sera del 16 marzo 2023</w:t>
      </w:r>
      <w:r w:rsidR="00F26DBE">
        <w:rPr>
          <w:rFonts w:ascii="Titillium" w:hAnsi="Titillium"/>
          <w:sz w:val="21"/>
          <w:szCs w:val="21"/>
        </w:rPr>
        <w:t>,</w:t>
      </w:r>
      <w:bookmarkStart w:id="0" w:name="_GoBack"/>
      <w:bookmarkEnd w:id="0"/>
      <w:r w:rsidR="00F26DBE" w:rsidRPr="001B6737">
        <w:rPr>
          <w:rFonts w:ascii="Titillium" w:hAnsi="Titillium"/>
          <w:sz w:val="21"/>
          <w:szCs w:val="21"/>
        </w:rPr>
        <w:t xml:space="preserve"> </w:t>
      </w:r>
      <w:r w:rsidRPr="001B6737">
        <w:rPr>
          <w:rFonts w:ascii="Titillium" w:hAnsi="Titillium"/>
          <w:sz w:val="21"/>
          <w:szCs w:val="21"/>
        </w:rPr>
        <w:t>in occasione del Joint Workshop ANAC-KPP-OCP sul tema “</w:t>
      </w:r>
      <w:proofErr w:type="spellStart"/>
      <w:r w:rsidRPr="001B6737">
        <w:rPr>
          <w:rFonts w:ascii="Titillium" w:hAnsi="Titillium"/>
          <w:i/>
          <w:sz w:val="21"/>
          <w:szCs w:val="21"/>
        </w:rPr>
        <w:t>Transparency</w:t>
      </w:r>
      <w:proofErr w:type="spellEnd"/>
      <w:r w:rsidRPr="001B6737">
        <w:rPr>
          <w:rFonts w:ascii="Titillium" w:hAnsi="Titillium"/>
          <w:i/>
          <w:sz w:val="21"/>
          <w:szCs w:val="21"/>
        </w:rPr>
        <w:t xml:space="preserve"> and </w:t>
      </w:r>
      <w:proofErr w:type="spellStart"/>
      <w:r w:rsidRPr="001B6737">
        <w:rPr>
          <w:rFonts w:ascii="Titillium" w:hAnsi="Titillium"/>
          <w:i/>
          <w:sz w:val="21"/>
          <w:szCs w:val="21"/>
        </w:rPr>
        <w:t>corruption</w:t>
      </w:r>
      <w:proofErr w:type="spellEnd"/>
      <w:r w:rsidRPr="001B6737">
        <w:rPr>
          <w:rFonts w:ascii="Titillium" w:hAnsi="Titillium"/>
          <w:i/>
          <w:sz w:val="21"/>
          <w:szCs w:val="21"/>
        </w:rPr>
        <w:t xml:space="preserve"> </w:t>
      </w:r>
      <w:proofErr w:type="spellStart"/>
      <w:r w:rsidRPr="001B6737">
        <w:rPr>
          <w:rFonts w:ascii="Titillium" w:hAnsi="Titillium"/>
          <w:i/>
          <w:sz w:val="21"/>
          <w:szCs w:val="21"/>
        </w:rPr>
        <w:t>prevention</w:t>
      </w:r>
      <w:proofErr w:type="spellEnd"/>
      <w:r w:rsidRPr="001B6737">
        <w:rPr>
          <w:rFonts w:ascii="Titillium" w:hAnsi="Titillium"/>
          <w:i/>
          <w:sz w:val="21"/>
          <w:szCs w:val="21"/>
        </w:rPr>
        <w:t xml:space="preserve"> in public </w:t>
      </w:r>
      <w:proofErr w:type="spellStart"/>
      <w:r w:rsidRPr="001B6737">
        <w:rPr>
          <w:rFonts w:ascii="Titillium" w:hAnsi="Titillium"/>
          <w:i/>
          <w:sz w:val="21"/>
          <w:szCs w:val="21"/>
        </w:rPr>
        <w:t>procurement</w:t>
      </w:r>
      <w:proofErr w:type="spellEnd"/>
      <w:r w:rsidRPr="001B6737">
        <w:rPr>
          <w:rFonts w:ascii="Titillium" w:hAnsi="Titillium"/>
          <w:i/>
          <w:sz w:val="21"/>
          <w:szCs w:val="21"/>
        </w:rPr>
        <w:t xml:space="preserve">: </w:t>
      </w:r>
      <w:proofErr w:type="spellStart"/>
      <w:r w:rsidRPr="001B6737">
        <w:rPr>
          <w:rFonts w:ascii="Titillium" w:hAnsi="Titillium"/>
          <w:i/>
          <w:sz w:val="21"/>
          <w:szCs w:val="21"/>
        </w:rPr>
        <w:t>Methods</w:t>
      </w:r>
      <w:proofErr w:type="spellEnd"/>
      <w:r w:rsidRPr="001B6737">
        <w:rPr>
          <w:rFonts w:ascii="Titillium" w:hAnsi="Titillium"/>
          <w:i/>
          <w:sz w:val="21"/>
          <w:szCs w:val="21"/>
        </w:rPr>
        <w:t xml:space="preserve"> and best </w:t>
      </w:r>
      <w:proofErr w:type="spellStart"/>
      <w:r w:rsidRPr="001B6737">
        <w:rPr>
          <w:rFonts w:ascii="Titillium" w:hAnsi="Titillium"/>
          <w:i/>
          <w:sz w:val="21"/>
          <w:szCs w:val="21"/>
        </w:rPr>
        <w:t>practices</w:t>
      </w:r>
      <w:proofErr w:type="spellEnd"/>
      <w:r w:rsidRPr="001B6737">
        <w:rPr>
          <w:rFonts w:ascii="Titillium" w:hAnsi="Titillium"/>
          <w:sz w:val="21"/>
          <w:szCs w:val="21"/>
        </w:rPr>
        <w:t xml:space="preserve">”, all’operatore economico </w:t>
      </w:r>
      <w:r>
        <w:rPr>
          <w:rFonts w:ascii="Titillium" w:hAnsi="Titillium"/>
          <w:sz w:val="21"/>
          <w:szCs w:val="21"/>
        </w:rPr>
        <w:t>Trentaquattro S.r.l.</w:t>
      </w:r>
      <w:r w:rsidRPr="001B6737">
        <w:rPr>
          <w:rFonts w:ascii="Titillium" w:hAnsi="Titillium"/>
          <w:sz w:val="21"/>
          <w:szCs w:val="21"/>
        </w:rPr>
        <w:t xml:space="preserve"> (C.F.</w:t>
      </w:r>
      <w:r>
        <w:rPr>
          <w:rFonts w:ascii="Titillium" w:hAnsi="Titillium"/>
          <w:sz w:val="21"/>
          <w:szCs w:val="21"/>
        </w:rPr>
        <w:t xml:space="preserve"> 06546220580 - P.IVA 01569041005</w:t>
      </w:r>
      <w:r w:rsidRPr="001B6737">
        <w:rPr>
          <w:rFonts w:ascii="Titillium" w:hAnsi="Titillium"/>
          <w:sz w:val="21"/>
          <w:szCs w:val="21"/>
        </w:rPr>
        <w:t>, sede l</w:t>
      </w:r>
      <w:r>
        <w:rPr>
          <w:rFonts w:ascii="Titillium" w:hAnsi="Titillium"/>
          <w:sz w:val="21"/>
          <w:szCs w:val="21"/>
        </w:rPr>
        <w:t>egale in Viale Giulio Cesare n. 14</w:t>
      </w:r>
      <w:r w:rsidRPr="001B6737">
        <w:rPr>
          <w:rFonts w:ascii="Titillium" w:hAnsi="Titillium"/>
          <w:sz w:val="21"/>
          <w:szCs w:val="21"/>
        </w:rPr>
        <w:t xml:space="preserve">,  </w:t>
      </w:r>
      <w:r>
        <w:rPr>
          <w:rFonts w:ascii="Titillium" w:hAnsi="Titillium"/>
          <w:sz w:val="21"/>
          <w:szCs w:val="21"/>
        </w:rPr>
        <w:t xml:space="preserve">00192 </w:t>
      </w:r>
      <w:r w:rsidRPr="001B6737">
        <w:rPr>
          <w:rFonts w:ascii="Titillium" w:hAnsi="Titillium"/>
          <w:sz w:val="21"/>
          <w:szCs w:val="21"/>
        </w:rPr>
        <w:t>Roma</w:t>
      </w:r>
      <w:r>
        <w:rPr>
          <w:rFonts w:ascii="Titillium" w:hAnsi="Titillium"/>
          <w:sz w:val="21"/>
          <w:szCs w:val="21"/>
        </w:rPr>
        <w:t>), gestore del predetto locale</w:t>
      </w:r>
      <w:r w:rsidRPr="001B6737">
        <w:rPr>
          <w:rFonts w:ascii="Titillium" w:hAnsi="Titillium"/>
          <w:sz w:val="21"/>
          <w:szCs w:val="21"/>
        </w:rPr>
        <w:t>, per una spesa complessiva così distinta:</w:t>
      </w:r>
    </w:p>
    <w:tbl>
      <w:tblPr>
        <w:tblStyle w:val="Grigliatabella"/>
        <w:tblW w:w="1027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4"/>
      </w:tblGrid>
      <w:tr w:rsidR="00C9406A" w:rsidRPr="000A6992" w:rsidTr="007C53F7">
        <w:trPr>
          <w:trHeight w:val="701"/>
        </w:trPr>
        <w:tc>
          <w:tcPr>
            <w:tcW w:w="1027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406A" w:rsidRPr="000A6992" w:rsidRDefault="00C9406A" w:rsidP="007C53F7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0" w:right="-1" w:firstLine="0"/>
              <w:contextualSpacing w:val="0"/>
              <w:jc w:val="both"/>
              <w:rPr>
                <w:rFonts w:ascii="Titillium" w:hAnsi="Titillium"/>
                <w:sz w:val="21"/>
                <w:szCs w:val="21"/>
              </w:rPr>
            </w:pPr>
            <w:r w:rsidRPr="000A6992">
              <w:rPr>
                <w:rFonts w:ascii="Titillium" w:hAnsi="Titillium"/>
                <w:sz w:val="21"/>
                <w:szCs w:val="21"/>
              </w:rPr>
              <w:t xml:space="preserve">Servizi oggetto dell’affidamento </w:t>
            </w:r>
            <w:r w:rsidRPr="000A6992">
              <w:rPr>
                <w:rFonts w:ascii="Titillium" w:hAnsi="Titillium"/>
                <w:i/>
                <w:sz w:val="21"/>
                <w:szCs w:val="21"/>
              </w:rPr>
              <w:t xml:space="preserve">                                                 </w:t>
            </w:r>
            <w:r w:rsidR="000A6992" w:rsidRPr="000A6992">
              <w:rPr>
                <w:rFonts w:ascii="Titillium" w:hAnsi="Titillium"/>
                <w:sz w:val="21"/>
                <w:szCs w:val="21"/>
              </w:rPr>
              <w:t xml:space="preserve"> € 1.136,36</w:t>
            </w:r>
            <w:r w:rsidRPr="000A6992">
              <w:rPr>
                <w:rFonts w:ascii="Titillium" w:hAnsi="Titillium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C9406A" w:rsidRPr="000A6992" w:rsidRDefault="00C9406A" w:rsidP="007C53F7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0" w:right="-1" w:firstLine="0"/>
              <w:contextualSpacing w:val="0"/>
              <w:jc w:val="both"/>
              <w:rPr>
                <w:rFonts w:ascii="Titillium" w:hAnsi="Titillium"/>
                <w:sz w:val="21"/>
                <w:szCs w:val="21"/>
              </w:rPr>
            </w:pPr>
            <w:r w:rsidRPr="000A6992">
              <w:rPr>
                <w:rFonts w:ascii="Titillium" w:hAnsi="Titillium"/>
                <w:sz w:val="21"/>
                <w:szCs w:val="21"/>
              </w:rPr>
              <w:t xml:space="preserve">IVA al 10%                                                                        </w:t>
            </w:r>
            <w:r w:rsidR="000A6992" w:rsidRPr="000A6992">
              <w:rPr>
                <w:rFonts w:ascii="Titillium" w:hAnsi="Titillium"/>
                <w:sz w:val="21"/>
                <w:szCs w:val="21"/>
              </w:rPr>
              <w:t xml:space="preserve">                        € 113,64</w:t>
            </w:r>
            <w:r w:rsidRPr="000A6992">
              <w:rPr>
                <w:rFonts w:ascii="Titillium" w:hAnsi="Titillium"/>
                <w:sz w:val="21"/>
                <w:szCs w:val="21"/>
              </w:rPr>
              <w:t xml:space="preserve">                                                                             </w:t>
            </w:r>
          </w:p>
        </w:tc>
      </w:tr>
      <w:tr w:rsidR="00C9406A" w:rsidRPr="001B6737" w:rsidTr="007C53F7">
        <w:trPr>
          <w:trHeight w:val="242"/>
        </w:trPr>
        <w:tc>
          <w:tcPr>
            <w:tcW w:w="1027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406A" w:rsidRPr="001B6737" w:rsidRDefault="00C9406A" w:rsidP="007C53F7">
            <w:pPr>
              <w:spacing w:line="276" w:lineRule="auto"/>
              <w:ind w:right="-1"/>
              <w:jc w:val="both"/>
              <w:rPr>
                <w:rFonts w:ascii="Titillium" w:hAnsi="Titillium"/>
                <w:b/>
                <w:sz w:val="21"/>
                <w:szCs w:val="21"/>
              </w:rPr>
            </w:pPr>
            <w:r w:rsidRPr="000A6992">
              <w:rPr>
                <w:rFonts w:ascii="Titillium" w:hAnsi="Titillium"/>
                <w:b/>
                <w:sz w:val="21"/>
                <w:szCs w:val="21"/>
              </w:rPr>
              <w:t xml:space="preserve">Spesa complessiva                                                                     </w:t>
            </w:r>
            <w:r w:rsidR="000A6992" w:rsidRPr="000A6992">
              <w:rPr>
                <w:rFonts w:ascii="Titillium" w:hAnsi="Titillium"/>
                <w:b/>
                <w:sz w:val="21"/>
                <w:szCs w:val="21"/>
              </w:rPr>
              <w:t xml:space="preserve">                      € 1.25</w:t>
            </w:r>
            <w:r w:rsidRPr="000A6992">
              <w:rPr>
                <w:rFonts w:ascii="Titillium" w:hAnsi="Titillium"/>
                <w:b/>
                <w:sz w:val="21"/>
                <w:szCs w:val="21"/>
              </w:rPr>
              <w:t>0,00</w:t>
            </w:r>
            <w:r w:rsidRPr="001B6737">
              <w:rPr>
                <w:rFonts w:ascii="Titillium" w:hAnsi="Titillium"/>
                <w:b/>
                <w:sz w:val="21"/>
                <w:szCs w:val="21"/>
              </w:rPr>
              <w:t xml:space="preserve"> </w:t>
            </w:r>
          </w:p>
        </w:tc>
      </w:tr>
    </w:tbl>
    <w:p w:rsidR="003C7B00" w:rsidRPr="001B6737" w:rsidRDefault="003C7B00" w:rsidP="003C7B00">
      <w:pPr>
        <w:pStyle w:val="Paragrafoelenco"/>
        <w:numPr>
          <w:ilvl w:val="0"/>
          <w:numId w:val="5"/>
        </w:numPr>
        <w:spacing w:after="120" w:line="276" w:lineRule="auto"/>
        <w:ind w:left="284" w:right="-1" w:hanging="284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sz w:val="21"/>
          <w:szCs w:val="21"/>
        </w:rPr>
        <w:t xml:space="preserve">di affidare, ai sensi dell’art. 36, comma 2, lett. a) del d.lgs. 50/2016, in combinato disposto con l’art. 1, comma 2, lett. a) del d.l. 76/2020, convertito con modificazioni dalla l. 120/2020, il servizio di ristorazione </w:t>
      </w:r>
      <w:r w:rsidR="003C6D50" w:rsidRPr="001B6737">
        <w:rPr>
          <w:rFonts w:ascii="Titillium" w:hAnsi="Titillium"/>
          <w:sz w:val="21"/>
          <w:szCs w:val="21"/>
        </w:rPr>
        <w:t xml:space="preserve">consistente nella somministrazione di n. 2 </w:t>
      </w:r>
      <w:r w:rsidR="003C6D50" w:rsidRPr="001B6737">
        <w:rPr>
          <w:rFonts w:ascii="Titillium" w:hAnsi="Titillium"/>
          <w:i/>
          <w:sz w:val="21"/>
          <w:szCs w:val="21"/>
        </w:rPr>
        <w:t>coffee break</w:t>
      </w:r>
      <w:r w:rsidR="003C6D50" w:rsidRPr="001B6737">
        <w:rPr>
          <w:rFonts w:ascii="Titillium" w:hAnsi="Titillium"/>
          <w:sz w:val="21"/>
          <w:szCs w:val="21"/>
        </w:rPr>
        <w:t xml:space="preserve"> e n. 2 </w:t>
      </w:r>
      <w:r w:rsidR="003C6D50" w:rsidRPr="001B6737">
        <w:rPr>
          <w:rFonts w:ascii="Titillium" w:hAnsi="Titillium"/>
          <w:i/>
          <w:sz w:val="21"/>
          <w:szCs w:val="21"/>
        </w:rPr>
        <w:t>light lunch</w:t>
      </w:r>
      <w:r w:rsidR="003C6D50" w:rsidRPr="001B6737">
        <w:rPr>
          <w:rFonts w:ascii="Titillium" w:hAnsi="Titillium"/>
          <w:sz w:val="21"/>
          <w:szCs w:val="21"/>
        </w:rPr>
        <w:t xml:space="preserve"> nei giorni 16 e 17</w:t>
      </w:r>
      <w:r w:rsidRPr="001B6737">
        <w:rPr>
          <w:rFonts w:ascii="Titillium" w:hAnsi="Titillium"/>
          <w:sz w:val="21"/>
          <w:szCs w:val="21"/>
        </w:rPr>
        <w:t xml:space="preserve"> marzo 2023, in occasione del</w:t>
      </w:r>
      <w:r w:rsidR="003C6D50" w:rsidRPr="001B6737">
        <w:rPr>
          <w:rFonts w:ascii="Titillium" w:hAnsi="Titillium"/>
          <w:sz w:val="21"/>
          <w:szCs w:val="21"/>
        </w:rPr>
        <w:t xml:space="preserve"> Joint Workshop ANAC-KPP-OCP sul tema “</w:t>
      </w:r>
      <w:proofErr w:type="spellStart"/>
      <w:r w:rsidR="003C6D50" w:rsidRPr="001B6737">
        <w:rPr>
          <w:rFonts w:ascii="Titillium" w:hAnsi="Titillium"/>
          <w:i/>
          <w:sz w:val="21"/>
          <w:szCs w:val="21"/>
        </w:rPr>
        <w:t>Transparency</w:t>
      </w:r>
      <w:proofErr w:type="spellEnd"/>
      <w:r w:rsidR="003C6D50" w:rsidRPr="001B6737">
        <w:rPr>
          <w:rFonts w:ascii="Titillium" w:hAnsi="Titillium"/>
          <w:i/>
          <w:sz w:val="21"/>
          <w:szCs w:val="21"/>
        </w:rPr>
        <w:t xml:space="preserve"> and </w:t>
      </w:r>
      <w:proofErr w:type="spellStart"/>
      <w:r w:rsidR="003C6D50" w:rsidRPr="001B6737">
        <w:rPr>
          <w:rFonts w:ascii="Titillium" w:hAnsi="Titillium"/>
          <w:i/>
          <w:sz w:val="21"/>
          <w:szCs w:val="21"/>
        </w:rPr>
        <w:t>corruption</w:t>
      </w:r>
      <w:proofErr w:type="spellEnd"/>
      <w:r w:rsidR="003C6D50" w:rsidRPr="001B6737">
        <w:rPr>
          <w:rFonts w:ascii="Titillium" w:hAnsi="Titillium"/>
          <w:i/>
          <w:sz w:val="21"/>
          <w:szCs w:val="21"/>
        </w:rPr>
        <w:t xml:space="preserve"> </w:t>
      </w:r>
      <w:proofErr w:type="spellStart"/>
      <w:r w:rsidR="003C6D50" w:rsidRPr="001B6737">
        <w:rPr>
          <w:rFonts w:ascii="Titillium" w:hAnsi="Titillium"/>
          <w:i/>
          <w:sz w:val="21"/>
          <w:szCs w:val="21"/>
        </w:rPr>
        <w:t>prevention</w:t>
      </w:r>
      <w:proofErr w:type="spellEnd"/>
      <w:r w:rsidR="003C6D50" w:rsidRPr="001B6737">
        <w:rPr>
          <w:rFonts w:ascii="Titillium" w:hAnsi="Titillium"/>
          <w:i/>
          <w:sz w:val="21"/>
          <w:szCs w:val="21"/>
        </w:rPr>
        <w:t xml:space="preserve"> in public </w:t>
      </w:r>
      <w:proofErr w:type="spellStart"/>
      <w:r w:rsidR="003C6D50" w:rsidRPr="001B6737">
        <w:rPr>
          <w:rFonts w:ascii="Titillium" w:hAnsi="Titillium"/>
          <w:i/>
          <w:sz w:val="21"/>
          <w:szCs w:val="21"/>
        </w:rPr>
        <w:t>procurement</w:t>
      </w:r>
      <w:proofErr w:type="spellEnd"/>
      <w:r w:rsidR="003C6D50" w:rsidRPr="001B6737">
        <w:rPr>
          <w:rFonts w:ascii="Titillium" w:hAnsi="Titillium"/>
          <w:i/>
          <w:sz w:val="21"/>
          <w:szCs w:val="21"/>
        </w:rPr>
        <w:t xml:space="preserve">: </w:t>
      </w:r>
      <w:proofErr w:type="spellStart"/>
      <w:r w:rsidR="003C6D50" w:rsidRPr="001B6737">
        <w:rPr>
          <w:rFonts w:ascii="Titillium" w:hAnsi="Titillium"/>
          <w:i/>
          <w:sz w:val="21"/>
          <w:szCs w:val="21"/>
        </w:rPr>
        <w:t>Methods</w:t>
      </w:r>
      <w:proofErr w:type="spellEnd"/>
      <w:r w:rsidR="003C6D50" w:rsidRPr="001B6737">
        <w:rPr>
          <w:rFonts w:ascii="Titillium" w:hAnsi="Titillium"/>
          <w:i/>
          <w:sz w:val="21"/>
          <w:szCs w:val="21"/>
        </w:rPr>
        <w:t xml:space="preserve"> and best </w:t>
      </w:r>
      <w:proofErr w:type="spellStart"/>
      <w:r w:rsidR="003C6D50" w:rsidRPr="001B6737">
        <w:rPr>
          <w:rFonts w:ascii="Titillium" w:hAnsi="Titillium"/>
          <w:i/>
          <w:sz w:val="21"/>
          <w:szCs w:val="21"/>
        </w:rPr>
        <w:t>practices</w:t>
      </w:r>
      <w:proofErr w:type="spellEnd"/>
      <w:r w:rsidR="003C6D50" w:rsidRPr="001B6737">
        <w:rPr>
          <w:rFonts w:ascii="Titillium" w:hAnsi="Titillium"/>
          <w:sz w:val="21"/>
          <w:szCs w:val="21"/>
        </w:rPr>
        <w:t>”</w:t>
      </w:r>
      <w:r w:rsidR="00C513DE" w:rsidRPr="001B6737">
        <w:rPr>
          <w:rFonts w:ascii="Titillium" w:hAnsi="Titillium"/>
          <w:sz w:val="21"/>
          <w:szCs w:val="21"/>
        </w:rPr>
        <w:t>, all’operatore economico</w:t>
      </w:r>
      <w:r w:rsidR="00C9406A">
        <w:rPr>
          <w:rFonts w:ascii="Titillium" w:hAnsi="Titillium"/>
          <w:sz w:val="21"/>
          <w:szCs w:val="21"/>
        </w:rPr>
        <w:t xml:space="preserve"> Riposati Giovanni S.a.s.</w:t>
      </w:r>
      <w:r w:rsidRPr="001B6737">
        <w:rPr>
          <w:rFonts w:ascii="Titillium" w:hAnsi="Titillium"/>
          <w:sz w:val="21"/>
          <w:szCs w:val="21"/>
        </w:rPr>
        <w:t xml:space="preserve"> (C.F./P.IVA </w:t>
      </w:r>
      <w:r w:rsidR="00C9406A">
        <w:rPr>
          <w:rFonts w:ascii="Titillium" w:hAnsi="Titillium"/>
          <w:sz w:val="21"/>
          <w:szCs w:val="21"/>
        </w:rPr>
        <w:t>04367801000</w:t>
      </w:r>
      <w:r w:rsidRPr="001B6737">
        <w:rPr>
          <w:rFonts w:ascii="Titillium" w:hAnsi="Titillium"/>
          <w:sz w:val="21"/>
          <w:szCs w:val="21"/>
        </w:rPr>
        <w:t>,</w:t>
      </w:r>
      <w:r w:rsidR="00C9406A">
        <w:rPr>
          <w:rFonts w:ascii="Titillium" w:hAnsi="Titillium"/>
          <w:sz w:val="21"/>
          <w:szCs w:val="21"/>
        </w:rPr>
        <w:t xml:space="preserve"> sede legale in Via delle </w:t>
      </w:r>
      <w:proofErr w:type="spellStart"/>
      <w:r w:rsidR="00C9406A">
        <w:rPr>
          <w:rFonts w:ascii="Titillium" w:hAnsi="Titillium"/>
          <w:sz w:val="21"/>
          <w:szCs w:val="21"/>
        </w:rPr>
        <w:t>Muratte</w:t>
      </w:r>
      <w:proofErr w:type="spellEnd"/>
      <w:r w:rsidR="00C9406A">
        <w:rPr>
          <w:rFonts w:ascii="Titillium" w:hAnsi="Titillium"/>
          <w:sz w:val="21"/>
          <w:szCs w:val="21"/>
        </w:rPr>
        <w:t xml:space="preserve"> n. 8</w:t>
      </w:r>
      <w:r w:rsidR="003C6D50" w:rsidRPr="001B6737">
        <w:rPr>
          <w:rFonts w:ascii="Titillium" w:hAnsi="Titillium"/>
          <w:sz w:val="21"/>
          <w:szCs w:val="21"/>
        </w:rPr>
        <w:t xml:space="preserve">, </w:t>
      </w:r>
      <w:r w:rsidR="00C9406A" w:rsidRPr="00C9406A">
        <w:rPr>
          <w:rFonts w:ascii="Titillium" w:hAnsi="Titillium"/>
          <w:sz w:val="21"/>
          <w:szCs w:val="21"/>
        </w:rPr>
        <w:t>00187</w:t>
      </w:r>
      <w:r w:rsidRPr="001B6737">
        <w:rPr>
          <w:rFonts w:ascii="Titillium" w:hAnsi="Titillium"/>
          <w:sz w:val="21"/>
          <w:szCs w:val="21"/>
        </w:rPr>
        <w:t xml:space="preserve"> Roma), </w:t>
      </w:r>
      <w:r w:rsidR="00A469DE">
        <w:rPr>
          <w:rFonts w:ascii="Titillium" w:hAnsi="Titillium"/>
          <w:sz w:val="21"/>
          <w:szCs w:val="21"/>
        </w:rPr>
        <w:t>gestore del locale L’Antico Forno di Piazza Trevi</w:t>
      </w:r>
      <w:r w:rsidR="00C513DE" w:rsidRPr="001B6737">
        <w:rPr>
          <w:rFonts w:ascii="Titillium" w:hAnsi="Titillium"/>
          <w:sz w:val="21"/>
          <w:szCs w:val="21"/>
        </w:rPr>
        <w:t xml:space="preserve">, </w:t>
      </w:r>
      <w:r w:rsidRPr="001B6737">
        <w:rPr>
          <w:rFonts w:ascii="Titillium" w:hAnsi="Titillium"/>
          <w:sz w:val="21"/>
          <w:szCs w:val="21"/>
        </w:rPr>
        <w:t>per una spesa complessiva così distinta:</w:t>
      </w:r>
    </w:p>
    <w:tbl>
      <w:tblPr>
        <w:tblStyle w:val="Grigliatabella"/>
        <w:tblW w:w="1027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4"/>
      </w:tblGrid>
      <w:tr w:rsidR="003C7B00" w:rsidRPr="000A6992" w:rsidTr="004A0726">
        <w:trPr>
          <w:trHeight w:val="701"/>
        </w:trPr>
        <w:tc>
          <w:tcPr>
            <w:tcW w:w="1027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C7B00" w:rsidRPr="000A6992" w:rsidRDefault="003C7B00" w:rsidP="003C7B00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tillium" w:hAnsi="Titillium"/>
                <w:sz w:val="21"/>
                <w:szCs w:val="21"/>
              </w:rPr>
            </w:pPr>
            <w:r w:rsidRPr="000A6992">
              <w:rPr>
                <w:rFonts w:ascii="Titillium" w:hAnsi="Titillium"/>
                <w:sz w:val="21"/>
                <w:szCs w:val="21"/>
              </w:rPr>
              <w:t xml:space="preserve">Servizi oggetto dell’affidamento </w:t>
            </w:r>
            <w:r w:rsidRPr="000A6992">
              <w:rPr>
                <w:rFonts w:ascii="Titillium" w:hAnsi="Titillium"/>
                <w:i/>
                <w:sz w:val="21"/>
                <w:szCs w:val="21"/>
              </w:rPr>
              <w:t xml:space="preserve">                                                 </w:t>
            </w:r>
            <w:r w:rsidR="000A6992" w:rsidRPr="000A6992">
              <w:rPr>
                <w:rFonts w:ascii="Titillium" w:hAnsi="Titillium"/>
                <w:sz w:val="21"/>
                <w:szCs w:val="21"/>
              </w:rPr>
              <w:t xml:space="preserve"> € 1.136,36</w:t>
            </w:r>
            <w:r w:rsidRPr="000A6992">
              <w:rPr>
                <w:rFonts w:ascii="Titillium" w:hAnsi="Titillium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3C7B00" w:rsidRPr="000A6992" w:rsidRDefault="003C7B00" w:rsidP="003C7B00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tillium" w:hAnsi="Titillium"/>
                <w:sz w:val="21"/>
                <w:szCs w:val="21"/>
              </w:rPr>
            </w:pPr>
            <w:r w:rsidRPr="000A6992">
              <w:rPr>
                <w:rFonts w:ascii="Titillium" w:hAnsi="Titillium"/>
                <w:sz w:val="21"/>
                <w:szCs w:val="21"/>
              </w:rPr>
              <w:t xml:space="preserve">IVA al 10%                                                                        </w:t>
            </w:r>
            <w:r w:rsidR="00A469DE" w:rsidRPr="000A6992">
              <w:rPr>
                <w:rFonts w:ascii="Titillium" w:hAnsi="Titillium"/>
                <w:sz w:val="21"/>
                <w:szCs w:val="21"/>
              </w:rPr>
              <w:t xml:space="preserve">                </w:t>
            </w:r>
            <w:r w:rsidR="00A469DE" w:rsidRPr="000A6992">
              <w:rPr>
                <w:rFonts w:ascii="Titillium" w:hAnsi="Titillium"/>
                <w:sz w:val="16"/>
                <w:szCs w:val="16"/>
              </w:rPr>
              <w:t xml:space="preserve"> </w:t>
            </w:r>
            <w:r w:rsidR="00A469DE" w:rsidRPr="000A6992">
              <w:rPr>
                <w:rFonts w:ascii="Titillium" w:hAnsi="Titillium"/>
                <w:sz w:val="21"/>
                <w:szCs w:val="21"/>
              </w:rPr>
              <w:t xml:space="preserve">  </w:t>
            </w:r>
            <w:r w:rsidR="000A6992" w:rsidRPr="000A6992">
              <w:rPr>
                <w:rFonts w:ascii="Titillium" w:hAnsi="Titillium"/>
                <w:sz w:val="21"/>
                <w:szCs w:val="21"/>
              </w:rPr>
              <w:t xml:space="preserve">     € 113,64</w:t>
            </w:r>
            <w:r w:rsidRPr="000A6992">
              <w:rPr>
                <w:rFonts w:ascii="Titillium" w:hAnsi="Titillium"/>
                <w:sz w:val="21"/>
                <w:szCs w:val="21"/>
              </w:rPr>
              <w:t xml:space="preserve">                                                                             </w:t>
            </w:r>
          </w:p>
        </w:tc>
      </w:tr>
      <w:tr w:rsidR="003C7B00" w:rsidRPr="001B6737" w:rsidTr="004A0726">
        <w:trPr>
          <w:trHeight w:val="242"/>
        </w:trPr>
        <w:tc>
          <w:tcPr>
            <w:tcW w:w="1027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C7B00" w:rsidRPr="001B6737" w:rsidRDefault="003C7B00" w:rsidP="003C7B00">
            <w:pPr>
              <w:spacing w:line="276" w:lineRule="auto"/>
              <w:contextualSpacing/>
              <w:jc w:val="both"/>
              <w:rPr>
                <w:rFonts w:ascii="Titillium" w:hAnsi="Titillium"/>
                <w:b/>
                <w:sz w:val="21"/>
                <w:szCs w:val="21"/>
              </w:rPr>
            </w:pPr>
            <w:r w:rsidRPr="000A6992">
              <w:rPr>
                <w:rFonts w:ascii="Titillium" w:hAnsi="Titillium"/>
                <w:b/>
                <w:sz w:val="21"/>
                <w:szCs w:val="21"/>
              </w:rPr>
              <w:t xml:space="preserve">Spesa complessiva                                                                     </w:t>
            </w:r>
            <w:r w:rsidR="000A6992" w:rsidRPr="000A6992">
              <w:rPr>
                <w:rFonts w:ascii="Titillium" w:hAnsi="Titillium"/>
                <w:b/>
                <w:sz w:val="21"/>
                <w:szCs w:val="21"/>
              </w:rPr>
              <w:t xml:space="preserve">                     € 1.25</w:t>
            </w:r>
            <w:r w:rsidR="00A469DE" w:rsidRPr="000A6992">
              <w:rPr>
                <w:rFonts w:ascii="Titillium" w:hAnsi="Titillium"/>
                <w:b/>
                <w:sz w:val="21"/>
                <w:szCs w:val="21"/>
              </w:rPr>
              <w:t>0,00</w:t>
            </w:r>
            <w:r w:rsidRPr="001B6737">
              <w:rPr>
                <w:rFonts w:ascii="Titillium" w:hAnsi="Titillium"/>
                <w:b/>
                <w:sz w:val="21"/>
                <w:szCs w:val="21"/>
              </w:rPr>
              <w:t xml:space="preserve"> </w:t>
            </w:r>
          </w:p>
        </w:tc>
      </w:tr>
    </w:tbl>
    <w:p w:rsidR="0002232A" w:rsidRPr="001B6737" w:rsidRDefault="00B216C8" w:rsidP="00B216C8">
      <w:pPr>
        <w:pStyle w:val="Paragrafoelenco"/>
        <w:numPr>
          <w:ilvl w:val="0"/>
          <w:numId w:val="5"/>
        </w:numPr>
        <w:spacing w:line="240" w:lineRule="atLeast"/>
        <w:ind w:left="284" w:hanging="284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sz w:val="21"/>
          <w:szCs w:val="21"/>
        </w:rPr>
        <w:lastRenderedPageBreak/>
        <w:t xml:space="preserve">di autorizzare la spesa complessiva prevista </w:t>
      </w:r>
      <w:r w:rsidR="003C6D50" w:rsidRPr="001B6737">
        <w:rPr>
          <w:rFonts w:ascii="Titillium" w:hAnsi="Titillium"/>
          <w:sz w:val="21"/>
          <w:szCs w:val="21"/>
        </w:rPr>
        <w:t xml:space="preserve">di € </w:t>
      </w:r>
      <w:r w:rsidR="000A6992" w:rsidRPr="000A6992">
        <w:rPr>
          <w:rFonts w:ascii="Titillium" w:hAnsi="Titillium"/>
          <w:sz w:val="21"/>
          <w:szCs w:val="21"/>
        </w:rPr>
        <w:t>2.5</w:t>
      </w:r>
      <w:r w:rsidR="00884056" w:rsidRPr="000A6992">
        <w:rPr>
          <w:rFonts w:ascii="Titillium" w:hAnsi="Titillium"/>
          <w:sz w:val="21"/>
          <w:szCs w:val="21"/>
        </w:rPr>
        <w:t>00,00</w:t>
      </w:r>
      <w:r w:rsidR="009578FD" w:rsidRPr="001B6737">
        <w:rPr>
          <w:rFonts w:ascii="Titillium" w:hAnsi="Titillium"/>
          <w:sz w:val="21"/>
          <w:szCs w:val="21"/>
        </w:rPr>
        <w:t xml:space="preserve">, IVA al 10% inclusa, </w:t>
      </w:r>
      <w:r w:rsidRPr="001B6737">
        <w:rPr>
          <w:rFonts w:ascii="Titillium" w:hAnsi="Titillium"/>
          <w:sz w:val="21"/>
          <w:szCs w:val="21"/>
        </w:rPr>
        <w:t>da porsi a carico del bilancio 2023 dell’Autorità sul capitolo n. 1309.0 (</w:t>
      </w:r>
      <w:r w:rsidR="00AA467C" w:rsidRPr="001B6737">
        <w:rPr>
          <w:rFonts w:ascii="Titillium" w:hAnsi="Titillium"/>
          <w:sz w:val="21"/>
          <w:szCs w:val="21"/>
        </w:rPr>
        <w:t xml:space="preserve">voce del </w:t>
      </w:r>
      <w:r w:rsidRPr="001B6737">
        <w:rPr>
          <w:rFonts w:ascii="Titillium" w:hAnsi="Titillium"/>
          <w:sz w:val="21"/>
          <w:szCs w:val="21"/>
        </w:rPr>
        <w:t>Piano dei conti U.1.03.02.02.005);</w:t>
      </w:r>
    </w:p>
    <w:p w:rsidR="00367439" w:rsidRPr="001B6737" w:rsidRDefault="00AB6077" w:rsidP="00367439">
      <w:pPr>
        <w:pStyle w:val="Paragrafoelenco"/>
        <w:numPr>
          <w:ilvl w:val="0"/>
          <w:numId w:val="5"/>
        </w:numPr>
        <w:spacing w:line="240" w:lineRule="atLeast"/>
        <w:ind w:left="284" w:hanging="284"/>
        <w:jc w:val="both"/>
        <w:rPr>
          <w:rFonts w:ascii="Titillium" w:hAnsi="Titillium"/>
          <w:sz w:val="21"/>
          <w:szCs w:val="21"/>
        </w:rPr>
      </w:pPr>
      <w:r w:rsidRPr="001B6737">
        <w:rPr>
          <w:rFonts w:ascii="Titillium" w:hAnsi="Titillium"/>
          <w:sz w:val="21"/>
          <w:szCs w:val="21"/>
        </w:rPr>
        <w:t>di nominare</w:t>
      </w:r>
      <w:r w:rsidR="00BE4BF9" w:rsidRPr="001B6737">
        <w:rPr>
          <w:rFonts w:ascii="Titillium" w:hAnsi="Titillium"/>
          <w:sz w:val="21"/>
          <w:szCs w:val="21"/>
        </w:rPr>
        <w:t xml:space="preserve"> Responsabile unico del</w:t>
      </w:r>
      <w:r w:rsidRPr="001B6737">
        <w:rPr>
          <w:rFonts w:ascii="Titillium" w:hAnsi="Titillium"/>
          <w:sz w:val="21"/>
          <w:szCs w:val="21"/>
        </w:rPr>
        <w:t xml:space="preserve"> procedimento ai sensi dell’</w:t>
      </w:r>
      <w:r w:rsidR="00BE4BF9" w:rsidRPr="001B6737">
        <w:rPr>
          <w:rFonts w:ascii="Titillium" w:hAnsi="Titillium"/>
          <w:sz w:val="21"/>
          <w:szCs w:val="21"/>
        </w:rPr>
        <w:t xml:space="preserve">art. 31 del d.lgs. </w:t>
      </w:r>
      <w:r w:rsidR="00BD38E0" w:rsidRPr="001B6737">
        <w:rPr>
          <w:rFonts w:ascii="Titillium" w:hAnsi="Titillium"/>
          <w:sz w:val="21"/>
          <w:szCs w:val="21"/>
        </w:rPr>
        <w:t>50/2016</w:t>
      </w:r>
      <w:r w:rsidR="00F81FD3" w:rsidRPr="001B6737">
        <w:rPr>
          <w:rFonts w:ascii="Titillium" w:hAnsi="Titillium"/>
          <w:sz w:val="21"/>
          <w:szCs w:val="21"/>
        </w:rPr>
        <w:t xml:space="preserve"> </w:t>
      </w:r>
      <w:r w:rsidR="00B216C8" w:rsidRPr="001B6737">
        <w:rPr>
          <w:rFonts w:ascii="Titillium" w:hAnsi="Titillium"/>
          <w:sz w:val="21"/>
          <w:szCs w:val="21"/>
        </w:rPr>
        <w:t>l’Arch. Rosaria Rizzacasa, funzionario in servizio presso l’Ufficio Gare e Logistica dell’Autorità, che svolgerà anche le funzioni di Direttore dell’esecuzione del contratto.</w:t>
      </w:r>
    </w:p>
    <w:p w:rsidR="000D7EE2" w:rsidRPr="000D7EE2" w:rsidRDefault="000D7EE2" w:rsidP="000D7EE2">
      <w:pPr>
        <w:spacing w:line="240" w:lineRule="atLeast"/>
        <w:jc w:val="both"/>
        <w:rPr>
          <w:rFonts w:ascii="Titillium" w:hAnsi="Titillium"/>
          <w:sz w:val="20"/>
          <w:szCs w:val="20"/>
        </w:rPr>
      </w:pPr>
    </w:p>
    <w:p w:rsidR="000E033A" w:rsidRPr="00D931F7" w:rsidRDefault="000E033A" w:rsidP="00D931F7">
      <w:pPr>
        <w:spacing w:line="240" w:lineRule="atLeast"/>
        <w:jc w:val="both"/>
        <w:rPr>
          <w:rFonts w:ascii="Titillium" w:hAnsi="Titillium"/>
          <w:sz w:val="20"/>
          <w:szCs w:val="20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0"/>
        <w:gridCol w:w="1885"/>
        <w:gridCol w:w="1995"/>
      </w:tblGrid>
      <w:tr w:rsidR="002F0FBD" w:rsidRPr="00B23DE4" w:rsidTr="002F0FBD">
        <w:trPr>
          <w:trHeight w:val="658"/>
        </w:trPr>
        <w:tc>
          <w:tcPr>
            <w:tcW w:w="2861" w:type="pct"/>
            <w:shd w:val="clear" w:color="auto" w:fill="2770B7"/>
            <w:vAlign w:val="center"/>
          </w:tcPr>
          <w:p w:rsidR="002F0FBD" w:rsidRPr="000E1983" w:rsidRDefault="002F0FBD" w:rsidP="00161BC5">
            <w:pPr>
              <w:pStyle w:val="ANCATABELLATITOLOBIANCO"/>
              <w:ind w:left="0"/>
            </w:pPr>
          </w:p>
        </w:tc>
        <w:tc>
          <w:tcPr>
            <w:tcW w:w="1039" w:type="pct"/>
            <w:shd w:val="clear" w:color="auto" w:fill="2770B7"/>
          </w:tcPr>
          <w:p w:rsidR="002F0FBD" w:rsidRPr="000E1983" w:rsidRDefault="002F0FBD" w:rsidP="00161BC5">
            <w:pPr>
              <w:pStyle w:val="ANCATABELLATITOLOBIANCO"/>
              <w:ind w:left="0"/>
            </w:pPr>
          </w:p>
        </w:tc>
        <w:tc>
          <w:tcPr>
            <w:tcW w:w="1100" w:type="pct"/>
            <w:shd w:val="clear" w:color="auto" w:fill="2770B7"/>
          </w:tcPr>
          <w:p w:rsidR="002F0FBD" w:rsidRPr="001B6737" w:rsidRDefault="002F0FBD" w:rsidP="000D7EE2">
            <w:pPr>
              <w:pStyle w:val="ANCATABELLATITOLOBIANCO"/>
              <w:ind w:left="0"/>
              <w:jc w:val="center"/>
              <w:rPr>
                <w:sz w:val="21"/>
                <w:szCs w:val="21"/>
                <w:lang w:val="it-IT"/>
              </w:rPr>
            </w:pPr>
            <w:r w:rsidRPr="001B6737">
              <w:rPr>
                <w:sz w:val="21"/>
                <w:szCs w:val="21"/>
                <w:lang w:val="it-IT"/>
              </w:rPr>
              <w:t>Il Dirigente dell’Ufficio Gare e Logistica</w:t>
            </w:r>
          </w:p>
        </w:tc>
      </w:tr>
    </w:tbl>
    <w:p w:rsidR="007B032B" w:rsidRPr="001B6737" w:rsidRDefault="007B032B" w:rsidP="007B032B">
      <w:pPr>
        <w:spacing w:before="120" w:after="120"/>
        <w:rPr>
          <w:rFonts w:ascii="Titilium Regular" w:hAnsi="Titilium Regular"/>
          <w:i/>
          <w:sz w:val="21"/>
          <w:szCs w:val="21"/>
        </w:rPr>
      </w:pPr>
      <w:r w:rsidRPr="001B6737">
        <w:rPr>
          <w:rFonts w:ascii="Titilium Regular" w:hAnsi="Titilium Regular"/>
          <w:i/>
          <w:sz w:val="21"/>
          <w:szCs w:val="21"/>
        </w:rPr>
        <w:tab/>
      </w:r>
      <w:r w:rsidRPr="001B6737">
        <w:rPr>
          <w:rFonts w:ascii="Titilium Regular" w:hAnsi="Titilium Regular"/>
          <w:i/>
          <w:sz w:val="21"/>
          <w:szCs w:val="21"/>
        </w:rPr>
        <w:tab/>
      </w:r>
      <w:r w:rsidRPr="001B6737">
        <w:rPr>
          <w:rFonts w:ascii="Titilium Regular" w:hAnsi="Titilium Regular"/>
          <w:i/>
          <w:sz w:val="21"/>
          <w:szCs w:val="21"/>
        </w:rPr>
        <w:tab/>
      </w:r>
      <w:r w:rsidRPr="001B6737">
        <w:rPr>
          <w:rFonts w:ascii="Titilium Regular" w:hAnsi="Titilium Regular"/>
          <w:i/>
          <w:sz w:val="21"/>
          <w:szCs w:val="21"/>
        </w:rPr>
        <w:tab/>
        <w:t xml:space="preserve">                                   </w:t>
      </w:r>
      <w:r w:rsidRPr="001B6737">
        <w:rPr>
          <w:rFonts w:ascii="Titillium" w:hAnsi="Titillium"/>
          <w:sz w:val="21"/>
          <w:szCs w:val="21"/>
        </w:rPr>
        <w:t xml:space="preserve"> </w:t>
      </w:r>
      <w:r w:rsidR="002F0FBD" w:rsidRPr="001B6737">
        <w:rPr>
          <w:rFonts w:ascii="Titillium" w:hAnsi="Titillium"/>
          <w:sz w:val="21"/>
          <w:szCs w:val="21"/>
        </w:rPr>
        <w:t xml:space="preserve">                                          </w:t>
      </w:r>
      <w:r w:rsidR="00D931F7" w:rsidRPr="001B6737">
        <w:rPr>
          <w:rFonts w:ascii="Titillium" w:hAnsi="Titillium"/>
          <w:sz w:val="21"/>
          <w:szCs w:val="21"/>
        </w:rPr>
        <w:t xml:space="preserve">   </w:t>
      </w:r>
      <w:r w:rsidR="000D7EE2" w:rsidRPr="001B6737">
        <w:rPr>
          <w:rFonts w:ascii="Titillium" w:hAnsi="Titillium"/>
          <w:sz w:val="21"/>
          <w:szCs w:val="21"/>
        </w:rPr>
        <w:t xml:space="preserve">  </w:t>
      </w:r>
      <w:r w:rsidR="00BD38E0" w:rsidRPr="001B6737">
        <w:rPr>
          <w:rFonts w:ascii="Titillium" w:hAnsi="Titillium"/>
          <w:i/>
          <w:sz w:val="21"/>
          <w:szCs w:val="21"/>
        </w:rPr>
        <w:t>Dott. Ilario Sorrentino</w:t>
      </w:r>
    </w:p>
    <w:p w:rsidR="00BD38E0" w:rsidRDefault="00BD38E0" w:rsidP="007B032B">
      <w:pPr>
        <w:spacing w:before="120" w:after="120"/>
        <w:rPr>
          <w:rFonts w:ascii="Titilium Regular" w:hAnsi="Titilium Regular"/>
          <w:i/>
        </w:rPr>
      </w:pPr>
    </w:p>
    <w:p w:rsidR="00A638C9" w:rsidRDefault="00A638C9" w:rsidP="007B032B">
      <w:pPr>
        <w:spacing w:before="120" w:after="120"/>
        <w:rPr>
          <w:rFonts w:ascii="Titilium Regular" w:hAnsi="Titilium Regular"/>
          <w:i/>
        </w:rPr>
      </w:pPr>
    </w:p>
    <w:p w:rsidR="00A638C9" w:rsidRPr="00C95049" w:rsidRDefault="00A638C9" w:rsidP="007B032B">
      <w:pPr>
        <w:spacing w:before="120" w:after="120"/>
        <w:rPr>
          <w:rFonts w:ascii="Titilium Regular" w:hAnsi="Titilium Regular"/>
          <w:i/>
        </w:rPr>
      </w:pPr>
    </w:p>
    <w:p w:rsidR="007B032B" w:rsidRPr="001B6737" w:rsidRDefault="00BD38E0" w:rsidP="007B032B">
      <w:pPr>
        <w:rPr>
          <w:rFonts w:ascii="Titilium Regular" w:hAnsi="Titilium Regular"/>
          <w:sz w:val="21"/>
          <w:szCs w:val="21"/>
        </w:rPr>
      </w:pPr>
      <w:r w:rsidRPr="001B6737">
        <w:rPr>
          <w:rFonts w:ascii="Titillium" w:hAnsi="Titillium"/>
          <w:sz w:val="21"/>
          <w:szCs w:val="21"/>
        </w:rPr>
        <w:t xml:space="preserve">                                                                                                                           </w:t>
      </w:r>
      <w:r w:rsidR="00A638C9" w:rsidRPr="001B6737">
        <w:rPr>
          <w:rFonts w:ascii="Titillium" w:hAnsi="Titillium"/>
          <w:sz w:val="21"/>
          <w:szCs w:val="21"/>
        </w:rPr>
        <w:t xml:space="preserve">   </w:t>
      </w:r>
      <w:r w:rsidR="001B6737">
        <w:rPr>
          <w:rFonts w:ascii="Titillium" w:hAnsi="Titillium"/>
          <w:sz w:val="21"/>
          <w:szCs w:val="21"/>
        </w:rPr>
        <w:t xml:space="preserve">      </w:t>
      </w:r>
      <w:r w:rsidR="007B032B" w:rsidRPr="001B6737">
        <w:rPr>
          <w:rFonts w:ascii="Titillium" w:hAnsi="Titillium"/>
          <w:sz w:val="21"/>
          <w:szCs w:val="21"/>
        </w:rPr>
        <w:t>Visto per la copertura finanziaria</w:t>
      </w:r>
    </w:p>
    <w:p w:rsidR="007B032B" w:rsidRPr="00B37D84" w:rsidRDefault="007B032B" w:rsidP="007B032B">
      <w:pPr>
        <w:rPr>
          <w:rFonts w:ascii="Titilium Regular" w:hAnsi="Titilium Regular"/>
          <w:b/>
        </w:rPr>
      </w:pPr>
      <w:r>
        <w:rPr>
          <w:rFonts w:ascii="Titilium Regular" w:hAnsi="Titilium Regular"/>
          <w:b/>
        </w:rPr>
        <w:t xml:space="preserve">   </w:t>
      </w:r>
    </w:p>
    <w:tbl>
      <w:tblPr>
        <w:tblW w:w="4854" w:type="pct"/>
        <w:tblInd w:w="14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9"/>
        <w:gridCol w:w="2398"/>
        <w:gridCol w:w="2538"/>
      </w:tblGrid>
      <w:tr w:rsidR="007B032B" w:rsidRPr="00B23DE4" w:rsidTr="00161BC5">
        <w:trPr>
          <w:trHeight w:val="658"/>
        </w:trPr>
        <w:tc>
          <w:tcPr>
            <w:tcW w:w="2197" w:type="pct"/>
            <w:shd w:val="clear" w:color="auto" w:fill="2770B7"/>
            <w:vAlign w:val="center"/>
          </w:tcPr>
          <w:p w:rsidR="007B032B" w:rsidRPr="000E1983" w:rsidRDefault="007B032B" w:rsidP="00161BC5">
            <w:pPr>
              <w:pStyle w:val="ANCATABELLATITOLOBIANCO"/>
              <w:ind w:left="0"/>
            </w:pPr>
          </w:p>
        </w:tc>
        <w:tc>
          <w:tcPr>
            <w:tcW w:w="1362" w:type="pct"/>
            <w:shd w:val="clear" w:color="auto" w:fill="2770B7"/>
          </w:tcPr>
          <w:p w:rsidR="007B032B" w:rsidRPr="000E1983" w:rsidRDefault="007B032B" w:rsidP="00161BC5">
            <w:pPr>
              <w:pStyle w:val="ANCATABELLATITOLOBIANCO"/>
              <w:ind w:left="0"/>
            </w:pPr>
          </w:p>
        </w:tc>
        <w:tc>
          <w:tcPr>
            <w:tcW w:w="1442" w:type="pct"/>
            <w:shd w:val="clear" w:color="auto" w:fill="2770B7"/>
            <w:vAlign w:val="center"/>
          </w:tcPr>
          <w:p w:rsidR="007B032B" w:rsidRPr="001B6737" w:rsidRDefault="007B032B" w:rsidP="000D7EE2">
            <w:pPr>
              <w:pStyle w:val="ANCATABELLATITOLOBIANCO"/>
              <w:ind w:left="0"/>
              <w:jc w:val="center"/>
              <w:rPr>
                <w:sz w:val="21"/>
                <w:szCs w:val="21"/>
                <w:lang w:val="it-IT"/>
              </w:rPr>
            </w:pPr>
            <w:r w:rsidRPr="001B6737">
              <w:rPr>
                <w:sz w:val="21"/>
                <w:szCs w:val="21"/>
                <w:lang w:val="it-IT"/>
              </w:rPr>
              <w:t xml:space="preserve">Il </w:t>
            </w:r>
            <w:r w:rsidRPr="001B6737">
              <w:rPr>
                <w:b/>
                <w:sz w:val="21"/>
                <w:szCs w:val="21"/>
                <w:lang w:val="it-IT"/>
              </w:rPr>
              <w:t>Dirigente dell’Ufficio programm</w:t>
            </w:r>
            <w:r w:rsidR="006776E4" w:rsidRPr="001B6737">
              <w:rPr>
                <w:b/>
                <w:sz w:val="21"/>
                <w:szCs w:val="21"/>
                <w:lang w:val="it-IT"/>
              </w:rPr>
              <w:t>azione delle risorse finanziarie</w:t>
            </w:r>
            <w:r w:rsidRPr="001B6737">
              <w:rPr>
                <w:b/>
                <w:sz w:val="21"/>
                <w:szCs w:val="21"/>
                <w:lang w:val="it-IT"/>
              </w:rPr>
              <w:t>, bilancio e co</w:t>
            </w:r>
            <w:r w:rsidR="00BD38E0" w:rsidRPr="001B6737">
              <w:rPr>
                <w:b/>
                <w:sz w:val="21"/>
                <w:szCs w:val="21"/>
                <w:lang w:val="it-IT"/>
              </w:rPr>
              <w:t>ntabilità</w:t>
            </w:r>
          </w:p>
        </w:tc>
      </w:tr>
    </w:tbl>
    <w:p w:rsidR="007B032B" w:rsidRDefault="007B032B" w:rsidP="007B032B">
      <w:pPr>
        <w:rPr>
          <w:rFonts w:ascii="Titilium Regular" w:hAnsi="Titilium Regular"/>
        </w:rPr>
      </w:pPr>
    </w:p>
    <w:p w:rsidR="007B032B" w:rsidRPr="001B6737" w:rsidRDefault="00BD38E0" w:rsidP="00BD38E0">
      <w:pPr>
        <w:ind w:left="2124" w:firstLine="708"/>
        <w:rPr>
          <w:rFonts w:ascii="Titillium" w:hAnsi="Titillium"/>
          <w:i/>
          <w:sz w:val="21"/>
          <w:szCs w:val="21"/>
        </w:rPr>
      </w:pPr>
      <w:r w:rsidRPr="001B6737">
        <w:rPr>
          <w:rFonts w:ascii="Titillium" w:hAnsi="Titillium"/>
          <w:sz w:val="21"/>
          <w:szCs w:val="21"/>
        </w:rPr>
        <w:t xml:space="preserve">                                                                    </w:t>
      </w:r>
      <w:r w:rsidR="00A638C9" w:rsidRPr="001B6737">
        <w:rPr>
          <w:rFonts w:ascii="Titillium" w:hAnsi="Titillium"/>
          <w:sz w:val="21"/>
          <w:szCs w:val="21"/>
        </w:rPr>
        <w:t xml:space="preserve">        </w:t>
      </w:r>
      <w:r w:rsidRPr="001B6737">
        <w:rPr>
          <w:rFonts w:ascii="Titillium" w:hAnsi="Titillium"/>
          <w:sz w:val="21"/>
          <w:szCs w:val="21"/>
        </w:rPr>
        <w:t xml:space="preserve">  </w:t>
      </w:r>
      <w:r w:rsidR="001B6737">
        <w:rPr>
          <w:rFonts w:ascii="Titillium" w:hAnsi="Titillium"/>
          <w:sz w:val="21"/>
          <w:szCs w:val="21"/>
        </w:rPr>
        <w:t xml:space="preserve">  </w:t>
      </w:r>
      <w:r w:rsidR="007B032B" w:rsidRPr="001B6737">
        <w:rPr>
          <w:rFonts w:ascii="Titillium" w:hAnsi="Titillium"/>
          <w:i/>
          <w:sz w:val="21"/>
          <w:szCs w:val="21"/>
        </w:rPr>
        <w:t>Dott. Stefano Ceccarelli</w:t>
      </w:r>
    </w:p>
    <w:p w:rsidR="009673D5" w:rsidRPr="008D43D1" w:rsidRDefault="000A25AD" w:rsidP="00BD38E0">
      <w:pPr>
        <w:spacing w:before="120" w:after="120" w:line="276" w:lineRule="auto"/>
        <w:ind w:right="850"/>
        <w:rPr>
          <w:rFonts w:ascii="Titillium" w:hAnsi="Titillium"/>
          <w:sz w:val="20"/>
          <w:szCs w:val="20"/>
        </w:rPr>
      </w:pPr>
      <w:r w:rsidRPr="008D43D1">
        <w:rPr>
          <w:rFonts w:ascii="Titillium" w:hAnsi="Titillium"/>
          <w:sz w:val="20"/>
          <w:szCs w:val="20"/>
        </w:rPr>
        <w:tab/>
      </w:r>
      <w:r w:rsidRPr="008D43D1">
        <w:rPr>
          <w:rFonts w:ascii="Titillium" w:hAnsi="Titillium"/>
          <w:sz w:val="20"/>
          <w:szCs w:val="20"/>
        </w:rPr>
        <w:tab/>
      </w:r>
      <w:r w:rsidRPr="008D43D1">
        <w:rPr>
          <w:rFonts w:ascii="Titillium" w:hAnsi="Titillium"/>
          <w:sz w:val="20"/>
          <w:szCs w:val="20"/>
        </w:rPr>
        <w:tab/>
      </w:r>
      <w:r w:rsidRPr="008D43D1">
        <w:rPr>
          <w:rFonts w:ascii="Titillium" w:hAnsi="Titillium"/>
          <w:sz w:val="20"/>
          <w:szCs w:val="20"/>
        </w:rPr>
        <w:tab/>
      </w:r>
      <w:r w:rsidRPr="008D43D1">
        <w:rPr>
          <w:rFonts w:ascii="Titillium" w:hAnsi="Titillium"/>
          <w:sz w:val="20"/>
          <w:szCs w:val="20"/>
        </w:rPr>
        <w:tab/>
      </w:r>
    </w:p>
    <w:sectPr w:rsidR="009673D5" w:rsidRPr="008D43D1" w:rsidSect="00A638C9">
      <w:headerReference w:type="default" r:id="rId7"/>
      <w:footerReference w:type="default" r:id="rId8"/>
      <w:pgSz w:w="11906" w:h="16838"/>
      <w:pgMar w:top="1236" w:right="1418" w:bottom="992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32" w:rsidRDefault="00D35232">
      <w:r>
        <w:separator/>
      </w:r>
    </w:p>
  </w:endnote>
  <w:endnote w:type="continuationSeparator" w:id="0">
    <w:p w:rsidR="00D35232" w:rsidRDefault="00D3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 Web">
    <w:altName w:val="Times New Roman"/>
    <w:charset w:val="4D"/>
    <w:family w:val="auto"/>
    <w:pitch w:val="variable"/>
    <w:sig w:usb0="00000007" w:usb1="00000001" w:usb2="00000000" w:usb3="00000000" w:csb0="00000093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ium Regular">
    <w:altName w:val="Times New Roman"/>
    <w:panose1 w:val="00000000000000000000"/>
    <w:charset w:val="00"/>
    <w:family w:val="roman"/>
    <w:notTrueType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8E0" w:rsidRPr="00C1099F" w:rsidRDefault="00D35232" w:rsidP="002818E0">
    <w:pPr>
      <w:spacing w:after="60" w:line="276" w:lineRule="auto"/>
      <w:jc w:val="both"/>
      <w:rPr>
        <w:rFonts w:ascii="Garamond" w:hAnsi="Garamond"/>
        <w:sz w:val="18"/>
        <w:szCs w:val="18"/>
      </w:rPr>
    </w:pPr>
  </w:p>
  <w:p w:rsidR="002818E0" w:rsidRDefault="00D352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32" w:rsidRDefault="00D35232">
      <w:r>
        <w:separator/>
      </w:r>
    </w:p>
  </w:footnote>
  <w:footnote w:type="continuationSeparator" w:id="0">
    <w:p w:rsidR="00D35232" w:rsidRDefault="00D3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95" w:rsidRDefault="00272195" w:rsidP="000A07AD">
    <w:pPr>
      <w:tabs>
        <w:tab w:val="center" w:pos="4678"/>
      </w:tabs>
      <w:ind w:right="282"/>
      <w:jc w:val="center"/>
      <w:rPr>
        <w:rFonts w:ascii="Kunstler Script" w:hAnsi="Kunstler Script"/>
        <w:b/>
        <w:color w:val="1F497D"/>
        <w:w w:val="66"/>
        <w:sz w:val="28"/>
        <w:szCs w:val="28"/>
      </w:rPr>
    </w:pPr>
  </w:p>
  <w:p w:rsidR="00272195" w:rsidRDefault="00272195" w:rsidP="000A07AD">
    <w:pPr>
      <w:tabs>
        <w:tab w:val="center" w:pos="4678"/>
      </w:tabs>
      <w:ind w:right="282"/>
      <w:jc w:val="center"/>
      <w:rPr>
        <w:rFonts w:ascii="Kunstler Script" w:hAnsi="Kunstler Script"/>
        <w:b/>
        <w:color w:val="1F497D"/>
        <w:w w:val="66"/>
        <w:sz w:val="28"/>
        <w:szCs w:val="28"/>
      </w:rPr>
    </w:pPr>
  </w:p>
  <w:p w:rsidR="000A07AD" w:rsidRDefault="008D43D1" w:rsidP="008D43D1">
    <w:pPr>
      <w:tabs>
        <w:tab w:val="center" w:pos="4678"/>
      </w:tabs>
      <w:ind w:right="282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noProof/>
      </w:rPr>
      <w:drawing>
        <wp:inline distT="0" distB="0" distL="0" distR="0" wp14:anchorId="4C088909" wp14:editId="7E7E0811">
          <wp:extent cx="3169920" cy="4025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266EB" w:rsidRDefault="00BD38E0" w:rsidP="008D43D1">
    <w:pPr>
      <w:tabs>
        <w:tab w:val="center" w:pos="4678"/>
      </w:tabs>
      <w:spacing w:before="120"/>
      <w:ind w:right="284"/>
      <w:rPr>
        <w:rFonts w:ascii="Gotham Light" w:hAnsi="Gotham Light" w:cs="Arial"/>
        <w:color w:val="2E74B5"/>
      </w:rPr>
    </w:pPr>
    <w:r>
      <w:rPr>
        <w:rFonts w:ascii="Gotham Light" w:hAnsi="Gotham Light" w:cs="Arial"/>
        <w:color w:val="2E74B5"/>
      </w:rPr>
      <w:t xml:space="preserve">          Ufficio Gare e Logistica</w:t>
    </w:r>
  </w:p>
  <w:p w:rsidR="00BD38E0" w:rsidRPr="00BD38E0" w:rsidRDefault="00BD38E0" w:rsidP="008D43D1">
    <w:pPr>
      <w:tabs>
        <w:tab w:val="center" w:pos="4678"/>
      </w:tabs>
      <w:spacing w:before="120"/>
      <w:ind w:right="284"/>
      <w:rPr>
        <w:rFonts w:ascii="Gotham Light" w:hAnsi="Gotham Light" w:cs="Arial"/>
        <w:color w:val="2E74B5"/>
      </w:rPr>
    </w:pPr>
    <w:r>
      <w:rPr>
        <w:rFonts w:ascii="Gotham Light" w:hAnsi="Gotham Light" w:cs="Arial"/>
        <w:color w:val="2E74B5"/>
      </w:rPr>
      <w:t xml:space="preserve">          Il Dirigente</w:t>
    </w:r>
  </w:p>
  <w:p w:rsidR="008266EB" w:rsidRPr="0012576B" w:rsidRDefault="00D35232" w:rsidP="009A6162">
    <w:pPr>
      <w:tabs>
        <w:tab w:val="center" w:pos="4678"/>
      </w:tabs>
      <w:spacing w:before="120"/>
      <w:ind w:right="284"/>
      <w:jc w:val="center"/>
      <w:rPr>
        <w:i/>
        <w:color w:val="1F497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04E"/>
    <w:multiLevelType w:val="hybridMultilevel"/>
    <w:tmpl w:val="7E7CF6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A64131"/>
    <w:multiLevelType w:val="hybridMultilevel"/>
    <w:tmpl w:val="4CCA380C"/>
    <w:lvl w:ilvl="0" w:tplc="7436CE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C5215"/>
    <w:multiLevelType w:val="hybridMultilevel"/>
    <w:tmpl w:val="5EAE9C2C"/>
    <w:lvl w:ilvl="0" w:tplc="499EBFB6">
      <w:numFmt w:val="bullet"/>
      <w:lvlText w:val="-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E69A7"/>
    <w:multiLevelType w:val="hybridMultilevel"/>
    <w:tmpl w:val="71486406"/>
    <w:lvl w:ilvl="0" w:tplc="773A90A4">
      <w:start w:val="2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0A5B12"/>
    <w:multiLevelType w:val="hybridMultilevel"/>
    <w:tmpl w:val="71486406"/>
    <w:lvl w:ilvl="0" w:tplc="773A90A4">
      <w:start w:val="2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D56576D"/>
    <w:multiLevelType w:val="hybridMultilevel"/>
    <w:tmpl w:val="FCB8D0B8"/>
    <w:lvl w:ilvl="0" w:tplc="BB7066EA">
      <w:start w:val="1"/>
      <w:numFmt w:val="decimal"/>
      <w:lvlText w:val="%1."/>
      <w:lvlJc w:val="left"/>
      <w:pPr>
        <w:ind w:left="220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9786C"/>
    <w:multiLevelType w:val="hybridMultilevel"/>
    <w:tmpl w:val="309422D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7300A"/>
    <w:multiLevelType w:val="hybridMultilevel"/>
    <w:tmpl w:val="49B2AE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93F43"/>
    <w:multiLevelType w:val="hybridMultilevel"/>
    <w:tmpl w:val="C4B04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0080B"/>
    <w:multiLevelType w:val="hybridMultilevel"/>
    <w:tmpl w:val="F88A52FE"/>
    <w:lvl w:ilvl="0" w:tplc="9D322BAE">
      <w:numFmt w:val="bullet"/>
      <w:lvlText w:val="-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DA"/>
    <w:rsid w:val="00015434"/>
    <w:rsid w:val="00021475"/>
    <w:rsid w:val="0002232A"/>
    <w:rsid w:val="000422C3"/>
    <w:rsid w:val="000568B7"/>
    <w:rsid w:val="00071061"/>
    <w:rsid w:val="00071541"/>
    <w:rsid w:val="00076ABE"/>
    <w:rsid w:val="00084204"/>
    <w:rsid w:val="000A25AD"/>
    <w:rsid w:val="000A6992"/>
    <w:rsid w:val="000A6C90"/>
    <w:rsid w:val="000B0365"/>
    <w:rsid w:val="000B0B87"/>
    <w:rsid w:val="000C603C"/>
    <w:rsid w:val="000D7EE2"/>
    <w:rsid w:val="000E033A"/>
    <w:rsid w:val="000E0F5F"/>
    <w:rsid w:val="000F5E27"/>
    <w:rsid w:val="00105AB2"/>
    <w:rsid w:val="00112FC8"/>
    <w:rsid w:val="00116E3C"/>
    <w:rsid w:val="0012296C"/>
    <w:rsid w:val="0012616F"/>
    <w:rsid w:val="00135109"/>
    <w:rsid w:val="001409BD"/>
    <w:rsid w:val="00166B0A"/>
    <w:rsid w:val="00183E01"/>
    <w:rsid w:val="00190451"/>
    <w:rsid w:val="001B6737"/>
    <w:rsid w:val="001B7830"/>
    <w:rsid w:val="001D0DB0"/>
    <w:rsid w:val="001D2884"/>
    <w:rsid w:val="00205F61"/>
    <w:rsid w:val="00214313"/>
    <w:rsid w:val="0022214F"/>
    <w:rsid w:val="0023534E"/>
    <w:rsid w:val="002567FE"/>
    <w:rsid w:val="00266A0B"/>
    <w:rsid w:val="00270819"/>
    <w:rsid w:val="00272195"/>
    <w:rsid w:val="00272921"/>
    <w:rsid w:val="00274675"/>
    <w:rsid w:val="00281B94"/>
    <w:rsid w:val="002853DC"/>
    <w:rsid w:val="002A2BF5"/>
    <w:rsid w:val="002A4587"/>
    <w:rsid w:val="002D5D92"/>
    <w:rsid w:val="002E7501"/>
    <w:rsid w:val="002F0C66"/>
    <w:rsid w:val="002F0FBD"/>
    <w:rsid w:val="00312543"/>
    <w:rsid w:val="00323DBA"/>
    <w:rsid w:val="0034397F"/>
    <w:rsid w:val="00362A37"/>
    <w:rsid w:val="0036394C"/>
    <w:rsid w:val="00367439"/>
    <w:rsid w:val="00387FDE"/>
    <w:rsid w:val="00391041"/>
    <w:rsid w:val="003C6B89"/>
    <w:rsid w:val="003C6D50"/>
    <w:rsid w:val="003C7B00"/>
    <w:rsid w:val="003D45AA"/>
    <w:rsid w:val="003D7EF5"/>
    <w:rsid w:val="003E37AF"/>
    <w:rsid w:val="0040576C"/>
    <w:rsid w:val="00412478"/>
    <w:rsid w:val="00445B01"/>
    <w:rsid w:val="004604AC"/>
    <w:rsid w:val="00461235"/>
    <w:rsid w:val="00465EB5"/>
    <w:rsid w:val="00484ADF"/>
    <w:rsid w:val="004B43B7"/>
    <w:rsid w:val="004E7773"/>
    <w:rsid w:val="004F0ACE"/>
    <w:rsid w:val="004F1147"/>
    <w:rsid w:val="004F2FB4"/>
    <w:rsid w:val="00514D18"/>
    <w:rsid w:val="00532043"/>
    <w:rsid w:val="0056450B"/>
    <w:rsid w:val="00575C22"/>
    <w:rsid w:val="005A450D"/>
    <w:rsid w:val="005C27DA"/>
    <w:rsid w:val="005C4108"/>
    <w:rsid w:val="005D1799"/>
    <w:rsid w:val="005F10D2"/>
    <w:rsid w:val="00600BE4"/>
    <w:rsid w:val="00602189"/>
    <w:rsid w:val="00613EEA"/>
    <w:rsid w:val="0063114E"/>
    <w:rsid w:val="006400E5"/>
    <w:rsid w:val="006422AE"/>
    <w:rsid w:val="006435D2"/>
    <w:rsid w:val="006776E4"/>
    <w:rsid w:val="0068252E"/>
    <w:rsid w:val="006B2875"/>
    <w:rsid w:val="006C7E7C"/>
    <w:rsid w:val="006D6ED6"/>
    <w:rsid w:val="006E0391"/>
    <w:rsid w:val="0070288E"/>
    <w:rsid w:val="00702DDE"/>
    <w:rsid w:val="00712F38"/>
    <w:rsid w:val="00714A69"/>
    <w:rsid w:val="0073208C"/>
    <w:rsid w:val="00732F8B"/>
    <w:rsid w:val="00734E59"/>
    <w:rsid w:val="00761CF9"/>
    <w:rsid w:val="00764D8F"/>
    <w:rsid w:val="00777BC8"/>
    <w:rsid w:val="00787EBF"/>
    <w:rsid w:val="00790DDA"/>
    <w:rsid w:val="007B032B"/>
    <w:rsid w:val="007C79E3"/>
    <w:rsid w:val="007F5D99"/>
    <w:rsid w:val="00813061"/>
    <w:rsid w:val="00816A60"/>
    <w:rsid w:val="00833523"/>
    <w:rsid w:val="008522F1"/>
    <w:rsid w:val="0087714A"/>
    <w:rsid w:val="00884056"/>
    <w:rsid w:val="00891762"/>
    <w:rsid w:val="008B5126"/>
    <w:rsid w:val="008C6D6D"/>
    <w:rsid w:val="008D43D1"/>
    <w:rsid w:val="008E17D3"/>
    <w:rsid w:val="008F1754"/>
    <w:rsid w:val="00903D7D"/>
    <w:rsid w:val="00911C77"/>
    <w:rsid w:val="00922838"/>
    <w:rsid w:val="00926C60"/>
    <w:rsid w:val="009428BB"/>
    <w:rsid w:val="00950301"/>
    <w:rsid w:val="009578FD"/>
    <w:rsid w:val="009673D5"/>
    <w:rsid w:val="0097745B"/>
    <w:rsid w:val="009829DE"/>
    <w:rsid w:val="00985AB2"/>
    <w:rsid w:val="009863AC"/>
    <w:rsid w:val="009978BF"/>
    <w:rsid w:val="009A3246"/>
    <w:rsid w:val="009A4A1F"/>
    <w:rsid w:val="009B51E5"/>
    <w:rsid w:val="00A029CE"/>
    <w:rsid w:val="00A07430"/>
    <w:rsid w:val="00A469DE"/>
    <w:rsid w:val="00A638C9"/>
    <w:rsid w:val="00A63B1E"/>
    <w:rsid w:val="00A97EC6"/>
    <w:rsid w:val="00A97F13"/>
    <w:rsid w:val="00AA3E47"/>
    <w:rsid w:val="00AA467C"/>
    <w:rsid w:val="00AB0DB4"/>
    <w:rsid w:val="00AB21D8"/>
    <w:rsid w:val="00AB6077"/>
    <w:rsid w:val="00AC03D4"/>
    <w:rsid w:val="00AD5040"/>
    <w:rsid w:val="00B03C1A"/>
    <w:rsid w:val="00B11C8C"/>
    <w:rsid w:val="00B216C8"/>
    <w:rsid w:val="00B36D31"/>
    <w:rsid w:val="00B43DA0"/>
    <w:rsid w:val="00B46213"/>
    <w:rsid w:val="00B543D2"/>
    <w:rsid w:val="00B748CF"/>
    <w:rsid w:val="00BD38E0"/>
    <w:rsid w:val="00BE4BF9"/>
    <w:rsid w:val="00BE6A3C"/>
    <w:rsid w:val="00BF277F"/>
    <w:rsid w:val="00C00FCF"/>
    <w:rsid w:val="00C017CA"/>
    <w:rsid w:val="00C0617C"/>
    <w:rsid w:val="00C103B3"/>
    <w:rsid w:val="00C117D0"/>
    <w:rsid w:val="00C3560F"/>
    <w:rsid w:val="00C35DD9"/>
    <w:rsid w:val="00C42A88"/>
    <w:rsid w:val="00C513DE"/>
    <w:rsid w:val="00C56D95"/>
    <w:rsid w:val="00C75CD6"/>
    <w:rsid w:val="00C778BE"/>
    <w:rsid w:val="00C86FDC"/>
    <w:rsid w:val="00C87160"/>
    <w:rsid w:val="00C87834"/>
    <w:rsid w:val="00C90F09"/>
    <w:rsid w:val="00C9406A"/>
    <w:rsid w:val="00CA4A95"/>
    <w:rsid w:val="00CB144C"/>
    <w:rsid w:val="00CD3218"/>
    <w:rsid w:val="00CD41C3"/>
    <w:rsid w:val="00D07E22"/>
    <w:rsid w:val="00D16BA2"/>
    <w:rsid w:val="00D2325D"/>
    <w:rsid w:val="00D31471"/>
    <w:rsid w:val="00D35232"/>
    <w:rsid w:val="00D43D50"/>
    <w:rsid w:val="00D6769E"/>
    <w:rsid w:val="00D72147"/>
    <w:rsid w:val="00D931F7"/>
    <w:rsid w:val="00DA7CA7"/>
    <w:rsid w:val="00DB25EE"/>
    <w:rsid w:val="00DB5D19"/>
    <w:rsid w:val="00E00D45"/>
    <w:rsid w:val="00E12432"/>
    <w:rsid w:val="00E212E9"/>
    <w:rsid w:val="00E267F7"/>
    <w:rsid w:val="00E2754B"/>
    <w:rsid w:val="00E71B1C"/>
    <w:rsid w:val="00E924E6"/>
    <w:rsid w:val="00EA0FFF"/>
    <w:rsid w:val="00EB5FE2"/>
    <w:rsid w:val="00EC1919"/>
    <w:rsid w:val="00EC5774"/>
    <w:rsid w:val="00EC766F"/>
    <w:rsid w:val="00ED09B9"/>
    <w:rsid w:val="00EE5D29"/>
    <w:rsid w:val="00EE7AC8"/>
    <w:rsid w:val="00EF0A16"/>
    <w:rsid w:val="00EF3FBD"/>
    <w:rsid w:val="00F005F4"/>
    <w:rsid w:val="00F073E2"/>
    <w:rsid w:val="00F14A25"/>
    <w:rsid w:val="00F26DBE"/>
    <w:rsid w:val="00F418AD"/>
    <w:rsid w:val="00F635CB"/>
    <w:rsid w:val="00F81FD3"/>
    <w:rsid w:val="00F93F85"/>
    <w:rsid w:val="00FB416F"/>
    <w:rsid w:val="00FC6482"/>
    <w:rsid w:val="00FD1EAA"/>
    <w:rsid w:val="00FE18F7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08968"/>
  <w15:docId w15:val="{D48C2DD7-B9BF-4CBE-8D4F-42C2BF31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A25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5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A25AD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A25A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5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5AD"/>
    <w:rPr>
      <w:rFonts w:ascii="Tahoma" w:eastAsia="Times New Roman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0A25A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25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F0C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C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NCATABELLATITOLOBIANCO">
    <w:name w:val="ANCA_TABELLA_TITOLO BIANCO"/>
    <w:basedOn w:val="Normale"/>
    <w:qFormat/>
    <w:rsid w:val="007B032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160" w:line="276" w:lineRule="auto"/>
      <w:ind w:left="1560" w:right="142"/>
    </w:pPr>
    <w:rPr>
      <w:rFonts w:ascii="Gotham Book" w:eastAsiaTheme="minorHAnsi" w:hAnsi="Gotham Book" w:cs="Titillium Web"/>
      <w:color w:val="FFFFFF" w:themeColor="background1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16CB2-B776-4EA1-BA07-5854702FB245}"/>
</file>

<file path=customXml/itemProps2.xml><?xml version="1.0" encoding="utf-8"?>
<ds:datastoreItem xmlns:ds="http://schemas.openxmlformats.org/officeDocument/2006/customXml" ds:itemID="{5F44F0CA-5E3D-4D8B-A477-AF96E087B4CE}"/>
</file>

<file path=customXml/itemProps3.xml><?xml version="1.0" encoding="utf-8"?>
<ds:datastoreItem xmlns:ds="http://schemas.openxmlformats.org/officeDocument/2006/customXml" ds:itemID="{97AE5F32-CCC6-4360-97D8-9468536D6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Fontana</dc:creator>
  <cp:lastModifiedBy>Mazzotti Eleonora</cp:lastModifiedBy>
  <cp:revision>113</cp:revision>
  <cp:lastPrinted>2023-02-10T07:19:00Z</cp:lastPrinted>
  <dcterms:created xsi:type="dcterms:W3CDTF">2022-08-04T08:35:00Z</dcterms:created>
  <dcterms:modified xsi:type="dcterms:W3CDTF">2023-03-14T08:02:00Z</dcterms:modified>
</cp:coreProperties>
</file>