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4814"/>
        <w:gridCol w:w="4814"/>
      </w:tblGrid>
      <w:tr w:rsidR="00702F21" w:rsidRPr="00BE38E8" w14:paraId="7FB9E3F7" w14:textId="77777777" w:rsidTr="008B559D">
        <w:tc>
          <w:tcPr>
            <w:tcW w:w="4814" w:type="dxa"/>
          </w:tcPr>
          <w:p w14:paraId="3F548A4C" w14:textId="77777777" w:rsidR="00702F21" w:rsidRPr="00B02783" w:rsidRDefault="00702F21" w:rsidP="008B559D">
            <w:pPr>
              <w:spacing w:before="145"/>
              <w:jc w:val="center"/>
              <w:textAlignment w:val="baseline"/>
              <w:rPr>
                <w:rFonts w:eastAsia="Times New Roman"/>
                <w:b/>
                <w:bCs/>
                <w:lang w:val="it-IT"/>
              </w:rPr>
            </w:pPr>
            <w:bookmarkStart w:id="0" w:name="_GoBack"/>
            <w:bookmarkEnd w:id="0"/>
            <w:r w:rsidRPr="00B02783">
              <w:rPr>
                <w:rFonts w:eastAsia="Times New Roman"/>
                <w:b/>
                <w:bCs/>
                <w:lang w:val="it-IT"/>
              </w:rPr>
              <w:t>Direttiva 2019/1937</w:t>
            </w:r>
          </w:p>
          <w:p w14:paraId="294A69DD" w14:textId="77777777" w:rsidR="00702F21" w:rsidRPr="004F28B2" w:rsidRDefault="00702F21" w:rsidP="008B559D">
            <w:pPr>
              <w:spacing w:before="145"/>
              <w:jc w:val="center"/>
              <w:textAlignment w:val="baseline"/>
              <w:rPr>
                <w:rFonts w:eastAsia="Times New Roman"/>
                <w:lang w:val="it-IT"/>
              </w:rPr>
            </w:pPr>
          </w:p>
        </w:tc>
        <w:tc>
          <w:tcPr>
            <w:tcW w:w="4814" w:type="dxa"/>
          </w:tcPr>
          <w:p w14:paraId="26CC1E7A" w14:textId="77777777" w:rsidR="00702F21" w:rsidRDefault="00702F21" w:rsidP="008B559D">
            <w:pPr>
              <w:spacing w:line="360" w:lineRule="auto"/>
              <w:jc w:val="center"/>
              <w:rPr>
                <w:rFonts w:eastAsia="Times New Roman"/>
                <w:b/>
                <w:bCs/>
                <w:color w:val="000000" w:themeColor="text1"/>
                <w:sz w:val="24"/>
                <w:szCs w:val="24"/>
                <w:lang w:val="it-IT"/>
              </w:rPr>
            </w:pPr>
            <w:r>
              <w:rPr>
                <w:rFonts w:eastAsia="Times New Roman"/>
                <w:b/>
                <w:bCs/>
                <w:color w:val="000000" w:themeColor="text1"/>
                <w:sz w:val="24"/>
                <w:szCs w:val="24"/>
                <w:lang w:val="it-IT"/>
              </w:rPr>
              <w:t>Decreto legislativo attuativo della direttiva 2019/1937</w:t>
            </w:r>
          </w:p>
        </w:tc>
      </w:tr>
      <w:tr w:rsidR="00702F21" w:rsidRPr="00BE38E8" w14:paraId="1F83867D" w14:textId="77777777" w:rsidTr="008B559D">
        <w:tc>
          <w:tcPr>
            <w:tcW w:w="4814" w:type="dxa"/>
          </w:tcPr>
          <w:p w14:paraId="196B7D09" w14:textId="77777777" w:rsidR="00702F21" w:rsidRPr="004F28B2" w:rsidRDefault="00702F21" w:rsidP="008B559D">
            <w:pPr>
              <w:spacing w:before="145"/>
              <w:jc w:val="center"/>
              <w:textAlignment w:val="baseline"/>
              <w:rPr>
                <w:rFonts w:eastAsia="Times New Roman"/>
                <w:lang w:val="it-IT"/>
              </w:rPr>
            </w:pPr>
            <w:r w:rsidRPr="004F28B2">
              <w:rPr>
                <w:rFonts w:eastAsia="Times New Roman"/>
                <w:lang w:val="it-IT"/>
              </w:rPr>
              <w:t xml:space="preserve">CAPO I </w:t>
            </w:r>
          </w:p>
          <w:p w14:paraId="4BA870F3" w14:textId="77777777" w:rsidR="00702F21" w:rsidRPr="004F28B2" w:rsidRDefault="00702F21" w:rsidP="008B559D">
            <w:pPr>
              <w:spacing w:before="145"/>
              <w:jc w:val="center"/>
              <w:textAlignment w:val="baseline"/>
              <w:rPr>
                <w:rFonts w:eastAsia="Times New Roman"/>
                <w:lang w:val="it-IT"/>
              </w:rPr>
            </w:pPr>
          </w:p>
          <w:p w14:paraId="1801FA57" w14:textId="77777777" w:rsidR="00702F21" w:rsidRPr="004F28B2" w:rsidRDefault="00702F21" w:rsidP="008B559D">
            <w:pPr>
              <w:jc w:val="center"/>
              <w:textAlignment w:val="baseline"/>
              <w:rPr>
                <w:rFonts w:eastAsia="Times New Roman"/>
                <w:b/>
                <w:lang w:val="it-IT"/>
              </w:rPr>
            </w:pPr>
            <w:r w:rsidRPr="004F28B2">
              <w:rPr>
                <w:rFonts w:eastAsia="Times New Roman"/>
                <w:b/>
                <w:lang w:val="it-IT"/>
              </w:rPr>
              <w:t>AMBITO DI APPLICAZIONE, DEFINIZIONI E CONDIZIONI DI PROTEZIONE</w:t>
            </w:r>
          </w:p>
          <w:p w14:paraId="1EED89D7" w14:textId="77777777" w:rsidR="00702F21" w:rsidRPr="00D50C86" w:rsidRDefault="00702F21" w:rsidP="008B559D">
            <w:pPr>
              <w:rPr>
                <w:lang w:val="it-IT"/>
              </w:rPr>
            </w:pPr>
          </w:p>
        </w:tc>
        <w:tc>
          <w:tcPr>
            <w:tcW w:w="4814" w:type="dxa"/>
          </w:tcPr>
          <w:p w14:paraId="19CDB35B" w14:textId="77777777" w:rsidR="00702F21" w:rsidRDefault="00702F21" w:rsidP="008B559D">
            <w:pPr>
              <w:spacing w:line="360" w:lineRule="auto"/>
              <w:jc w:val="center"/>
              <w:rPr>
                <w:rFonts w:eastAsia="Times New Roman"/>
                <w:b/>
                <w:bCs/>
                <w:color w:val="000000" w:themeColor="text1"/>
                <w:sz w:val="24"/>
                <w:szCs w:val="24"/>
                <w:lang w:val="it-IT"/>
              </w:rPr>
            </w:pPr>
          </w:p>
          <w:p w14:paraId="03667105" w14:textId="77777777" w:rsidR="00702F21" w:rsidRDefault="00702F21" w:rsidP="008B559D">
            <w:pPr>
              <w:spacing w:line="360" w:lineRule="auto"/>
              <w:jc w:val="center"/>
              <w:rPr>
                <w:rFonts w:eastAsia="Times New Roman"/>
                <w:b/>
                <w:bCs/>
                <w:color w:val="000000" w:themeColor="text1"/>
                <w:sz w:val="24"/>
                <w:szCs w:val="24"/>
                <w:lang w:val="it-IT"/>
              </w:rPr>
            </w:pPr>
          </w:p>
          <w:p w14:paraId="0C0A80D2" w14:textId="77777777" w:rsidR="00702F21" w:rsidRPr="007D4BF3" w:rsidRDefault="00702F21" w:rsidP="008B559D">
            <w:pPr>
              <w:spacing w:line="360" w:lineRule="auto"/>
              <w:rPr>
                <w:rFonts w:eastAsia="Times New Roman"/>
                <w:b/>
                <w:bCs/>
                <w:color w:val="000000" w:themeColor="text1"/>
                <w:sz w:val="24"/>
                <w:szCs w:val="24"/>
                <w:lang w:val="it-IT"/>
              </w:rPr>
            </w:pPr>
            <w:r>
              <w:rPr>
                <w:rFonts w:eastAsia="Times New Roman"/>
                <w:b/>
                <w:bCs/>
                <w:color w:val="000000" w:themeColor="text1"/>
                <w:sz w:val="24"/>
                <w:szCs w:val="24"/>
                <w:lang w:val="it-IT"/>
              </w:rPr>
              <w:t xml:space="preserve">                                </w:t>
            </w:r>
            <w:r w:rsidRPr="007D4BF3">
              <w:rPr>
                <w:rFonts w:eastAsia="Times New Roman"/>
                <w:b/>
                <w:bCs/>
                <w:color w:val="000000" w:themeColor="text1"/>
                <w:sz w:val="24"/>
                <w:szCs w:val="24"/>
                <w:lang w:val="it-IT"/>
              </w:rPr>
              <w:t>Capo I</w:t>
            </w:r>
          </w:p>
          <w:p w14:paraId="09FCAE04" w14:textId="77777777" w:rsidR="00702F21" w:rsidRPr="007D4BF3" w:rsidRDefault="00702F21" w:rsidP="008B559D">
            <w:pPr>
              <w:spacing w:line="360" w:lineRule="auto"/>
              <w:jc w:val="center"/>
              <w:rPr>
                <w:rFonts w:eastAsia="Times New Roman"/>
                <w:b/>
                <w:bCs/>
                <w:color w:val="000000" w:themeColor="text1"/>
                <w:sz w:val="24"/>
                <w:szCs w:val="24"/>
                <w:lang w:val="it-IT"/>
              </w:rPr>
            </w:pPr>
            <w:r w:rsidRPr="007D4BF3">
              <w:rPr>
                <w:rFonts w:eastAsia="Times New Roman"/>
                <w:b/>
                <w:bCs/>
                <w:color w:val="000000" w:themeColor="text1"/>
                <w:sz w:val="24"/>
                <w:szCs w:val="24"/>
                <w:lang w:val="it-IT"/>
              </w:rPr>
              <w:t>Ambito di applicazione e definizioni</w:t>
            </w:r>
          </w:p>
          <w:p w14:paraId="3DAC8BFF" w14:textId="77777777" w:rsidR="00702F21" w:rsidRPr="00D50C86" w:rsidRDefault="00702F21" w:rsidP="008B559D">
            <w:pPr>
              <w:rPr>
                <w:lang w:val="it-IT"/>
              </w:rPr>
            </w:pPr>
          </w:p>
        </w:tc>
      </w:tr>
      <w:tr w:rsidR="00702F21" w:rsidRPr="00D50C86" w14:paraId="3682042E" w14:textId="77777777" w:rsidTr="008B559D">
        <w:tc>
          <w:tcPr>
            <w:tcW w:w="4814" w:type="dxa"/>
          </w:tcPr>
          <w:p w14:paraId="13CB1C84" w14:textId="77777777" w:rsidR="00702F21" w:rsidRPr="004F28B2" w:rsidRDefault="00702F21" w:rsidP="008B559D">
            <w:pPr>
              <w:jc w:val="center"/>
              <w:textAlignment w:val="baseline"/>
              <w:rPr>
                <w:rFonts w:eastAsia="Times New Roman"/>
                <w:i/>
                <w:lang w:val="it-IT"/>
              </w:rPr>
            </w:pPr>
            <w:r w:rsidRPr="004F28B2">
              <w:rPr>
                <w:rFonts w:eastAsia="Times New Roman"/>
                <w:i/>
                <w:lang w:val="it-IT"/>
              </w:rPr>
              <w:t xml:space="preserve">Articolo 1 </w:t>
            </w:r>
          </w:p>
          <w:p w14:paraId="7211A2C8" w14:textId="77777777" w:rsidR="00702F21" w:rsidRPr="004F28B2" w:rsidRDefault="00702F21" w:rsidP="008B559D">
            <w:pPr>
              <w:jc w:val="center"/>
              <w:textAlignment w:val="baseline"/>
              <w:rPr>
                <w:rFonts w:eastAsia="Times New Roman"/>
                <w:lang w:val="it-IT"/>
              </w:rPr>
            </w:pPr>
            <w:r w:rsidRPr="004F28B2">
              <w:rPr>
                <w:rFonts w:eastAsia="Times New Roman"/>
                <w:b/>
                <w:lang w:val="it-IT"/>
              </w:rPr>
              <w:t>Scopo</w:t>
            </w:r>
          </w:p>
          <w:p w14:paraId="299EC0A7" w14:textId="77777777" w:rsidR="00702F21" w:rsidRPr="00D50C86" w:rsidRDefault="00702F21" w:rsidP="008B559D">
            <w:pPr>
              <w:rPr>
                <w:lang w:val="it-IT"/>
              </w:rPr>
            </w:pPr>
          </w:p>
        </w:tc>
        <w:tc>
          <w:tcPr>
            <w:tcW w:w="4814" w:type="dxa"/>
          </w:tcPr>
          <w:p w14:paraId="4A519305" w14:textId="77777777" w:rsidR="00702F21" w:rsidRPr="00D50C86" w:rsidRDefault="00702F21" w:rsidP="008B559D">
            <w:pPr>
              <w:rPr>
                <w:lang w:val="it-IT"/>
              </w:rPr>
            </w:pPr>
          </w:p>
        </w:tc>
      </w:tr>
      <w:tr w:rsidR="00702F21" w:rsidRPr="00BE38E8" w14:paraId="4F41FA32" w14:textId="77777777" w:rsidTr="008B559D">
        <w:tc>
          <w:tcPr>
            <w:tcW w:w="4814" w:type="dxa"/>
          </w:tcPr>
          <w:p w14:paraId="34E718A0" w14:textId="77777777" w:rsidR="00702F21" w:rsidRPr="004F28B2" w:rsidRDefault="00702F21" w:rsidP="008B559D">
            <w:pPr>
              <w:spacing w:before="140"/>
              <w:ind w:right="41"/>
              <w:jc w:val="both"/>
              <w:textAlignment w:val="baseline"/>
              <w:rPr>
                <w:rFonts w:eastAsia="Times New Roman"/>
                <w:lang w:val="it-IT"/>
              </w:rPr>
            </w:pPr>
            <w:r w:rsidRPr="004F28B2">
              <w:rPr>
                <w:rFonts w:eastAsia="Times New Roman"/>
                <w:lang w:val="it-IT"/>
              </w:rPr>
              <w:t>Lo scopo della presente direttiva è rafforzare l’applicazione del diritto e delle politiche dell’Unione in specifici settori stabilendo norme minime comuni volte a garantire un elevato livello di protezione delle persone che segnalano viola</w:t>
            </w:r>
            <w:r w:rsidRPr="004F28B2">
              <w:rPr>
                <w:rFonts w:eastAsia="Times New Roman"/>
                <w:lang w:val="it-IT"/>
              </w:rPr>
              <w:softHyphen/>
              <w:t>zioni del diritto dell’Unione.</w:t>
            </w:r>
          </w:p>
          <w:p w14:paraId="20A889A5" w14:textId="77777777" w:rsidR="00702F21" w:rsidRPr="00D50C86" w:rsidRDefault="00702F21" w:rsidP="008B559D">
            <w:pPr>
              <w:rPr>
                <w:lang w:val="it-IT"/>
              </w:rPr>
            </w:pPr>
          </w:p>
        </w:tc>
        <w:tc>
          <w:tcPr>
            <w:tcW w:w="4814" w:type="dxa"/>
          </w:tcPr>
          <w:p w14:paraId="7CB53868" w14:textId="77777777" w:rsidR="00702F21" w:rsidRPr="00D50C86" w:rsidRDefault="00702F21" w:rsidP="008B559D">
            <w:pPr>
              <w:rPr>
                <w:lang w:val="it-IT"/>
              </w:rPr>
            </w:pPr>
          </w:p>
        </w:tc>
      </w:tr>
      <w:tr w:rsidR="00702F21" w:rsidRPr="00BE38E8" w14:paraId="513A620E" w14:textId="77777777" w:rsidTr="008B559D">
        <w:tc>
          <w:tcPr>
            <w:tcW w:w="4814" w:type="dxa"/>
          </w:tcPr>
          <w:p w14:paraId="3128394A" w14:textId="77777777" w:rsidR="00702F21" w:rsidRPr="004F28B2" w:rsidRDefault="00702F21" w:rsidP="008B559D">
            <w:pPr>
              <w:jc w:val="center"/>
              <w:textAlignment w:val="baseline"/>
              <w:rPr>
                <w:rFonts w:eastAsia="Times New Roman"/>
                <w:i/>
                <w:spacing w:val="-4"/>
                <w:lang w:val="it-IT"/>
              </w:rPr>
            </w:pPr>
            <w:r w:rsidRPr="004F28B2">
              <w:rPr>
                <w:rFonts w:eastAsia="Times New Roman"/>
                <w:i/>
                <w:spacing w:val="-4"/>
                <w:lang w:val="it-IT"/>
              </w:rPr>
              <w:t>Articolo 2</w:t>
            </w:r>
          </w:p>
          <w:p w14:paraId="6F2A9FA6" w14:textId="77777777" w:rsidR="00702F21" w:rsidRPr="004F28B2" w:rsidRDefault="00702F21" w:rsidP="008B559D">
            <w:pPr>
              <w:jc w:val="center"/>
              <w:textAlignment w:val="baseline"/>
              <w:rPr>
                <w:rFonts w:eastAsia="Times New Roman"/>
                <w:b/>
                <w:spacing w:val="1"/>
                <w:lang w:val="it-IT"/>
              </w:rPr>
            </w:pPr>
            <w:r w:rsidRPr="004F28B2">
              <w:rPr>
                <w:rFonts w:eastAsia="Times New Roman"/>
                <w:b/>
                <w:spacing w:val="1"/>
                <w:lang w:val="it-IT"/>
              </w:rPr>
              <w:t>Ambito di applicazione materiale</w:t>
            </w:r>
          </w:p>
          <w:p w14:paraId="513BA65B" w14:textId="77777777" w:rsidR="00702F21" w:rsidRPr="00D50C86" w:rsidRDefault="00702F21" w:rsidP="008B559D">
            <w:pPr>
              <w:rPr>
                <w:lang w:val="it-IT"/>
              </w:rPr>
            </w:pPr>
          </w:p>
        </w:tc>
        <w:tc>
          <w:tcPr>
            <w:tcW w:w="4814" w:type="dxa"/>
          </w:tcPr>
          <w:p w14:paraId="7869BF0E" w14:textId="77777777" w:rsidR="00702F21" w:rsidRPr="00A86159" w:rsidRDefault="00702F21" w:rsidP="008B559D">
            <w:pPr>
              <w:spacing w:line="360" w:lineRule="auto"/>
              <w:jc w:val="center"/>
              <w:rPr>
                <w:rFonts w:eastAsia="Times New Roman"/>
                <w:b/>
                <w:bCs/>
                <w:color w:val="000000" w:themeColor="text1"/>
                <w:lang w:val="it-IT"/>
              </w:rPr>
            </w:pPr>
            <w:r w:rsidRPr="00A86159">
              <w:rPr>
                <w:rFonts w:eastAsia="Times New Roman"/>
                <w:b/>
                <w:bCs/>
                <w:color w:val="000000" w:themeColor="text1"/>
                <w:lang w:val="it-IT"/>
              </w:rPr>
              <w:t>Art. 1</w:t>
            </w:r>
          </w:p>
          <w:p w14:paraId="0BD37FAA" w14:textId="77777777" w:rsidR="00702F21" w:rsidRPr="00A86159" w:rsidRDefault="00702F21" w:rsidP="008B559D">
            <w:pPr>
              <w:spacing w:line="360" w:lineRule="auto"/>
              <w:jc w:val="center"/>
              <w:rPr>
                <w:rFonts w:eastAsia="Times New Roman"/>
                <w:color w:val="000000" w:themeColor="text1"/>
                <w:lang w:val="it-IT"/>
              </w:rPr>
            </w:pPr>
            <w:r w:rsidRPr="00A86159">
              <w:rPr>
                <w:rFonts w:eastAsia="Times New Roman"/>
                <w:i/>
                <w:iCs/>
                <w:color w:val="000000" w:themeColor="text1"/>
                <w:lang w:val="it-IT"/>
              </w:rPr>
              <w:t xml:space="preserve">(Ambito di applicazione </w:t>
            </w:r>
            <w:r w:rsidRPr="00A86159">
              <w:rPr>
                <w:rFonts w:eastAsia="Times New Roman"/>
                <w:i/>
                <w:iCs/>
                <w:lang w:val="it-IT"/>
              </w:rPr>
              <w:t>oggettivo</w:t>
            </w:r>
            <w:r w:rsidRPr="00A86159">
              <w:rPr>
                <w:rFonts w:eastAsia="Times New Roman"/>
                <w:i/>
                <w:iCs/>
                <w:color w:val="000000" w:themeColor="text1"/>
                <w:lang w:val="it-IT"/>
              </w:rPr>
              <w:t>)</w:t>
            </w:r>
          </w:p>
          <w:p w14:paraId="4BD54EBC" w14:textId="77777777" w:rsidR="00702F21" w:rsidRPr="00A86159" w:rsidRDefault="00702F21" w:rsidP="008B559D">
            <w:pPr>
              <w:rPr>
                <w:lang w:val="it-IT"/>
              </w:rPr>
            </w:pPr>
          </w:p>
        </w:tc>
      </w:tr>
      <w:tr w:rsidR="00702F21" w:rsidRPr="00593199" w14:paraId="0BE6EDC9" w14:textId="77777777" w:rsidTr="008B559D">
        <w:tc>
          <w:tcPr>
            <w:tcW w:w="4814" w:type="dxa"/>
          </w:tcPr>
          <w:p w14:paraId="47D0922B" w14:textId="77777777" w:rsidR="00702F21" w:rsidRDefault="00702F21" w:rsidP="008B559D">
            <w:pPr>
              <w:tabs>
                <w:tab w:val="left" w:pos="268"/>
              </w:tabs>
              <w:jc w:val="both"/>
              <w:textAlignment w:val="baseline"/>
              <w:rPr>
                <w:rFonts w:eastAsia="Times New Roman"/>
                <w:lang w:val="it-IT"/>
              </w:rPr>
            </w:pPr>
          </w:p>
          <w:p w14:paraId="278468B8" w14:textId="77777777" w:rsidR="00702F21" w:rsidRPr="004F28B2" w:rsidRDefault="00702F21" w:rsidP="008B559D">
            <w:pPr>
              <w:tabs>
                <w:tab w:val="left" w:pos="268"/>
              </w:tabs>
              <w:jc w:val="both"/>
              <w:textAlignment w:val="baseline"/>
              <w:rPr>
                <w:rFonts w:eastAsia="Times New Roman"/>
                <w:spacing w:val="-1"/>
                <w:lang w:val="it-IT"/>
              </w:rPr>
            </w:pPr>
            <w:r w:rsidRPr="004F28B2">
              <w:rPr>
                <w:rFonts w:eastAsia="Times New Roman"/>
                <w:lang w:val="it-IT"/>
              </w:rPr>
              <w:t>1. La presente direttiva stabilisce norme minime comuni di protezione delle persone che segnalano le seguenti viola</w:t>
            </w:r>
            <w:r w:rsidRPr="004F28B2">
              <w:rPr>
                <w:rFonts w:eastAsia="Times New Roman"/>
                <w:spacing w:val="-1"/>
                <w:lang w:val="it-IT"/>
              </w:rPr>
              <w:t>zioni del diritto dell’Unione:</w:t>
            </w:r>
          </w:p>
          <w:p w14:paraId="1DB2204E" w14:textId="77777777" w:rsidR="00702F21" w:rsidRPr="004F28B2" w:rsidRDefault="00702F21" w:rsidP="008B559D">
            <w:pPr>
              <w:tabs>
                <w:tab w:val="left" w:pos="268"/>
              </w:tabs>
              <w:jc w:val="both"/>
              <w:textAlignment w:val="baseline"/>
              <w:rPr>
                <w:rFonts w:eastAsia="Times New Roman"/>
                <w:spacing w:val="-1"/>
                <w:lang w:val="it-IT"/>
              </w:rPr>
            </w:pPr>
          </w:p>
          <w:p w14:paraId="558E126C" w14:textId="77777777" w:rsidR="00702F21" w:rsidRPr="004F28B2" w:rsidRDefault="00702F21" w:rsidP="008B559D">
            <w:pPr>
              <w:tabs>
                <w:tab w:val="left" w:pos="268"/>
              </w:tabs>
              <w:ind w:right="41"/>
              <w:jc w:val="both"/>
              <w:textAlignment w:val="baseline"/>
              <w:rPr>
                <w:rFonts w:eastAsia="Times New Roman"/>
                <w:lang w:val="it-IT"/>
              </w:rPr>
            </w:pPr>
            <w:r w:rsidRPr="004F28B2">
              <w:rPr>
                <w:rFonts w:eastAsia="Times New Roman"/>
                <w:lang w:val="it-IT"/>
              </w:rPr>
              <w:t>a) violazioni che rientrano nell’ambito di applicazione degli atti dell’Unione di cui all’allegato relativamente ai seguenti settori:</w:t>
            </w:r>
          </w:p>
          <w:p w14:paraId="46659B04" w14:textId="77777777" w:rsidR="00702F21" w:rsidRPr="004F28B2" w:rsidRDefault="00702F21" w:rsidP="008B559D">
            <w:pPr>
              <w:tabs>
                <w:tab w:val="left" w:pos="268"/>
              </w:tabs>
              <w:ind w:right="41"/>
              <w:jc w:val="both"/>
              <w:textAlignment w:val="baseline"/>
              <w:rPr>
                <w:rFonts w:eastAsia="Times New Roman"/>
                <w:lang w:val="it-IT"/>
              </w:rPr>
            </w:pPr>
          </w:p>
          <w:p w14:paraId="42F8C3DE" w14:textId="77777777" w:rsidR="00702F21" w:rsidRPr="004F28B2" w:rsidRDefault="00702F21" w:rsidP="008B559D">
            <w:pPr>
              <w:tabs>
                <w:tab w:val="left" w:pos="268"/>
              </w:tabs>
              <w:ind w:right="41"/>
              <w:jc w:val="both"/>
              <w:textAlignment w:val="baseline"/>
              <w:rPr>
                <w:rFonts w:eastAsia="Times New Roman"/>
                <w:lang w:val="it-IT"/>
              </w:rPr>
            </w:pPr>
            <w:r w:rsidRPr="004F28B2">
              <w:rPr>
                <w:rFonts w:eastAsia="Times New Roman"/>
                <w:spacing w:val="-5"/>
                <w:lang w:val="it-IT"/>
              </w:rPr>
              <w:t>i)   appalti pubblici;</w:t>
            </w:r>
          </w:p>
          <w:p w14:paraId="5C7EE633" w14:textId="77777777" w:rsidR="00702F21" w:rsidRPr="004F28B2" w:rsidRDefault="00702F21" w:rsidP="008B559D">
            <w:pPr>
              <w:tabs>
                <w:tab w:val="left" w:pos="268"/>
                <w:tab w:val="left" w:pos="1224"/>
              </w:tabs>
              <w:spacing w:line="360" w:lineRule="auto"/>
              <w:jc w:val="both"/>
              <w:textAlignment w:val="baseline"/>
              <w:rPr>
                <w:rFonts w:eastAsia="Times New Roman"/>
                <w:lang w:val="it-IT"/>
              </w:rPr>
            </w:pPr>
            <w:r w:rsidRPr="004F28B2">
              <w:rPr>
                <w:rFonts w:eastAsia="Times New Roman"/>
                <w:lang w:val="it-IT"/>
              </w:rPr>
              <w:t>ii) servizi, prodotti e mercati finanziari e prevenzione del riciclaggio e del finanziamento del terrorismo;</w:t>
            </w:r>
          </w:p>
          <w:p w14:paraId="0B522878" w14:textId="77777777" w:rsidR="00702F21" w:rsidRPr="004F28B2" w:rsidRDefault="00702F21" w:rsidP="008B559D">
            <w:pPr>
              <w:tabs>
                <w:tab w:val="left" w:pos="268"/>
                <w:tab w:val="left" w:pos="1224"/>
              </w:tabs>
              <w:spacing w:line="360" w:lineRule="auto"/>
              <w:jc w:val="both"/>
              <w:textAlignment w:val="baseline"/>
              <w:rPr>
                <w:rFonts w:eastAsia="Times New Roman"/>
                <w:spacing w:val="-1"/>
                <w:lang w:val="it-IT"/>
              </w:rPr>
            </w:pPr>
            <w:r w:rsidRPr="004F28B2">
              <w:rPr>
                <w:rFonts w:eastAsia="Times New Roman"/>
                <w:spacing w:val="-1"/>
                <w:lang w:val="it-IT"/>
              </w:rPr>
              <w:t>iii) sicurezza e conformità dei prodotti;</w:t>
            </w:r>
          </w:p>
          <w:p w14:paraId="69E73352" w14:textId="77777777" w:rsidR="00702F21" w:rsidRPr="004F28B2" w:rsidRDefault="00702F21" w:rsidP="008B559D">
            <w:pPr>
              <w:tabs>
                <w:tab w:val="left" w:pos="268"/>
                <w:tab w:val="left" w:pos="1224"/>
              </w:tabs>
              <w:spacing w:line="360" w:lineRule="auto"/>
              <w:jc w:val="both"/>
              <w:textAlignment w:val="baseline"/>
              <w:rPr>
                <w:rFonts w:eastAsia="Times New Roman"/>
                <w:spacing w:val="-3"/>
                <w:lang w:val="it-IT"/>
              </w:rPr>
            </w:pPr>
            <w:r w:rsidRPr="004F28B2">
              <w:rPr>
                <w:rFonts w:eastAsia="Times New Roman"/>
                <w:spacing w:val="-3"/>
                <w:lang w:val="it-IT"/>
              </w:rPr>
              <w:t>iv) sicurezza dei trasporti;</w:t>
            </w:r>
          </w:p>
          <w:p w14:paraId="65A8C5AD" w14:textId="77777777" w:rsidR="00702F21" w:rsidRPr="004F28B2" w:rsidRDefault="00702F21" w:rsidP="008B559D">
            <w:pPr>
              <w:tabs>
                <w:tab w:val="left" w:pos="268"/>
                <w:tab w:val="left" w:pos="1224"/>
              </w:tabs>
              <w:spacing w:line="360" w:lineRule="auto"/>
              <w:jc w:val="both"/>
              <w:textAlignment w:val="baseline"/>
              <w:rPr>
                <w:rFonts w:eastAsia="Times New Roman"/>
                <w:spacing w:val="-6"/>
                <w:lang w:val="it-IT"/>
              </w:rPr>
            </w:pPr>
            <w:r w:rsidRPr="004F28B2">
              <w:rPr>
                <w:rFonts w:eastAsia="Times New Roman"/>
                <w:spacing w:val="-6"/>
                <w:lang w:val="it-IT"/>
              </w:rPr>
              <w:lastRenderedPageBreak/>
              <w:t>v) tutela dell’ambiente;</w:t>
            </w:r>
          </w:p>
          <w:p w14:paraId="16B4657A" w14:textId="77777777" w:rsidR="00702F21" w:rsidRPr="004F28B2" w:rsidRDefault="00702F21" w:rsidP="008B559D">
            <w:pPr>
              <w:tabs>
                <w:tab w:val="left" w:pos="268"/>
                <w:tab w:val="left" w:pos="1224"/>
              </w:tabs>
              <w:spacing w:line="360" w:lineRule="auto"/>
              <w:jc w:val="both"/>
              <w:textAlignment w:val="baseline"/>
              <w:rPr>
                <w:rFonts w:eastAsia="Times New Roman"/>
                <w:spacing w:val="-2"/>
                <w:lang w:val="it-IT"/>
              </w:rPr>
            </w:pPr>
            <w:r w:rsidRPr="004F28B2">
              <w:rPr>
                <w:rFonts w:eastAsia="Times New Roman"/>
                <w:spacing w:val="-2"/>
                <w:lang w:val="it-IT"/>
              </w:rPr>
              <w:t>vi) radioprotezione e sicurezza nucleare;</w:t>
            </w:r>
          </w:p>
          <w:p w14:paraId="21A5B4D1" w14:textId="77777777" w:rsidR="00702F21" w:rsidRPr="004F28B2" w:rsidRDefault="00702F21" w:rsidP="008B559D">
            <w:pPr>
              <w:tabs>
                <w:tab w:val="left" w:pos="268"/>
                <w:tab w:val="left" w:pos="1224"/>
              </w:tabs>
              <w:spacing w:line="360" w:lineRule="auto"/>
              <w:jc w:val="both"/>
              <w:textAlignment w:val="baseline"/>
              <w:rPr>
                <w:rFonts w:eastAsia="Times New Roman"/>
                <w:spacing w:val="-1"/>
                <w:lang w:val="it-IT"/>
              </w:rPr>
            </w:pPr>
            <w:r w:rsidRPr="004F28B2">
              <w:rPr>
                <w:rFonts w:eastAsia="Times New Roman"/>
                <w:spacing w:val="-1"/>
                <w:lang w:val="it-IT"/>
              </w:rPr>
              <w:t>vii) sicurezza degli alimenti e dei mangimi e salute e benessere degli animali;</w:t>
            </w:r>
          </w:p>
          <w:p w14:paraId="6D1671F1" w14:textId="77777777" w:rsidR="00702F21" w:rsidRPr="004F28B2" w:rsidRDefault="00702F21" w:rsidP="008B559D">
            <w:pPr>
              <w:tabs>
                <w:tab w:val="left" w:pos="268"/>
                <w:tab w:val="left" w:pos="1224"/>
              </w:tabs>
              <w:spacing w:line="360" w:lineRule="auto"/>
              <w:jc w:val="both"/>
              <w:textAlignment w:val="baseline"/>
              <w:rPr>
                <w:rFonts w:eastAsia="Times New Roman"/>
                <w:spacing w:val="-5"/>
                <w:lang w:val="it-IT"/>
              </w:rPr>
            </w:pPr>
            <w:r w:rsidRPr="004F28B2">
              <w:rPr>
                <w:rFonts w:eastAsia="Times New Roman"/>
                <w:spacing w:val="-5"/>
                <w:lang w:val="it-IT"/>
              </w:rPr>
              <w:t>viii) salute pubblica;</w:t>
            </w:r>
          </w:p>
          <w:p w14:paraId="111E175A" w14:textId="77777777" w:rsidR="00702F21" w:rsidRPr="004F28B2" w:rsidRDefault="00702F21" w:rsidP="008B559D">
            <w:pPr>
              <w:tabs>
                <w:tab w:val="left" w:pos="268"/>
                <w:tab w:val="left" w:pos="1224"/>
              </w:tabs>
              <w:spacing w:line="360" w:lineRule="auto"/>
              <w:textAlignment w:val="baseline"/>
              <w:rPr>
                <w:rFonts w:eastAsia="Times New Roman"/>
                <w:spacing w:val="-2"/>
                <w:lang w:val="it-IT"/>
              </w:rPr>
            </w:pPr>
            <w:r w:rsidRPr="004F28B2">
              <w:rPr>
                <w:rFonts w:eastAsia="Times New Roman"/>
                <w:spacing w:val="-2"/>
                <w:lang w:val="it-IT"/>
              </w:rPr>
              <w:t>ix) protezione dei consumatori;</w:t>
            </w:r>
          </w:p>
          <w:p w14:paraId="4A728148" w14:textId="77777777" w:rsidR="00702F21" w:rsidRPr="004F28B2" w:rsidRDefault="00702F21" w:rsidP="008B559D">
            <w:pPr>
              <w:tabs>
                <w:tab w:val="left" w:pos="268"/>
              </w:tabs>
              <w:spacing w:line="360" w:lineRule="auto"/>
              <w:textAlignment w:val="baseline"/>
              <w:rPr>
                <w:rFonts w:eastAsia="Times New Roman"/>
                <w:lang w:val="it-IT"/>
              </w:rPr>
            </w:pPr>
            <w:r w:rsidRPr="004F28B2">
              <w:rPr>
                <w:rFonts w:eastAsia="Times New Roman"/>
                <w:lang w:val="it-IT"/>
              </w:rPr>
              <w:t>x) tutela della vita privata e protezione dei dati personali e sicurezza delle reti e dei sistemi informativi</w:t>
            </w:r>
          </w:p>
          <w:p w14:paraId="25D679BB" w14:textId="77777777" w:rsidR="00702F21" w:rsidRPr="004F28B2" w:rsidRDefault="00702F21" w:rsidP="008B559D">
            <w:pPr>
              <w:tabs>
                <w:tab w:val="left" w:pos="268"/>
              </w:tabs>
              <w:textAlignment w:val="baseline"/>
              <w:rPr>
                <w:rFonts w:eastAsia="Times New Roman"/>
                <w:lang w:val="it-IT"/>
              </w:rPr>
            </w:pPr>
          </w:p>
          <w:p w14:paraId="3008B4DB" w14:textId="77777777" w:rsidR="00702F21" w:rsidRPr="004F28B2" w:rsidRDefault="00702F21" w:rsidP="008B559D">
            <w:pPr>
              <w:tabs>
                <w:tab w:val="left" w:pos="268"/>
              </w:tabs>
              <w:jc w:val="both"/>
              <w:textAlignment w:val="baseline"/>
              <w:rPr>
                <w:rFonts w:eastAsia="Times New Roman"/>
                <w:lang w:val="it-IT"/>
              </w:rPr>
            </w:pPr>
            <w:r w:rsidRPr="004F28B2">
              <w:rPr>
                <w:rFonts w:eastAsia="Times New Roman"/>
                <w:lang w:val="it-IT"/>
              </w:rPr>
              <w:t>b) violazioni che ledono gli interessi finanziari dell’Unione di cui all’articolo 325 TFUE, e ulteriormente specificate nelle pertinenti misure dell’Unione;</w:t>
            </w:r>
          </w:p>
          <w:p w14:paraId="590EF8B1" w14:textId="77777777" w:rsidR="00702F21" w:rsidRPr="004F28B2" w:rsidRDefault="00702F21" w:rsidP="008B559D">
            <w:pPr>
              <w:tabs>
                <w:tab w:val="left" w:pos="268"/>
              </w:tabs>
              <w:jc w:val="both"/>
              <w:textAlignment w:val="baseline"/>
              <w:rPr>
                <w:rFonts w:eastAsia="Times New Roman"/>
                <w:lang w:val="it-IT"/>
              </w:rPr>
            </w:pPr>
          </w:p>
          <w:p w14:paraId="2E6794EA" w14:textId="77777777" w:rsidR="00702F21" w:rsidRPr="004F28B2" w:rsidRDefault="00702F21" w:rsidP="008B559D">
            <w:pPr>
              <w:tabs>
                <w:tab w:val="left" w:pos="268"/>
              </w:tabs>
              <w:jc w:val="both"/>
              <w:textAlignment w:val="baseline"/>
              <w:rPr>
                <w:rFonts w:eastAsia="Times New Roman"/>
                <w:lang w:val="it-IT"/>
              </w:rPr>
            </w:pPr>
            <w:r w:rsidRPr="004F28B2">
              <w:rPr>
                <w:rFonts w:eastAsia="Times New Roman"/>
                <w:lang w:val="it-IT"/>
              </w:rPr>
              <w:t>c) violazioni riguardanti il mercato interno, di cui all’articolo 26, paragrafo 2, TFUE, comprese violazioni delle norme dell’Unione in materia di concorrenza e di aiuti di Stato, nonché violazioni riguardanti il mercato interno connesse ad atti che violano le norme in materia di imposta sulle società o i meccanismi il cui fine è ottenere un vantaggio fiscale che vanifica l’oggetto o la finalità della normativa applicabile in materia di imposta sulle società.</w:t>
            </w:r>
          </w:p>
          <w:p w14:paraId="56C89D16" w14:textId="77777777" w:rsidR="00702F21" w:rsidRPr="00D50C86" w:rsidRDefault="00702F21" w:rsidP="008B559D">
            <w:pPr>
              <w:rPr>
                <w:lang w:val="it-IT"/>
              </w:rPr>
            </w:pPr>
          </w:p>
        </w:tc>
        <w:tc>
          <w:tcPr>
            <w:tcW w:w="4814" w:type="dxa"/>
          </w:tcPr>
          <w:p w14:paraId="693F4B27" w14:textId="77777777" w:rsidR="00702F21" w:rsidRPr="00E06AC6" w:rsidRDefault="00702F21" w:rsidP="008B559D">
            <w:pPr>
              <w:jc w:val="both"/>
              <w:rPr>
                <w:rFonts w:eastAsiaTheme="minorHAnsi"/>
                <w:lang w:val="it-IT"/>
              </w:rPr>
            </w:pPr>
          </w:p>
          <w:p w14:paraId="3C33022B" w14:textId="77777777" w:rsidR="00702F21" w:rsidRPr="00E06AC6" w:rsidRDefault="00702F21" w:rsidP="008B559D">
            <w:pPr>
              <w:tabs>
                <w:tab w:val="left" w:pos="792"/>
              </w:tabs>
              <w:jc w:val="both"/>
              <w:rPr>
                <w:lang w:val="it-IT"/>
              </w:rPr>
            </w:pPr>
            <w:r>
              <w:rPr>
                <w:lang w:val="it-IT"/>
              </w:rPr>
              <w:t>Art. 1 commi 1, 2, 3, 4</w:t>
            </w:r>
          </w:p>
        </w:tc>
      </w:tr>
      <w:tr w:rsidR="00702F21" w:rsidRPr="007D4BF3" w14:paraId="7A833FF5" w14:textId="77777777" w:rsidTr="008B559D">
        <w:tc>
          <w:tcPr>
            <w:tcW w:w="4814" w:type="dxa"/>
          </w:tcPr>
          <w:p w14:paraId="353CFA68" w14:textId="77777777" w:rsidR="00702F21" w:rsidRDefault="00702F21" w:rsidP="008B559D">
            <w:pPr>
              <w:jc w:val="both"/>
              <w:rPr>
                <w:rFonts w:eastAsia="Times New Roman"/>
                <w:lang w:val="it-IT"/>
              </w:rPr>
            </w:pPr>
          </w:p>
          <w:p w14:paraId="7F5F3F12" w14:textId="77777777" w:rsidR="00702F21" w:rsidRDefault="00702F21" w:rsidP="008B559D">
            <w:pPr>
              <w:jc w:val="both"/>
              <w:rPr>
                <w:rFonts w:eastAsia="Times New Roman"/>
                <w:lang w:val="it-IT"/>
              </w:rPr>
            </w:pPr>
            <w:r w:rsidRPr="004F28B2">
              <w:rPr>
                <w:rFonts w:eastAsia="Times New Roman"/>
                <w:lang w:val="it-IT"/>
              </w:rPr>
              <w:t>2. La presente direttiva non pregiudica il potere degli Stati membri di estendere la protezione prevista dal diritto nazionale relativamente a settori o atti non contemplati dal paragrafo 1.</w:t>
            </w:r>
          </w:p>
          <w:p w14:paraId="040386D6" w14:textId="77777777" w:rsidR="00702F21" w:rsidRPr="00D50C86" w:rsidRDefault="00702F21" w:rsidP="008B559D">
            <w:pPr>
              <w:jc w:val="both"/>
              <w:rPr>
                <w:lang w:val="it-IT"/>
              </w:rPr>
            </w:pPr>
          </w:p>
        </w:tc>
        <w:tc>
          <w:tcPr>
            <w:tcW w:w="4814" w:type="dxa"/>
          </w:tcPr>
          <w:p w14:paraId="1658656F" w14:textId="77777777" w:rsidR="00702F21" w:rsidRDefault="00702F21" w:rsidP="008B559D">
            <w:pPr>
              <w:rPr>
                <w:lang w:val="it-IT"/>
              </w:rPr>
            </w:pPr>
          </w:p>
          <w:p w14:paraId="583814CF" w14:textId="6762E75C" w:rsidR="00702F21" w:rsidRPr="00D50C86" w:rsidRDefault="00C9792A" w:rsidP="008B559D">
            <w:pPr>
              <w:rPr>
                <w:lang w:val="it-IT"/>
              </w:rPr>
            </w:pPr>
            <w:r w:rsidRPr="00BA7F05">
              <w:rPr>
                <w:lang w:val="it-IT"/>
              </w:rPr>
              <w:t xml:space="preserve">Art. 2 comma 1, </w:t>
            </w:r>
            <w:proofErr w:type="spellStart"/>
            <w:r w:rsidRPr="00BA7F05">
              <w:rPr>
                <w:lang w:val="it-IT"/>
              </w:rPr>
              <w:t>lett</w:t>
            </w:r>
            <w:proofErr w:type="spellEnd"/>
            <w:r w:rsidRPr="00BA7F05">
              <w:rPr>
                <w:lang w:val="it-IT"/>
              </w:rPr>
              <w:t>. a)</w:t>
            </w:r>
            <w:r w:rsidR="005C43AE">
              <w:rPr>
                <w:lang w:val="it-IT"/>
              </w:rPr>
              <w:t>,</w:t>
            </w:r>
            <w:r w:rsidRPr="00BA7F05">
              <w:rPr>
                <w:lang w:val="it-IT"/>
              </w:rPr>
              <w:t xml:space="preserve"> n. 1</w:t>
            </w:r>
            <w:r w:rsidR="00AE0249">
              <w:rPr>
                <w:lang w:val="it-IT"/>
              </w:rPr>
              <w:t xml:space="preserve"> e</w:t>
            </w:r>
            <w:r w:rsidRPr="00BA7F05">
              <w:rPr>
                <w:lang w:val="it-IT"/>
              </w:rPr>
              <w:t xml:space="preserve"> 2</w:t>
            </w:r>
            <w:r w:rsidR="005C43AE">
              <w:rPr>
                <w:lang w:val="it-IT"/>
              </w:rPr>
              <w:t>.</w:t>
            </w:r>
          </w:p>
        </w:tc>
      </w:tr>
      <w:tr w:rsidR="00702F21" w:rsidRPr="00BE38E8" w14:paraId="1B815EE5" w14:textId="77777777" w:rsidTr="008B559D">
        <w:tc>
          <w:tcPr>
            <w:tcW w:w="4814" w:type="dxa"/>
          </w:tcPr>
          <w:p w14:paraId="18399663" w14:textId="77777777" w:rsidR="00702F21" w:rsidRPr="004F28B2" w:rsidRDefault="00702F21" w:rsidP="008B559D">
            <w:pPr>
              <w:jc w:val="center"/>
              <w:textAlignment w:val="baseline"/>
              <w:rPr>
                <w:rFonts w:eastAsia="Times New Roman"/>
                <w:i/>
                <w:spacing w:val="-5"/>
                <w:lang w:val="it-IT"/>
              </w:rPr>
            </w:pPr>
            <w:r w:rsidRPr="004F28B2">
              <w:rPr>
                <w:rFonts w:eastAsia="Times New Roman"/>
                <w:i/>
                <w:spacing w:val="-5"/>
                <w:lang w:val="it-IT"/>
              </w:rPr>
              <w:t>Articolo 3</w:t>
            </w:r>
          </w:p>
          <w:p w14:paraId="744B1B85" w14:textId="77777777" w:rsidR="00702F21" w:rsidRPr="004F28B2" w:rsidRDefault="00702F21" w:rsidP="008B559D">
            <w:pPr>
              <w:jc w:val="center"/>
              <w:textAlignment w:val="baseline"/>
              <w:rPr>
                <w:rFonts w:eastAsia="Times New Roman"/>
                <w:b/>
                <w:spacing w:val="2"/>
                <w:lang w:val="it-IT"/>
              </w:rPr>
            </w:pPr>
            <w:r w:rsidRPr="004F28B2">
              <w:rPr>
                <w:rFonts w:eastAsia="Times New Roman"/>
                <w:b/>
                <w:spacing w:val="2"/>
                <w:lang w:val="it-IT"/>
              </w:rPr>
              <w:t>Relazione con altri atti dell’Unione e con le disposizioni nazionali</w:t>
            </w:r>
          </w:p>
          <w:p w14:paraId="006BA911" w14:textId="77777777" w:rsidR="00702F21" w:rsidRPr="00D50C86" w:rsidRDefault="00702F21" w:rsidP="008B559D">
            <w:pPr>
              <w:rPr>
                <w:lang w:val="it-IT"/>
              </w:rPr>
            </w:pPr>
          </w:p>
        </w:tc>
        <w:tc>
          <w:tcPr>
            <w:tcW w:w="4814" w:type="dxa"/>
          </w:tcPr>
          <w:p w14:paraId="3D41AC72" w14:textId="77777777" w:rsidR="00702F21" w:rsidRPr="00D50C86" w:rsidRDefault="00702F21" w:rsidP="008B559D">
            <w:pPr>
              <w:spacing w:line="360" w:lineRule="auto"/>
              <w:jc w:val="center"/>
              <w:rPr>
                <w:lang w:val="it-IT"/>
              </w:rPr>
            </w:pPr>
          </w:p>
        </w:tc>
      </w:tr>
      <w:tr w:rsidR="00702F21" w:rsidRPr="00D64489" w14:paraId="7AB524E6" w14:textId="77777777" w:rsidTr="008B559D">
        <w:tc>
          <w:tcPr>
            <w:tcW w:w="4814" w:type="dxa"/>
          </w:tcPr>
          <w:p w14:paraId="4D222F16" w14:textId="77777777" w:rsidR="00702F21" w:rsidRPr="004F28B2" w:rsidRDefault="00702F21" w:rsidP="008B559D">
            <w:pPr>
              <w:tabs>
                <w:tab w:val="decimal" w:pos="648"/>
                <w:tab w:val="left" w:pos="936"/>
              </w:tabs>
              <w:spacing w:before="100"/>
              <w:jc w:val="both"/>
              <w:textAlignment w:val="baseline"/>
              <w:rPr>
                <w:rFonts w:eastAsia="Times New Roman"/>
                <w:lang w:val="it-IT"/>
              </w:rPr>
            </w:pPr>
            <w:r w:rsidRPr="004F28B2">
              <w:rPr>
                <w:rFonts w:eastAsia="Times New Roman"/>
                <w:lang w:val="it-IT"/>
              </w:rPr>
              <w:t>1. Laddove siano previste norme specifiche sulla segnalazione delle violazioni negli atti settoriali dell’Unione elencati nella parte II dell’allegato, si applicano tali norme. Le disposizioni della presente direttiva si applicano nella misura in cui una materia non sia obbligatoriamente disciplinata da tali atti settoriali dell’Unione.</w:t>
            </w:r>
          </w:p>
          <w:p w14:paraId="33754C2A" w14:textId="77777777" w:rsidR="00702F21" w:rsidRPr="00D50C86" w:rsidRDefault="00702F21" w:rsidP="008B559D">
            <w:pPr>
              <w:rPr>
                <w:lang w:val="it-IT"/>
              </w:rPr>
            </w:pPr>
          </w:p>
        </w:tc>
        <w:tc>
          <w:tcPr>
            <w:tcW w:w="4814" w:type="dxa"/>
          </w:tcPr>
          <w:p w14:paraId="35F7B3B0" w14:textId="77777777" w:rsidR="00702F21" w:rsidRPr="005D12A3" w:rsidRDefault="00702F21" w:rsidP="008B559D">
            <w:pPr>
              <w:jc w:val="both"/>
              <w:rPr>
                <w:lang w:val="it-IT"/>
              </w:rPr>
            </w:pPr>
            <w:r>
              <w:rPr>
                <w:rFonts w:eastAsia="Times New Roman"/>
                <w:color w:val="000000" w:themeColor="text1"/>
                <w:lang w:val="it-IT"/>
              </w:rPr>
              <w:t xml:space="preserve">v. art. 1, comma </w:t>
            </w:r>
            <w:r w:rsidRPr="005D12A3">
              <w:rPr>
                <w:rFonts w:eastAsia="Times New Roman"/>
                <w:color w:val="000000" w:themeColor="text1"/>
                <w:lang w:val="it-IT"/>
              </w:rPr>
              <w:t>2</w:t>
            </w:r>
            <w:r>
              <w:rPr>
                <w:rFonts w:eastAsia="Times New Roman"/>
                <w:color w:val="000000" w:themeColor="text1"/>
                <w:lang w:val="it-IT"/>
              </w:rPr>
              <w:t>.</w:t>
            </w:r>
          </w:p>
        </w:tc>
      </w:tr>
      <w:tr w:rsidR="00702F21" w:rsidRPr="007D4BF3" w14:paraId="7302382F" w14:textId="77777777" w:rsidTr="008B559D">
        <w:tc>
          <w:tcPr>
            <w:tcW w:w="4814" w:type="dxa"/>
          </w:tcPr>
          <w:p w14:paraId="12559414" w14:textId="77777777" w:rsidR="00702F21" w:rsidRPr="004F28B2" w:rsidRDefault="00702F21" w:rsidP="008B559D">
            <w:pPr>
              <w:tabs>
                <w:tab w:val="decimal" w:pos="648"/>
                <w:tab w:val="left" w:pos="936"/>
              </w:tabs>
              <w:spacing w:before="296"/>
              <w:jc w:val="both"/>
              <w:textAlignment w:val="baseline"/>
              <w:rPr>
                <w:rFonts w:eastAsia="Times New Roman"/>
                <w:lang w:val="it-IT"/>
              </w:rPr>
            </w:pPr>
            <w:r w:rsidRPr="004F28B2">
              <w:rPr>
                <w:rFonts w:eastAsia="Times New Roman"/>
                <w:lang w:val="it-IT"/>
              </w:rPr>
              <w:t>2. La presente direttiva non pregiudica la responsabilità degli Stati membri di garantire la sicurezza nazionale né il loro potere di tutelare i propri interessi essenziali di sicurezza. In particolare, non si applica alle segnalazioni di violazioni delle norme in materia di appalti concernenti aspetti di difesa o di sicurezza, a meno che tali aspetti non rientrino negli atti pertinenti dell’Unione.</w:t>
            </w:r>
          </w:p>
          <w:p w14:paraId="781E74F1" w14:textId="77777777" w:rsidR="00702F21" w:rsidRDefault="00702F21" w:rsidP="008B559D">
            <w:pPr>
              <w:rPr>
                <w:lang w:val="it-IT"/>
              </w:rPr>
            </w:pPr>
          </w:p>
        </w:tc>
        <w:tc>
          <w:tcPr>
            <w:tcW w:w="4814" w:type="dxa"/>
          </w:tcPr>
          <w:p w14:paraId="43792BCD" w14:textId="77777777" w:rsidR="00702F21" w:rsidRPr="005D12A3" w:rsidRDefault="00702F21" w:rsidP="008B559D">
            <w:pPr>
              <w:rPr>
                <w:lang w:val="it-IT"/>
              </w:rPr>
            </w:pPr>
          </w:p>
          <w:p w14:paraId="1A9220D4" w14:textId="1791EB92" w:rsidR="00702F21" w:rsidRPr="005D12A3" w:rsidRDefault="00702F21" w:rsidP="008B559D">
            <w:pPr>
              <w:rPr>
                <w:lang w:val="it-IT"/>
              </w:rPr>
            </w:pPr>
            <w:r w:rsidRPr="005D12A3">
              <w:rPr>
                <w:lang w:val="it-IT"/>
              </w:rPr>
              <w:t>v. art. 1, comm</w:t>
            </w:r>
            <w:r w:rsidR="00EC6837" w:rsidRPr="007129AD">
              <w:rPr>
                <w:lang w:val="it-IT"/>
              </w:rPr>
              <w:t>i</w:t>
            </w:r>
            <w:r w:rsidRPr="005D12A3">
              <w:rPr>
                <w:lang w:val="it-IT"/>
              </w:rPr>
              <w:t xml:space="preserve"> 2</w:t>
            </w:r>
            <w:r w:rsidR="00EC6837">
              <w:rPr>
                <w:lang w:val="it-IT"/>
              </w:rPr>
              <w:t xml:space="preserve"> e 4</w:t>
            </w:r>
            <w:r w:rsidRPr="005D12A3">
              <w:rPr>
                <w:lang w:val="it-IT"/>
              </w:rPr>
              <w:t>.</w:t>
            </w:r>
          </w:p>
        </w:tc>
      </w:tr>
      <w:tr w:rsidR="00702F21" w:rsidRPr="00D64489" w14:paraId="19D7A439" w14:textId="77777777" w:rsidTr="008B559D">
        <w:tc>
          <w:tcPr>
            <w:tcW w:w="4814" w:type="dxa"/>
          </w:tcPr>
          <w:p w14:paraId="373254BE" w14:textId="77777777" w:rsidR="00702F21" w:rsidRPr="004F28B2" w:rsidRDefault="00702F21" w:rsidP="008B559D">
            <w:pPr>
              <w:tabs>
                <w:tab w:val="decimal" w:pos="648"/>
                <w:tab w:val="left" w:pos="936"/>
              </w:tabs>
              <w:spacing w:before="292"/>
              <w:jc w:val="both"/>
              <w:textAlignment w:val="baseline"/>
              <w:rPr>
                <w:rFonts w:eastAsia="Times New Roman"/>
                <w:spacing w:val="-3"/>
                <w:lang w:val="it-IT"/>
              </w:rPr>
            </w:pPr>
            <w:r w:rsidRPr="004F28B2">
              <w:rPr>
                <w:rFonts w:eastAsia="Times New Roman"/>
                <w:lang w:val="it-IT"/>
              </w:rPr>
              <w:t xml:space="preserve">3. La presente direttiva non pregiudica l’applicazione del diritto dell’Unione o nazionale concernente una delle </w:t>
            </w:r>
            <w:r w:rsidRPr="004F28B2">
              <w:rPr>
                <w:rFonts w:eastAsia="Times New Roman"/>
                <w:spacing w:val="-3"/>
                <w:lang w:val="it-IT"/>
              </w:rPr>
              <w:t>seguenti:</w:t>
            </w:r>
          </w:p>
          <w:p w14:paraId="20E9C5A2" w14:textId="77777777" w:rsidR="00702F21" w:rsidRPr="004F28B2" w:rsidRDefault="00702F21" w:rsidP="008B559D">
            <w:pPr>
              <w:tabs>
                <w:tab w:val="decimal" w:pos="648"/>
                <w:tab w:val="left" w:pos="936"/>
              </w:tabs>
              <w:spacing w:before="292"/>
              <w:jc w:val="both"/>
              <w:textAlignment w:val="baseline"/>
              <w:rPr>
                <w:rFonts w:eastAsia="Times New Roman"/>
                <w:spacing w:val="-1"/>
                <w:lang w:val="it-IT"/>
              </w:rPr>
            </w:pPr>
            <w:r w:rsidRPr="004F28B2">
              <w:rPr>
                <w:rFonts w:eastAsia="Times New Roman"/>
                <w:spacing w:val="-1"/>
                <w:lang w:val="it-IT"/>
              </w:rPr>
              <w:t>a) la protezione delle informazioni classificate;</w:t>
            </w:r>
          </w:p>
          <w:p w14:paraId="434F8BB4" w14:textId="77777777" w:rsidR="00702F21" w:rsidRPr="004F28B2" w:rsidRDefault="00702F21" w:rsidP="008B559D">
            <w:pPr>
              <w:tabs>
                <w:tab w:val="decimal" w:pos="648"/>
                <w:tab w:val="left" w:pos="936"/>
              </w:tabs>
              <w:spacing w:before="292"/>
              <w:jc w:val="both"/>
              <w:textAlignment w:val="baseline"/>
              <w:rPr>
                <w:rFonts w:eastAsia="Times New Roman"/>
                <w:lang w:val="it-IT"/>
              </w:rPr>
            </w:pPr>
            <w:r w:rsidRPr="004F28B2">
              <w:rPr>
                <w:rFonts w:eastAsia="Times New Roman"/>
                <w:spacing w:val="-1"/>
                <w:lang w:val="it-IT"/>
              </w:rPr>
              <w:t xml:space="preserve">b) </w:t>
            </w:r>
            <w:r w:rsidRPr="004F28B2">
              <w:rPr>
                <w:rFonts w:eastAsia="Times New Roman"/>
                <w:lang w:val="it-IT"/>
              </w:rPr>
              <w:t>la protezione del segreto professionale forense e medico;</w:t>
            </w:r>
          </w:p>
          <w:p w14:paraId="5DAF468A" w14:textId="77777777" w:rsidR="00702F21" w:rsidRPr="004F28B2" w:rsidRDefault="00702F21" w:rsidP="008B559D">
            <w:pPr>
              <w:tabs>
                <w:tab w:val="decimal" w:pos="648"/>
                <w:tab w:val="left" w:pos="936"/>
              </w:tabs>
              <w:spacing w:before="292"/>
              <w:jc w:val="both"/>
              <w:textAlignment w:val="baseline"/>
              <w:rPr>
                <w:rFonts w:eastAsia="Times New Roman"/>
                <w:spacing w:val="-3"/>
                <w:lang w:val="it-IT"/>
              </w:rPr>
            </w:pPr>
            <w:r w:rsidRPr="004F28B2">
              <w:rPr>
                <w:rFonts w:eastAsia="Times New Roman"/>
                <w:lang w:val="it-IT"/>
              </w:rPr>
              <w:t xml:space="preserve">c) </w:t>
            </w:r>
            <w:r w:rsidRPr="004F28B2">
              <w:rPr>
                <w:rFonts w:eastAsia="Times New Roman"/>
                <w:spacing w:val="-1"/>
                <w:lang w:val="it-IT"/>
              </w:rPr>
              <w:t>la segretezza delle deliberazioni degli organi giudiziari;</w:t>
            </w:r>
          </w:p>
          <w:p w14:paraId="28320748" w14:textId="77777777" w:rsidR="00702F21" w:rsidRPr="004F28B2" w:rsidRDefault="00702F21" w:rsidP="008B559D">
            <w:pPr>
              <w:tabs>
                <w:tab w:val="left" w:pos="792"/>
              </w:tabs>
              <w:spacing w:before="291"/>
              <w:textAlignment w:val="baseline"/>
              <w:rPr>
                <w:rFonts w:eastAsia="Times New Roman"/>
                <w:lang w:val="it-IT"/>
              </w:rPr>
            </w:pPr>
            <w:r w:rsidRPr="004F28B2">
              <w:rPr>
                <w:rFonts w:eastAsia="Times New Roman"/>
                <w:lang w:val="it-IT"/>
              </w:rPr>
              <w:t>d) norme di procedura penale.</w:t>
            </w:r>
          </w:p>
          <w:p w14:paraId="224E2542" w14:textId="77777777" w:rsidR="00702F21" w:rsidRDefault="00702F21" w:rsidP="008B559D">
            <w:pPr>
              <w:rPr>
                <w:lang w:val="it-IT"/>
              </w:rPr>
            </w:pPr>
          </w:p>
        </w:tc>
        <w:tc>
          <w:tcPr>
            <w:tcW w:w="4814" w:type="dxa"/>
          </w:tcPr>
          <w:p w14:paraId="2AF80F1F" w14:textId="77777777" w:rsidR="00702F21" w:rsidRPr="005D12A3" w:rsidRDefault="00702F21" w:rsidP="008B559D">
            <w:pPr>
              <w:rPr>
                <w:lang w:val="it-IT"/>
              </w:rPr>
            </w:pPr>
          </w:p>
          <w:p w14:paraId="0968F04E" w14:textId="02008D3B" w:rsidR="00702F21" w:rsidRPr="005D12A3" w:rsidRDefault="00702F21" w:rsidP="008B559D">
            <w:pPr>
              <w:tabs>
                <w:tab w:val="decimal" w:pos="648"/>
                <w:tab w:val="left" w:pos="936"/>
              </w:tabs>
              <w:jc w:val="both"/>
              <w:rPr>
                <w:lang w:val="it-IT"/>
              </w:rPr>
            </w:pPr>
            <w:r>
              <w:rPr>
                <w:rFonts w:eastAsia="Times New Roman"/>
                <w:color w:val="000000" w:themeColor="text1"/>
                <w:lang w:val="it-IT"/>
              </w:rPr>
              <w:t>v. art. 1, comm</w:t>
            </w:r>
            <w:r w:rsidR="007A73EA">
              <w:rPr>
                <w:rFonts w:eastAsia="Times New Roman"/>
                <w:color w:val="000000" w:themeColor="text1"/>
                <w:lang w:val="it-IT"/>
              </w:rPr>
              <w:t>i</w:t>
            </w:r>
            <w:r>
              <w:rPr>
                <w:rFonts w:eastAsia="Times New Roman"/>
                <w:color w:val="000000" w:themeColor="text1"/>
                <w:lang w:val="it-IT"/>
              </w:rPr>
              <w:t xml:space="preserve"> </w:t>
            </w:r>
            <w:r w:rsidRPr="005D12A3">
              <w:rPr>
                <w:rFonts w:eastAsia="Times New Roman"/>
                <w:color w:val="000000" w:themeColor="text1"/>
                <w:lang w:val="it-IT"/>
              </w:rPr>
              <w:t>3</w:t>
            </w:r>
            <w:r w:rsidR="007A73EA">
              <w:rPr>
                <w:rFonts w:eastAsia="Times New Roman"/>
                <w:color w:val="000000" w:themeColor="text1"/>
                <w:lang w:val="it-IT"/>
              </w:rPr>
              <w:t xml:space="preserve"> e 4</w:t>
            </w:r>
            <w:r w:rsidRPr="005D12A3">
              <w:rPr>
                <w:rFonts w:eastAsia="Times New Roman"/>
                <w:color w:val="000000" w:themeColor="text1"/>
                <w:lang w:val="it-IT"/>
              </w:rPr>
              <w:t xml:space="preserve">. </w:t>
            </w:r>
          </w:p>
        </w:tc>
      </w:tr>
      <w:tr w:rsidR="00702F21" w:rsidRPr="007D4BF3" w14:paraId="53155508" w14:textId="77777777" w:rsidTr="008B559D">
        <w:tc>
          <w:tcPr>
            <w:tcW w:w="4814" w:type="dxa"/>
          </w:tcPr>
          <w:p w14:paraId="00C3E7EB" w14:textId="77777777" w:rsidR="00702F21" w:rsidRPr="004F28B2" w:rsidRDefault="00702F21" w:rsidP="008B559D">
            <w:pPr>
              <w:tabs>
                <w:tab w:val="decimal" w:pos="648"/>
                <w:tab w:val="left" w:pos="936"/>
              </w:tabs>
              <w:spacing w:before="296"/>
              <w:jc w:val="both"/>
              <w:textAlignment w:val="baseline"/>
              <w:rPr>
                <w:rFonts w:eastAsia="Times New Roman"/>
                <w:lang w:val="it-IT"/>
              </w:rPr>
            </w:pPr>
            <w:r w:rsidRPr="004F28B2">
              <w:rPr>
                <w:rFonts w:eastAsia="Times New Roman"/>
                <w:lang w:val="it-IT"/>
              </w:rPr>
              <w:t>4. La presente direttiva lascia impregiudicate le norme nazionali relative all’esercizio da parte dei lavoratori dei loro diritti di consultare i propri rappresentanti o sindacati, alla protezione contro eventuali misure lesive ingiustificate determinate da tali consultazioni, nonché all’autonomia delle parti sociali e al loro diritto di stipulare accordi collettivi. Que</w:t>
            </w:r>
            <w:r w:rsidRPr="004F28B2">
              <w:rPr>
                <w:rFonts w:eastAsia="Times New Roman"/>
                <w:lang w:val="it-IT"/>
              </w:rPr>
              <w:softHyphen/>
              <w:t>sto non pregiudica il livello di protezione offerto dalla presente direttiva.</w:t>
            </w:r>
          </w:p>
          <w:p w14:paraId="76A4C13D" w14:textId="77777777" w:rsidR="00702F21" w:rsidRDefault="00702F21" w:rsidP="008B559D">
            <w:pPr>
              <w:rPr>
                <w:lang w:val="it-IT"/>
              </w:rPr>
            </w:pPr>
          </w:p>
        </w:tc>
        <w:tc>
          <w:tcPr>
            <w:tcW w:w="4814" w:type="dxa"/>
          </w:tcPr>
          <w:p w14:paraId="29963B12" w14:textId="77777777" w:rsidR="00702F21" w:rsidRDefault="00702F21" w:rsidP="008B559D">
            <w:pPr>
              <w:rPr>
                <w:lang w:val="it-IT"/>
              </w:rPr>
            </w:pPr>
          </w:p>
          <w:p w14:paraId="0364F4F0" w14:textId="484DCACB" w:rsidR="00702F21" w:rsidRDefault="00702F21" w:rsidP="008B559D">
            <w:pPr>
              <w:rPr>
                <w:lang w:val="it-IT"/>
              </w:rPr>
            </w:pPr>
            <w:r>
              <w:rPr>
                <w:lang w:val="it-IT"/>
              </w:rPr>
              <w:t>v. art. 1, comma 4.</w:t>
            </w:r>
          </w:p>
        </w:tc>
      </w:tr>
      <w:tr w:rsidR="00702F21" w:rsidRPr="00BE38E8" w14:paraId="4B704D1E" w14:textId="77777777" w:rsidTr="008B559D">
        <w:tc>
          <w:tcPr>
            <w:tcW w:w="4814" w:type="dxa"/>
          </w:tcPr>
          <w:p w14:paraId="746BF66F" w14:textId="77777777" w:rsidR="00702F21" w:rsidRPr="004F28B2" w:rsidRDefault="00702F21" w:rsidP="008B559D">
            <w:pPr>
              <w:jc w:val="center"/>
              <w:textAlignment w:val="baseline"/>
              <w:rPr>
                <w:rFonts w:eastAsia="Times New Roman"/>
                <w:i/>
                <w:spacing w:val="-3"/>
                <w:lang w:val="it-IT"/>
              </w:rPr>
            </w:pPr>
            <w:r w:rsidRPr="004F28B2">
              <w:rPr>
                <w:rFonts w:eastAsia="Times New Roman"/>
                <w:i/>
                <w:spacing w:val="-3"/>
                <w:lang w:val="it-IT"/>
              </w:rPr>
              <w:t>Articolo 4</w:t>
            </w:r>
          </w:p>
          <w:p w14:paraId="6CD9FB0E" w14:textId="77777777" w:rsidR="00702F21" w:rsidRPr="004F28B2" w:rsidRDefault="00702F21" w:rsidP="008B559D">
            <w:pPr>
              <w:jc w:val="center"/>
              <w:textAlignment w:val="baseline"/>
              <w:rPr>
                <w:rFonts w:eastAsia="Times New Roman"/>
                <w:b/>
                <w:spacing w:val="1"/>
                <w:lang w:val="it-IT"/>
              </w:rPr>
            </w:pPr>
            <w:r w:rsidRPr="004F28B2">
              <w:rPr>
                <w:rFonts w:eastAsia="Times New Roman"/>
                <w:b/>
                <w:spacing w:val="1"/>
                <w:lang w:val="it-IT"/>
              </w:rPr>
              <w:t>Ambito di applicazione personale</w:t>
            </w:r>
          </w:p>
          <w:p w14:paraId="0181364F" w14:textId="77777777" w:rsidR="00702F21" w:rsidRDefault="00702F21" w:rsidP="008B559D">
            <w:pPr>
              <w:rPr>
                <w:lang w:val="it-IT"/>
              </w:rPr>
            </w:pPr>
          </w:p>
        </w:tc>
        <w:tc>
          <w:tcPr>
            <w:tcW w:w="4814" w:type="dxa"/>
          </w:tcPr>
          <w:p w14:paraId="550D2FAB" w14:textId="77777777" w:rsidR="00702F21" w:rsidRPr="00A86159" w:rsidRDefault="00702F21" w:rsidP="008B559D">
            <w:pPr>
              <w:tabs>
                <w:tab w:val="decimal" w:pos="648"/>
                <w:tab w:val="left" w:pos="936"/>
              </w:tabs>
              <w:spacing w:line="360" w:lineRule="auto"/>
              <w:jc w:val="center"/>
              <w:rPr>
                <w:rFonts w:eastAsia="Times New Roman"/>
                <w:color w:val="000000" w:themeColor="text1"/>
                <w:lang w:val="it-IT"/>
              </w:rPr>
            </w:pPr>
            <w:r w:rsidRPr="00A86159">
              <w:rPr>
                <w:rFonts w:eastAsia="Times New Roman"/>
                <w:b/>
                <w:bCs/>
                <w:color w:val="000000" w:themeColor="text1"/>
                <w:lang w:val="it-IT"/>
              </w:rPr>
              <w:t xml:space="preserve">Art. </w:t>
            </w:r>
            <w:r w:rsidRPr="00A86159">
              <w:rPr>
                <w:rFonts w:eastAsia="Times New Roman"/>
                <w:color w:val="000000" w:themeColor="text1"/>
                <w:lang w:val="it-IT"/>
              </w:rPr>
              <w:t xml:space="preserve"> </w:t>
            </w:r>
            <w:r w:rsidRPr="00A86159">
              <w:rPr>
                <w:rFonts w:eastAsia="Times New Roman"/>
                <w:b/>
                <w:bCs/>
                <w:color w:val="000000" w:themeColor="text1"/>
                <w:lang w:val="it-IT"/>
              </w:rPr>
              <w:t>3</w:t>
            </w:r>
          </w:p>
          <w:p w14:paraId="75EA8B16" w14:textId="77777777" w:rsidR="00702F21" w:rsidRPr="00A86159" w:rsidRDefault="00702F21" w:rsidP="008B559D">
            <w:pPr>
              <w:tabs>
                <w:tab w:val="left" w:pos="268"/>
              </w:tabs>
              <w:spacing w:line="360" w:lineRule="auto"/>
              <w:jc w:val="center"/>
              <w:rPr>
                <w:rFonts w:eastAsia="Times New Roman"/>
                <w:color w:val="000000" w:themeColor="text1"/>
                <w:lang w:val="it-IT"/>
              </w:rPr>
            </w:pPr>
            <w:r w:rsidRPr="00A86159">
              <w:rPr>
                <w:rFonts w:eastAsia="Times New Roman"/>
                <w:color w:val="000000" w:themeColor="text1"/>
                <w:lang w:val="it-IT"/>
              </w:rPr>
              <w:t>(</w:t>
            </w:r>
            <w:r w:rsidRPr="00A86159">
              <w:rPr>
                <w:rFonts w:eastAsia="Times New Roman"/>
                <w:i/>
                <w:iCs/>
                <w:color w:val="000000" w:themeColor="text1"/>
                <w:lang w:val="it-IT"/>
              </w:rPr>
              <w:t>Ambito di applicazione soggettivo</w:t>
            </w:r>
            <w:r w:rsidRPr="00A86159">
              <w:rPr>
                <w:rFonts w:eastAsia="Times New Roman"/>
                <w:color w:val="000000" w:themeColor="text1"/>
                <w:lang w:val="it-IT"/>
              </w:rPr>
              <w:t>)</w:t>
            </w:r>
          </w:p>
          <w:p w14:paraId="41E6B9BD" w14:textId="77777777" w:rsidR="00702F21" w:rsidRPr="00A86159" w:rsidRDefault="00702F21" w:rsidP="008B559D">
            <w:pPr>
              <w:rPr>
                <w:lang w:val="it-IT"/>
              </w:rPr>
            </w:pPr>
          </w:p>
        </w:tc>
      </w:tr>
      <w:tr w:rsidR="00702F21" w:rsidRPr="00593199" w14:paraId="38143D1E" w14:textId="77777777" w:rsidTr="008B559D">
        <w:tc>
          <w:tcPr>
            <w:tcW w:w="4814" w:type="dxa"/>
          </w:tcPr>
          <w:p w14:paraId="2E4B605A" w14:textId="77777777" w:rsidR="00702F21" w:rsidRPr="004F28B2" w:rsidRDefault="00702F21" w:rsidP="008B559D">
            <w:pPr>
              <w:tabs>
                <w:tab w:val="decimal" w:pos="648"/>
                <w:tab w:val="left" w:pos="936"/>
              </w:tabs>
              <w:spacing w:before="104"/>
              <w:jc w:val="both"/>
              <w:textAlignment w:val="baseline"/>
              <w:rPr>
                <w:rFonts w:eastAsia="Times New Roman"/>
                <w:lang w:val="it-IT"/>
              </w:rPr>
            </w:pPr>
            <w:r w:rsidRPr="004F28B2">
              <w:rPr>
                <w:rFonts w:eastAsia="Times New Roman"/>
                <w:lang w:val="it-IT"/>
              </w:rPr>
              <w:t>1. La presente direttiva si applica alle persone segnalanti che lavorano nel settore privato o pubblico che hanno acquisito informazioni sulle violazioni in un contesto lavorativo, compresi almeno:</w:t>
            </w:r>
          </w:p>
          <w:p w14:paraId="1CBC181E" w14:textId="77777777" w:rsidR="00702F21" w:rsidRPr="004F28B2" w:rsidRDefault="00702F21" w:rsidP="008B559D">
            <w:pPr>
              <w:tabs>
                <w:tab w:val="left" w:pos="792"/>
              </w:tabs>
              <w:spacing w:before="291"/>
              <w:jc w:val="both"/>
              <w:textAlignment w:val="baseline"/>
              <w:rPr>
                <w:rFonts w:eastAsia="Times New Roman"/>
                <w:lang w:val="it-IT"/>
              </w:rPr>
            </w:pPr>
            <w:r w:rsidRPr="004F28B2">
              <w:rPr>
                <w:rFonts w:eastAsia="Times New Roman"/>
                <w:lang w:val="it-IT"/>
              </w:rPr>
              <w:t>a) le persone aventi la qualità di lavoratore ai sensi dell’articolo 45, paragrafo 1, TFUE, compresi i dipendenti pubblici;</w:t>
            </w:r>
          </w:p>
          <w:p w14:paraId="76F5EBF2" w14:textId="77777777" w:rsidR="00702F21" w:rsidRPr="004F28B2" w:rsidRDefault="00702F21" w:rsidP="008B559D">
            <w:pPr>
              <w:tabs>
                <w:tab w:val="left" w:pos="792"/>
              </w:tabs>
              <w:spacing w:before="291"/>
              <w:jc w:val="both"/>
              <w:textAlignment w:val="baseline"/>
              <w:rPr>
                <w:rFonts w:eastAsia="Times New Roman"/>
                <w:lang w:val="it-IT"/>
              </w:rPr>
            </w:pPr>
            <w:r w:rsidRPr="004F28B2">
              <w:rPr>
                <w:rFonts w:eastAsia="Times New Roman"/>
                <w:lang w:val="it-IT"/>
              </w:rPr>
              <w:t>b) le persone aventi la qualità di lavoratore autonomo ai sensi dell’articolo 49 TFUE;</w:t>
            </w:r>
          </w:p>
          <w:p w14:paraId="536993D5" w14:textId="77777777" w:rsidR="00702F21" w:rsidRPr="004F28B2" w:rsidRDefault="00702F21" w:rsidP="008B559D">
            <w:pPr>
              <w:tabs>
                <w:tab w:val="left" w:pos="792"/>
              </w:tabs>
              <w:spacing w:before="326"/>
              <w:jc w:val="both"/>
              <w:textAlignment w:val="baseline"/>
              <w:rPr>
                <w:rFonts w:eastAsia="Times New Roman"/>
                <w:lang w:val="it-IT"/>
              </w:rPr>
            </w:pPr>
            <w:r w:rsidRPr="004F28B2">
              <w:rPr>
                <w:rFonts w:eastAsia="Times New Roman"/>
                <w:lang w:val="it-IT"/>
              </w:rPr>
              <w:t>c) gli azionisti e i membri dell’organo di amministrazione, direzione o vigilanza di un’impresa, compresi i membri senza incarichi esecutivi, i volontari e i tirocinanti retribuiti e non retribuiti;</w:t>
            </w:r>
          </w:p>
          <w:p w14:paraId="14592208" w14:textId="77777777" w:rsidR="00702F21" w:rsidRPr="004F28B2" w:rsidRDefault="00702F21" w:rsidP="008B559D">
            <w:pPr>
              <w:tabs>
                <w:tab w:val="left" w:pos="792"/>
              </w:tabs>
              <w:spacing w:before="291"/>
              <w:jc w:val="both"/>
              <w:textAlignment w:val="baseline"/>
              <w:rPr>
                <w:rFonts w:eastAsia="Times New Roman"/>
                <w:lang w:val="it-IT"/>
              </w:rPr>
            </w:pPr>
            <w:r w:rsidRPr="004F28B2">
              <w:rPr>
                <w:rFonts w:eastAsia="Times New Roman"/>
                <w:lang w:val="it-IT"/>
              </w:rPr>
              <w:t>d)qualsiasi persona che lavora sotto la supervisione e la direzione di appaltatori, subappaltatori e fornitori.</w:t>
            </w:r>
          </w:p>
          <w:p w14:paraId="3A7B439B" w14:textId="77777777" w:rsidR="00702F21" w:rsidRDefault="00702F21" w:rsidP="008B559D">
            <w:pPr>
              <w:rPr>
                <w:lang w:val="it-IT"/>
              </w:rPr>
            </w:pPr>
          </w:p>
        </w:tc>
        <w:tc>
          <w:tcPr>
            <w:tcW w:w="4814" w:type="dxa"/>
          </w:tcPr>
          <w:p w14:paraId="25DD5BB7" w14:textId="61227419" w:rsidR="00702F21" w:rsidRPr="000D7BD9" w:rsidRDefault="00702F21" w:rsidP="008B559D">
            <w:pPr>
              <w:rPr>
                <w:lang w:val="it-IT"/>
              </w:rPr>
            </w:pPr>
            <w:r>
              <w:rPr>
                <w:lang w:val="it-IT"/>
              </w:rPr>
              <w:t xml:space="preserve">Art. 3 comma </w:t>
            </w:r>
            <w:r w:rsidRPr="00062962">
              <w:rPr>
                <w:strike/>
                <w:lang w:val="it-IT"/>
              </w:rPr>
              <w:t>1</w:t>
            </w:r>
            <w:r w:rsidR="000D7BD9">
              <w:rPr>
                <w:strike/>
                <w:lang w:val="it-IT"/>
              </w:rPr>
              <w:t xml:space="preserve"> </w:t>
            </w:r>
            <w:r w:rsidR="000D7BD9">
              <w:rPr>
                <w:lang w:val="it-IT"/>
              </w:rPr>
              <w:t>3</w:t>
            </w:r>
          </w:p>
        </w:tc>
      </w:tr>
      <w:tr w:rsidR="00702F21" w:rsidRPr="00593199" w14:paraId="0A19A14F" w14:textId="77777777" w:rsidTr="008B559D">
        <w:tc>
          <w:tcPr>
            <w:tcW w:w="4814" w:type="dxa"/>
          </w:tcPr>
          <w:p w14:paraId="7B79863B" w14:textId="77777777" w:rsidR="00702F21" w:rsidRPr="004F28B2" w:rsidRDefault="00702F21" w:rsidP="008B559D">
            <w:pPr>
              <w:tabs>
                <w:tab w:val="decimal" w:pos="648"/>
                <w:tab w:val="left" w:pos="936"/>
              </w:tabs>
              <w:spacing w:before="292"/>
              <w:jc w:val="both"/>
              <w:textAlignment w:val="baseline"/>
              <w:rPr>
                <w:rFonts w:eastAsia="Times New Roman"/>
                <w:lang w:val="it-IT"/>
              </w:rPr>
            </w:pPr>
            <w:r w:rsidRPr="004F28B2">
              <w:rPr>
                <w:rFonts w:eastAsia="Times New Roman"/>
                <w:lang w:val="it-IT"/>
              </w:rPr>
              <w:t>2. La presente direttiva si applica altresì alle persone segnalanti qualora segnalino o divulghino informazioni sulle violazioni acquisite nell’ambito di un rapporto di lavoro nel frattempo terminato.</w:t>
            </w:r>
          </w:p>
          <w:p w14:paraId="001F7994" w14:textId="77777777" w:rsidR="00702F21" w:rsidRDefault="00702F21" w:rsidP="008B559D">
            <w:pPr>
              <w:rPr>
                <w:lang w:val="it-IT"/>
              </w:rPr>
            </w:pPr>
          </w:p>
        </w:tc>
        <w:tc>
          <w:tcPr>
            <w:tcW w:w="4814" w:type="dxa"/>
          </w:tcPr>
          <w:p w14:paraId="5287C4DB" w14:textId="537682C4" w:rsidR="00702F21" w:rsidRPr="00544797" w:rsidRDefault="00702F21" w:rsidP="008B559D">
            <w:pPr>
              <w:jc w:val="both"/>
              <w:rPr>
                <w:rFonts w:eastAsia="Times New Roman"/>
                <w:color w:val="000000" w:themeColor="text1"/>
                <w:lang w:val="it-IT"/>
              </w:rPr>
            </w:pPr>
            <w:r>
              <w:rPr>
                <w:rFonts w:eastAsia="Times New Roman"/>
                <w:color w:val="000000" w:themeColor="text1"/>
                <w:lang w:val="it-IT"/>
              </w:rPr>
              <w:t>Art. 3 comma</w:t>
            </w:r>
            <w:r w:rsidR="00544797">
              <w:rPr>
                <w:rFonts w:eastAsia="Times New Roman"/>
                <w:color w:val="000000" w:themeColor="text1"/>
                <w:lang w:val="it-IT"/>
              </w:rPr>
              <w:t xml:space="preserve"> 4</w:t>
            </w:r>
            <w:r w:rsidR="000D7BD9">
              <w:rPr>
                <w:rFonts w:eastAsia="Times New Roman"/>
                <w:color w:val="000000" w:themeColor="text1"/>
                <w:lang w:val="it-IT"/>
              </w:rPr>
              <w:t xml:space="preserve"> </w:t>
            </w:r>
            <w:proofErr w:type="spellStart"/>
            <w:r w:rsidR="000D7BD9">
              <w:rPr>
                <w:rFonts w:eastAsia="Times New Roman"/>
                <w:color w:val="000000" w:themeColor="text1"/>
                <w:lang w:val="it-IT"/>
              </w:rPr>
              <w:t>lett.c</w:t>
            </w:r>
            <w:proofErr w:type="spellEnd"/>
            <w:r w:rsidR="000D7BD9">
              <w:rPr>
                <w:rFonts w:eastAsia="Times New Roman"/>
                <w:color w:val="000000" w:themeColor="text1"/>
                <w:lang w:val="it-IT"/>
              </w:rPr>
              <w:t>)</w:t>
            </w:r>
          </w:p>
          <w:p w14:paraId="3D97F833" w14:textId="77777777" w:rsidR="00702F21" w:rsidRPr="00A86159" w:rsidRDefault="00702F21" w:rsidP="008B559D">
            <w:pPr>
              <w:jc w:val="both"/>
              <w:rPr>
                <w:lang w:val="it-IT"/>
              </w:rPr>
            </w:pPr>
          </w:p>
        </w:tc>
      </w:tr>
      <w:tr w:rsidR="00702F21" w:rsidRPr="00BC3012" w14:paraId="3D32B750" w14:textId="77777777" w:rsidTr="008B559D">
        <w:tc>
          <w:tcPr>
            <w:tcW w:w="4814" w:type="dxa"/>
          </w:tcPr>
          <w:p w14:paraId="144E12F1" w14:textId="77777777" w:rsidR="00702F21" w:rsidRDefault="00702F21" w:rsidP="008B559D">
            <w:pPr>
              <w:jc w:val="both"/>
              <w:rPr>
                <w:rFonts w:eastAsia="Times New Roman"/>
                <w:lang w:val="it-IT"/>
              </w:rPr>
            </w:pPr>
            <w:r w:rsidRPr="004F28B2">
              <w:rPr>
                <w:rFonts w:eastAsia="Times New Roman"/>
                <w:lang w:val="it-IT"/>
              </w:rPr>
              <w:t>3. La presente direttiva si applica inoltre alle persone segnalanti il cui rapporto di lavoro non è ancora iniziato nei casi in cui le informazioni riguardanti una violazione sono state acquisite durante il processo di selezione o altre fasi delle trattative</w:t>
            </w:r>
            <w:r>
              <w:rPr>
                <w:rFonts w:eastAsia="Times New Roman"/>
                <w:lang w:val="it-IT"/>
              </w:rPr>
              <w:t>.</w:t>
            </w:r>
          </w:p>
          <w:p w14:paraId="123966B8" w14:textId="77777777" w:rsidR="00702F21" w:rsidRDefault="00702F21" w:rsidP="008B559D">
            <w:pPr>
              <w:jc w:val="both"/>
              <w:rPr>
                <w:lang w:val="it-IT"/>
              </w:rPr>
            </w:pPr>
          </w:p>
        </w:tc>
        <w:tc>
          <w:tcPr>
            <w:tcW w:w="4814" w:type="dxa"/>
          </w:tcPr>
          <w:p w14:paraId="3F26590A" w14:textId="09C24F04" w:rsidR="00702F21" w:rsidRPr="00BC3012" w:rsidRDefault="00702F21" w:rsidP="008B559D">
            <w:pPr>
              <w:rPr>
                <w:lang w:val="en-GB"/>
              </w:rPr>
            </w:pPr>
            <w:proofErr w:type="gramStart"/>
            <w:r w:rsidRPr="00BC3012">
              <w:rPr>
                <w:lang w:val="en-GB"/>
              </w:rPr>
              <w:t>art</w:t>
            </w:r>
            <w:proofErr w:type="gramEnd"/>
            <w:r w:rsidRPr="00BC3012">
              <w:rPr>
                <w:lang w:val="en-GB"/>
              </w:rPr>
              <w:t xml:space="preserve">. 3, comma </w:t>
            </w:r>
            <w:r w:rsidR="000D7BD9">
              <w:rPr>
                <w:lang w:val="en-GB"/>
              </w:rPr>
              <w:t>4</w:t>
            </w:r>
            <w:r w:rsidRPr="00BC3012">
              <w:rPr>
                <w:lang w:val="en-GB"/>
              </w:rPr>
              <w:t xml:space="preserve"> </w:t>
            </w:r>
            <w:proofErr w:type="spellStart"/>
            <w:r w:rsidRPr="00BC3012">
              <w:rPr>
                <w:lang w:val="en-GB"/>
              </w:rPr>
              <w:t>lett</w:t>
            </w:r>
            <w:proofErr w:type="spellEnd"/>
            <w:r w:rsidRPr="00BC3012">
              <w:rPr>
                <w:lang w:val="en-GB"/>
              </w:rPr>
              <w:t>. a</w:t>
            </w:r>
            <w:r>
              <w:rPr>
                <w:lang w:val="en-GB"/>
              </w:rPr>
              <w:t>)</w:t>
            </w:r>
          </w:p>
        </w:tc>
      </w:tr>
      <w:tr w:rsidR="00702F21" w:rsidRPr="00593199" w14:paraId="67FF07BF" w14:textId="77777777" w:rsidTr="008B559D">
        <w:tc>
          <w:tcPr>
            <w:tcW w:w="4814" w:type="dxa"/>
          </w:tcPr>
          <w:p w14:paraId="5DAF5A5E" w14:textId="77777777" w:rsidR="00702F21" w:rsidRPr="004F28B2" w:rsidRDefault="00702F21" w:rsidP="008B559D">
            <w:pPr>
              <w:tabs>
                <w:tab w:val="left" w:pos="1008"/>
              </w:tabs>
              <w:spacing w:before="254"/>
              <w:jc w:val="both"/>
              <w:textAlignment w:val="baseline"/>
              <w:rPr>
                <w:rFonts w:eastAsia="Times New Roman"/>
                <w:lang w:val="it-IT"/>
              </w:rPr>
            </w:pPr>
            <w:r w:rsidRPr="004F28B2">
              <w:rPr>
                <w:rFonts w:eastAsia="Times New Roman"/>
                <w:lang w:val="it-IT"/>
              </w:rPr>
              <w:t>4. Le misure intese a proteggere le persone segnalanti di cui al capo VI si applicano altresì, ove opportuno:</w:t>
            </w:r>
          </w:p>
          <w:p w14:paraId="2B2AADFA" w14:textId="77777777" w:rsidR="00702F21" w:rsidRPr="004F28B2" w:rsidRDefault="00702F21" w:rsidP="008B559D">
            <w:pPr>
              <w:tabs>
                <w:tab w:val="left" w:pos="792"/>
              </w:tabs>
              <w:spacing w:before="254"/>
              <w:textAlignment w:val="baseline"/>
              <w:rPr>
                <w:rFonts w:eastAsia="Times New Roman"/>
                <w:spacing w:val="-3"/>
                <w:lang w:val="it-IT"/>
              </w:rPr>
            </w:pPr>
            <w:r w:rsidRPr="004F28B2">
              <w:rPr>
                <w:rFonts w:eastAsia="Times New Roman"/>
                <w:spacing w:val="-3"/>
                <w:lang w:val="it-IT"/>
              </w:rPr>
              <w:t>a) ai facilitatori;</w:t>
            </w:r>
          </w:p>
          <w:p w14:paraId="1F6123E4" w14:textId="77777777" w:rsidR="00702F21" w:rsidRPr="004F28B2" w:rsidRDefault="00702F21" w:rsidP="008B559D">
            <w:pPr>
              <w:tabs>
                <w:tab w:val="left" w:pos="792"/>
              </w:tabs>
              <w:spacing w:before="298"/>
              <w:jc w:val="both"/>
              <w:textAlignment w:val="baseline"/>
              <w:rPr>
                <w:rFonts w:eastAsia="Times New Roman"/>
                <w:lang w:val="it-IT"/>
              </w:rPr>
            </w:pPr>
            <w:r w:rsidRPr="004F28B2">
              <w:rPr>
                <w:rFonts w:eastAsia="Times New Roman"/>
                <w:lang w:val="it-IT"/>
              </w:rPr>
              <w:t>b) a terzi connessi con le persone segnalanti e che potrebbero rischiare ritorsioni in un contesto lavorativo, quali colleghi o parenti delle persone segnalanti; e</w:t>
            </w:r>
          </w:p>
          <w:p w14:paraId="6CAAB406" w14:textId="77777777" w:rsidR="00702F21" w:rsidRPr="004F28B2" w:rsidRDefault="00702F21" w:rsidP="008B559D">
            <w:pPr>
              <w:tabs>
                <w:tab w:val="left" w:pos="792"/>
              </w:tabs>
              <w:spacing w:before="298"/>
              <w:jc w:val="both"/>
              <w:textAlignment w:val="baseline"/>
              <w:rPr>
                <w:rFonts w:eastAsia="Times New Roman"/>
                <w:lang w:val="it-IT"/>
              </w:rPr>
            </w:pPr>
            <w:r w:rsidRPr="004F28B2">
              <w:rPr>
                <w:rFonts w:eastAsia="Times New Roman"/>
                <w:lang w:val="it-IT"/>
              </w:rPr>
              <w:t>c) ai soggetti giuridici di cui le persone segnalanti sono proprietarie, per cui lavorano o a cui sono altrimenti connesse in un contesto lavorativo.</w:t>
            </w:r>
          </w:p>
          <w:p w14:paraId="6BC92DFB" w14:textId="77777777" w:rsidR="00702F21" w:rsidRDefault="00702F21" w:rsidP="008B559D">
            <w:pPr>
              <w:rPr>
                <w:lang w:val="it-IT"/>
              </w:rPr>
            </w:pPr>
          </w:p>
        </w:tc>
        <w:tc>
          <w:tcPr>
            <w:tcW w:w="4814" w:type="dxa"/>
          </w:tcPr>
          <w:p w14:paraId="1FF5F44A" w14:textId="77777777" w:rsidR="00702F21" w:rsidRDefault="00702F21" w:rsidP="008B559D">
            <w:pPr>
              <w:jc w:val="both"/>
              <w:rPr>
                <w:rFonts w:eastAsia="Times New Roman"/>
                <w:color w:val="000000" w:themeColor="text1"/>
                <w:lang w:val="it-IT"/>
              </w:rPr>
            </w:pPr>
          </w:p>
          <w:p w14:paraId="39A98955" w14:textId="4F68BADB" w:rsidR="00702F21" w:rsidRPr="00D12BCC" w:rsidRDefault="00702F21" w:rsidP="008B559D">
            <w:pPr>
              <w:jc w:val="both"/>
              <w:rPr>
                <w:rFonts w:eastAsia="Times New Roman"/>
                <w:color w:val="000000" w:themeColor="text1"/>
                <w:lang w:val="it-IT"/>
              </w:rPr>
            </w:pPr>
            <w:r>
              <w:rPr>
                <w:rFonts w:eastAsia="Times New Roman"/>
                <w:color w:val="000000" w:themeColor="text1"/>
                <w:lang w:val="it-IT"/>
              </w:rPr>
              <w:t>Art. 3 comm</w:t>
            </w:r>
            <w:r w:rsidR="008A6975">
              <w:rPr>
                <w:rFonts w:eastAsia="Times New Roman"/>
                <w:color w:val="000000" w:themeColor="text1"/>
                <w:lang w:val="it-IT"/>
              </w:rPr>
              <w:t>a</w:t>
            </w:r>
            <w:r w:rsidRPr="00D12BCC">
              <w:rPr>
                <w:rFonts w:eastAsia="Times New Roman"/>
                <w:color w:val="000000" w:themeColor="text1"/>
                <w:lang w:val="it-IT"/>
              </w:rPr>
              <w:t xml:space="preserve"> </w:t>
            </w:r>
            <w:r w:rsidR="008A6975">
              <w:rPr>
                <w:rFonts w:eastAsia="Times New Roman"/>
                <w:color w:val="000000" w:themeColor="text1"/>
                <w:lang w:val="it-IT"/>
              </w:rPr>
              <w:t>5</w:t>
            </w:r>
          </w:p>
          <w:p w14:paraId="3806628A" w14:textId="77777777" w:rsidR="00702F21" w:rsidRDefault="00702F21" w:rsidP="008B559D">
            <w:pPr>
              <w:rPr>
                <w:lang w:val="it-IT"/>
              </w:rPr>
            </w:pPr>
          </w:p>
        </w:tc>
      </w:tr>
      <w:tr w:rsidR="00702F21" w14:paraId="5B6B62BE" w14:textId="77777777" w:rsidTr="008B559D">
        <w:tc>
          <w:tcPr>
            <w:tcW w:w="4814" w:type="dxa"/>
          </w:tcPr>
          <w:p w14:paraId="3DD90C65" w14:textId="77777777" w:rsidR="00702F21" w:rsidRPr="004F28B2" w:rsidRDefault="00702F21" w:rsidP="008B559D">
            <w:pPr>
              <w:jc w:val="center"/>
              <w:textAlignment w:val="baseline"/>
              <w:rPr>
                <w:rFonts w:eastAsia="Times New Roman"/>
                <w:i/>
                <w:lang w:val="it-IT"/>
              </w:rPr>
            </w:pPr>
            <w:r w:rsidRPr="004F28B2">
              <w:rPr>
                <w:rFonts w:eastAsia="Times New Roman"/>
                <w:i/>
                <w:lang w:val="it-IT"/>
              </w:rPr>
              <w:t xml:space="preserve">Articolo 5 </w:t>
            </w:r>
          </w:p>
          <w:p w14:paraId="4ABD48A5" w14:textId="77777777" w:rsidR="00702F21" w:rsidRPr="004F28B2" w:rsidRDefault="00702F21" w:rsidP="008B559D">
            <w:pPr>
              <w:jc w:val="center"/>
              <w:textAlignment w:val="baseline"/>
              <w:rPr>
                <w:rFonts w:eastAsia="Times New Roman"/>
                <w:i/>
                <w:lang w:val="it-IT"/>
              </w:rPr>
            </w:pPr>
            <w:r w:rsidRPr="004F28B2">
              <w:rPr>
                <w:rFonts w:eastAsia="Times New Roman"/>
                <w:b/>
                <w:lang w:val="it-IT"/>
              </w:rPr>
              <w:t>Definizioni</w:t>
            </w:r>
          </w:p>
          <w:p w14:paraId="5A98C67E" w14:textId="77777777" w:rsidR="00702F21" w:rsidRDefault="00702F21" w:rsidP="008B559D">
            <w:pPr>
              <w:rPr>
                <w:lang w:val="it-IT"/>
              </w:rPr>
            </w:pPr>
          </w:p>
        </w:tc>
        <w:tc>
          <w:tcPr>
            <w:tcW w:w="4814" w:type="dxa"/>
          </w:tcPr>
          <w:p w14:paraId="3203C6D6" w14:textId="77777777" w:rsidR="00702F21" w:rsidRPr="00FC1E45" w:rsidRDefault="00702F21" w:rsidP="008B559D">
            <w:pPr>
              <w:spacing w:line="360" w:lineRule="auto"/>
              <w:jc w:val="center"/>
              <w:rPr>
                <w:rFonts w:eastAsia="Times New Roman"/>
                <w:b/>
                <w:bCs/>
                <w:color w:val="000000" w:themeColor="text1"/>
                <w:sz w:val="24"/>
                <w:szCs w:val="24"/>
                <w:lang w:val="it-IT"/>
              </w:rPr>
            </w:pPr>
            <w:r w:rsidRPr="00FC1E45">
              <w:rPr>
                <w:rFonts w:eastAsia="Times New Roman"/>
                <w:b/>
                <w:bCs/>
                <w:color w:val="000000" w:themeColor="text1"/>
                <w:sz w:val="24"/>
                <w:szCs w:val="24"/>
                <w:lang w:val="it-IT"/>
              </w:rPr>
              <w:t xml:space="preserve">Art. 2 </w:t>
            </w:r>
          </w:p>
          <w:p w14:paraId="55EFCB45" w14:textId="77777777" w:rsidR="00702F21" w:rsidRPr="00FC1E45" w:rsidRDefault="00702F21" w:rsidP="008B559D">
            <w:pPr>
              <w:spacing w:line="360" w:lineRule="auto"/>
              <w:jc w:val="center"/>
              <w:rPr>
                <w:rFonts w:eastAsia="Times New Roman"/>
                <w:color w:val="000000" w:themeColor="text1"/>
                <w:sz w:val="24"/>
                <w:szCs w:val="24"/>
                <w:lang w:val="it-IT"/>
              </w:rPr>
            </w:pPr>
            <w:r w:rsidRPr="00FC1E45">
              <w:rPr>
                <w:rFonts w:eastAsia="Times New Roman"/>
                <w:color w:val="000000" w:themeColor="text1"/>
                <w:sz w:val="24"/>
                <w:szCs w:val="24"/>
                <w:lang w:val="it-IT"/>
              </w:rPr>
              <w:t>(</w:t>
            </w:r>
            <w:r w:rsidRPr="00FC1E45">
              <w:rPr>
                <w:rFonts w:eastAsia="Times New Roman"/>
                <w:i/>
                <w:iCs/>
                <w:color w:val="000000" w:themeColor="text1"/>
                <w:sz w:val="24"/>
                <w:szCs w:val="24"/>
                <w:lang w:val="it-IT"/>
              </w:rPr>
              <w:t>Definizioni</w:t>
            </w:r>
            <w:r w:rsidRPr="00FC1E45">
              <w:rPr>
                <w:rFonts w:eastAsia="Times New Roman"/>
                <w:color w:val="000000" w:themeColor="text1"/>
                <w:sz w:val="24"/>
                <w:szCs w:val="24"/>
                <w:lang w:val="it-IT"/>
              </w:rPr>
              <w:t>)</w:t>
            </w:r>
          </w:p>
          <w:p w14:paraId="6B55F380" w14:textId="77777777" w:rsidR="00702F21" w:rsidRDefault="00702F21" w:rsidP="008B559D">
            <w:pPr>
              <w:rPr>
                <w:lang w:val="it-IT"/>
              </w:rPr>
            </w:pPr>
          </w:p>
        </w:tc>
      </w:tr>
      <w:tr w:rsidR="00702F21" w:rsidRPr="00593199" w14:paraId="038DF283" w14:textId="77777777" w:rsidTr="008B559D">
        <w:tc>
          <w:tcPr>
            <w:tcW w:w="4814" w:type="dxa"/>
          </w:tcPr>
          <w:p w14:paraId="41B80CEF" w14:textId="77777777" w:rsidR="00702F21" w:rsidRPr="004F28B2" w:rsidRDefault="00702F21" w:rsidP="008B559D">
            <w:pPr>
              <w:tabs>
                <w:tab w:val="left" w:pos="1152"/>
              </w:tabs>
              <w:spacing w:before="298"/>
              <w:jc w:val="both"/>
              <w:textAlignment w:val="baseline"/>
              <w:rPr>
                <w:rFonts w:eastAsia="Times New Roman"/>
                <w:lang w:val="it-IT"/>
              </w:rPr>
            </w:pPr>
            <w:r w:rsidRPr="004F28B2">
              <w:rPr>
                <w:rFonts w:eastAsia="Times New Roman"/>
                <w:lang w:val="it-IT"/>
              </w:rPr>
              <w:t>Ai fini della presente direttiva si applicano le seguenti definizioni:</w:t>
            </w:r>
          </w:p>
          <w:p w14:paraId="4CD4F49B" w14:textId="77777777" w:rsidR="00702F21" w:rsidRPr="004F28B2" w:rsidRDefault="00702F21" w:rsidP="008B559D">
            <w:pPr>
              <w:tabs>
                <w:tab w:val="left" w:pos="1152"/>
              </w:tabs>
              <w:spacing w:before="298"/>
              <w:jc w:val="both"/>
              <w:textAlignment w:val="baseline"/>
              <w:rPr>
                <w:rFonts w:eastAsia="Times New Roman"/>
                <w:lang w:val="it-IT"/>
              </w:rPr>
            </w:pPr>
            <w:r w:rsidRPr="004F28B2">
              <w:rPr>
                <w:rFonts w:eastAsia="Times New Roman"/>
                <w:lang w:val="it-IT"/>
              </w:rPr>
              <w:t>1) «violazioni»: atti od omissioni che:</w:t>
            </w:r>
          </w:p>
          <w:p w14:paraId="20B8B899" w14:textId="77777777" w:rsidR="00702F21" w:rsidRPr="004F28B2" w:rsidRDefault="00702F21" w:rsidP="008B559D">
            <w:pPr>
              <w:tabs>
                <w:tab w:val="left" w:pos="1152"/>
              </w:tabs>
              <w:spacing w:before="298"/>
              <w:jc w:val="both"/>
              <w:textAlignment w:val="baseline"/>
              <w:rPr>
                <w:rFonts w:eastAsia="Times New Roman"/>
                <w:lang w:val="it-IT"/>
              </w:rPr>
            </w:pPr>
            <w:r w:rsidRPr="004F28B2">
              <w:rPr>
                <w:rFonts w:eastAsia="Times New Roman"/>
                <w:lang w:val="it-IT"/>
              </w:rPr>
              <w:t xml:space="preserve">      i) sono illeciti e che sono relativi agli atti dell’Unione e ai settori che rientrano nell’ambito di applicazione materiale di cui all’articolo 2; oppure</w:t>
            </w:r>
          </w:p>
          <w:p w14:paraId="698E9AB3" w14:textId="77777777" w:rsidR="00702F21" w:rsidRPr="004F28B2" w:rsidRDefault="00702F21" w:rsidP="008B559D">
            <w:pPr>
              <w:tabs>
                <w:tab w:val="left" w:pos="1152"/>
              </w:tabs>
              <w:spacing w:before="288"/>
              <w:jc w:val="both"/>
              <w:textAlignment w:val="baseline"/>
              <w:rPr>
                <w:rFonts w:eastAsia="Times New Roman"/>
                <w:lang w:val="it-IT"/>
              </w:rPr>
            </w:pPr>
            <w:r w:rsidRPr="004F28B2">
              <w:rPr>
                <w:rFonts w:eastAsia="Times New Roman"/>
                <w:lang w:val="it-IT"/>
              </w:rPr>
              <w:t xml:space="preserve">      ii) vanificano l’oggetto o la finalità delle norme previste negli atti dell’Unione e nei settori che rientrano nell’ambito di applicazione materiale di cui all’articolo 2;</w:t>
            </w:r>
          </w:p>
          <w:p w14:paraId="1ED1AC0E" w14:textId="77777777" w:rsidR="00702F21" w:rsidRPr="004F28B2" w:rsidRDefault="00702F21" w:rsidP="008B559D">
            <w:pPr>
              <w:spacing w:before="294"/>
              <w:jc w:val="both"/>
              <w:textAlignment w:val="baseline"/>
              <w:rPr>
                <w:rFonts w:eastAsia="Times New Roman"/>
                <w:lang w:val="it-IT"/>
              </w:rPr>
            </w:pPr>
            <w:r w:rsidRPr="004F28B2">
              <w:rPr>
                <w:rFonts w:eastAsia="Times New Roman"/>
                <w:lang w:val="it-IT"/>
              </w:rPr>
              <w:t>2) «informazioni sulle violazioni»: informazioni, compresi fondati sospetti, riguardanti effettive o potenziali violazioni che si sono verificate o che molto verosimilmente potrebbero verificarsi nell’organizzazione presso cui la persona segnalante lavora o ha lavorato, o in altra organizzazione con la quale la persona segnalante è o è stata in contatto nell’ambito della sua attività professionale, nonché tentativi di occultare tali violazioni;</w:t>
            </w:r>
          </w:p>
          <w:p w14:paraId="6CC2658E" w14:textId="77777777" w:rsidR="00702F21" w:rsidRPr="004F28B2" w:rsidRDefault="00702F21" w:rsidP="008B559D">
            <w:pPr>
              <w:spacing w:before="294"/>
              <w:jc w:val="both"/>
              <w:textAlignment w:val="baseline"/>
              <w:rPr>
                <w:rFonts w:eastAsia="Times New Roman"/>
                <w:lang w:val="it-IT"/>
              </w:rPr>
            </w:pPr>
            <w:r w:rsidRPr="004F28B2">
              <w:rPr>
                <w:rFonts w:eastAsia="Times New Roman"/>
                <w:lang w:val="it-IT"/>
              </w:rPr>
              <w:t>3) «segnalazione» o «segnalare»: a eccezione dei fini di cui all’articolo 27, la comunicazione scritta od orale di informazioni sulle violazioni;</w:t>
            </w:r>
          </w:p>
          <w:p w14:paraId="78BEFBEF" w14:textId="77777777" w:rsidR="00702F21" w:rsidRPr="004F28B2" w:rsidRDefault="00702F21" w:rsidP="008B559D">
            <w:pPr>
              <w:spacing w:before="298"/>
              <w:jc w:val="both"/>
              <w:textAlignment w:val="baseline"/>
              <w:rPr>
                <w:rFonts w:eastAsia="Times New Roman"/>
                <w:lang w:val="it-IT"/>
              </w:rPr>
            </w:pPr>
            <w:r w:rsidRPr="004F28B2">
              <w:rPr>
                <w:rFonts w:eastAsia="Times New Roman"/>
                <w:lang w:val="it-IT"/>
              </w:rPr>
              <w:t>4) «segnalazione interna»: la comunicazione scritta od orale di informazioni sulle violazioni all’interno di un soggetto giuridico del settore pubblico o del settore privato;</w:t>
            </w:r>
          </w:p>
          <w:p w14:paraId="51D3E9B2" w14:textId="77777777" w:rsidR="00702F21" w:rsidRPr="004F28B2" w:rsidRDefault="00702F21" w:rsidP="008B559D">
            <w:pPr>
              <w:spacing w:before="254"/>
              <w:jc w:val="both"/>
              <w:textAlignment w:val="baseline"/>
              <w:rPr>
                <w:rFonts w:eastAsia="Times New Roman"/>
                <w:lang w:val="it-IT"/>
              </w:rPr>
            </w:pPr>
            <w:r w:rsidRPr="004F28B2">
              <w:rPr>
                <w:rFonts w:eastAsia="Times New Roman"/>
                <w:lang w:val="it-IT"/>
              </w:rPr>
              <w:t>5) «segnalazione esterna»: la comunicazione scritta od orale di informazioni sulle violazioni alle autorità competenti;</w:t>
            </w:r>
          </w:p>
          <w:p w14:paraId="49B944D4" w14:textId="77777777" w:rsidR="00702F21" w:rsidRPr="004F28B2" w:rsidRDefault="00702F21" w:rsidP="008B559D">
            <w:pPr>
              <w:spacing w:before="298"/>
              <w:ind w:right="41"/>
              <w:jc w:val="both"/>
              <w:textAlignment w:val="baseline"/>
              <w:rPr>
                <w:rFonts w:eastAsia="Times New Roman"/>
                <w:lang w:val="it-IT"/>
              </w:rPr>
            </w:pPr>
            <w:r w:rsidRPr="004F28B2">
              <w:rPr>
                <w:rFonts w:eastAsia="Times New Roman"/>
                <w:lang w:val="it-IT"/>
              </w:rPr>
              <w:t>6) «divulgazione pubblica» o «divulgare pubblicamente»: il fatto di rendere di pubblico dominio informazioni sulle violazioni;</w:t>
            </w:r>
          </w:p>
          <w:p w14:paraId="639259D2" w14:textId="77777777" w:rsidR="00702F21" w:rsidRPr="004F28B2" w:rsidRDefault="00702F21" w:rsidP="008B559D">
            <w:pPr>
              <w:spacing w:before="298"/>
              <w:jc w:val="both"/>
              <w:textAlignment w:val="baseline"/>
              <w:rPr>
                <w:rFonts w:eastAsia="Times New Roman"/>
                <w:lang w:val="it-IT"/>
              </w:rPr>
            </w:pPr>
            <w:r w:rsidRPr="004F28B2">
              <w:rPr>
                <w:rFonts w:eastAsia="Times New Roman"/>
                <w:lang w:val="it-IT"/>
              </w:rPr>
              <w:t>7) «persona segnalante»: la persona fisica che segnala o divulga informazioni sulle violazioni acquisite nell’ambito delle sue attività professionali;</w:t>
            </w:r>
          </w:p>
          <w:p w14:paraId="008CC135" w14:textId="77777777" w:rsidR="00702F21" w:rsidRPr="004F28B2" w:rsidRDefault="00702F21" w:rsidP="008B559D">
            <w:pPr>
              <w:spacing w:before="298"/>
              <w:jc w:val="both"/>
              <w:textAlignment w:val="baseline"/>
              <w:rPr>
                <w:rFonts w:eastAsia="Times New Roman"/>
                <w:lang w:val="it-IT"/>
              </w:rPr>
            </w:pPr>
            <w:r w:rsidRPr="004F28B2">
              <w:rPr>
                <w:rFonts w:eastAsia="Times New Roman"/>
                <w:lang w:val="it-IT"/>
              </w:rPr>
              <w:t>8) «facilitatore»: una persona fisica che assiste una persona segnalante nel processo di segnalazione in un contesto lavorativo e la cui assistenza deve essere riservata;</w:t>
            </w:r>
          </w:p>
          <w:p w14:paraId="32DCC1A8" w14:textId="77777777" w:rsidR="00702F21" w:rsidRPr="004F28B2" w:rsidRDefault="00702F21" w:rsidP="008B559D">
            <w:pPr>
              <w:spacing w:before="298"/>
              <w:jc w:val="both"/>
              <w:textAlignment w:val="baseline"/>
              <w:rPr>
                <w:rFonts w:eastAsia="Times New Roman"/>
                <w:lang w:val="it-IT"/>
              </w:rPr>
            </w:pPr>
            <w:r w:rsidRPr="004F28B2">
              <w:rPr>
                <w:rFonts w:eastAsia="Times New Roman"/>
                <w:lang w:val="it-IT"/>
              </w:rPr>
              <w:t>9) «contesto lavorativo»: le attività lavorative presenti o passate svolte nel settore pubblico o privato attraverso le quali, indipendentemente dalla natura di tali attività, una persona acquisisce informazioni sulle violazioni e nel cui ambito potrebbe rischiare di subire ritorsioni in caso di segnalazione;</w:t>
            </w:r>
          </w:p>
          <w:p w14:paraId="59FE14BC" w14:textId="77777777" w:rsidR="00702F21" w:rsidRPr="004F28B2" w:rsidRDefault="00702F21" w:rsidP="008B559D">
            <w:pPr>
              <w:spacing w:before="288"/>
              <w:jc w:val="both"/>
              <w:textAlignment w:val="baseline"/>
              <w:rPr>
                <w:rFonts w:eastAsia="Times New Roman"/>
                <w:lang w:val="it-IT"/>
              </w:rPr>
            </w:pPr>
            <w:r w:rsidRPr="004F28B2">
              <w:rPr>
                <w:rFonts w:eastAsia="Times New Roman"/>
                <w:lang w:val="it-IT"/>
              </w:rPr>
              <w:t>10) «persona coinvolta»: la persona fisica o giuridica menzionata nella segnalazione o divulgazione come persona alla quale la violazione è attribuita o con la quale tale persona è associata;</w:t>
            </w:r>
          </w:p>
          <w:p w14:paraId="036E5950" w14:textId="77777777" w:rsidR="00702F21" w:rsidRPr="004F28B2" w:rsidRDefault="00702F21" w:rsidP="008B559D">
            <w:pPr>
              <w:tabs>
                <w:tab w:val="left" w:pos="864"/>
              </w:tabs>
              <w:jc w:val="both"/>
              <w:textAlignment w:val="baseline"/>
              <w:rPr>
                <w:rFonts w:eastAsia="Times New Roman"/>
                <w:lang w:val="it-IT"/>
              </w:rPr>
            </w:pPr>
          </w:p>
          <w:p w14:paraId="3B650829" w14:textId="77777777" w:rsidR="00702F21" w:rsidRPr="004F28B2" w:rsidRDefault="00702F21" w:rsidP="008B559D">
            <w:pPr>
              <w:tabs>
                <w:tab w:val="left" w:pos="864"/>
              </w:tabs>
              <w:jc w:val="both"/>
              <w:textAlignment w:val="baseline"/>
              <w:rPr>
                <w:rFonts w:eastAsia="Times New Roman"/>
                <w:spacing w:val="-1"/>
                <w:lang w:val="it-IT"/>
              </w:rPr>
            </w:pPr>
            <w:r w:rsidRPr="004F28B2">
              <w:rPr>
                <w:rFonts w:eastAsia="Times New Roman"/>
                <w:lang w:val="it-IT"/>
              </w:rPr>
              <w:t>11) «ritorsione»: qualsiasi omissione o atto, diretto o indiretto, che si verifica in un contesto lavorativo in conseguenza della segnalazione interna o esterna o della divulgazione pubblica e che provoca o può provocare danni ingiustificati alla persona segnalante</w:t>
            </w:r>
          </w:p>
          <w:p w14:paraId="2DF6EC48" w14:textId="77777777" w:rsidR="00702F21" w:rsidRPr="004F28B2" w:rsidRDefault="00702F21" w:rsidP="008B559D">
            <w:pPr>
              <w:tabs>
                <w:tab w:val="left" w:pos="864"/>
              </w:tabs>
              <w:ind w:right="41"/>
              <w:jc w:val="both"/>
              <w:textAlignment w:val="baseline"/>
              <w:rPr>
                <w:rFonts w:eastAsia="Times New Roman"/>
                <w:spacing w:val="-1"/>
                <w:lang w:val="it-IT"/>
              </w:rPr>
            </w:pPr>
          </w:p>
          <w:p w14:paraId="74D34265" w14:textId="77777777" w:rsidR="00702F21" w:rsidRPr="004F28B2" w:rsidRDefault="00702F21" w:rsidP="008B559D">
            <w:pPr>
              <w:tabs>
                <w:tab w:val="left" w:pos="864"/>
              </w:tabs>
              <w:ind w:right="41"/>
              <w:jc w:val="both"/>
              <w:textAlignment w:val="baseline"/>
              <w:rPr>
                <w:rFonts w:eastAsia="Times New Roman"/>
                <w:spacing w:val="-1"/>
                <w:lang w:val="it-IT"/>
              </w:rPr>
            </w:pPr>
            <w:r w:rsidRPr="004F28B2">
              <w:rPr>
                <w:rFonts w:eastAsia="Times New Roman"/>
                <w:spacing w:val="-1"/>
                <w:lang w:val="it-IT"/>
              </w:rPr>
              <w:t>12) seguito»: l’azione intrapresa dal destinatario di una segnalazione o da un’autorità competente, allo scopo di valutare la sussistenza dei fatti segnalati e, se del caso, porre rimedio alla violazione segnalata, anche attraverso azioni come un’inchiesta interna, indagini, l’azione penale, un’azione per il recupero dei fondi o l’archiviazione della procedura;</w:t>
            </w:r>
          </w:p>
          <w:p w14:paraId="67A71E64" w14:textId="77777777" w:rsidR="00702F21" w:rsidRPr="004F28B2" w:rsidRDefault="00702F21" w:rsidP="008B559D">
            <w:pPr>
              <w:tabs>
                <w:tab w:val="left" w:pos="864"/>
              </w:tabs>
              <w:spacing w:before="316"/>
              <w:ind w:right="41"/>
              <w:jc w:val="both"/>
              <w:textAlignment w:val="baseline"/>
              <w:rPr>
                <w:rFonts w:eastAsia="Times New Roman"/>
                <w:lang w:val="it-IT"/>
              </w:rPr>
            </w:pPr>
            <w:r w:rsidRPr="004F28B2">
              <w:rPr>
                <w:rFonts w:eastAsia="Times New Roman"/>
                <w:lang w:val="it-IT"/>
              </w:rPr>
              <w:t>13) «riscontro»: una comunicazione alla persona segnalante di informazioni sull’azione prevista o adottata per dar seguito alla loro segnalazione e sui motivi del seguito dato;</w:t>
            </w:r>
          </w:p>
          <w:p w14:paraId="1145CC5B" w14:textId="77777777" w:rsidR="00702F21" w:rsidRPr="004F28B2" w:rsidRDefault="00702F21" w:rsidP="008B559D">
            <w:pPr>
              <w:tabs>
                <w:tab w:val="left" w:pos="864"/>
              </w:tabs>
              <w:spacing w:before="316"/>
              <w:ind w:right="41"/>
              <w:jc w:val="both"/>
              <w:textAlignment w:val="baseline"/>
              <w:rPr>
                <w:rFonts w:eastAsia="Times New Roman"/>
                <w:lang w:val="it-IT"/>
              </w:rPr>
            </w:pPr>
            <w:r w:rsidRPr="004F28B2">
              <w:rPr>
                <w:rFonts w:eastAsia="Times New Roman"/>
                <w:lang w:val="it-IT"/>
              </w:rPr>
              <w:t>14) «autorità competente»: l’autorità nazionale designata a ricevere le segnalazioni conformemente al capo III e a dare un riscontro alla persona segnalante e/o designata per svolgere le funzioni previste dalla presente direttiva, in particolare per quanto riguarda il seguito dato alle segnalazioni.</w:t>
            </w:r>
          </w:p>
          <w:p w14:paraId="3DBD735C" w14:textId="77777777" w:rsidR="00702F21" w:rsidRDefault="00702F21" w:rsidP="008B559D">
            <w:pPr>
              <w:rPr>
                <w:lang w:val="it-IT"/>
              </w:rPr>
            </w:pPr>
          </w:p>
        </w:tc>
        <w:tc>
          <w:tcPr>
            <w:tcW w:w="4814" w:type="dxa"/>
          </w:tcPr>
          <w:p w14:paraId="27FF6205" w14:textId="77777777" w:rsidR="00702F21" w:rsidRPr="005D12A3" w:rsidRDefault="00702F21" w:rsidP="008B559D">
            <w:pPr>
              <w:rPr>
                <w:lang w:val="it-IT"/>
              </w:rPr>
            </w:pPr>
          </w:p>
          <w:p w14:paraId="0B602C3E" w14:textId="77777777" w:rsidR="00702F21" w:rsidRPr="005D12A3" w:rsidRDefault="00702F21" w:rsidP="008B559D">
            <w:pPr>
              <w:jc w:val="both"/>
              <w:rPr>
                <w:lang w:val="it-IT"/>
              </w:rPr>
            </w:pPr>
            <w:r>
              <w:rPr>
                <w:rFonts w:eastAsia="Times New Roman"/>
                <w:color w:val="000000" w:themeColor="text1"/>
                <w:lang w:val="it-IT"/>
              </w:rPr>
              <w:t>Art. 2</w:t>
            </w:r>
          </w:p>
        </w:tc>
      </w:tr>
      <w:tr w:rsidR="00702F21" w:rsidRPr="00BE38E8" w14:paraId="293CFA9E" w14:textId="77777777" w:rsidTr="008B559D">
        <w:tc>
          <w:tcPr>
            <w:tcW w:w="4814" w:type="dxa"/>
          </w:tcPr>
          <w:p w14:paraId="779D309A" w14:textId="77777777" w:rsidR="00702F21" w:rsidRPr="004F28B2" w:rsidRDefault="00702F21" w:rsidP="008B559D">
            <w:pPr>
              <w:jc w:val="center"/>
              <w:textAlignment w:val="baseline"/>
              <w:rPr>
                <w:rFonts w:eastAsia="Times New Roman"/>
                <w:i/>
                <w:spacing w:val="-4"/>
                <w:lang w:val="it-IT"/>
              </w:rPr>
            </w:pPr>
            <w:r w:rsidRPr="004F28B2">
              <w:rPr>
                <w:rFonts w:eastAsia="Times New Roman"/>
                <w:i/>
                <w:spacing w:val="-4"/>
                <w:lang w:val="it-IT"/>
              </w:rPr>
              <w:t>Articolo 6</w:t>
            </w:r>
          </w:p>
          <w:p w14:paraId="645E79CE" w14:textId="77777777" w:rsidR="00702F21" w:rsidRPr="004F28B2" w:rsidRDefault="00702F21" w:rsidP="008B559D">
            <w:pPr>
              <w:jc w:val="center"/>
              <w:textAlignment w:val="baseline"/>
              <w:rPr>
                <w:rFonts w:eastAsia="Times New Roman"/>
                <w:b/>
                <w:spacing w:val="2"/>
                <w:lang w:val="it-IT"/>
              </w:rPr>
            </w:pPr>
            <w:r w:rsidRPr="004F28B2">
              <w:rPr>
                <w:rFonts w:eastAsia="Times New Roman"/>
                <w:b/>
                <w:spacing w:val="2"/>
                <w:lang w:val="it-IT"/>
              </w:rPr>
              <w:t>Condizioni per la protezione delle persone segnalanti</w:t>
            </w:r>
          </w:p>
          <w:p w14:paraId="1773C967" w14:textId="77777777" w:rsidR="00702F21" w:rsidRDefault="00702F21" w:rsidP="008B559D">
            <w:pPr>
              <w:rPr>
                <w:lang w:val="it-IT"/>
              </w:rPr>
            </w:pPr>
          </w:p>
        </w:tc>
        <w:tc>
          <w:tcPr>
            <w:tcW w:w="4814" w:type="dxa"/>
          </w:tcPr>
          <w:p w14:paraId="500227AB" w14:textId="77777777" w:rsidR="00702F21" w:rsidRPr="00E92B0C" w:rsidRDefault="00702F21" w:rsidP="008B559D">
            <w:pPr>
              <w:spacing w:before="120"/>
              <w:jc w:val="center"/>
              <w:rPr>
                <w:rFonts w:eastAsia="Times New Roman"/>
                <w:b/>
                <w:bCs/>
                <w:color w:val="000000" w:themeColor="text1"/>
                <w:lang w:val="it-IT"/>
              </w:rPr>
            </w:pPr>
            <w:r w:rsidRPr="00E92B0C">
              <w:rPr>
                <w:rFonts w:eastAsia="Times New Roman"/>
                <w:b/>
                <w:bCs/>
                <w:color w:val="000000" w:themeColor="text1"/>
                <w:lang w:val="it-IT"/>
              </w:rPr>
              <w:t>Art. 16</w:t>
            </w:r>
          </w:p>
          <w:p w14:paraId="7DB8AE3F" w14:textId="77777777" w:rsidR="00702F21" w:rsidRPr="00E92B0C" w:rsidRDefault="00702F21" w:rsidP="008B559D">
            <w:pPr>
              <w:spacing w:before="120"/>
              <w:jc w:val="center"/>
              <w:rPr>
                <w:rFonts w:eastAsia="Times New Roman"/>
                <w:i/>
                <w:iCs/>
                <w:color w:val="000000" w:themeColor="text1"/>
                <w:lang w:val="it-IT"/>
              </w:rPr>
            </w:pPr>
            <w:r w:rsidRPr="00E92B0C">
              <w:rPr>
                <w:rFonts w:eastAsia="Times New Roman"/>
                <w:i/>
                <w:iCs/>
                <w:color w:val="000000" w:themeColor="text1"/>
                <w:lang w:val="it-IT"/>
              </w:rPr>
              <w:t>(Condizioni per la protezione del segnalante)</w:t>
            </w:r>
          </w:p>
          <w:p w14:paraId="3101B301" w14:textId="77777777" w:rsidR="00702F21" w:rsidRPr="00E92B0C" w:rsidRDefault="00702F21" w:rsidP="008B559D">
            <w:pPr>
              <w:rPr>
                <w:lang w:val="it-IT"/>
              </w:rPr>
            </w:pPr>
          </w:p>
        </w:tc>
      </w:tr>
      <w:tr w:rsidR="00702F21" w:rsidRPr="00593199" w14:paraId="3CE155AA" w14:textId="77777777" w:rsidTr="008B559D">
        <w:tc>
          <w:tcPr>
            <w:tcW w:w="4814" w:type="dxa"/>
          </w:tcPr>
          <w:p w14:paraId="23673D4B" w14:textId="77777777" w:rsidR="00702F21" w:rsidRPr="004F28B2" w:rsidRDefault="00702F21" w:rsidP="008B559D">
            <w:pPr>
              <w:tabs>
                <w:tab w:val="decimal" w:pos="648"/>
                <w:tab w:val="left" w:pos="936"/>
              </w:tabs>
              <w:spacing w:before="100"/>
              <w:textAlignment w:val="baseline"/>
              <w:rPr>
                <w:rFonts w:eastAsia="Times New Roman"/>
                <w:lang w:val="it-IT"/>
              </w:rPr>
            </w:pPr>
            <w:r w:rsidRPr="004F28B2">
              <w:rPr>
                <w:rFonts w:eastAsia="Times New Roman"/>
                <w:lang w:val="it-IT"/>
              </w:rPr>
              <w:t>1. Le persone segnalanti beneficiano di protezione a norma della presente direttiva, a condizione che:</w:t>
            </w:r>
          </w:p>
          <w:p w14:paraId="4AA71B12" w14:textId="77777777" w:rsidR="00702F21" w:rsidRPr="004F28B2" w:rsidRDefault="00702F21" w:rsidP="008B559D">
            <w:pPr>
              <w:tabs>
                <w:tab w:val="left" w:pos="864"/>
              </w:tabs>
              <w:spacing w:before="316"/>
              <w:ind w:right="41"/>
              <w:jc w:val="both"/>
              <w:textAlignment w:val="baseline"/>
              <w:rPr>
                <w:rFonts w:eastAsia="Times New Roman"/>
                <w:lang w:val="it-IT"/>
              </w:rPr>
            </w:pPr>
            <w:r w:rsidRPr="004F28B2">
              <w:rPr>
                <w:rFonts w:eastAsia="Times New Roman"/>
                <w:lang w:val="it-IT"/>
              </w:rPr>
              <w:t xml:space="preserve">a) abbiano </w:t>
            </w:r>
            <w:r w:rsidRPr="00DC6101">
              <w:rPr>
                <w:rFonts w:eastAsia="Times New Roman"/>
                <w:lang w:val="it-IT"/>
              </w:rPr>
              <w:t>avuto fondati motivi di ritenere che le informazioni segnalate fossero vere al momento della segnalazione</w:t>
            </w:r>
            <w:r w:rsidRPr="004F28B2">
              <w:rPr>
                <w:rFonts w:eastAsia="Times New Roman"/>
                <w:lang w:val="it-IT"/>
              </w:rPr>
              <w:t xml:space="preserve"> e che tali informazioni rientrassero nell’ambito di applicazione della presente direttiva; e</w:t>
            </w:r>
          </w:p>
          <w:p w14:paraId="07C65D8E" w14:textId="77777777" w:rsidR="00702F21" w:rsidRPr="004F28B2" w:rsidRDefault="00702F21" w:rsidP="008B559D">
            <w:pPr>
              <w:tabs>
                <w:tab w:val="left" w:pos="864"/>
              </w:tabs>
              <w:spacing w:before="312"/>
              <w:ind w:right="41"/>
              <w:jc w:val="both"/>
              <w:textAlignment w:val="baseline"/>
              <w:rPr>
                <w:rFonts w:eastAsia="Times New Roman"/>
                <w:lang w:val="it-IT"/>
              </w:rPr>
            </w:pPr>
            <w:r w:rsidRPr="004F28B2">
              <w:rPr>
                <w:rFonts w:eastAsia="Times New Roman"/>
                <w:lang w:val="it-IT"/>
              </w:rPr>
              <w:t>b) abbiano effettuato una segnalazione internamente a norma dell’articolo 7 o esternamente a norma dell’articolo 10, ovvero abbiano effettuato una divulgazione pubblica a norma dell’articolo 15.</w:t>
            </w:r>
          </w:p>
          <w:p w14:paraId="5FFFC628" w14:textId="77777777" w:rsidR="00702F21" w:rsidRDefault="00702F21" w:rsidP="008B559D">
            <w:pPr>
              <w:rPr>
                <w:lang w:val="it-IT"/>
              </w:rPr>
            </w:pPr>
          </w:p>
        </w:tc>
        <w:tc>
          <w:tcPr>
            <w:tcW w:w="4814" w:type="dxa"/>
          </w:tcPr>
          <w:p w14:paraId="7261E7DC" w14:textId="77777777" w:rsidR="00702F21" w:rsidRDefault="00702F21" w:rsidP="008B559D">
            <w:pPr>
              <w:spacing w:before="120"/>
              <w:jc w:val="both"/>
              <w:rPr>
                <w:rFonts w:eastAsia="Times New Roman"/>
                <w:color w:val="000000" w:themeColor="text1"/>
                <w:lang w:val="it-IT"/>
              </w:rPr>
            </w:pPr>
            <w:r>
              <w:rPr>
                <w:rFonts w:eastAsia="Times New Roman"/>
                <w:color w:val="000000" w:themeColor="text1"/>
                <w:lang w:val="it-IT"/>
              </w:rPr>
              <w:t xml:space="preserve">Art. 16 commi </w:t>
            </w:r>
            <w:r w:rsidRPr="00E92B0C">
              <w:rPr>
                <w:rFonts w:eastAsia="Times New Roman"/>
                <w:color w:val="000000" w:themeColor="text1"/>
                <w:lang w:val="it-IT"/>
              </w:rPr>
              <w:t>1</w:t>
            </w:r>
            <w:r>
              <w:rPr>
                <w:rFonts w:eastAsia="Times New Roman"/>
                <w:color w:val="000000" w:themeColor="text1"/>
                <w:lang w:val="it-IT"/>
              </w:rPr>
              <w:t>, 2, 3</w:t>
            </w:r>
          </w:p>
          <w:p w14:paraId="3108E260" w14:textId="77777777" w:rsidR="00702F21" w:rsidRPr="00E92B0C" w:rsidRDefault="00702F21" w:rsidP="008B559D">
            <w:pPr>
              <w:jc w:val="both"/>
              <w:rPr>
                <w:lang w:val="it-IT"/>
              </w:rPr>
            </w:pPr>
          </w:p>
        </w:tc>
      </w:tr>
      <w:tr w:rsidR="00702F21" w:rsidRPr="00BD3117" w14:paraId="5A3C8DE6" w14:textId="77777777" w:rsidTr="008B559D">
        <w:tc>
          <w:tcPr>
            <w:tcW w:w="4814" w:type="dxa"/>
          </w:tcPr>
          <w:p w14:paraId="2BA03DF7" w14:textId="77777777" w:rsidR="00702F21" w:rsidRDefault="00702F21" w:rsidP="008B559D">
            <w:pPr>
              <w:jc w:val="both"/>
              <w:rPr>
                <w:rFonts w:eastAsia="Times New Roman"/>
                <w:lang w:val="it-IT"/>
              </w:rPr>
            </w:pPr>
          </w:p>
          <w:p w14:paraId="3D75F317" w14:textId="77777777" w:rsidR="00702F21" w:rsidRDefault="00702F21" w:rsidP="008B559D">
            <w:pPr>
              <w:jc w:val="both"/>
              <w:rPr>
                <w:rFonts w:eastAsia="Times New Roman"/>
                <w:lang w:val="it-IT"/>
              </w:rPr>
            </w:pPr>
            <w:r w:rsidRPr="004F28B2">
              <w:rPr>
                <w:rFonts w:eastAsia="Times New Roman"/>
                <w:lang w:val="it-IT"/>
              </w:rPr>
              <w:t>2. Fatti salvi gli obblighi vigenti di prevedere la segnalazione anonima in forza del diritto dell’Unione, la presente direttiva non pregiudica la facoltà degli Stati membri di decidere se i soggetti giuridici del settore pubblico o del settore privato e le autorità competenti debbano accettare le segnalazioni anonime di violazioni</w:t>
            </w:r>
            <w:r>
              <w:rPr>
                <w:rFonts w:eastAsia="Times New Roman"/>
                <w:lang w:val="it-IT"/>
              </w:rPr>
              <w:t>.</w:t>
            </w:r>
          </w:p>
          <w:p w14:paraId="70FB8255" w14:textId="77777777" w:rsidR="00702F21" w:rsidRDefault="00702F21" w:rsidP="008B559D">
            <w:pPr>
              <w:jc w:val="both"/>
              <w:rPr>
                <w:lang w:val="it-IT"/>
              </w:rPr>
            </w:pPr>
          </w:p>
        </w:tc>
        <w:tc>
          <w:tcPr>
            <w:tcW w:w="4814" w:type="dxa"/>
          </w:tcPr>
          <w:p w14:paraId="7BC3F3EE" w14:textId="77777777" w:rsidR="00702F21" w:rsidRPr="00127CC2" w:rsidRDefault="00702F21" w:rsidP="008B559D">
            <w:pPr>
              <w:spacing w:before="120"/>
              <w:ind w:right="36"/>
              <w:jc w:val="both"/>
              <w:rPr>
                <w:b/>
                <w:bCs/>
                <w:lang w:val="it-IT"/>
              </w:rPr>
            </w:pPr>
            <w:r w:rsidRPr="00127CC2">
              <w:rPr>
                <w:b/>
                <w:bCs/>
                <w:lang w:val="it-IT"/>
              </w:rPr>
              <w:t>Opzione non esercitata</w:t>
            </w:r>
          </w:p>
          <w:p w14:paraId="2771F7CF" w14:textId="77777777" w:rsidR="00702F21" w:rsidRPr="00BD3117" w:rsidRDefault="00702F21" w:rsidP="008B559D">
            <w:pPr>
              <w:spacing w:before="120"/>
              <w:ind w:right="36"/>
              <w:jc w:val="both"/>
              <w:rPr>
                <w:lang w:val="it-IT"/>
              </w:rPr>
            </w:pPr>
          </w:p>
        </w:tc>
      </w:tr>
      <w:tr w:rsidR="00702F21" w:rsidRPr="00593199" w14:paraId="54AB916B" w14:textId="77777777" w:rsidTr="008B559D">
        <w:tc>
          <w:tcPr>
            <w:tcW w:w="4814" w:type="dxa"/>
          </w:tcPr>
          <w:p w14:paraId="601C9841" w14:textId="77777777" w:rsidR="00702F21" w:rsidRPr="004F28B2" w:rsidRDefault="00702F21" w:rsidP="008B559D">
            <w:pPr>
              <w:tabs>
                <w:tab w:val="decimal" w:pos="648"/>
                <w:tab w:val="left" w:pos="936"/>
              </w:tabs>
              <w:spacing w:before="283"/>
              <w:jc w:val="both"/>
              <w:textAlignment w:val="baseline"/>
              <w:rPr>
                <w:rFonts w:eastAsia="Times New Roman"/>
                <w:lang w:val="it-IT"/>
              </w:rPr>
            </w:pPr>
            <w:r w:rsidRPr="004F28B2">
              <w:rPr>
                <w:rFonts w:eastAsia="Times New Roman"/>
                <w:lang w:val="it-IT"/>
              </w:rPr>
              <w:t>3. Le persone che hanno segnalato o divulgato pubblicamente informazioni su violazioni in forma anonima, ma che successivamente sono state identificate e hanno subito ritorsioni, possono nondimeno beneficiare della protezione prevista ai sensi del capo VI, a condizione che soddisfino le condizioni di cui al paragrafo 1.</w:t>
            </w:r>
          </w:p>
          <w:p w14:paraId="4409DE70" w14:textId="77777777" w:rsidR="00702F21" w:rsidRDefault="00702F21" w:rsidP="008B559D">
            <w:pPr>
              <w:rPr>
                <w:lang w:val="it-IT"/>
              </w:rPr>
            </w:pPr>
          </w:p>
        </w:tc>
        <w:tc>
          <w:tcPr>
            <w:tcW w:w="4814" w:type="dxa"/>
          </w:tcPr>
          <w:p w14:paraId="49A74CF2" w14:textId="77777777" w:rsidR="00702F21" w:rsidRPr="00E92B0C" w:rsidRDefault="00702F21" w:rsidP="008B559D">
            <w:pPr>
              <w:spacing w:before="120"/>
              <w:ind w:right="36"/>
              <w:jc w:val="both"/>
              <w:rPr>
                <w:rFonts w:eastAsia="Times New Roman"/>
                <w:color w:val="000000" w:themeColor="text1"/>
                <w:lang w:val="it-IT"/>
              </w:rPr>
            </w:pPr>
            <w:r>
              <w:rPr>
                <w:rFonts w:eastAsia="Times New Roman"/>
                <w:color w:val="000000" w:themeColor="text1"/>
                <w:lang w:val="it-IT"/>
              </w:rPr>
              <w:t xml:space="preserve">Art. 16 comma </w:t>
            </w:r>
            <w:r w:rsidRPr="00E92B0C">
              <w:rPr>
                <w:rFonts w:eastAsia="Times New Roman"/>
                <w:color w:val="000000" w:themeColor="text1"/>
                <w:lang w:val="it-IT"/>
              </w:rPr>
              <w:t>4</w:t>
            </w:r>
          </w:p>
          <w:p w14:paraId="323FCD16" w14:textId="77777777" w:rsidR="00702F21" w:rsidRPr="00E92B0C" w:rsidRDefault="00702F21" w:rsidP="008B559D">
            <w:pPr>
              <w:rPr>
                <w:lang w:val="it-IT"/>
              </w:rPr>
            </w:pPr>
          </w:p>
        </w:tc>
      </w:tr>
      <w:tr w:rsidR="00702F21" w:rsidRPr="007D4BF3" w14:paraId="6802168A" w14:textId="77777777" w:rsidTr="008B559D">
        <w:tc>
          <w:tcPr>
            <w:tcW w:w="4814" w:type="dxa"/>
          </w:tcPr>
          <w:p w14:paraId="54F69A33" w14:textId="77777777" w:rsidR="00702F21" w:rsidRDefault="00702F21" w:rsidP="008B559D">
            <w:pPr>
              <w:jc w:val="both"/>
              <w:rPr>
                <w:lang w:val="it-IT"/>
              </w:rPr>
            </w:pPr>
            <w:r w:rsidRPr="004F28B2">
              <w:rPr>
                <w:rFonts w:eastAsia="Times New Roman"/>
                <w:lang w:val="it-IT"/>
              </w:rPr>
              <w:t>4. Le persone che hanno segnalato alle istituzioni, agli organi o agli organismi competenti dell’Unione violazioni che rientrano nell’ambito di applicazione della presente direttiva possono beneficiare della protezione da questa prevista alle stesse condizioni di persone che hanno effettuato una segnalazione esterna</w:t>
            </w:r>
          </w:p>
        </w:tc>
        <w:tc>
          <w:tcPr>
            <w:tcW w:w="4814" w:type="dxa"/>
          </w:tcPr>
          <w:p w14:paraId="138678B0" w14:textId="77777777" w:rsidR="00702F21" w:rsidRDefault="00702F21" w:rsidP="008B559D">
            <w:pPr>
              <w:rPr>
                <w:lang w:val="it-IT"/>
              </w:rPr>
            </w:pPr>
          </w:p>
          <w:p w14:paraId="28D0A978" w14:textId="77777777" w:rsidR="00702F21" w:rsidRDefault="00702F21" w:rsidP="008B559D">
            <w:pPr>
              <w:rPr>
                <w:lang w:val="it-IT"/>
              </w:rPr>
            </w:pPr>
            <w:r>
              <w:rPr>
                <w:lang w:val="it-IT"/>
              </w:rPr>
              <w:t>Art. 16 comma 1</w:t>
            </w:r>
          </w:p>
        </w:tc>
      </w:tr>
      <w:tr w:rsidR="00702F21" w:rsidRPr="00BE38E8" w14:paraId="52CA9CF6" w14:textId="77777777" w:rsidTr="008B559D">
        <w:tc>
          <w:tcPr>
            <w:tcW w:w="4814" w:type="dxa"/>
          </w:tcPr>
          <w:p w14:paraId="3327A3F2" w14:textId="77777777" w:rsidR="00702F21" w:rsidRPr="00E92B0C" w:rsidRDefault="00702F21" w:rsidP="008B559D">
            <w:pPr>
              <w:jc w:val="center"/>
              <w:textAlignment w:val="baseline"/>
              <w:rPr>
                <w:rFonts w:eastAsia="Times New Roman"/>
                <w:lang w:val="it-IT"/>
              </w:rPr>
            </w:pPr>
            <w:r w:rsidRPr="00E92B0C">
              <w:rPr>
                <w:rFonts w:eastAsia="Times New Roman"/>
                <w:lang w:val="it-IT"/>
              </w:rPr>
              <w:t>CAPO II</w:t>
            </w:r>
          </w:p>
          <w:p w14:paraId="12C93F67" w14:textId="77777777" w:rsidR="00702F21" w:rsidRPr="00E92B0C" w:rsidRDefault="00702F21" w:rsidP="008B559D">
            <w:pPr>
              <w:jc w:val="center"/>
              <w:textAlignment w:val="baseline"/>
              <w:rPr>
                <w:rFonts w:eastAsia="Times New Roman"/>
                <w:lang w:val="it-IT"/>
              </w:rPr>
            </w:pPr>
            <w:r w:rsidRPr="00E92B0C">
              <w:rPr>
                <w:rFonts w:eastAsia="Times New Roman"/>
                <w:lang w:val="it-IT"/>
              </w:rPr>
              <w:t xml:space="preserve"> </w:t>
            </w:r>
          </w:p>
          <w:p w14:paraId="4D9206A4" w14:textId="77777777" w:rsidR="00702F21" w:rsidRPr="00E92B0C" w:rsidRDefault="00702F21" w:rsidP="008B559D">
            <w:pPr>
              <w:jc w:val="center"/>
              <w:textAlignment w:val="baseline"/>
              <w:rPr>
                <w:rFonts w:eastAsia="Times New Roman"/>
                <w:b/>
                <w:lang w:val="it-IT"/>
              </w:rPr>
            </w:pPr>
            <w:r w:rsidRPr="00E92B0C">
              <w:rPr>
                <w:rFonts w:eastAsia="Times New Roman"/>
                <w:b/>
                <w:lang w:val="it-IT"/>
              </w:rPr>
              <w:t>SEGNALAZIONE INTERNA E SEGUITO</w:t>
            </w:r>
          </w:p>
          <w:p w14:paraId="7615B291" w14:textId="77777777" w:rsidR="00702F21" w:rsidRPr="00E92B0C" w:rsidRDefault="00702F21" w:rsidP="008B559D">
            <w:pPr>
              <w:rPr>
                <w:lang w:val="it-IT"/>
              </w:rPr>
            </w:pPr>
          </w:p>
        </w:tc>
        <w:tc>
          <w:tcPr>
            <w:tcW w:w="4814" w:type="dxa"/>
          </w:tcPr>
          <w:p w14:paraId="39706195" w14:textId="77777777" w:rsidR="00702F21" w:rsidRPr="00E92B0C" w:rsidRDefault="00702F21" w:rsidP="008B559D">
            <w:pPr>
              <w:spacing w:line="360" w:lineRule="auto"/>
              <w:jc w:val="center"/>
              <w:rPr>
                <w:rFonts w:eastAsia="Times New Roman"/>
                <w:b/>
                <w:bCs/>
                <w:color w:val="000000" w:themeColor="text1"/>
                <w:lang w:val="it-IT"/>
              </w:rPr>
            </w:pPr>
            <w:r w:rsidRPr="00E92B0C">
              <w:rPr>
                <w:rFonts w:eastAsia="Times New Roman"/>
                <w:b/>
                <w:bCs/>
                <w:color w:val="000000" w:themeColor="text1"/>
                <w:lang w:val="it-IT"/>
              </w:rPr>
              <w:t>Capo II</w:t>
            </w:r>
          </w:p>
          <w:p w14:paraId="275C632D" w14:textId="77777777" w:rsidR="00702F21" w:rsidRPr="00E92B0C" w:rsidRDefault="00702F21" w:rsidP="008B559D">
            <w:pPr>
              <w:spacing w:line="360" w:lineRule="auto"/>
              <w:jc w:val="center"/>
              <w:rPr>
                <w:rFonts w:eastAsia="Times New Roman"/>
                <w:b/>
                <w:bCs/>
                <w:color w:val="000000" w:themeColor="text1"/>
                <w:lang w:val="it-IT"/>
              </w:rPr>
            </w:pPr>
            <w:r w:rsidRPr="00E92B0C">
              <w:rPr>
                <w:rFonts w:eastAsia="Times New Roman"/>
                <w:b/>
                <w:bCs/>
                <w:color w:val="000000" w:themeColor="text1"/>
                <w:lang w:val="it-IT"/>
              </w:rPr>
              <w:t>Segnalazioni interne, segnalazioni esterne, obbligo di riservatezza e divulgazioni pubbliche</w:t>
            </w:r>
          </w:p>
          <w:p w14:paraId="1E558B38" w14:textId="77777777" w:rsidR="00702F21" w:rsidRPr="00E92B0C" w:rsidRDefault="00702F21" w:rsidP="008B559D">
            <w:pPr>
              <w:rPr>
                <w:lang w:val="it-IT"/>
              </w:rPr>
            </w:pPr>
          </w:p>
        </w:tc>
      </w:tr>
      <w:tr w:rsidR="00702F21" w:rsidRPr="00BE38E8" w14:paraId="7BE8CF49" w14:textId="77777777" w:rsidTr="008B559D">
        <w:tc>
          <w:tcPr>
            <w:tcW w:w="4814" w:type="dxa"/>
          </w:tcPr>
          <w:p w14:paraId="41F47D5B" w14:textId="77777777" w:rsidR="00702F21" w:rsidRPr="00E92B0C" w:rsidRDefault="00702F21" w:rsidP="008B559D">
            <w:pPr>
              <w:tabs>
                <w:tab w:val="left" w:pos="2910"/>
              </w:tabs>
              <w:jc w:val="center"/>
              <w:textAlignment w:val="baseline"/>
              <w:rPr>
                <w:rFonts w:eastAsia="Times New Roman"/>
                <w:i/>
                <w:iCs/>
                <w:lang w:val="it-IT"/>
              </w:rPr>
            </w:pPr>
            <w:r w:rsidRPr="00E92B0C">
              <w:rPr>
                <w:rFonts w:eastAsia="Times New Roman"/>
                <w:i/>
                <w:iCs/>
                <w:lang w:val="it-IT"/>
              </w:rPr>
              <w:t>Articolo 7</w:t>
            </w:r>
          </w:p>
          <w:p w14:paraId="5B79ECCA" w14:textId="77777777" w:rsidR="00702F21" w:rsidRPr="00E92B0C" w:rsidRDefault="00702F21" w:rsidP="008B559D">
            <w:pPr>
              <w:tabs>
                <w:tab w:val="left" w:pos="2910"/>
              </w:tabs>
              <w:jc w:val="center"/>
              <w:textAlignment w:val="baseline"/>
              <w:rPr>
                <w:rFonts w:eastAsia="Times New Roman"/>
                <w:b/>
                <w:bCs/>
                <w:lang w:val="it-IT"/>
              </w:rPr>
            </w:pPr>
            <w:r w:rsidRPr="00E92B0C">
              <w:rPr>
                <w:rFonts w:eastAsia="Times New Roman"/>
                <w:b/>
                <w:bCs/>
                <w:lang w:val="it-IT"/>
              </w:rPr>
              <w:t>Segnalazione attraverso canali di segnalazione interni</w:t>
            </w:r>
          </w:p>
        </w:tc>
        <w:tc>
          <w:tcPr>
            <w:tcW w:w="4814" w:type="dxa"/>
          </w:tcPr>
          <w:p w14:paraId="6F7DEE53" w14:textId="77777777" w:rsidR="00702F21" w:rsidRPr="00E92B0C" w:rsidRDefault="00702F21" w:rsidP="008B559D">
            <w:pPr>
              <w:spacing w:line="360" w:lineRule="auto"/>
              <w:jc w:val="center"/>
              <w:rPr>
                <w:rFonts w:eastAsiaTheme="minorHAnsi"/>
                <w:lang w:val="it-IT"/>
              </w:rPr>
            </w:pPr>
            <w:r w:rsidRPr="00E92B0C">
              <w:rPr>
                <w:rFonts w:eastAsia="Times New Roman"/>
                <w:b/>
                <w:bCs/>
                <w:color w:val="000000" w:themeColor="text1"/>
                <w:lang w:val="it-IT"/>
              </w:rPr>
              <w:t>Art. 4</w:t>
            </w:r>
          </w:p>
          <w:p w14:paraId="4D2CEA66" w14:textId="77777777" w:rsidR="00702F21" w:rsidRPr="00E92B0C" w:rsidRDefault="00702F21" w:rsidP="008B559D">
            <w:pPr>
              <w:spacing w:line="360" w:lineRule="auto"/>
              <w:jc w:val="center"/>
              <w:rPr>
                <w:rFonts w:eastAsia="Times New Roman"/>
                <w:color w:val="000000" w:themeColor="text1"/>
                <w:lang w:val="it-IT"/>
              </w:rPr>
            </w:pPr>
            <w:r w:rsidRPr="00E92B0C">
              <w:rPr>
                <w:rFonts w:eastAsia="Times New Roman"/>
                <w:color w:val="000000" w:themeColor="text1"/>
                <w:lang w:val="it-IT"/>
              </w:rPr>
              <w:t>(</w:t>
            </w:r>
            <w:r w:rsidRPr="00E92B0C">
              <w:rPr>
                <w:rFonts w:eastAsia="Times New Roman"/>
                <w:i/>
                <w:iCs/>
                <w:color w:val="000000" w:themeColor="text1"/>
                <w:lang w:val="it-IT"/>
              </w:rPr>
              <w:t>Canali di segnalazione interna</w:t>
            </w:r>
            <w:r w:rsidRPr="00E92B0C">
              <w:rPr>
                <w:rFonts w:eastAsia="Times New Roman"/>
                <w:color w:val="000000" w:themeColor="text1"/>
                <w:lang w:val="it-IT"/>
              </w:rPr>
              <w:t>)</w:t>
            </w:r>
          </w:p>
          <w:p w14:paraId="4F293BD2" w14:textId="77777777" w:rsidR="00702F21" w:rsidRPr="00E92B0C" w:rsidRDefault="00702F21" w:rsidP="008B559D">
            <w:pPr>
              <w:rPr>
                <w:lang w:val="it-IT"/>
              </w:rPr>
            </w:pPr>
          </w:p>
        </w:tc>
      </w:tr>
      <w:tr w:rsidR="00702F21" w:rsidRPr="00593199" w14:paraId="0EB3AC46" w14:textId="77777777" w:rsidTr="008B559D">
        <w:tc>
          <w:tcPr>
            <w:tcW w:w="4814" w:type="dxa"/>
          </w:tcPr>
          <w:p w14:paraId="2D652838" w14:textId="77777777" w:rsidR="00702F21" w:rsidRPr="00E92B0C" w:rsidRDefault="00702F21" w:rsidP="008B559D">
            <w:pPr>
              <w:tabs>
                <w:tab w:val="left" w:pos="1008"/>
              </w:tabs>
              <w:spacing w:before="139"/>
              <w:ind w:right="41"/>
              <w:jc w:val="both"/>
              <w:textAlignment w:val="baseline"/>
              <w:rPr>
                <w:rFonts w:eastAsia="Times New Roman"/>
                <w:lang w:val="it-IT"/>
              </w:rPr>
            </w:pPr>
            <w:r w:rsidRPr="00E92B0C">
              <w:rPr>
                <w:rFonts w:eastAsia="Times New Roman"/>
                <w:lang w:val="it-IT"/>
              </w:rPr>
              <w:t>1. In linea generale e fatti salvi gli articoli 10 e 15, le informazioni sulle violazioni possono essere segnalate attra</w:t>
            </w:r>
            <w:r w:rsidRPr="00E92B0C">
              <w:rPr>
                <w:rFonts w:eastAsia="Times New Roman"/>
                <w:lang w:val="it-IT"/>
              </w:rPr>
              <w:softHyphen/>
              <w:t>verso i canali di segnalazione e le procedure interni di cui al presente capo.</w:t>
            </w:r>
          </w:p>
          <w:p w14:paraId="1CC4BA32" w14:textId="77777777" w:rsidR="00702F21" w:rsidRPr="00E92B0C" w:rsidRDefault="00702F21" w:rsidP="008B559D">
            <w:pPr>
              <w:rPr>
                <w:lang w:val="it-IT"/>
              </w:rPr>
            </w:pPr>
          </w:p>
        </w:tc>
        <w:tc>
          <w:tcPr>
            <w:tcW w:w="4814" w:type="dxa"/>
          </w:tcPr>
          <w:p w14:paraId="4227DF70" w14:textId="77777777" w:rsidR="00702F21" w:rsidRPr="00E92B0C" w:rsidRDefault="00702F21" w:rsidP="008B559D">
            <w:pPr>
              <w:rPr>
                <w:lang w:val="it-IT"/>
              </w:rPr>
            </w:pPr>
            <w:r>
              <w:rPr>
                <w:lang w:val="it-IT"/>
              </w:rPr>
              <w:t>Art. 4</w:t>
            </w:r>
          </w:p>
        </w:tc>
      </w:tr>
      <w:tr w:rsidR="00702F21" w:rsidRPr="00E92B0C" w14:paraId="23F0DC91" w14:textId="77777777" w:rsidTr="008B559D">
        <w:tc>
          <w:tcPr>
            <w:tcW w:w="4814" w:type="dxa"/>
          </w:tcPr>
          <w:p w14:paraId="1DE4B214" w14:textId="77777777" w:rsidR="00702F21" w:rsidRPr="00E92B0C" w:rsidRDefault="00702F21" w:rsidP="008B559D">
            <w:pPr>
              <w:tabs>
                <w:tab w:val="left" w:pos="1008"/>
              </w:tabs>
              <w:spacing w:before="314"/>
              <w:ind w:right="41"/>
              <w:jc w:val="both"/>
              <w:textAlignment w:val="baseline"/>
              <w:rPr>
                <w:rFonts w:eastAsia="Times New Roman"/>
                <w:lang w:val="it-IT"/>
              </w:rPr>
            </w:pPr>
            <w:r w:rsidRPr="00E92B0C">
              <w:rPr>
                <w:rFonts w:eastAsia="Times New Roman"/>
                <w:lang w:val="it-IT"/>
              </w:rPr>
              <w:t>2. Gli Stati membri incoraggiano le segnalazioni mediante canali di segnalazione interni prima di effettuare segnala</w:t>
            </w:r>
            <w:r w:rsidRPr="00E92B0C">
              <w:rPr>
                <w:rFonts w:eastAsia="Times New Roman"/>
                <w:lang w:val="it-IT"/>
              </w:rPr>
              <w:softHyphen/>
              <w:t>zioni mediante canali di segnalazione esterni, laddove la violazione possa essere affrontata efficacemente a livello interno e la persona segnalante ritenga che non sussista il rischio di ritorsioni.</w:t>
            </w:r>
          </w:p>
          <w:p w14:paraId="69906907" w14:textId="77777777" w:rsidR="00702F21" w:rsidRPr="00E92B0C" w:rsidRDefault="00702F21" w:rsidP="008B559D">
            <w:pPr>
              <w:rPr>
                <w:lang w:val="it-IT"/>
              </w:rPr>
            </w:pPr>
          </w:p>
        </w:tc>
        <w:tc>
          <w:tcPr>
            <w:tcW w:w="4814" w:type="dxa"/>
          </w:tcPr>
          <w:p w14:paraId="641A217C" w14:textId="77777777" w:rsidR="00702F21" w:rsidRPr="00E92B0C" w:rsidRDefault="00702F21" w:rsidP="008B559D">
            <w:pPr>
              <w:rPr>
                <w:lang w:val="it-IT"/>
              </w:rPr>
            </w:pPr>
          </w:p>
          <w:p w14:paraId="59837A1F" w14:textId="77777777" w:rsidR="00702F21" w:rsidRPr="00E92B0C" w:rsidRDefault="00702F21" w:rsidP="008B559D">
            <w:pPr>
              <w:rPr>
                <w:lang w:val="it-IT"/>
              </w:rPr>
            </w:pPr>
            <w:r w:rsidRPr="00E92B0C">
              <w:rPr>
                <w:lang w:val="it-IT"/>
              </w:rPr>
              <w:t>v. art. 6</w:t>
            </w:r>
          </w:p>
        </w:tc>
      </w:tr>
      <w:tr w:rsidR="00702F21" w:rsidRPr="00BD3117" w14:paraId="7BA69EC2" w14:textId="77777777" w:rsidTr="008B559D">
        <w:tc>
          <w:tcPr>
            <w:tcW w:w="4814" w:type="dxa"/>
          </w:tcPr>
          <w:p w14:paraId="6A4A7054" w14:textId="77777777" w:rsidR="00702F21" w:rsidRPr="00E92B0C" w:rsidRDefault="00702F21" w:rsidP="008B559D">
            <w:pPr>
              <w:tabs>
                <w:tab w:val="left" w:pos="1008"/>
              </w:tabs>
              <w:spacing w:before="318"/>
              <w:ind w:right="41"/>
              <w:jc w:val="both"/>
              <w:textAlignment w:val="baseline"/>
              <w:rPr>
                <w:rFonts w:eastAsia="Times New Roman"/>
                <w:lang w:val="it-IT"/>
              </w:rPr>
            </w:pPr>
            <w:r w:rsidRPr="00E92B0C">
              <w:rPr>
                <w:rFonts w:eastAsia="Times New Roman"/>
                <w:lang w:val="it-IT"/>
              </w:rPr>
              <w:t>3. Nel contesto delle informazioni comunicate dai soggetti giuridici del settore privato e del settore pubblico ai sensi dell’articolo 9, paragrafo 1, lettera g), e dalle autorità competenti ai sensi dell’articolo 12, paragrafo 4, lettera a), e dell’articolo 13, sono fornite adeguate informazioni relativamente all’uso dei canali di segnalazione interni di cui al paragrafo 2.</w:t>
            </w:r>
          </w:p>
          <w:p w14:paraId="44C4358F" w14:textId="77777777" w:rsidR="00702F21" w:rsidRPr="00E92B0C" w:rsidRDefault="00702F21" w:rsidP="008B559D">
            <w:pPr>
              <w:rPr>
                <w:lang w:val="it-IT"/>
              </w:rPr>
            </w:pPr>
          </w:p>
        </w:tc>
        <w:tc>
          <w:tcPr>
            <w:tcW w:w="4814" w:type="dxa"/>
          </w:tcPr>
          <w:p w14:paraId="36479022" w14:textId="77777777" w:rsidR="00702F21" w:rsidRPr="00E92B0C" w:rsidRDefault="00702F21" w:rsidP="008B559D">
            <w:pPr>
              <w:rPr>
                <w:lang w:val="it-IT"/>
              </w:rPr>
            </w:pPr>
          </w:p>
          <w:p w14:paraId="72713261" w14:textId="77777777" w:rsidR="00702F21" w:rsidRPr="00E92B0C" w:rsidRDefault="00702F21" w:rsidP="008B559D">
            <w:pPr>
              <w:rPr>
                <w:lang w:val="it-IT"/>
              </w:rPr>
            </w:pPr>
            <w:r w:rsidRPr="00E92B0C">
              <w:rPr>
                <w:lang w:val="it-IT"/>
              </w:rPr>
              <w:t xml:space="preserve">v. art. 5, comma 1, </w:t>
            </w:r>
            <w:proofErr w:type="spellStart"/>
            <w:r w:rsidRPr="00E92B0C">
              <w:rPr>
                <w:lang w:val="it-IT"/>
              </w:rPr>
              <w:t>lett</w:t>
            </w:r>
            <w:proofErr w:type="spellEnd"/>
            <w:r w:rsidRPr="00E92B0C">
              <w:rPr>
                <w:lang w:val="it-IT"/>
              </w:rPr>
              <w:t xml:space="preserve">. e). </w:t>
            </w:r>
          </w:p>
        </w:tc>
      </w:tr>
      <w:tr w:rsidR="00702F21" w:rsidRPr="00BE38E8" w14:paraId="65F21603" w14:textId="77777777" w:rsidTr="008B559D">
        <w:tc>
          <w:tcPr>
            <w:tcW w:w="4814" w:type="dxa"/>
          </w:tcPr>
          <w:p w14:paraId="42256B7E" w14:textId="77777777" w:rsidR="00702F21" w:rsidRPr="00E92B0C" w:rsidRDefault="00702F21" w:rsidP="008B559D">
            <w:pPr>
              <w:jc w:val="center"/>
              <w:textAlignment w:val="baseline"/>
              <w:rPr>
                <w:rFonts w:eastAsia="Times New Roman"/>
                <w:i/>
                <w:spacing w:val="-4"/>
                <w:lang w:val="it-IT"/>
              </w:rPr>
            </w:pPr>
            <w:r w:rsidRPr="00E92B0C">
              <w:rPr>
                <w:rFonts w:eastAsia="Times New Roman"/>
                <w:i/>
                <w:spacing w:val="-4"/>
                <w:lang w:val="it-IT"/>
              </w:rPr>
              <w:t>Articolo 8</w:t>
            </w:r>
          </w:p>
          <w:p w14:paraId="309993B8" w14:textId="77777777" w:rsidR="00702F21" w:rsidRPr="00E92B0C" w:rsidRDefault="00702F21" w:rsidP="008B559D">
            <w:pPr>
              <w:jc w:val="center"/>
              <w:textAlignment w:val="baseline"/>
              <w:rPr>
                <w:rFonts w:eastAsia="Times New Roman"/>
                <w:b/>
                <w:spacing w:val="1"/>
                <w:lang w:val="it-IT"/>
              </w:rPr>
            </w:pPr>
            <w:r w:rsidRPr="00E92B0C">
              <w:rPr>
                <w:rFonts w:eastAsia="Times New Roman"/>
                <w:b/>
                <w:spacing w:val="1"/>
                <w:lang w:val="it-IT"/>
              </w:rPr>
              <w:t>Obbligo di istituire canali di segnalazione interni</w:t>
            </w:r>
          </w:p>
          <w:p w14:paraId="0EC4D69C" w14:textId="77777777" w:rsidR="00702F21" w:rsidRPr="00E92B0C" w:rsidRDefault="00702F21" w:rsidP="008B559D">
            <w:pPr>
              <w:rPr>
                <w:lang w:val="it-IT"/>
              </w:rPr>
            </w:pPr>
          </w:p>
        </w:tc>
        <w:tc>
          <w:tcPr>
            <w:tcW w:w="4814" w:type="dxa"/>
          </w:tcPr>
          <w:p w14:paraId="3069CD34" w14:textId="77777777" w:rsidR="00702F21" w:rsidRPr="00E92B0C" w:rsidRDefault="00702F21" w:rsidP="008B559D">
            <w:pPr>
              <w:rPr>
                <w:lang w:val="it-IT"/>
              </w:rPr>
            </w:pPr>
          </w:p>
        </w:tc>
      </w:tr>
      <w:tr w:rsidR="00702F21" w:rsidRPr="00E92B0C" w14:paraId="1B4BE3C4" w14:textId="77777777" w:rsidTr="008B559D">
        <w:tc>
          <w:tcPr>
            <w:tcW w:w="4814" w:type="dxa"/>
          </w:tcPr>
          <w:p w14:paraId="13434DEE" w14:textId="77777777" w:rsidR="00702F21" w:rsidRPr="00E92B0C" w:rsidRDefault="00702F21" w:rsidP="008B559D">
            <w:pPr>
              <w:jc w:val="both"/>
              <w:rPr>
                <w:rFonts w:eastAsia="Times New Roman"/>
                <w:lang w:val="it-IT"/>
              </w:rPr>
            </w:pPr>
            <w:r w:rsidRPr="00E92B0C">
              <w:rPr>
                <w:rFonts w:eastAsia="Times New Roman"/>
                <w:lang w:val="it-IT"/>
              </w:rPr>
              <w:t>1.Gli Stati membri assicurano che i soggetti giuridici del settore privato e del settore pubblico istituiscano canali e procedure per le segnalazioni interne e per il seguito, previa consultazione e in accordo con le parti sociali se previsto dal diritto nazionale.</w:t>
            </w:r>
          </w:p>
          <w:p w14:paraId="181158F6" w14:textId="77777777" w:rsidR="00702F21" w:rsidRPr="00E92B0C" w:rsidRDefault="00702F21" w:rsidP="008B559D">
            <w:pPr>
              <w:jc w:val="both"/>
              <w:rPr>
                <w:lang w:val="it-IT"/>
              </w:rPr>
            </w:pPr>
          </w:p>
        </w:tc>
        <w:tc>
          <w:tcPr>
            <w:tcW w:w="4814" w:type="dxa"/>
          </w:tcPr>
          <w:p w14:paraId="6C8EA35D" w14:textId="77777777" w:rsidR="00702F21" w:rsidRPr="00E92B0C" w:rsidRDefault="00702F21" w:rsidP="008B559D">
            <w:pPr>
              <w:rPr>
                <w:lang w:val="it-IT"/>
              </w:rPr>
            </w:pPr>
          </w:p>
          <w:p w14:paraId="371E2A5C" w14:textId="77777777" w:rsidR="00702F21" w:rsidRPr="00E92B0C" w:rsidRDefault="00702F21" w:rsidP="008B559D">
            <w:pPr>
              <w:rPr>
                <w:lang w:val="it-IT"/>
              </w:rPr>
            </w:pPr>
            <w:r w:rsidRPr="00E92B0C">
              <w:rPr>
                <w:lang w:val="it-IT"/>
              </w:rPr>
              <w:t>v. art. 4, comma 1.</w:t>
            </w:r>
          </w:p>
        </w:tc>
      </w:tr>
      <w:tr w:rsidR="00702F21" w:rsidRPr="00E92B0C" w14:paraId="0D892DE9" w14:textId="77777777" w:rsidTr="008B559D">
        <w:tc>
          <w:tcPr>
            <w:tcW w:w="4814" w:type="dxa"/>
          </w:tcPr>
          <w:p w14:paraId="496D8F99" w14:textId="77777777" w:rsidR="00702F21" w:rsidRPr="00E92B0C" w:rsidRDefault="00702F21" w:rsidP="008B559D">
            <w:pPr>
              <w:tabs>
                <w:tab w:val="decimal" w:pos="648"/>
                <w:tab w:val="left" w:pos="936"/>
              </w:tabs>
              <w:spacing w:before="101"/>
              <w:jc w:val="both"/>
              <w:textAlignment w:val="baseline"/>
              <w:rPr>
                <w:rFonts w:eastAsia="Times New Roman"/>
                <w:lang w:val="it-IT"/>
              </w:rPr>
            </w:pPr>
            <w:r w:rsidRPr="00E92B0C">
              <w:rPr>
                <w:lang w:val="it-IT"/>
              </w:rPr>
              <w:tab/>
            </w:r>
            <w:r w:rsidRPr="00E92B0C">
              <w:rPr>
                <w:rFonts w:eastAsia="Times New Roman"/>
                <w:lang w:val="it-IT"/>
              </w:rPr>
              <w:t>2. I canali e procedure di cui al paragrafo 1 del presente articolo devono consentire ai lavoratori del soggetto di effettuare segnalazioni sulle violazioni. Essi possono consentire che la segnalazione sia effettuata anche da altre persone, di cui all’articolo 4, paragrafo 1, lettere b), c) e d), e all’articolo 4, paragrafo 2, che sono in contatto con il soggetto nell’ambito della loro attività professionale.</w:t>
            </w:r>
          </w:p>
          <w:p w14:paraId="0B2ABFAB" w14:textId="77777777" w:rsidR="00702F21" w:rsidRPr="00E92B0C" w:rsidRDefault="00702F21" w:rsidP="008B559D">
            <w:pPr>
              <w:tabs>
                <w:tab w:val="left" w:pos="1308"/>
              </w:tabs>
              <w:rPr>
                <w:lang w:val="it-IT"/>
              </w:rPr>
            </w:pPr>
          </w:p>
        </w:tc>
        <w:tc>
          <w:tcPr>
            <w:tcW w:w="4814" w:type="dxa"/>
          </w:tcPr>
          <w:p w14:paraId="0207C9DC" w14:textId="77777777" w:rsidR="00702F21" w:rsidRPr="00E92B0C" w:rsidRDefault="00702F21" w:rsidP="008B559D">
            <w:pPr>
              <w:rPr>
                <w:lang w:val="it-IT"/>
              </w:rPr>
            </w:pPr>
          </w:p>
          <w:p w14:paraId="7FD79C03" w14:textId="77777777" w:rsidR="00702F21" w:rsidRPr="00E92B0C" w:rsidRDefault="00702F21" w:rsidP="008B559D">
            <w:pPr>
              <w:rPr>
                <w:lang w:val="it-IT"/>
              </w:rPr>
            </w:pPr>
            <w:r w:rsidRPr="00E92B0C">
              <w:rPr>
                <w:lang w:val="it-IT"/>
              </w:rPr>
              <w:t>v. art. 3 e 4</w:t>
            </w:r>
          </w:p>
        </w:tc>
      </w:tr>
      <w:tr w:rsidR="00702F21" w:rsidRPr="00E92B0C" w14:paraId="07AB15D9" w14:textId="77777777" w:rsidTr="008B559D">
        <w:tc>
          <w:tcPr>
            <w:tcW w:w="4814" w:type="dxa"/>
          </w:tcPr>
          <w:p w14:paraId="62B2EFC7" w14:textId="77777777" w:rsidR="00702F21" w:rsidRPr="00E92B0C" w:rsidRDefault="00702F21" w:rsidP="008B559D">
            <w:pPr>
              <w:tabs>
                <w:tab w:val="left" w:pos="1008"/>
              </w:tabs>
              <w:spacing w:before="299"/>
              <w:jc w:val="both"/>
              <w:textAlignment w:val="baseline"/>
              <w:rPr>
                <w:rFonts w:eastAsia="Times New Roman"/>
                <w:lang w:val="it-IT"/>
              </w:rPr>
            </w:pPr>
            <w:r w:rsidRPr="00E92B0C">
              <w:rPr>
                <w:rFonts w:eastAsia="Times New Roman"/>
                <w:lang w:val="it-IT"/>
              </w:rPr>
              <w:t>3. Il paragrafo 1 si applica ai soggetti giuridici del settore privato con almeno 50 lavoratori.</w:t>
            </w:r>
          </w:p>
          <w:p w14:paraId="05A57E9D" w14:textId="77777777" w:rsidR="00702F21" w:rsidRPr="00E92B0C" w:rsidRDefault="00702F21" w:rsidP="008B559D">
            <w:pPr>
              <w:rPr>
                <w:lang w:val="it-IT"/>
              </w:rPr>
            </w:pPr>
          </w:p>
        </w:tc>
        <w:tc>
          <w:tcPr>
            <w:tcW w:w="4814" w:type="dxa"/>
          </w:tcPr>
          <w:p w14:paraId="38F6EDEE" w14:textId="77777777" w:rsidR="00702F21" w:rsidRPr="00E92B0C" w:rsidRDefault="00702F21" w:rsidP="008B559D">
            <w:pPr>
              <w:rPr>
                <w:lang w:val="it-IT"/>
              </w:rPr>
            </w:pPr>
          </w:p>
          <w:p w14:paraId="74129355" w14:textId="77777777" w:rsidR="00702F21" w:rsidRPr="00E92B0C" w:rsidRDefault="00702F21" w:rsidP="008B559D">
            <w:proofErr w:type="gramStart"/>
            <w:r w:rsidRPr="00E92B0C">
              <w:t>v</w:t>
            </w:r>
            <w:proofErr w:type="gramEnd"/>
            <w:r w:rsidRPr="00E92B0C">
              <w:t xml:space="preserve">. art. </w:t>
            </w:r>
            <w:r>
              <w:t>2</w:t>
            </w:r>
            <w:r w:rsidRPr="00E92B0C">
              <w:t xml:space="preserve">, comma 1, </w:t>
            </w:r>
            <w:proofErr w:type="spellStart"/>
            <w:r w:rsidRPr="00E92B0C">
              <w:t>lett</w:t>
            </w:r>
            <w:proofErr w:type="spellEnd"/>
            <w:r w:rsidRPr="00E92B0C">
              <w:t>. q), num. 1.</w:t>
            </w:r>
          </w:p>
        </w:tc>
      </w:tr>
      <w:tr w:rsidR="00702F21" w:rsidRPr="00BD3117" w14:paraId="5B9DAEEF" w14:textId="77777777" w:rsidTr="008B559D">
        <w:tc>
          <w:tcPr>
            <w:tcW w:w="4814" w:type="dxa"/>
          </w:tcPr>
          <w:p w14:paraId="4971E3F3" w14:textId="77777777" w:rsidR="00702F21" w:rsidRPr="00E92B0C" w:rsidRDefault="00702F21" w:rsidP="008B559D">
            <w:pPr>
              <w:jc w:val="both"/>
              <w:rPr>
                <w:rFonts w:eastAsia="Times New Roman"/>
                <w:lang w:val="it-IT"/>
              </w:rPr>
            </w:pPr>
            <w:r w:rsidRPr="00E92B0C">
              <w:rPr>
                <w:rFonts w:eastAsia="Times New Roman"/>
                <w:lang w:val="it-IT"/>
              </w:rPr>
              <w:t>4. La soglia di cui al paragrafo 3 non si applica ai soggetti che rientrano nell’ambito di applicazione degli atti dell’Unione di cui alle parti I.B e II dell’allegato.</w:t>
            </w:r>
          </w:p>
          <w:p w14:paraId="3142AB02" w14:textId="77777777" w:rsidR="00702F21" w:rsidRPr="00E92B0C" w:rsidRDefault="00702F21" w:rsidP="008B559D">
            <w:pPr>
              <w:jc w:val="both"/>
              <w:rPr>
                <w:lang w:val="it-IT"/>
              </w:rPr>
            </w:pPr>
          </w:p>
        </w:tc>
        <w:tc>
          <w:tcPr>
            <w:tcW w:w="4814" w:type="dxa"/>
          </w:tcPr>
          <w:p w14:paraId="65A73B60" w14:textId="009C41B1" w:rsidR="00702F21" w:rsidRPr="00E92B0C" w:rsidRDefault="00702F21" w:rsidP="008B559D">
            <w:pPr>
              <w:rPr>
                <w:lang w:val="pt-PT"/>
              </w:rPr>
            </w:pPr>
            <w:r w:rsidRPr="00BD3117">
              <w:rPr>
                <w:lang w:val="it-IT"/>
              </w:rPr>
              <w:t xml:space="preserve"> </w:t>
            </w:r>
            <w:r w:rsidRPr="00E92B0C">
              <w:rPr>
                <w:lang w:val="pt-PT"/>
              </w:rPr>
              <w:t xml:space="preserve">Art. </w:t>
            </w:r>
            <w:r>
              <w:rPr>
                <w:lang w:val="pt-PT"/>
              </w:rPr>
              <w:t>2</w:t>
            </w:r>
            <w:r w:rsidRPr="00E92B0C">
              <w:rPr>
                <w:lang w:val="pt-PT"/>
              </w:rPr>
              <w:t xml:space="preserve">, comma 1, lett. q), num. 2) </w:t>
            </w:r>
          </w:p>
        </w:tc>
      </w:tr>
      <w:tr w:rsidR="00702F21" w:rsidRPr="00E92B0C" w14:paraId="4EFD8E8D" w14:textId="77777777" w:rsidTr="008B559D">
        <w:tc>
          <w:tcPr>
            <w:tcW w:w="4814" w:type="dxa"/>
          </w:tcPr>
          <w:p w14:paraId="4B4CF797" w14:textId="77777777" w:rsidR="00702F21" w:rsidRPr="00E92B0C" w:rsidRDefault="00702F21" w:rsidP="008B559D">
            <w:pPr>
              <w:tabs>
                <w:tab w:val="left" w:pos="1008"/>
              </w:tabs>
              <w:spacing w:before="337"/>
              <w:jc w:val="both"/>
              <w:textAlignment w:val="baseline"/>
              <w:rPr>
                <w:rFonts w:eastAsia="Times New Roman"/>
                <w:lang w:val="it-IT"/>
              </w:rPr>
            </w:pPr>
            <w:r w:rsidRPr="00E92B0C">
              <w:rPr>
                <w:rFonts w:eastAsia="Times New Roman"/>
                <w:lang w:val="it-IT"/>
              </w:rPr>
              <w:t>5. I canali di segnalazione possono essere gestiti internamente da una persona o da un servizio designato a tal fine o essere messi a disposizione esternamente da terzi. Le garanzie e i requisiti di cui all’articolo 9, paragrafo 1, devono applicarsi anche ai terzi cui è affidato il compito di gestire il canale di segnalazione per conto di un soggetto giuridico del settore privato.</w:t>
            </w:r>
          </w:p>
          <w:p w14:paraId="62C343DB" w14:textId="77777777" w:rsidR="00702F21" w:rsidRPr="00E92B0C" w:rsidRDefault="00702F21" w:rsidP="008B559D">
            <w:pPr>
              <w:rPr>
                <w:lang w:val="it-IT"/>
              </w:rPr>
            </w:pPr>
          </w:p>
        </w:tc>
        <w:tc>
          <w:tcPr>
            <w:tcW w:w="4814" w:type="dxa"/>
          </w:tcPr>
          <w:p w14:paraId="780F06E4" w14:textId="77777777" w:rsidR="00702F21" w:rsidRPr="00E92B0C" w:rsidRDefault="00702F21" w:rsidP="008B559D">
            <w:pPr>
              <w:rPr>
                <w:lang w:val="it-IT"/>
              </w:rPr>
            </w:pPr>
          </w:p>
          <w:p w14:paraId="73884CF7" w14:textId="77777777" w:rsidR="00702F21" w:rsidRPr="00E92B0C" w:rsidRDefault="00702F21" w:rsidP="008B559D">
            <w:pPr>
              <w:rPr>
                <w:lang w:val="it-IT"/>
              </w:rPr>
            </w:pPr>
            <w:r w:rsidRPr="00E92B0C">
              <w:rPr>
                <w:lang w:val="it-IT"/>
              </w:rPr>
              <w:t>v. art. 4, comma 2.</w:t>
            </w:r>
          </w:p>
        </w:tc>
      </w:tr>
      <w:tr w:rsidR="00702F21" w:rsidRPr="00E92B0C" w14:paraId="07ABEC29" w14:textId="77777777" w:rsidTr="008B559D">
        <w:tc>
          <w:tcPr>
            <w:tcW w:w="4814" w:type="dxa"/>
          </w:tcPr>
          <w:p w14:paraId="70528392" w14:textId="77777777" w:rsidR="00702F21" w:rsidRPr="00E92B0C" w:rsidRDefault="00702F21" w:rsidP="008B559D">
            <w:pPr>
              <w:jc w:val="both"/>
              <w:rPr>
                <w:rFonts w:eastAsia="Times New Roman"/>
                <w:spacing w:val="-2"/>
                <w:lang w:val="it-IT"/>
              </w:rPr>
            </w:pPr>
            <w:r w:rsidRPr="00E92B0C">
              <w:rPr>
                <w:rFonts w:eastAsia="Times New Roman"/>
                <w:spacing w:val="-2"/>
                <w:lang w:val="it-IT"/>
              </w:rPr>
              <w:t>6. I soggetti giuridici del settore privato che hanno da 50 a 249 lavoratori possono condividere le risorse per il ricevimento delle segnalazioni e delle eventuali indagini da svolgere. Ciò non pregiudica l’obbligo imposto a tali soggetti dalla presente direttiva di mantenere la riservatezza, di fornire un riscontro e di affrontare la violazione.</w:t>
            </w:r>
          </w:p>
          <w:p w14:paraId="288E7BC4" w14:textId="77777777" w:rsidR="00702F21" w:rsidRPr="00E92B0C" w:rsidRDefault="00702F21" w:rsidP="008B559D">
            <w:pPr>
              <w:jc w:val="both"/>
              <w:rPr>
                <w:lang w:val="it-IT"/>
              </w:rPr>
            </w:pPr>
          </w:p>
        </w:tc>
        <w:tc>
          <w:tcPr>
            <w:tcW w:w="4814" w:type="dxa"/>
          </w:tcPr>
          <w:p w14:paraId="7D2ECE43" w14:textId="77777777" w:rsidR="00702F21" w:rsidRPr="00E92B0C" w:rsidRDefault="00702F21" w:rsidP="008B559D">
            <w:pPr>
              <w:rPr>
                <w:lang w:val="it-IT"/>
              </w:rPr>
            </w:pPr>
            <w:r w:rsidRPr="00E92B0C">
              <w:rPr>
                <w:lang w:val="it-IT"/>
              </w:rPr>
              <w:t>v. art. 4, comma 4.</w:t>
            </w:r>
          </w:p>
        </w:tc>
      </w:tr>
      <w:tr w:rsidR="00702F21" w:rsidRPr="004717EF" w14:paraId="7D071AEC" w14:textId="77777777" w:rsidTr="008B559D">
        <w:tc>
          <w:tcPr>
            <w:tcW w:w="4814" w:type="dxa"/>
          </w:tcPr>
          <w:p w14:paraId="698F9245" w14:textId="77777777" w:rsidR="00702F21" w:rsidRPr="00E92B0C" w:rsidRDefault="00702F21" w:rsidP="008B559D">
            <w:pPr>
              <w:tabs>
                <w:tab w:val="left" w:pos="1008"/>
              </w:tabs>
              <w:spacing w:before="342"/>
              <w:jc w:val="both"/>
              <w:textAlignment w:val="baseline"/>
              <w:rPr>
                <w:rFonts w:eastAsia="Times New Roman"/>
                <w:lang w:val="it-IT"/>
              </w:rPr>
            </w:pPr>
            <w:r w:rsidRPr="00E92B0C">
              <w:rPr>
                <w:rFonts w:eastAsia="Times New Roman"/>
                <w:lang w:val="it-IT"/>
              </w:rPr>
              <w:t>7. In seguito a un’adeguata valutazione dei rischi e tenuto conto della natura delle attività dei soggetti e del conse</w:t>
            </w:r>
            <w:r w:rsidRPr="00E92B0C">
              <w:rPr>
                <w:rFonts w:eastAsia="Times New Roman"/>
                <w:lang w:val="it-IT"/>
              </w:rPr>
              <w:softHyphen/>
              <w:t>guente livello di rischio, in particolare per l’ambiente e la salute pubblica, gli Stati membri possono chiedere ai soggetti giuridici del settore privato con meno di 50 lavoratori di stabilire canali e procedure di segnalazione interna a norma del capo II.</w:t>
            </w:r>
          </w:p>
          <w:p w14:paraId="43EB55CE" w14:textId="77777777" w:rsidR="00702F21" w:rsidRPr="00E92B0C" w:rsidRDefault="00702F21" w:rsidP="008B559D">
            <w:pPr>
              <w:rPr>
                <w:lang w:val="it-IT"/>
              </w:rPr>
            </w:pPr>
          </w:p>
        </w:tc>
        <w:tc>
          <w:tcPr>
            <w:tcW w:w="4814" w:type="dxa"/>
          </w:tcPr>
          <w:p w14:paraId="36479987" w14:textId="77777777" w:rsidR="00702F21" w:rsidRPr="00E92B0C" w:rsidRDefault="00702F21" w:rsidP="008B559D">
            <w:pPr>
              <w:rPr>
                <w:lang w:val="it-IT"/>
              </w:rPr>
            </w:pPr>
          </w:p>
          <w:p w14:paraId="73D993C6" w14:textId="77777777" w:rsidR="00702F21" w:rsidRPr="00E92B0C" w:rsidRDefault="00702F21" w:rsidP="008B559D">
            <w:pPr>
              <w:rPr>
                <w:lang w:val="it-IT"/>
              </w:rPr>
            </w:pPr>
            <w:r>
              <w:rPr>
                <w:lang w:val="it-IT"/>
              </w:rPr>
              <w:t>Opzione non esercitata</w:t>
            </w:r>
          </w:p>
        </w:tc>
      </w:tr>
      <w:tr w:rsidR="00702F21" w:rsidRPr="00E92B0C" w14:paraId="53F7D413" w14:textId="77777777" w:rsidTr="008B559D">
        <w:tc>
          <w:tcPr>
            <w:tcW w:w="4814" w:type="dxa"/>
          </w:tcPr>
          <w:p w14:paraId="14A0C3A7" w14:textId="77777777" w:rsidR="00702F21" w:rsidRPr="00E92B0C" w:rsidRDefault="00702F21" w:rsidP="008B559D">
            <w:pPr>
              <w:tabs>
                <w:tab w:val="left" w:pos="1008"/>
              </w:tabs>
              <w:spacing w:before="334"/>
              <w:ind w:right="41"/>
              <w:jc w:val="both"/>
              <w:textAlignment w:val="baseline"/>
              <w:rPr>
                <w:rFonts w:eastAsia="Times New Roman"/>
                <w:lang w:val="it-IT"/>
              </w:rPr>
            </w:pPr>
            <w:r w:rsidRPr="00E92B0C">
              <w:rPr>
                <w:rFonts w:eastAsia="Times New Roman"/>
                <w:lang w:val="it-IT"/>
              </w:rPr>
              <w:t>8. Gli Stati membri notificano alla Commissione le decisioni che adottano per richiedere ai soggetti giuridici del settore privato di stabilire canali di segnalazione interna ai sensi del paragrafo 7. Tale notifica comprende i motivi della decisione e i criteri utilizzati nella valutazione dei rischi di cui al paragrafo 7. La Commissione comunica detta decisione agli altri Stati membri.</w:t>
            </w:r>
          </w:p>
          <w:p w14:paraId="767E9124" w14:textId="77777777" w:rsidR="00702F21" w:rsidRPr="00E92B0C" w:rsidRDefault="00702F21" w:rsidP="008B559D">
            <w:pPr>
              <w:rPr>
                <w:lang w:val="it-IT"/>
              </w:rPr>
            </w:pPr>
          </w:p>
        </w:tc>
        <w:tc>
          <w:tcPr>
            <w:tcW w:w="4814" w:type="dxa"/>
          </w:tcPr>
          <w:p w14:paraId="70930A1C" w14:textId="77777777" w:rsidR="00702F21" w:rsidRPr="00E92B0C" w:rsidRDefault="00702F21" w:rsidP="008B559D">
            <w:pPr>
              <w:rPr>
                <w:lang w:val="it-IT"/>
              </w:rPr>
            </w:pPr>
          </w:p>
        </w:tc>
      </w:tr>
      <w:tr w:rsidR="00702F21" w:rsidRPr="00E92B0C" w14:paraId="552923BC" w14:textId="77777777" w:rsidTr="008B559D">
        <w:tc>
          <w:tcPr>
            <w:tcW w:w="4814" w:type="dxa"/>
          </w:tcPr>
          <w:p w14:paraId="658FB923" w14:textId="77777777" w:rsidR="00702F21" w:rsidRPr="00E92B0C" w:rsidRDefault="00702F21" w:rsidP="008B559D">
            <w:pPr>
              <w:tabs>
                <w:tab w:val="left" w:pos="1008"/>
              </w:tabs>
              <w:spacing w:before="341"/>
              <w:ind w:right="41"/>
              <w:jc w:val="both"/>
              <w:textAlignment w:val="baseline"/>
              <w:rPr>
                <w:rFonts w:eastAsia="Times New Roman"/>
                <w:lang w:val="it-IT"/>
              </w:rPr>
            </w:pPr>
            <w:r w:rsidRPr="00E92B0C">
              <w:rPr>
                <w:rFonts w:eastAsia="Times New Roman"/>
                <w:lang w:val="it-IT"/>
              </w:rPr>
              <w:t>9. Il paragrafo 1 si applica a tutti i soggetti giuridici del settore pubblico, compresi i soggetti di proprietà o sotto il controllo di tali soggetti.</w:t>
            </w:r>
          </w:p>
          <w:p w14:paraId="55BE648E" w14:textId="77777777" w:rsidR="00702F21" w:rsidRPr="00E92B0C" w:rsidRDefault="00702F21" w:rsidP="008B559D">
            <w:pPr>
              <w:spacing w:before="341"/>
              <w:jc w:val="both"/>
              <w:textAlignment w:val="baseline"/>
              <w:rPr>
                <w:rFonts w:eastAsia="Times New Roman"/>
                <w:lang w:val="it-IT"/>
              </w:rPr>
            </w:pPr>
            <w:r w:rsidRPr="00E92B0C">
              <w:rPr>
                <w:rFonts w:eastAsia="Times New Roman"/>
                <w:lang w:val="it-IT"/>
              </w:rPr>
              <w:t>Gli Stati membri possono esentare dall’obbligo di cui al paragrafo 1 i comuni con meno di 10.000 abitanti, o meno di 50 lavoratori, o altri soggetti di cui al primo comma del presente paragrafo con meno di 50 lavoratori.</w:t>
            </w:r>
          </w:p>
          <w:p w14:paraId="04248A8F" w14:textId="77777777" w:rsidR="00702F21" w:rsidRPr="00E92B0C" w:rsidRDefault="00702F21" w:rsidP="008B559D">
            <w:pPr>
              <w:spacing w:before="340"/>
              <w:jc w:val="both"/>
              <w:textAlignment w:val="baseline"/>
              <w:rPr>
                <w:rFonts w:eastAsia="Times New Roman"/>
                <w:lang w:val="it-IT"/>
              </w:rPr>
            </w:pPr>
            <w:r w:rsidRPr="00E92B0C">
              <w:rPr>
                <w:rFonts w:eastAsia="Times New Roman"/>
                <w:lang w:val="it-IT"/>
              </w:rPr>
              <w:t>Gli Stati membri possono prevedere che i canali di segnalazione interna possano essere condivisi tra comuni o possano essere gestiti da autorità comunali congiunte in conformità del diritto nazionale, purché i canali di segnalazione interna condivisi siano distinti e autonomi rispetto ai pertinenti canali di segnalazione esterna.</w:t>
            </w:r>
          </w:p>
          <w:p w14:paraId="08E443CE" w14:textId="77777777" w:rsidR="00702F21" w:rsidRPr="00E92B0C" w:rsidRDefault="00702F21" w:rsidP="008B559D">
            <w:pPr>
              <w:rPr>
                <w:lang w:val="it-IT"/>
              </w:rPr>
            </w:pPr>
          </w:p>
        </w:tc>
        <w:tc>
          <w:tcPr>
            <w:tcW w:w="4814" w:type="dxa"/>
          </w:tcPr>
          <w:p w14:paraId="3809DDA0" w14:textId="77777777" w:rsidR="00702F21" w:rsidRPr="00E92B0C" w:rsidRDefault="00702F21" w:rsidP="008B559D">
            <w:pPr>
              <w:rPr>
                <w:lang w:val="it-IT"/>
              </w:rPr>
            </w:pPr>
          </w:p>
          <w:p w14:paraId="6D8807E8" w14:textId="77777777" w:rsidR="00702F21" w:rsidRPr="00E92B0C" w:rsidRDefault="00702F21" w:rsidP="008B559D">
            <w:pPr>
              <w:rPr>
                <w:lang w:val="it-IT"/>
              </w:rPr>
            </w:pPr>
          </w:p>
          <w:p w14:paraId="16A445BF" w14:textId="77777777" w:rsidR="00702F21" w:rsidRPr="003766CD" w:rsidRDefault="00702F21" w:rsidP="008B559D">
            <w:proofErr w:type="gramStart"/>
            <w:r w:rsidRPr="003766CD">
              <w:t>v</w:t>
            </w:r>
            <w:proofErr w:type="gramEnd"/>
            <w:r w:rsidRPr="003766CD">
              <w:t>. art. 3</w:t>
            </w:r>
          </w:p>
          <w:p w14:paraId="37146A9B" w14:textId="77777777" w:rsidR="00702F21" w:rsidRPr="003766CD" w:rsidRDefault="00702F21" w:rsidP="008B559D"/>
          <w:p w14:paraId="254A9B52" w14:textId="77777777" w:rsidR="00702F21" w:rsidRPr="003766CD" w:rsidRDefault="00702F21" w:rsidP="008B559D"/>
          <w:p w14:paraId="3A35588E" w14:textId="77777777" w:rsidR="00702F21" w:rsidRPr="003766CD" w:rsidRDefault="00702F21" w:rsidP="008B559D"/>
          <w:p w14:paraId="2B93092B" w14:textId="77777777" w:rsidR="00702F21" w:rsidRPr="003766CD" w:rsidRDefault="00702F21" w:rsidP="008B559D"/>
          <w:p w14:paraId="42D37855" w14:textId="77777777" w:rsidR="00702F21" w:rsidRPr="003766CD" w:rsidRDefault="00702F21" w:rsidP="008B559D"/>
          <w:p w14:paraId="45BC3A2F" w14:textId="77777777" w:rsidR="00702F21" w:rsidRPr="003766CD" w:rsidRDefault="00702F21" w:rsidP="008B559D"/>
          <w:p w14:paraId="6110E6BA" w14:textId="77777777" w:rsidR="00702F21" w:rsidRPr="003766CD" w:rsidRDefault="00702F21" w:rsidP="008B559D"/>
          <w:p w14:paraId="60705C9D" w14:textId="77777777" w:rsidR="00702F21" w:rsidRPr="003766CD" w:rsidRDefault="00702F21" w:rsidP="008B559D"/>
          <w:p w14:paraId="519DD437" w14:textId="77777777" w:rsidR="00702F21" w:rsidRPr="003766CD" w:rsidRDefault="00702F21" w:rsidP="008B559D"/>
          <w:p w14:paraId="2EE33260" w14:textId="77777777" w:rsidR="00702F21" w:rsidRPr="003766CD" w:rsidRDefault="00702F21" w:rsidP="008B559D"/>
          <w:p w14:paraId="5D105208" w14:textId="77777777" w:rsidR="00702F21" w:rsidRPr="003766CD" w:rsidRDefault="00702F21" w:rsidP="008B559D">
            <w:proofErr w:type="gramStart"/>
            <w:r w:rsidRPr="003766CD">
              <w:t>v</w:t>
            </w:r>
            <w:proofErr w:type="gramEnd"/>
            <w:r w:rsidRPr="003766CD">
              <w:t>. art. 4, comma 4.</w:t>
            </w:r>
          </w:p>
          <w:p w14:paraId="5627EFD8" w14:textId="77777777" w:rsidR="00702F21" w:rsidRPr="003766CD" w:rsidRDefault="00702F21" w:rsidP="008B559D"/>
        </w:tc>
      </w:tr>
      <w:tr w:rsidR="00702F21" w:rsidRPr="00BE38E8" w14:paraId="1495957D" w14:textId="77777777" w:rsidTr="008B559D">
        <w:tc>
          <w:tcPr>
            <w:tcW w:w="4814" w:type="dxa"/>
          </w:tcPr>
          <w:p w14:paraId="264CBD36" w14:textId="77777777" w:rsidR="00702F21" w:rsidRPr="00E92B0C" w:rsidRDefault="00702F21" w:rsidP="008B559D">
            <w:pPr>
              <w:jc w:val="center"/>
              <w:textAlignment w:val="baseline"/>
              <w:rPr>
                <w:rFonts w:eastAsia="Times New Roman"/>
                <w:i/>
                <w:spacing w:val="-4"/>
                <w:lang w:val="it-IT"/>
              </w:rPr>
            </w:pPr>
            <w:r w:rsidRPr="003766CD">
              <w:tab/>
            </w:r>
            <w:r w:rsidRPr="00E92B0C">
              <w:rPr>
                <w:rFonts w:eastAsia="Times New Roman"/>
                <w:i/>
                <w:spacing w:val="-4"/>
                <w:lang w:val="it-IT"/>
              </w:rPr>
              <w:t>Articolo 9</w:t>
            </w:r>
          </w:p>
          <w:p w14:paraId="69039941" w14:textId="77777777" w:rsidR="00702F21" w:rsidRPr="00E92B0C" w:rsidRDefault="00702F21" w:rsidP="008B559D">
            <w:pPr>
              <w:tabs>
                <w:tab w:val="left" w:pos="2819"/>
              </w:tabs>
              <w:rPr>
                <w:lang w:val="it-IT"/>
              </w:rPr>
            </w:pPr>
            <w:r w:rsidRPr="00E92B0C">
              <w:rPr>
                <w:rFonts w:eastAsia="Times New Roman"/>
                <w:b/>
                <w:spacing w:val="1"/>
                <w:lang w:val="it-IT"/>
              </w:rPr>
              <w:t>Procedure per la segnalazione interna e relativo</w:t>
            </w:r>
          </w:p>
        </w:tc>
        <w:tc>
          <w:tcPr>
            <w:tcW w:w="4814" w:type="dxa"/>
          </w:tcPr>
          <w:p w14:paraId="4A1B4E3F" w14:textId="77777777" w:rsidR="00702F21" w:rsidRPr="00E92B0C" w:rsidRDefault="00702F21" w:rsidP="008B559D">
            <w:pPr>
              <w:rPr>
                <w:lang w:val="it-IT"/>
              </w:rPr>
            </w:pPr>
          </w:p>
        </w:tc>
      </w:tr>
      <w:tr w:rsidR="00702F21" w:rsidRPr="00593199" w14:paraId="006DE14D" w14:textId="77777777" w:rsidTr="008B559D">
        <w:tc>
          <w:tcPr>
            <w:tcW w:w="4814" w:type="dxa"/>
          </w:tcPr>
          <w:p w14:paraId="4994A4A4" w14:textId="77777777" w:rsidR="00702F21" w:rsidRPr="00E92B0C" w:rsidRDefault="00702F21" w:rsidP="008B559D">
            <w:pPr>
              <w:tabs>
                <w:tab w:val="left" w:pos="936"/>
              </w:tabs>
              <w:spacing w:before="99"/>
              <w:textAlignment w:val="baseline"/>
              <w:rPr>
                <w:rFonts w:eastAsia="Times New Roman"/>
                <w:lang w:val="it-IT"/>
              </w:rPr>
            </w:pPr>
            <w:r w:rsidRPr="00E92B0C">
              <w:rPr>
                <w:rFonts w:eastAsia="Times New Roman"/>
                <w:lang w:val="it-IT"/>
              </w:rPr>
              <w:t>1. Le procedure per le segnalazioni interne e per il seguito di cui all’articolo 8 comprendono i seguenti elementi:</w:t>
            </w:r>
          </w:p>
          <w:p w14:paraId="667D0550" w14:textId="77777777" w:rsidR="00702F21" w:rsidRPr="00E92B0C" w:rsidRDefault="00702F21" w:rsidP="008B559D">
            <w:pPr>
              <w:tabs>
                <w:tab w:val="left" w:pos="268"/>
              </w:tabs>
              <w:spacing w:before="341"/>
              <w:jc w:val="both"/>
              <w:textAlignment w:val="baseline"/>
              <w:rPr>
                <w:rFonts w:eastAsia="Times New Roman"/>
                <w:lang w:val="it-IT"/>
              </w:rPr>
            </w:pPr>
            <w:r w:rsidRPr="00E92B0C">
              <w:rPr>
                <w:rFonts w:eastAsia="Times New Roman"/>
                <w:lang w:val="it-IT"/>
              </w:rPr>
              <w:t>a) canali per ricevere le segnalazioni che siano progettati, realizzati e gestiti in modo sicuro e tale da garantire la riservatezza dell’identità della persona segnalante e la protezione degli eventuali terzi citati nella segnalazione e da impedire l’accesso da parte del personale non autorizzato;</w:t>
            </w:r>
          </w:p>
          <w:p w14:paraId="6541B0D1" w14:textId="77777777" w:rsidR="00702F21" w:rsidRPr="00E92B0C" w:rsidRDefault="00702F21" w:rsidP="008B559D">
            <w:pPr>
              <w:tabs>
                <w:tab w:val="left" w:pos="268"/>
              </w:tabs>
              <w:spacing w:before="341"/>
              <w:jc w:val="both"/>
              <w:textAlignment w:val="baseline"/>
              <w:rPr>
                <w:rFonts w:eastAsia="Times New Roman"/>
                <w:lang w:val="it-IT"/>
              </w:rPr>
            </w:pPr>
            <w:r w:rsidRPr="00E92B0C">
              <w:rPr>
                <w:rFonts w:eastAsia="Times New Roman"/>
                <w:lang w:val="it-IT"/>
              </w:rPr>
              <w:t>b) un avviso del ricevimento della segnalazione alla persona segnalante entro sette giorni a decorrere dal ricevimento;</w:t>
            </w:r>
          </w:p>
          <w:p w14:paraId="24292B34" w14:textId="77777777" w:rsidR="00702F21" w:rsidRPr="00E92B0C" w:rsidRDefault="00702F21" w:rsidP="008B559D">
            <w:pPr>
              <w:tabs>
                <w:tab w:val="left" w:pos="268"/>
              </w:tabs>
              <w:spacing w:before="342"/>
              <w:jc w:val="both"/>
              <w:textAlignment w:val="baseline"/>
              <w:rPr>
                <w:rFonts w:eastAsia="Times New Roman"/>
                <w:lang w:val="it-IT"/>
              </w:rPr>
            </w:pPr>
            <w:r w:rsidRPr="00E92B0C">
              <w:rPr>
                <w:rFonts w:eastAsia="Times New Roman"/>
                <w:lang w:val="it-IT"/>
              </w:rPr>
              <w:t>c) la designazione di una persona o di un servizio imparziale competente per dare seguito alle segnalazioni che potrebbe essere la stessa persona o lo stesso servizio che riceve le segnalazioni e che manterrà la comunicazione con la persona segnalante e, se necessario, chiederà ulteriori informazioni e fornirà un riscontro a quest’ultima;</w:t>
            </w:r>
          </w:p>
          <w:p w14:paraId="5A6B253C" w14:textId="77777777" w:rsidR="00702F21" w:rsidRPr="00E92B0C" w:rsidRDefault="00702F21" w:rsidP="008B559D">
            <w:pPr>
              <w:tabs>
                <w:tab w:val="left" w:pos="792"/>
              </w:tabs>
              <w:spacing w:before="299"/>
              <w:jc w:val="both"/>
              <w:textAlignment w:val="baseline"/>
              <w:rPr>
                <w:rFonts w:eastAsia="Times New Roman"/>
                <w:lang w:val="it-IT"/>
              </w:rPr>
            </w:pPr>
            <w:r w:rsidRPr="00E92B0C">
              <w:rPr>
                <w:rFonts w:eastAsia="Times New Roman"/>
                <w:lang w:val="it-IT"/>
              </w:rPr>
              <w:t>d) un seguito diligente da parte della persona designata o del servizio designato di cui alla lettera c);</w:t>
            </w:r>
          </w:p>
          <w:p w14:paraId="5B80433D" w14:textId="77777777" w:rsidR="00702F21" w:rsidRPr="00E92B0C" w:rsidRDefault="00702F21" w:rsidP="008B559D">
            <w:pPr>
              <w:tabs>
                <w:tab w:val="left" w:pos="792"/>
              </w:tabs>
              <w:spacing w:before="299" w:after="5"/>
              <w:jc w:val="both"/>
              <w:textAlignment w:val="baseline"/>
              <w:rPr>
                <w:rFonts w:eastAsia="Times New Roman"/>
                <w:lang w:val="it-IT"/>
              </w:rPr>
            </w:pPr>
            <w:r w:rsidRPr="00E92B0C">
              <w:rPr>
                <w:rFonts w:eastAsia="Times New Roman"/>
                <w:lang w:val="it-IT"/>
              </w:rPr>
              <w:t>e) un seguito diligente, se previsto dal diritto nazionale, per quanto riguarda le segnalazioni anonime;</w:t>
            </w:r>
          </w:p>
          <w:p w14:paraId="62A07032" w14:textId="77777777" w:rsidR="00702F21" w:rsidRPr="00E92B0C" w:rsidRDefault="00702F21" w:rsidP="008B559D">
            <w:pPr>
              <w:tabs>
                <w:tab w:val="left" w:pos="792"/>
              </w:tabs>
              <w:spacing w:before="383"/>
              <w:ind w:right="41"/>
              <w:jc w:val="both"/>
              <w:textAlignment w:val="baseline"/>
              <w:rPr>
                <w:rFonts w:eastAsia="Times New Roman"/>
                <w:lang w:val="it-IT"/>
              </w:rPr>
            </w:pPr>
            <w:r w:rsidRPr="00E92B0C">
              <w:rPr>
                <w:rFonts w:eastAsia="Times New Roman"/>
                <w:lang w:val="it-IT"/>
              </w:rPr>
              <w:t>f) un termine ragionevole per dare un riscontro, non superiore a tre mesi a far data dall’avviso di ricevimento della segnalazione, oppure, se non è stato inviato alcun avviso alla persona segnalante, tre mesi dalla scadenza del termine di sette giorni dall’effettuazione della segnalazione;</w:t>
            </w:r>
          </w:p>
          <w:p w14:paraId="3FFD23BA" w14:textId="77777777" w:rsidR="00702F21" w:rsidRPr="00E92B0C" w:rsidRDefault="00702F21" w:rsidP="008B559D">
            <w:pPr>
              <w:tabs>
                <w:tab w:val="left" w:pos="792"/>
              </w:tabs>
              <w:spacing w:before="308"/>
              <w:jc w:val="both"/>
              <w:textAlignment w:val="baseline"/>
              <w:rPr>
                <w:rFonts w:eastAsia="Times New Roman"/>
                <w:lang w:val="it-IT"/>
              </w:rPr>
            </w:pPr>
            <w:r w:rsidRPr="00E92B0C">
              <w:rPr>
                <w:rFonts w:eastAsia="Times New Roman"/>
                <w:lang w:val="it-IT"/>
              </w:rPr>
              <w:t>g) fornitura di informazioni chiare e facilmente accessibili sulle procedure per effettuare segnalazioni esterne alle auto</w:t>
            </w:r>
            <w:r w:rsidRPr="00E92B0C">
              <w:rPr>
                <w:rFonts w:eastAsia="Times New Roman"/>
                <w:lang w:val="it-IT"/>
              </w:rPr>
              <w:softHyphen/>
              <w:t>rità competenti a norma dell’articolo 10 e, se del caso, a istituzioni, organi e organismi dell’Unione.</w:t>
            </w:r>
          </w:p>
          <w:p w14:paraId="6D50702F" w14:textId="77777777" w:rsidR="00702F21" w:rsidRPr="00E92B0C" w:rsidRDefault="00702F21" w:rsidP="008B559D">
            <w:pPr>
              <w:rPr>
                <w:lang w:val="it-IT"/>
              </w:rPr>
            </w:pPr>
          </w:p>
        </w:tc>
        <w:tc>
          <w:tcPr>
            <w:tcW w:w="4814" w:type="dxa"/>
          </w:tcPr>
          <w:p w14:paraId="5BF2E967" w14:textId="77777777" w:rsidR="00702F21" w:rsidRPr="002A62C6" w:rsidRDefault="00702F21" w:rsidP="008B559D">
            <w:proofErr w:type="gramStart"/>
            <w:r w:rsidRPr="002A62C6">
              <w:t>v</w:t>
            </w:r>
            <w:proofErr w:type="gramEnd"/>
            <w:r w:rsidRPr="002A62C6">
              <w:t>. art. 4, comma 1.</w:t>
            </w:r>
          </w:p>
          <w:p w14:paraId="10F10929" w14:textId="77777777" w:rsidR="00702F21" w:rsidRPr="002A62C6" w:rsidRDefault="00702F21" w:rsidP="008B559D"/>
          <w:p w14:paraId="09F91D39" w14:textId="77777777" w:rsidR="00702F21" w:rsidRPr="002A62C6" w:rsidRDefault="00702F21" w:rsidP="008B559D"/>
          <w:p w14:paraId="34E2D771" w14:textId="4680B01C" w:rsidR="00702F21" w:rsidRPr="002A62C6" w:rsidRDefault="00D01A0F" w:rsidP="008B559D">
            <w:r>
              <w:t xml:space="preserve">Art. 5 comma 1 </w:t>
            </w:r>
            <w:proofErr w:type="spellStart"/>
            <w:r>
              <w:t>lett</w:t>
            </w:r>
            <w:proofErr w:type="spellEnd"/>
            <w:r>
              <w:t>. a)</w:t>
            </w:r>
          </w:p>
          <w:p w14:paraId="7D6FEBAE" w14:textId="77777777" w:rsidR="00702F21" w:rsidRPr="002A62C6" w:rsidRDefault="00702F21" w:rsidP="008B559D"/>
          <w:p w14:paraId="49B1660D" w14:textId="77777777" w:rsidR="00702F21" w:rsidRPr="002A62C6" w:rsidRDefault="00702F21" w:rsidP="008B559D"/>
          <w:p w14:paraId="35A4D3AB" w14:textId="77777777" w:rsidR="00702F21" w:rsidRPr="002A62C6" w:rsidRDefault="00702F21" w:rsidP="008B559D"/>
          <w:p w14:paraId="0F5923E3" w14:textId="77777777" w:rsidR="00702F21" w:rsidRPr="002A62C6" w:rsidRDefault="00702F21" w:rsidP="008B559D"/>
          <w:p w14:paraId="69C269FE" w14:textId="77777777" w:rsidR="00702F21" w:rsidRPr="002A62C6" w:rsidRDefault="00702F21" w:rsidP="008B559D"/>
          <w:p w14:paraId="62692DC2" w14:textId="4618F63A" w:rsidR="00702F21" w:rsidRPr="002A62C6" w:rsidRDefault="00702F21" w:rsidP="008B559D">
            <w:r w:rsidRPr="002A62C6">
              <w:t xml:space="preserve">Art. </w:t>
            </w:r>
            <w:r w:rsidR="00204557">
              <w:t>4 comma 2</w:t>
            </w:r>
          </w:p>
          <w:p w14:paraId="780D484F" w14:textId="77777777" w:rsidR="00702F21" w:rsidRPr="002A62C6" w:rsidRDefault="00702F21" w:rsidP="008B559D"/>
          <w:p w14:paraId="309C00ED" w14:textId="77777777" w:rsidR="00702F21" w:rsidRPr="002A62C6" w:rsidRDefault="00702F21" w:rsidP="008B559D">
            <w:pPr>
              <w:jc w:val="center"/>
              <w:rPr>
                <w:rFonts w:eastAsia="Times New Roman"/>
                <w:b/>
                <w:bCs/>
                <w:color w:val="000000"/>
              </w:rPr>
            </w:pPr>
          </w:p>
          <w:p w14:paraId="6BDC523F" w14:textId="1FCF3CAB" w:rsidR="00702F21" w:rsidRPr="002A62C6" w:rsidRDefault="009626EE" w:rsidP="008B559D">
            <w:proofErr w:type="gramStart"/>
            <w:r>
              <w:t>art</w:t>
            </w:r>
            <w:proofErr w:type="gramEnd"/>
            <w:r>
              <w:t xml:space="preserve">. 5 comma 1 </w:t>
            </w:r>
            <w:proofErr w:type="spellStart"/>
            <w:r>
              <w:t>lett</w:t>
            </w:r>
            <w:proofErr w:type="spellEnd"/>
            <w:r>
              <w:t>. c)</w:t>
            </w:r>
          </w:p>
          <w:p w14:paraId="7E4C2608" w14:textId="77777777" w:rsidR="00702F21" w:rsidRPr="002A62C6" w:rsidRDefault="00702F21" w:rsidP="008B559D"/>
          <w:p w14:paraId="4A5BF784" w14:textId="77777777" w:rsidR="00702F21" w:rsidRPr="002A62C6" w:rsidRDefault="00702F21" w:rsidP="008B559D"/>
          <w:p w14:paraId="45337179" w14:textId="2AF2743D" w:rsidR="00702F21" w:rsidRPr="00BE38E8" w:rsidRDefault="00D04A4B" w:rsidP="008B559D">
            <w:pPr>
              <w:rPr>
                <w:lang w:val="it-IT"/>
              </w:rPr>
            </w:pPr>
            <w:r>
              <w:t xml:space="preserve"> </w:t>
            </w:r>
            <w:r w:rsidR="00FC71AD" w:rsidRPr="00BE38E8">
              <w:rPr>
                <w:lang w:val="it-IT"/>
              </w:rPr>
              <w:t>opzione non esercitata</w:t>
            </w:r>
          </w:p>
          <w:p w14:paraId="619505B9" w14:textId="77777777" w:rsidR="00702F21" w:rsidRPr="00BE38E8" w:rsidRDefault="00702F21" w:rsidP="008B559D">
            <w:pPr>
              <w:rPr>
                <w:lang w:val="it-IT"/>
              </w:rPr>
            </w:pPr>
          </w:p>
          <w:p w14:paraId="2D097116" w14:textId="77777777" w:rsidR="00702F21" w:rsidRPr="00BE38E8" w:rsidRDefault="00702F21" w:rsidP="008B559D">
            <w:pPr>
              <w:rPr>
                <w:lang w:val="it-IT"/>
              </w:rPr>
            </w:pPr>
          </w:p>
          <w:p w14:paraId="5E441B87" w14:textId="160AC012" w:rsidR="00702F21" w:rsidRPr="00BE38E8" w:rsidRDefault="00352FCF" w:rsidP="008B559D">
            <w:pPr>
              <w:rPr>
                <w:lang w:val="it-IT"/>
              </w:rPr>
            </w:pPr>
            <w:r w:rsidRPr="00BE38E8">
              <w:rPr>
                <w:lang w:val="it-IT"/>
              </w:rPr>
              <w:t>Art. 5 comma 1 lett.d)</w:t>
            </w:r>
          </w:p>
          <w:p w14:paraId="75E0EF45" w14:textId="77777777" w:rsidR="00702F21" w:rsidRPr="00BE38E8" w:rsidRDefault="00702F21" w:rsidP="008B559D">
            <w:pPr>
              <w:rPr>
                <w:lang w:val="it-IT"/>
              </w:rPr>
            </w:pPr>
          </w:p>
          <w:p w14:paraId="5148131D" w14:textId="77777777" w:rsidR="00702F21" w:rsidRPr="00BE38E8" w:rsidRDefault="00702F21" w:rsidP="008B559D">
            <w:pPr>
              <w:rPr>
                <w:lang w:val="it-IT"/>
              </w:rPr>
            </w:pPr>
          </w:p>
          <w:p w14:paraId="551232D9" w14:textId="77777777" w:rsidR="00702F21" w:rsidRPr="00BE38E8" w:rsidRDefault="00702F21" w:rsidP="008B559D">
            <w:pPr>
              <w:rPr>
                <w:lang w:val="it-IT"/>
              </w:rPr>
            </w:pPr>
          </w:p>
          <w:p w14:paraId="36359D94" w14:textId="77777777" w:rsidR="00702F21" w:rsidRPr="00BE38E8" w:rsidRDefault="00702F21" w:rsidP="008B559D">
            <w:pPr>
              <w:rPr>
                <w:lang w:val="it-IT"/>
              </w:rPr>
            </w:pPr>
          </w:p>
          <w:p w14:paraId="41EAFC13" w14:textId="38BD2AEB" w:rsidR="00702F21" w:rsidRPr="002A62C6" w:rsidRDefault="00702F21" w:rsidP="008B559D">
            <w:r w:rsidRPr="002A62C6">
              <w:t xml:space="preserve">Art. 5 </w:t>
            </w:r>
            <w:r w:rsidR="00FC71AD">
              <w:t xml:space="preserve">comma 1 </w:t>
            </w:r>
            <w:proofErr w:type="spellStart"/>
            <w:r w:rsidR="00FC71AD">
              <w:t>lett</w:t>
            </w:r>
            <w:proofErr w:type="spellEnd"/>
            <w:r w:rsidR="00FC71AD">
              <w:t>. e)</w:t>
            </w:r>
          </w:p>
          <w:p w14:paraId="6ED53F6A" w14:textId="77777777" w:rsidR="00702F21" w:rsidRPr="002A62C6" w:rsidRDefault="00702F21" w:rsidP="008B559D"/>
          <w:p w14:paraId="05EEAF89" w14:textId="77777777" w:rsidR="00702F21" w:rsidRPr="002A62C6" w:rsidRDefault="00702F21" w:rsidP="008B559D"/>
          <w:p w14:paraId="30D0CF25" w14:textId="77777777" w:rsidR="00702F21" w:rsidRPr="002A62C6" w:rsidRDefault="00702F21" w:rsidP="008B559D"/>
          <w:p w14:paraId="55A79701" w14:textId="77777777" w:rsidR="00702F21" w:rsidRPr="002A62C6" w:rsidRDefault="00702F21" w:rsidP="008B559D"/>
          <w:p w14:paraId="39620530" w14:textId="46EC3B09" w:rsidR="00702F21" w:rsidRPr="002A62C6" w:rsidRDefault="00702F21" w:rsidP="008B559D"/>
        </w:tc>
      </w:tr>
      <w:tr w:rsidR="00702F21" w:rsidRPr="00E92B0C" w14:paraId="421477C5" w14:textId="77777777" w:rsidTr="008B559D">
        <w:tc>
          <w:tcPr>
            <w:tcW w:w="4814" w:type="dxa"/>
          </w:tcPr>
          <w:p w14:paraId="1268F8CE" w14:textId="77777777" w:rsidR="00702F21" w:rsidRPr="00E92B0C" w:rsidRDefault="00702F21" w:rsidP="008B559D">
            <w:pPr>
              <w:tabs>
                <w:tab w:val="decimal" w:pos="648"/>
                <w:tab w:val="left" w:pos="936"/>
              </w:tabs>
              <w:spacing w:before="268"/>
              <w:jc w:val="both"/>
              <w:textAlignment w:val="baseline"/>
              <w:rPr>
                <w:rFonts w:eastAsia="Times New Roman"/>
                <w:lang w:val="it-IT"/>
              </w:rPr>
            </w:pPr>
            <w:r w:rsidRPr="00BE38E8">
              <w:rPr>
                <w:lang w:val="it-IT"/>
              </w:rPr>
              <w:tab/>
            </w:r>
            <w:r w:rsidRPr="00E92B0C">
              <w:rPr>
                <w:rFonts w:eastAsia="Times New Roman"/>
                <w:lang w:val="it-IT"/>
              </w:rPr>
              <w:t>2. I canali previsti al paragrafo 1, lettera a), consentono segnalazioni in forma scritta od orale. Le segnalazioni orali sono possibili attraverso linee telefoniche o attraverso altri sistemi di messaggistica vocale e, su richiesta della persona segnalante, mediante un incontro diretto entro un termine ragionevole.</w:t>
            </w:r>
          </w:p>
          <w:p w14:paraId="601DA24B" w14:textId="77777777" w:rsidR="00702F21" w:rsidRPr="00E92B0C" w:rsidRDefault="00702F21" w:rsidP="008B559D">
            <w:pPr>
              <w:tabs>
                <w:tab w:val="left" w:pos="1653"/>
              </w:tabs>
              <w:rPr>
                <w:lang w:val="it-IT"/>
              </w:rPr>
            </w:pPr>
          </w:p>
        </w:tc>
        <w:tc>
          <w:tcPr>
            <w:tcW w:w="4814" w:type="dxa"/>
          </w:tcPr>
          <w:p w14:paraId="6BE80A12" w14:textId="77777777" w:rsidR="00702F21" w:rsidRPr="00E92B0C" w:rsidRDefault="00702F21" w:rsidP="008B559D">
            <w:pPr>
              <w:rPr>
                <w:lang w:val="it-IT"/>
              </w:rPr>
            </w:pPr>
          </w:p>
          <w:p w14:paraId="3FD74F92" w14:textId="0590E29E" w:rsidR="00702F21" w:rsidRPr="00E92B0C" w:rsidRDefault="00702F21" w:rsidP="008B559D">
            <w:pPr>
              <w:rPr>
                <w:lang w:val="it-IT"/>
              </w:rPr>
            </w:pPr>
            <w:r w:rsidRPr="00E92B0C">
              <w:rPr>
                <w:lang w:val="it-IT"/>
              </w:rPr>
              <w:t>v. art. 4, comm</w:t>
            </w:r>
            <w:r w:rsidR="0085313C">
              <w:rPr>
                <w:strike/>
                <w:lang w:val="it-IT"/>
              </w:rPr>
              <w:t>i</w:t>
            </w:r>
            <w:r w:rsidR="0085313C">
              <w:rPr>
                <w:lang w:val="it-IT"/>
              </w:rPr>
              <w:t xml:space="preserve"> </w:t>
            </w:r>
            <w:r w:rsidRPr="00E92B0C">
              <w:rPr>
                <w:lang w:val="it-IT"/>
              </w:rPr>
              <w:t xml:space="preserve"> 1</w:t>
            </w:r>
            <w:r w:rsidR="0085313C">
              <w:rPr>
                <w:lang w:val="it-IT"/>
              </w:rPr>
              <w:t xml:space="preserve"> e 3</w:t>
            </w:r>
            <w:r w:rsidRPr="00E92B0C">
              <w:rPr>
                <w:lang w:val="it-IT"/>
              </w:rPr>
              <w:t>.</w:t>
            </w:r>
          </w:p>
        </w:tc>
      </w:tr>
    </w:tbl>
    <w:p w14:paraId="26439157" w14:textId="77777777" w:rsidR="00702F21" w:rsidRPr="00E92B0C" w:rsidRDefault="00702F21" w:rsidP="00702F21">
      <w:pPr>
        <w:rPr>
          <w:lang w:val="it-IT"/>
        </w:rPr>
      </w:pPr>
    </w:p>
    <w:tbl>
      <w:tblPr>
        <w:tblStyle w:val="Grigliatabella"/>
        <w:tblW w:w="0" w:type="auto"/>
        <w:tblLook w:val="04A0" w:firstRow="1" w:lastRow="0" w:firstColumn="1" w:lastColumn="0" w:noHBand="0" w:noVBand="1"/>
      </w:tblPr>
      <w:tblGrid>
        <w:gridCol w:w="4814"/>
        <w:gridCol w:w="4814"/>
      </w:tblGrid>
      <w:tr w:rsidR="00702F21" w:rsidRPr="00BE38E8" w14:paraId="11B0A7C2" w14:textId="77777777" w:rsidTr="008B559D">
        <w:tc>
          <w:tcPr>
            <w:tcW w:w="4814" w:type="dxa"/>
          </w:tcPr>
          <w:p w14:paraId="092B891B" w14:textId="77777777" w:rsidR="00702F21" w:rsidRPr="00E92B0C" w:rsidRDefault="00702F21" w:rsidP="008B559D">
            <w:pPr>
              <w:jc w:val="center"/>
              <w:textAlignment w:val="baseline"/>
              <w:rPr>
                <w:rFonts w:eastAsia="Times New Roman"/>
                <w:lang w:val="it-IT"/>
              </w:rPr>
            </w:pPr>
            <w:r w:rsidRPr="00E92B0C">
              <w:rPr>
                <w:rFonts w:eastAsia="Times New Roman"/>
                <w:lang w:val="it-IT"/>
              </w:rPr>
              <w:t xml:space="preserve">CAPO III </w:t>
            </w:r>
          </w:p>
          <w:p w14:paraId="663783C2" w14:textId="77777777" w:rsidR="00702F21" w:rsidRPr="00E92B0C" w:rsidRDefault="00702F21" w:rsidP="008B559D">
            <w:pPr>
              <w:jc w:val="center"/>
              <w:textAlignment w:val="baseline"/>
              <w:rPr>
                <w:rFonts w:eastAsia="Times New Roman"/>
                <w:b/>
                <w:lang w:val="it-IT"/>
              </w:rPr>
            </w:pPr>
            <w:r w:rsidRPr="00E92B0C">
              <w:rPr>
                <w:rFonts w:eastAsia="Times New Roman"/>
                <w:b/>
                <w:lang w:val="it-IT"/>
              </w:rPr>
              <w:t>SEGNALAZIONE ESTERNA E RELATIVO SEGUITO</w:t>
            </w:r>
          </w:p>
          <w:p w14:paraId="7AC69718" w14:textId="77777777" w:rsidR="00702F21" w:rsidRPr="00E92B0C" w:rsidRDefault="00702F21" w:rsidP="008B559D">
            <w:pPr>
              <w:rPr>
                <w:lang w:val="it-IT"/>
              </w:rPr>
            </w:pPr>
          </w:p>
        </w:tc>
        <w:tc>
          <w:tcPr>
            <w:tcW w:w="4814" w:type="dxa"/>
          </w:tcPr>
          <w:p w14:paraId="2F9F69F5" w14:textId="77777777" w:rsidR="00702F21" w:rsidRPr="00E92B0C" w:rsidRDefault="00702F21" w:rsidP="008B559D">
            <w:pPr>
              <w:rPr>
                <w:lang w:val="it-IT"/>
              </w:rPr>
            </w:pPr>
          </w:p>
        </w:tc>
      </w:tr>
      <w:tr w:rsidR="00702F21" w:rsidRPr="00BE38E8" w14:paraId="3A09C295" w14:textId="77777777" w:rsidTr="008B559D">
        <w:tc>
          <w:tcPr>
            <w:tcW w:w="4814" w:type="dxa"/>
          </w:tcPr>
          <w:p w14:paraId="41208974" w14:textId="77777777" w:rsidR="00702F21" w:rsidRPr="00E92B0C" w:rsidRDefault="00702F21" w:rsidP="008B559D">
            <w:pPr>
              <w:jc w:val="center"/>
              <w:textAlignment w:val="baseline"/>
              <w:rPr>
                <w:rFonts w:eastAsia="Times New Roman"/>
                <w:i/>
                <w:lang w:val="it-IT"/>
              </w:rPr>
            </w:pPr>
            <w:r w:rsidRPr="00E92B0C">
              <w:rPr>
                <w:rFonts w:eastAsia="Times New Roman"/>
                <w:i/>
                <w:lang w:val="it-IT"/>
              </w:rPr>
              <w:t xml:space="preserve">Articolo 10 </w:t>
            </w:r>
          </w:p>
          <w:p w14:paraId="18460807" w14:textId="77777777" w:rsidR="00702F21" w:rsidRPr="00E92B0C" w:rsidRDefault="00702F21" w:rsidP="008B559D">
            <w:pPr>
              <w:jc w:val="center"/>
              <w:textAlignment w:val="baseline"/>
              <w:rPr>
                <w:rFonts w:eastAsia="Times New Roman"/>
                <w:b/>
                <w:lang w:val="it-IT"/>
              </w:rPr>
            </w:pPr>
            <w:r w:rsidRPr="00E92B0C">
              <w:rPr>
                <w:rFonts w:eastAsia="Times New Roman"/>
                <w:b/>
                <w:lang w:val="it-IT"/>
              </w:rPr>
              <w:t>Segnalazione attraverso canali di segnalazione esterni</w:t>
            </w:r>
          </w:p>
          <w:p w14:paraId="51AEA2B3" w14:textId="77777777" w:rsidR="00702F21" w:rsidRPr="00E92B0C" w:rsidRDefault="00702F21" w:rsidP="008B559D">
            <w:pPr>
              <w:rPr>
                <w:lang w:val="it-IT"/>
              </w:rPr>
            </w:pPr>
          </w:p>
        </w:tc>
        <w:tc>
          <w:tcPr>
            <w:tcW w:w="4814" w:type="dxa"/>
          </w:tcPr>
          <w:p w14:paraId="33A482AC" w14:textId="77777777" w:rsidR="00702F21" w:rsidRPr="00E92B0C" w:rsidRDefault="00702F21" w:rsidP="008B559D">
            <w:pPr>
              <w:spacing w:line="360" w:lineRule="auto"/>
              <w:jc w:val="center"/>
              <w:rPr>
                <w:rFonts w:eastAsia="Times New Roman"/>
                <w:b/>
                <w:bCs/>
                <w:color w:val="000000" w:themeColor="text1"/>
                <w:lang w:val="it-IT"/>
              </w:rPr>
            </w:pPr>
            <w:r w:rsidRPr="00E92B0C">
              <w:rPr>
                <w:rFonts w:eastAsia="Times New Roman"/>
                <w:b/>
                <w:bCs/>
                <w:color w:val="000000" w:themeColor="text1"/>
                <w:lang w:val="it-IT"/>
              </w:rPr>
              <w:t>Art. 6</w:t>
            </w:r>
          </w:p>
          <w:p w14:paraId="4935CB90" w14:textId="77777777" w:rsidR="00702F21" w:rsidRPr="00E92B0C" w:rsidRDefault="00702F21" w:rsidP="008B559D">
            <w:pPr>
              <w:spacing w:line="360" w:lineRule="auto"/>
              <w:jc w:val="center"/>
              <w:rPr>
                <w:rFonts w:eastAsia="Times New Roman"/>
                <w:lang w:val="it-IT"/>
              </w:rPr>
            </w:pPr>
            <w:r w:rsidRPr="00E92B0C">
              <w:rPr>
                <w:rFonts w:eastAsia="Times New Roman"/>
                <w:lang w:val="it-IT"/>
              </w:rPr>
              <w:t>(</w:t>
            </w:r>
            <w:r w:rsidRPr="00E92B0C">
              <w:rPr>
                <w:rFonts w:eastAsia="Times New Roman"/>
                <w:i/>
                <w:iCs/>
                <w:lang w:val="it-IT"/>
              </w:rPr>
              <w:t>Condizioni per l’effettuazione della segnalazione esterna</w:t>
            </w:r>
            <w:r w:rsidRPr="00E92B0C">
              <w:rPr>
                <w:rFonts w:eastAsia="Times New Roman"/>
                <w:lang w:val="it-IT"/>
              </w:rPr>
              <w:t>)</w:t>
            </w:r>
          </w:p>
          <w:p w14:paraId="2FCF2D4D" w14:textId="77777777" w:rsidR="00702F21" w:rsidRPr="00E92B0C" w:rsidRDefault="00702F21" w:rsidP="008B559D">
            <w:pPr>
              <w:rPr>
                <w:lang w:val="it-IT"/>
              </w:rPr>
            </w:pPr>
          </w:p>
        </w:tc>
      </w:tr>
      <w:tr w:rsidR="00702F21" w:rsidRPr="002A62C6" w14:paraId="6D9FEBEC" w14:textId="77777777" w:rsidTr="008B559D">
        <w:tc>
          <w:tcPr>
            <w:tcW w:w="4814" w:type="dxa"/>
          </w:tcPr>
          <w:p w14:paraId="237A9F47" w14:textId="77777777" w:rsidR="00702F21" w:rsidRPr="00E92B0C" w:rsidRDefault="00702F21" w:rsidP="008B559D">
            <w:pPr>
              <w:spacing w:before="137"/>
              <w:jc w:val="both"/>
              <w:textAlignment w:val="baseline"/>
              <w:rPr>
                <w:rFonts w:eastAsia="Times New Roman"/>
                <w:lang w:val="it-IT"/>
              </w:rPr>
            </w:pPr>
            <w:r w:rsidRPr="00E92B0C">
              <w:rPr>
                <w:rFonts w:eastAsia="Times New Roman"/>
                <w:lang w:val="it-IT"/>
              </w:rPr>
              <w:t>Fatto salvo l’articolo 15, paragrafo 1, lettera b), le persone segnalanti forniscono informazioni sulle violazioni utiliz</w:t>
            </w:r>
            <w:r w:rsidRPr="00E92B0C">
              <w:rPr>
                <w:rFonts w:eastAsia="Times New Roman"/>
                <w:lang w:val="it-IT"/>
              </w:rPr>
              <w:softHyphen/>
              <w:t>zando i canali e le procedure di cui agli articoli 11 e 12, dopo aver utilizzato i canali interni di segnalazione, o effettuando una segnalazione direttamente attraverso i canali di segnalazione esterni.</w:t>
            </w:r>
          </w:p>
          <w:p w14:paraId="323D35C5" w14:textId="77777777" w:rsidR="00702F21" w:rsidRPr="00E92B0C" w:rsidRDefault="00702F21" w:rsidP="008B559D">
            <w:pPr>
              <w:tabs>
                <w:tab w:val="left" w:pos="2829"/>
              </w:tabs>
              <w:rPr>
                <w:lang w:val="it-IT"/>
              </w:rPr>
            </w:pPr>
          </w:p>
        </w:tc>
        <w:tc>
          <w:tcPr>
            <w:tcW w:w="4814" w:type="dxa"/>
          </w:tcPr>
          <w:p w14:paraId="71448B46" w14:textId="77777777" w:rsidR="00702F21" w:rsidRPr="00E92B0C" w:rsidRDefault="00702F21" w:rsidP="008B559D">
            <w:pPr>
              <w:jc w:val="both"/>
              <w:rPr>
                <w:lang w:val="it-IT"/>
              </w:rPr>
            </w:pPr>
            <w:r>
              <w:rPr>
                <w:lang w:val="it-IT"/>
              </w:rPr>
              <w:t>Art. 6</w:t>
            </w:r>
          </w:p>
        </w:tc>
      </w:tr>
      <w:tr w:rsidR="00702F21" w:rsidRPr="00BE38E8" w14:paraId="5FC485BF" w14:textId="77777777" w:rsidTr="008B559D">
        <w:tc>
          <w:tcPr>
            <w:tcW w:w="4814" w:type="dxa"/>
          </w:tcPr>
          <w:p w14:paraId="2B2AA15D" w14:textId="77777777" w:rsidR="00702F21" w:rsidRPr="00E92B0C" w:rsidRDefault="00702F21" w:rsidP="008B559D">
            <w:pPr>
              <w:jc w:val="center"/>
              <w:textAlignment w:val="baseline"/>
              <w:rPr>
                <w:rFonts w:eastAsia="Times New Roman"/>
                <w:i/>
                <w:spacing w:val="-4"/>
                <w:lang w:val="it-IT"/>
              </w:rPr>
            </w:pPr>
            <w:r w:rsidRPr="00E92B0C">
              <w:rPr>
                <w:rFonts w:eastAsia="Times New Roman"/>
                <w:i/>
                <w:spacing w:val="-4"/>
                <w:lang w:val="it-IT"/>
              </w:rPr>
              <w:t>Articolo 11</w:t>
            </w:r>
          </w:p>
          <w:p w14:paraId="1D7D4487" w14:textId="77777777" w:rsidR="00702F21" w:rsidRPr="00E92B0C" w:rsidRDefault="00702F21" w:rsidP="008B559D">
            <w:pPr>
              <w:jc w:val="center"/>
              <w:textAlignment w:val="baseline"/>
              <w:rPr>
                <w:rFonts w:eastAsia="Times New Roman"/>
                <w:b/>
                <w:spacing w:val="1"/>
                <w:lang w:val="it-IT"/>
              </w:rPr>
            </w:pPr>
            <w:r w:rsidRPr="00E92B0C">
              <w:rPr>
                <w:rFonts w:eastAsia="Times New Roman"/>
                <w:b/>
                <w:spacing w:val="1"/>
                <w:lang w:val="it-IT"/>
              </w:rPr>
              <w:t>Obbligo di istituire canali di segnalazione esterna e di seguito alle segnalazioni</w:t>
            </w:r>
          </w:p>
          <w:p w14:paraId="69BABD6A" w14:textId="77777777" w:rsidR="00702F21" w:rsidRPr="00E92B0C" w:rsidRDefault="00702F21" w:rsidP="008B559D">
            <w:pPr>
              <w:rPr>
                <w:lang w:val="it-IT"/>
              </w:rPr>
            </w:pPr>
          </w:p>
        </w:tc>
        <w:tc>
          <w:tcPr>
            <w:tcW w:w="4814" w:type="dxa"/>
          </w:tcPr>
          <w:p w14:paraId="3C018B90" w14:textId="77777777" w:rsidR="00702F21" w:rsidRPr="00866AC5" w:rsidRDefault="00702F21" w:rsidP="008B559D">
            <w:pPr>
              <w:spacing w:line="360" w:lineRule="auto"/>
              <w:jc w:val="center"/>
              <w:rPr>
                <w:rFonts w:eastAsiaTheme="minorHAnsi"/>
                <w:lang w:val="it-IT"/>
              </w:rPr>
            </w:pPr>
            <w:r w:rsidRPr="00866AC5">
              <w:rPr>
                <w:rFonts w:eastAsia="Times New Roman"/>
                <w:b/>
                <w:bCs/>
                <w:color w:val="000000" w:themeColor="text1"/>
                <w:lang w:val="it-IT"/>
              </w:rPr>
              <w:t>Art. 7</w:t>
            </w:r>
            <w:r w:rsidRPr="00866AC5">
              <w:rPr>
                <w:rFonts w:eastAsia="Times New Roman"/>
                <w:i/>
                <w:iCs/>
                <w:color w:val="FF0000"/>
                <w:lang w:val="it-IT"/>
              </w:rPr>
              <w:t xml:space="preserve"> </w:t>
            </w:r>
          </w:p>
          <w:p w14:paraId="2253D70D" w14:textId="77777777" w:rsidR="00702F21" w:rsidRPr="00866AC5" w:rsidRDefault="00702F21" w:rsidP="008B559D">
            <w:pPr>
              <w:spacing w:line="360" w:lineRule="auto"/>
              <w:jc w:val="center"/>
              <w:rPr>
                <w:rFonts w:eastAsia="Times New Roman"/>
                <w:i/>
                <w:iCs/>
                <w:color w:val="000000" w:themeColor="text1"/>
                <w:lang w:val="it-IT"/>
              </w:rPr>
            </w:pPr>
            <w:r w:rsidRPr="00866AC5">
              <w:rPr>
                <w:rFonts w:eastAsia="Times New Roman"/>
                <w:i/>
                <w:iCs/>
                <w:color w:val="000000" w:themeColor="text1"/>
                <w:lang w:val="it-IT"/>
              </w:rPr>
              <w:t xml:space="preserve">(Canali di segnalazione esterna) </w:t>
            </w:r>
          </w:p>
          <w:p w14:paraId="056DC8FF" w14:textId="77777777" w:rsidR="00702F21" w:rsidRPr="00866AC5" w:rsidRDefault="00702F21" w:rsidP="008B559D">
            <w:pPr>
              <w:rPr>
                <w:lang w:val="it-IT"/>
              </w:rPr>
            </w:pPr>
          </w:p>
        </w:tc>
      </w:tr>
      <w:tr w:rsidR="00702F21" w:rsidRPr="00AF6525" w14:paraId="64716670" w14:textId="77777777" w:rsidTr="008B559D">
        <w:tc>
          <w:tcPr>
            <w:tcW w:w="4814" w:type="dxa"/>
          </w:tcPr>
          <w:p w14:paraId="114BE98D" w14:textId="77777777" w:rsidR="00702F21" w:rsidRPr="00E92B0C" w:rsidRDefault="00702F21" w:rsidP="008B559D">
            <w:pPr>
              <w:tabs>
                <w:tab w:val="decimal" w:pos="126"/>
                <w:tab w:val="left" w:pos="936"/>
              </w:tabs>
              <w:spacing w:before="104"/>
              <w:jc w:val="both"/>
              <w:textAlignment w:val="baseline"/>
              <w:rPr>
                <w:rFonts w:eastAsia="Times New Roman"/>
                <w:lang w:val="it-IT"/>
              </w:rPr>
            </w:pPr>
            <w:r w:rsidRPr="00E92B0C">
              <w:rPr>
                <w:lang w:val="it-IT"/>
              </w:rPr>
              <w:tab/>
            </w:r>
            <w:r w:rsidRPr="00E92B0C">
              <w:rPr>
                <w:rFonts w:eastAsia="Times New Roman"/>
                <w:lang w:val="it-IT"/>
              </w:rPr>
              <w:t>1. Gli Stati membri designano le autorità competenti per ricevere, fornire un riscontro e dare seguito alle segnalazioni e le dotano di risorse adeguate.</w:t>
            </w:r>
          </w:p>
          <w:p w14:paraId="284B6EB0" w14:textId="77777777" w:rsidR="00702F21" w:rsidRPr="00E92B0C" w:rsidRDefault="00702F21" w:rsidP="008B559D">
            <w:pPr>
              <w:tabs>
                <w:tab w:val="left" w:pos="1643"/>
              </w:tabs>
              <w:rPr>
                <w:lang w:val="it-IT"/>
              </w:rPr>
            </w:pPr>
          </w:p>
        </w:tc>
        <w:tc>
          <w:tcPr>
            <w:tcW w:w="4814" w:type="dxa"/>
          </w:tcPr>
          <w:p w14:paraId="70E20CB5" w14:textId="77777777" w:rsidR="00702F21" w:rsidRPr="00866AC5" w:rsidRDefault="00702F21" w:rsidP="008B559D">
            <w:pPr>
              <w:jc w:val="both"/>
              <w:rPr>
                <w:rFonts w:eastAsia="Times New Roman"/>
                <w:lang w:val="it-IT"/>
              </w:rPr>
            </w:pPr>
          </w:p>
          <w:p w14:paraId="2B0E737E" w14:textId="77777777" w:rsidR="00702F21" w:rsidRPr="00866AC5" w:rsidRDefault="00702F21" w:rsidP="008B559D">
            <w:pPr>
              <w:rPr>
                <w:lang w:val="it-IT"/>
              </w:rPr>
            </w:pPr>
            <w:r>
              <w:rPr>
                <w:lang w:val="it-IT"/>
              </w:rPr>
              <w:t>Art. 7</w:t>
            </w:r>
          </w:p>
        </w:tc>
      </w:tr>
      <w:tr w:rsidR="00702F21" w:rsidRPr="00BE38E8" w14:paraId="3F27DB39" w14:textId="77777777" w:rsidTr="008B559D">
        <w:tc>
          <w:tcPr>
            <w:tcW w:w="4814" w:type="dxa"/>
          </w:tcPr>
          <w:p w14:paraId="6D73C355" w14:textId="77777777" w:rsidR="00702F21" w:rsidRPr="00E92B0C" w:rsidRDefault="00702F21" w:rsidP="008B559D">
            <w:pPr>
              <w:tabs>
                <w:tab w:val="decimal" w:pos="551"/>
                <w:tab w:val="left" w:pos="936"/>
              </w:tabs>
              <w:spacing w:before="269"/>
              <w:jc w:val="both"/>
              <w:textAlignment w:val="baseline"/>
              <w:rPr>
                <w:rFonts w:eastAsia="Times New Roman"/>
                <w:lang w:val="it-IT"/>
              </w:rPr>
            </w:pPr>
            <w:r w:rsidRPr="00E92B0C">
              <w:rPr>
                <w:rFonts w:eastAsia="Times New Roman"/>
                <w:lang w:val="it-IT"/>
              </w:rPr>
              <w:t>2. Gli Stati membri provvedono affinché le autorità competenti:</w:t>
            </w:r>
          </w:p>
          <w:p w14:paraId="0D197C42" w14:textId="77777777" w:rsidR="00702F21" w:rsidRPr="00E92B0C" w:rsidRDefault="00702F21" w:rsidP="008B559D">
            <w:pPr>
              <w:tabs>
                <w:tab w:val="left" w:pos="792"/>
              </w:tabs>
              <w:spacing w:before="307"/>
              <w:ind w:right="41"/>
              <w:jc w:val="both"/>
              <w:textAlignment w:val="baseline"/>
              <w:rPr>
                <w:rFonts w:eastAsia="Times New Roman"/>
                <w:lang w:val="it-IT"/>
              </w:rPr>
            </w:pPr>
            <w:r w:rsidRPr="00E92B0C">
              <w:rPr>
                <w:rFonts w:eastAsia="Times New Roman"/>
                <w:lang w:val="it-IT"/>
              </w:rPr>
              <w:t>a) stabiliscano canali di segnalazione esterna indipendenti e autonomi per il ricevimento e il trattamento delle informa</w:t>
            </w:r>
            <w:r w:rsidRPr="00E92B0C">
              <w:rPr>
                <w:rFonts w:eastAsia="Times New Roman"/>
                <w:lang w:val="it-IT"/>
              </w:rPr>
              <w:softHyphen/>
              <w:t>zioni sulle violazioni;</w:t>
            </w:r>
          </w:p>
          <w:p w14:paraId="25C0A481" w14:textId="77777777" w:rsidR="00702F21" w:rsidRPr="00E92B0C" w:rsidRDefault="00702F21" w:rsidP="008B559D">
            <w:pPr>
              <w:tabs>
                <w:tab w:val="left" w:pos="792"/>
              </w:tabs>
              <w:spacing w:before="307"/>
              <w:ind w:right="41"/>
              <w:jc w:val="both"/>
              <w:textAlignment w:val="baseline"/>
              <w:rPr>
                <w:rFonts w:eastAsia="Times New Roman"/>
                <w:spacing w:val="1"/>
                <w:lang w:val="it-IT"/>
              </w:rPr>
            </w:pPr>
            <w:r w:rsidRPr="00E92B0C">
              <w:rPr>
                <w:rFonts w:eastAsia="Times New Roman"/>
                <w:spacing w:val="1"/>
                <w:lang w:val="it-IT"/>
              </w:rPr>
              <w:t>b) diano tempestivamente un avviso di ricevimento delle segnalazioni, in ogni caso entro sette giorni dal loro ricevi</w:t>
            </w:r>
            <w:r w:rsidRPr="00E92B0C">
              <w:rPr>
                <w:rFonts w:eastAsia="Times New Roman"/>
                <w:spacing w:val="1"/>
                <w:lang w:val="it-IT"/>
              </w:rPr>
              <w:softHyphen/>
              <w:t xml:space="preserve">mento, salvo esplicita diversa richiesta della persona segnalante o tranne </w:t>
            </w:r>
            <w:proofErr w:type="gramStart"/>
            <w:r w:rsidRPr="00E92B0C">
              <w:rPr>
                <w:rFonts w:eastAsia="Times New Roman"/>
                <w:spacing w:val="1"/>
                <w:lang w:val="it-IT"/>
              </w:rPr>
              <w:t>se</w:t>
            </w:r>
            <w:proofErr w:type="gramEnd"/>
            <w:r w:rsidRPr="00E92B0C">
              <w:rPr>
                <w:rFonts w:eastAsia="Times New Roman"/>
                <w:spacing w:val="1"/>
                <w:lang w:val="it-IT"/>
              </w:rPr>
              <w:t xml:space="preserve"> l’autorità competente ritiene ragionevolmente che confermare il ricevimento della segnalazione metta a repentaglio la protezione dell’identità della persona segnalante;</w:t>
            </w:r>
          </w:p>
          <w:p w14:paraId="6A73A900" w14:textId="77777777" w:rsidR="00702F21" w:rsidRPr="00E92B0C" w:rsidRDefault="00702F21" w:rsidP="008B559D">
            <w:pPr>
              <w:tabs>
                <w:tab w:val="left" w:pos="792"/>
              </w:tabs>
              <w:spacing w:before="268"/>
              <w:ind w:right="41"/>
              <w:jc w:val="both"/>
              <w:textAlignment w:val="baseline"/>
              <w:rPr>
                <w:rFonts w:eastAsia="Times New Roman"/>
                <w:spacing w:val="-1"/>
                <w:lang w:val="it-IT"/>
              </w:rPr>
            </w:pPr>
            <w:r w:rsidRPr="00E92B0C">
              <w:rPr>
                <w:rFonts w:eastAsia="Times New Roman"/>
                <w:spacing w:val="-1"/>
                <w:lang w:val="it-IT"/>
              </w:rPr>
              <w:t>c) diano diligentemente seguito alle segnalazioni;</w:t>
            </w:r>
          </w:p>
          <w:p w14:paraId="7227516B" w14:textId="77777777" w:rsidR="00702F21" w:rsidRPr="00E92B0C" w:rsidRDefault="00702F21" w:rsidP="008B559D">
            <w:pPr>
              <w:tabs>
                <w:tab w:val="left" w:pos="792"/>
              </w:tabs>
              <w:spacing w:before="308"/>
              <w:ind w:right="41"/>
              <w:jc w:val="both"/>
              <w:textAlignment w:val="baseline"/>
              <w:rPr>
                <w:rFonts w:eastAsia="Times New Roman"/>
                <w:lang w:val="it-IT"/>
              </w:rPr>
            </w:pPr>
            <w:r w:rsidRPr="00E92B0C">
              <w:rPr>
                <w:rFonts w:eastAsia="Times New Roman"/>
                <w:lang w:val="it-IT"/>
              </w:rPr>
              <w:t>d) diano un riscontro alla persona segnalante entro un termine ragionevole non superiore a tre mesi, o sei mesi in casi debitamente giustificati;</w:t>
            </w:r>
          </w:p>
          <w:p w14:paraId="696B6FB4" w14:textId="77777777" w:rsidR="00702F21" w:rsidRPr="00E92B0C" w:rsidRDefault="00702F21" w:rsidP="008B559D">
            <w:pPr>
              <w:tabs>
                <w:tab w:val="left" w:pos="792"/>
              </w:tabs>
              <w:spacing w:before="306"/>
              <w:ind w:right="41"/>
              <w:jc w:val="both"/>
              <w:textAlignment w:val="baseline"/>
              <w:rPr>
                <w:rFonts w:eastAsia="Times New Roman"/>
                <w:lang w:val="it-IT"/>
              </w:rPr>
            </w:pPr>
            <w:r w:rsidRPr="00E92B0C">
              <w:rPr>
                <w:rFonts w:eastAsia="Times New Roman"/>
                <w:lang w:val="it-IT"/>
              </w:rPr>
              <w:t>e) comunichino alla persona segnalante l’esito finale delle indagini avviate dalla segnalazione secondo le procedure di cui al diritto nazionale;</w:t>
            </w:r>
          </w:p>
          <w:p w14:paraId="59A933B7" w14:textId="77777777" w:rsidR="00702F21" w:rsidRPr="00E92B0C" w:rsidRDefault="00702F21" w:rsidP="008B559D">
            <w:pPr>
              <w:tabs>
                <w:tab w:val="left" w:pos="792"/>
              </w:tabs>
              <w:spacing w:before="302"/>
              <w:jc w:val="both"/>
              <w:textAlignment w:val="baseline"/>
              <w:rPr>
                <w:rFonts w:eastAsia="Times New Roman"/>
                <w:lang w:val="it-IT"/>
              </w:rPr>
            </w:pPr>
            <w:r w:rsidRPr="00E92B0C">
              <w:rPr>
                <w:rFonts w:eastAsia="Times New Roman"/>
                <w:lang w:val="it-IT"/>
              </w:rPr>
              <w:t>f) trasmettano a tempo debito le informazioni contenute nella segnalazione alle istituzioni, agli organi e agli organismi competenti dell’Unione, se del caso, per ulteriori indagini ove previsto dal diritto dell’Unione o nazionale.</w:t>
            </w:r>
          </w:p>
          <w:p w14:paraId="4B31DFD4" w14:textId="77777777" w:rsidR="00702F21" w:rsidRPr="00E92B0C" w:rsidRDefault="00702F21" w:rsidP="008B559D">
            <w:pPr>
              <w:rPr>
                <w:lang w:val="it-IT"/>
              </w:rPr>
            </w:pPr>
          </w:p>
        </w:tc>
        <w:tc>
          <w:tcPr>
            <w:tcW w:w="4814" w:type="dxa"/>
          </w:tcPr>
          <w:p w14:paraId="53649484" w14:textId="77777777" w:rsidR="00702F21" w:rsidRPr="00E92B0C" w:rsidRDefault="00702F21" w:rsidP="008B559D">
            <w:pPr>
              <w:jc w:val="center"/>
              <w:rPr>
                <w:rFonts w:eastAsia="Times New Roman"/>
                <w:b/>
                <w:bCs/>
                <w:color w:val="000000"/>
                <w:lang w:val="it-IT"/>
              </w:rPr>
            </w:pPr>
            <w:r w:rsidRPr="00E92B0C">
              <w:rPr>
                <w:rFonts w:eastAsia="Times New Roman"/>
                <w:b/>
                <w:bCs/>
                <w:color w:val="000000"/>
                <w:lang w:val="it-IT"/>
              </w:rPr>
              <w:t>Art. 8</w:t>
            </w:r>
          </w:p>
          <w:p w14:paraId="54A27740" w14:textId="77777777" w:rsidR="00702F21" w:rsidRPr="00E92B0C" w:rsidRDefault="00702F21" w:rsidP="008B559D">
            <w:pPr>
              <w:jc w:val="center"/>
              <w:rPr>
                <w:rFonts w:eastAsia="Times New Roman"/>
                <w:color w:val="000000"/>
                <w:lang w:val="it-IT"/>
              </w:rPr>
            </w:pPr>
            <w:r w:rsidRPr="00E92B0C">
              <w:rPr>
                <w:rFonts w:eastAsia="Times New Roman"/>
                <w:color w:val="000000"/>
                <w:lang w:val="it-IT"/>
              </w:rPr>
              <w:t>(</w:t>
            </w:r>
            <w:r w:rsidRPr="00E92B0C">
              <w:rPr>
                <w:rFonts w:eastAsia="Times New Roman"/>
                <w:i/>
                <w:iCs/>
                <w:color w:val="000000"/>
                <w:lang w:val="it-IT"/>
              </w:rPr>
              <w:t>Attività dell’ANAC</w:t>
            </w:r>
            <w:r w:rsidRPr="00E92B0C">
              <w:rPr>
                <w:rFonts w:eastAsia="Times New Roman"/>
                <w:color w:val="000000"/>
                <w:lang w:val="it-IT"/>
              </w:rPr>
              <w:t>)</w:t>
            </w:r>
          </w:p>
          <w:p w14:paraId="77C5B048" w14:textId="77777777" w:rsidR="00702F21" w:rsidRDefault="00702F21" w:rsidP="008B559D">
            <w:pPr>
              <w:jc w:val="both"/>
              <w:rPr>
                <w:lang w:val="it-IT"/>
              </w:rPr>
            </w:pPr>
          </w:p>
          <w:p w14:paraId="7608B8C8" w14:textId="77777777" w:rsidR="00702F21" w:rsidRDefault="00702F21" w:rsidP="008B559D">
            <w:pPr>
              <w:jc w:val="both"/>
              <w:rPr>
                <w:lang w:val="it-IT"/>
              </w:rPr>
            </w:pPr>
          </w:p>
          <w:p w14:paraId="47A5CFF6" w14:textId="77777777" w:rsidR="00702F21" w:rsidRPr="00E92B0C" w:rsidRDefault="00702F21" w:rsidP="008B559D">
            <w:pPr>
              <w:jc w:val="both"/>
              <w:rPr>
                <w:lang w:val="it-IT"/>
              </w:rPr>
            </w:pPr>
            <w:r>
              <w:rPr>
                <w:lang w:val="it-IT"/>
              </w:rPr>
              <w:t>Art. 8, commi 1, 2 e 3</w:t>
            </w:r>
          </w:p>
        </w:tc>
      </w:tr>
      <w:tr w:rsidR="00702F21" w:rsidRPr="004717EF" w14:paraId="6AA07509" w14:textId="77777777" w:rsidTr="008B559D">
        <w:tc>
          <w:tcPr>
            <w:tcW w:w="4814" w:type="dxa"/>
          </w:tcPr>
          <w:p w14:paraId="7711DECA" w14:textId="77777777" w:rsidR="00702F21" w:rsidRPr="00E92B0C" w:rsidRDefault="00702F21" w:rsidP="008B559D">
            <w:pPr>
              <w:tabs>
                <w:tab w:val="decimal" w:pos="648"/>
                <w:tab w:val="left" w:pos="936"/>
              </w:tabs>
              <w:spacing w:before="268"/>
              <w:jc w:val="both"/>
              <w:textAlignment w:val="baseline"/>
              <w:rPr>
                <w:rFonts w:eastAsia="Times New Roman"/>
                <w:lang w:val="it-IT"/>
              </w:rPr>
            </w:pPr>
            <w:r w:rsidRPr="00E92B0C">
              <w:rPr>
                <w:rFonts w:eastAsia="Times New Roman"/>
                <w:lang w:val="it-IT"/>
              </w:rPr>
              <w:t>3. Gli Stati membri possono prevedere che le autorità competenti, dopo aver debitamente esaminato la questione, possano decidere che una violazione segnalata è chiaramente di lieve entità e non necessita di un ulteriore seguito ai sensi della presente direttiva. Ciò non pregiudica altri obblighi o altre procedure applicabili per affrontare la violazione segnalata né la protezione offerta dalla presente direttiva relativamente alla segnalazione interna o esterna. In tal caso, le autorità competenti comunicano alla persona segnalante la loro decisione e la relativa motivazione.</w:t>
            </w:r>
          </w:p>
          <w:p w14:paraId="039CD75C" w14:textId="77777777" w:rsidR="00702F21" w:rsidRPr="00E92B0C" w:rsidRDefault="00702F21" w:rsidP="008B559D">
            <w:pPr>
              <w:rPr>
                <w:lang w:val="it-IT"/>
              </w:rPr>
            </w:pPr>
          </w:p>
        </w:tc>
        <w:tc>
          <w:tcPr>
            <w:tcW w:w="4814" w:type="dxa"/>
          </w:tcPr>
          <w:p w14:paraId="32FE8E28" w14:textId="77777777" w:rsidR="00702F21" w:rsidRPr="00E92B0C" w:rsidRDefault="00702F21" w:rsidP="008B559D">
            <w:pPr>
              <w:rPr>
                <w:lang w:val="it-IT"/>
              </w:rPr>
            </w:pPr>
            <w:r>
              <w:rPr>
                <w:lang w:val="it-IT"/>
              </w:rPr>
              <w:t>Art. 8 comma 5</w:t>
            </w:r>
          </w:p>
        </w:tc>
      </w:tr>
      <w:tr w:rsidR="00702F21" w:rsidRPr="004717EF" w14:paraId="6B018318" w14:textId="77777777" w:rsidTr="008B559D">
        <w:tc>
          <w:tcPr>
            <w:tcW w:w="4814" w:type="dxa"/>
          </w:tcPr>
          <w:p w14:paraId="28B6D8AD" w14:textId="77777777" w:rsidR="00702F21" w:rsidRPr="00E92B0C" w:rsidRDefault="00702F21" w:rsidP="008B559D">
            <w:pPr>
              <w:tabs>
                <w:tab w:val="decimal" w:pos="648"/>
                <w:tab w:val="left" w:pos="936"/>
              </w:tabs>
              <w:spacing w:before="268"/>
              <w:jc w:val="both"/>
              <w:textAlignment w:val="baseline"/>
              <w:rPr>
                <w:rFonts w:eastAsia="Times New Roman"/>
                <w:lang w:val="it-IT"/>
              </w:rPr>
            </w:pPr>
            <w:r w:rsidRPr="00E92B0C">
              <w:rPr>
                <w:rFonts w:eastAsia="Times New Roman"/>
                <w:lang w:val="it-IT"/>
              </w:rPr>
              <w:t>4. Gli Stati membri possono prevedere che le autorità competenti possano decidere di chiudere le procedure riguardanti le segnalazioni ripetute che non contengono nuove informazioni significative sulle violazioni rispetto a una precedente segnalazione per la quale le pertinenti procedure sono state concluse, a meno che nuove circostanze di fatto o di diritto non giustifichino che si dia loro un seguito diverso. In tal caso, tali autorità competenti notificano alla persona segnalante la loro decisione e la relativa motivazione.</w:t>
            </w:r>
          </w:p>
          <w:p w14:paraId="09A328BD" w14:textId="77777777" w:rsidR="00702F21" w:rsidRPr="00E92B0C" w:rsidRDefault="00702F21" w:rsidP="008B559D">
            <w:pPr>
              <w:rPr>
                <w:lang w:val="it-IT"/>
              </w:rPr>
            </w:pPr>
          </w:p>
        </w:tc>
        <w:tc>
          <w:tcPr>
            <w:tcW w:w="4814" w:type="dxa"/>
          </w:tcPr>
          <w:p w14:paraId="535E7D80" w14:textId="77777777" w:rsidR="00702F21" w:rsidRPr="00E92B0C" w:rsidRDefault="00702F21" w:rsidP="008B559D">
            <w:pPr>
              <w:rPr>
                <w:lang w:val="it-IT"/>
              </w:rPr>
            </w:pPr>
            <w:r>
              <w:rPr>
                <w:lang w:val="it-IT"/>
              </w:rPr>
              <w:t>v. art. 8 comma 5</w:t>
            </w:r>
          </w:p>
        </w:tc>
      </w:tr>
      <w:tr w:rsidR="00702F21" w:rsidRPr="00E92B0C" w14:paraId="27080794" w14:textId="77777777" w:rsidTr="008B559D">
        <w:tc>
          <w:tcPr>
            <w:tcW w:w="4814" w:type="dxa"/>
          </w:tcPr>
          <w:p w14:paraId="340F29A1" w14:textId="77777777" w:rsidR="00702F21" w:rsidRPr="00E92B0C" w:rsidRDefault="00702F21" w:rsidP="008B559D">
            <w:pPr>
              <w:tabs>
                <w:tab w:val="decimal" w:pos="648"/>
                <w:tab w:val="left" w:pos="936"/>
              </w:tabs>
              <w:spacing w:before="268"/>
              <w:jc w:val="both"/>
              <w:textAlignment w:val="baseline"/>
              <w:rPr>
                <w:rFonts w:eastAsia="Times New Roman"/>
                <w:lang w:val="it-IT"/>
              </w:rPr>
            </w:pPr>
            <w:r w:rsidRPr="00E92B0C">
              <w:rPr>
                <w:lang w:val="it-IT"/>
              </w:rPr>
              <w:tab/>
            </w:r>
            <w:r w:rsidRPr="00E92B0C">
              <w:rPr>
                <w:rFonts w:eastAsia="Times New Roman"/>
                <w:lang w:val="it-IT"/>
              </w:rPr>
              <w:t>5. Gli Stati membri possono prevedere che, in caso di alto afflusso di segnalazioni, le autorità competenti possano trattare in via prioritaria le segnalazioni relative a violazioni gravi o a violazioni di disposizioni essenziali che rientrano nell’ambito d’applicazione della presente direttiva, fatto salvo il termine di cui al paragrafo 2, lettera d).</w:t>
            </w:r>
          </w:p>
          <w:p w14:paraId="44BCCD58" w14:textId="77777777" w:rsidR="00702F21" w:rsidRPr="00E92B0C" w:rsidRDefault="00702F21" w:rsidP="008B559D">
            <w:pPr>
              <w:tabs>
                <w:tab w:val="left" w:pos="3134"/>
              </w:tabs>
              <w:rPr>
                <w:lang w:val="it-IT"/>
              </w:rPr>
            </w:pPr>
          </w:p>
        </w:tc>
        <w:tc>
          <w:tcPr>
            <w:tcW w:w="4814" w:type="dxa"/>
          </w:tcPr>
          <w:p w14:paraId="1A1E8A3A" w14:textId="77777777" w:rsidR="00702F21" w:rsidRPr="00E92B0C" w:rsidRDefault="00702F21" w:rsidP="008B559D">
            <w:pPr>
              <w:rPr>
                <w:lang w:val="it-IT"/>
              </w:rPr>
            </w:pPr>
          </w:p>
          <w:p w14:paraId="20A9A412" w14:textId="77777777" w:rsidR="00702F21" w:rsidRPr="00E92B0C" w:rsidRDefault="00702F21" w:rsidP="008B559D">
            <w:pPr>
              <w:rPr>
                <w:lang w:val="it-IT"/>
              </w:rPr>
            </w:pPr>
            <w:r w:rsidRPr="00E92B0C">
              <w:rPr>
                <w:lang w:val="it-IT"/>
              </w:rPr>
              <w:t xml:space="preserve">v. art. 8, comma </w:t>
            </w:r>
            <w:r>
              <w:rPr>
                <w:lang w:val="it-IT"/>
              </w:rPr>
              <w:t>4</w:t>
            </w:r>
            <w:r w:rsidRPr="00E92B0C">
              <w:rPr>
                <w:lang w:val="it-IT"/>
              </w:rPr>
              <w:t>.</w:t>
            </w:r>
          </w:p>
        </w:tc>
      </w:tr>
      <w:tr w:rsidR="00702F21" w:rsidRPr="00E92B0C" w14:paraId="055F78C4" w14:textId="77777777" w:rsidTr="008B559D">
        <w:tc>
          <w:tcPr>
            <w:tcW w:w="4814" w:type="dxa"/>
          </w:tcPr>
          <w:p w14:paraId="7A1785B7" w14:textId="77777777" w:rsidR="00702F21" w:rsidRPr="00E92B0C" w:rsidRDefault="00702F21" w:rsidP="008B559D">
            <w:pPr>
              <w:tabs>
                <w:tab w:val="left" w:pos="3752"/>
              </w:tabs>
              <w:jc w:val="both"/>
              <w:rPr>
                <w:rFonts w:eastAsia="Times New Roman"/>
                <w:lang w:val="it-IT"/>
              </w:rPr>
            </w:pPr>
          </w:p>
          <w:p w14:paraId="7371AC39" w14:textId="77777777" w:rsidR="00702F21" w:rsidRPr="00E92B0C" w:rsidRDefault="00702F21" w:rsidP="008B559D">
            <w:pPr>
              <w:tabs>
                <w:tab w:val="left" w:pos="3752"/>
              </w:tabs>
              <w:jc w:val="both"/>
              <w:rPr>
                <w:rFonts w:eastAsia="Times New Roman"/>
                <w:lang w:val="it-IT"/>
              </w:rPr>
            </w:pPr>
            <w:r w:rsidRPr="00E92B0C">
              <w:rPr>
                <w:rFonts w:eastAsia="Times New Roman"/>
                <w:lang w:val="it-IT"/>
              </w:rPr>
              <w:t>6. Gli Stati membri assicurano che l’autorità che ha ricevuto una segnalazione, ma non è competente ad affrontare la violazione segnalata, la trasmetta all’autorità competente entro un termine ragionevole e in modo sicuro, e che la persona segnalante sia informata di tale trasmissione senza indugio.</w:t>
            </w:r>
          </w:p>
          <w:p w14:paraId="6AE8F287" w14:textId="77777777" w:rsidR="00702F21" w:rsidRPr="00E92B0C" w:rsidRDefault="00702F21" w:rsidP="008B559D">
            <w:pPr>
              <w:tabs>
                <w:tab w:val="left" w:pos="3752"/>
              </w:tabs>
              <w:jc w:val="both"/>
              <w:rPr>
                <w:lang w:val="it-IT"/>
              </w:rPr>
            </w:pPr>
          </w:p>
        </w:tc>
        <w:tc>
          <w:tcPr>
            <w:tcW w:w="4814" w:type="dxa"/>
          </w:tcPr>
          <w:p w14:paraId="05AD0D92" w14:textId="77777777" w:rsidR="00702F21" w:rsidRPr="00E92B0C" w:rsidRDefault="00702F21" w:rsidP="008B559D">
            <w:pPr>
              <w:rPr>
                <w:lang w:val="it-IT"/>
              </w:rPr>
            </w:pPr>
          </w:p>
          <w:p w14:paraId="5AEE5C80" w14:textId="77777777" w:rsidR="00702F21" w:rsidRPr="00E92B0C" w:rsidRDefault="00702F21" w:rsidP="008B559D">
            <w:pPr>
              <w:rPr>
                <w:lang w:val="it-IT"/>
              </w:rPr>
            </w:pPr>
            <w:r w:rsidRPr="00E92B0C">
              <w:rPr>
                <w:lang w:val="it-IT"/>
              </w:rPr>
              <w:t>v. art. 8, comma 2.</w:t>
            </w:r>
          </w:p>
        </w:tc>
      </w:tr>
      <w:tr w:rsidR="00702F21" w:rsidRPr="00BE38E8" w14:paraId="49E0D8E6" w14:textId="77777777" w:rsidTr="008B559D">
        <w:tc>
          <w:tcPr>
            <w:tcW w:w="4814" w:type="dxa"/>
          </w:tcPr>
          <w:p w14:paraId="3AA897A6" w14:textId="77777777" w:rsidR="00702F21" w:rsidRPr="00E92B0C" w:rsidRDefault="00702F21" w:rsidP="008B559D">
            <w:pPr>
              <w:jc w:val="center"/>
              <w:textAlignment w:val="baseline"/>
              <w:rPr>
                <w:rFonts w:eastAsia="Times New Roman"/>
                <w:i/>
                <w:spacing w:val="-2"/>
                <w:lang w:val="it-IT"/>
              </w:rPr>
            </w:pPr>
            <w:r w:rsidRPr="00E92B0C">
              <w:rPr>
                <w:lang w:val="it-IT"/>
              </w:rPr>
              <w:tab/>
            </w:r>
            <w:r w:rsidRPr="00E92B0C">
              <w:rPr>
                <w:rFonts w:eastAsia="Times New Roman"/>
                <w:i/>
                <w:spacing w:val="-2"/>
                <w:lang w:val="it-IT"/>
              </w:rPr>
              <w:t>Articolo 12</w:t>
            </w:r>
          </w:p>
          <w:p w14:paraId="70CE87BB" w14:textId="77777777" w:rsidR="00702F21" w:rsidRPr="00E92B0C" w:rsidRDefault="00702F21" w:rsidP="008B559D">
            <w:pPr>
              <w:jc w:val="center"/>
              <w:textAlignment w:val="baseline"/>
              <w:rPr>
                <w:rFonts w:eastAsia="Times New Roman"/>
                <w:b/>
                <w:spacing w:val="1"/>
                <w:lang w:val="it-IT"/>
              </w:rPr>
            </w:pPr>
            <w:r w:rsidRPr="00E92B0C">
              <w:rPr>
                <w:rFonts w:eastAsia="Times New Roman"/>
                <w:b/>
                <w:spacing w:val="1"/>
                <w:lang w:val="it-IT"/>
              </w:rPr>
              <w:t>Progettazione dei canali di segnalazione esterna</w:t>
            </w:r>
          </w:p>
          <w:p w14:paraId="3E39F543" w14:textId="77777777" w:rsidR="00702F21" w:rsidRPr="00E92B0C" w:rsidRDefault="00702F21" w:rsidP="008B559D">
            <w:pPr>
              <w:tabs>
                <w:tab w:val="left" w:pos="2851"/>
              </w:tabs>
              <w:rPr>
                <w:lang w:val="it-IT"/>
              </w:rPr>
            </w:pPr>
          </w:p>
        </w:tc>
        <w:tc>
          <w:tcPr>
            <w:tcW w:w="4814" w:type="dxa"/>
          </w:tcPr>
          <w:p w14:paraId="5082ED92" w14:textId="77777777" w:rsidR="00702F21" w:rsidRPr="00E92B0C" w:rsidRDefault="00702F21" w:rsidP="008B559D">
            <w:pPr>
              <w:rPr>
                <w:lang w:val="it-IT"/>
              </w:rPr>
            </w:pPr>
          </w:p>
        </w:tc>
      </w:tr>
      <w:tr w:rsidR="00702F21" w:rsidRPr="00D64489" w14:paraId="2547934F" w14:textId="77777777" w:rsidTr="008B559D">
        <w:tc>
          <w:tcPr>
            <w:tcW w:w="4814" w:type="dxa"/>
          </w:tcPr>
          <w:p w14:paraId="51EDC7BF" w14:textId="77777777" w:rsidR="00702F21" w:rsidRPr="00E92B0C" w:rsidRDefault="00702F21" w:rsidP="008B559D">
            <w:pPr>
              <w:tabs>
                <w:tab w:val="decimal" w:pos="126"/>
                <w:tab w:val="left" w:pos="936"/>
              </w:tabs>
              <w:spacing w:before="97"/>
              <w:jc w:val="both"/>
              <w:textAlignment w:val="baseline"/>
              <w:rPr>
                <w:rFonts w:eastAsia="Times New Roman"/>
                <w:spacing w:val="-3"/>
                <w:lang w:val="it-IT"/>
              </w:rPr>
            </w:pPr>
            <w:r w:rsidRPr="00E92B0C">
              <w:rPr>
                <w:rFonts w:eastAsia="Times New Roman"/>
                <w:lang w:val="it-IT"/>
              </w:rPr>
              <w:t xml:space="preserve">1. I canali di segnalazione esterna sono considerati indipendenti e autonomi a condizione che siano soddisfatti tutti </w:t>
            </w:r>
            <w:r w:rsidRPr="00E92B0C">
              <w:rPr>
                <w:rFonts w:eastAsia="Times New Roman"/>
                <w:spacing w:val="-3"/>
                <w:lang w:val="it-IT"/>
              </w:rPr>
              <w:t>i seguenti criteri:</w:t>
            </w:r>
          </w:p>
          <w:p w14:paraId="2A14BC36" w14:textId="77777777" w:rsidR="00702F21" w:rsidRPr="00E92B0C" w:rsidRDefault="00702F21" w:rsidP="008B559D">
            <w:pPr>
              <w:tabs>
                <w:tab w:val="decimal" w:pos="126"/>
                <w:tab w:val="left" w:pos="792"/>
                <w:tab w:val="left" w:pos="936"/>
              </w:tabs>
              <w:spacing w:before="273"/>
              <w:jc w:val="both"/>
              <w:textAlignment w:val="baseline"/>
              <w:rPr>
                <w:rFonts w:eastAsia="Times New Roman"/>
                <w:lang w:val="it-IT"/>
              </w:rPr>
            </w:pPr>
            <w:r w:rsidRPr="00E92B0C">
              <w:rPr>
                <w:rFonts w:eastAsia="Times New Roman"/>
                <w:lang w:val="it-IT"/>
              </w:rPr>
              <w:t>a) siano progettati, stabiliti e gestiti in modo da garantire la completezza, l’integrità e la riservatezza delle informazioni e impediscano l’accesso da parte del personale non autorizzato dell’autorità competente;</w:t>
            </w:r>
          </w:p>
          <w:p w14:paraId="78852494" w14:textId="77777777" w:rsidR="00702F21" w:rsidRPr="00E92B0C" w:rsidRDefault="00702F21" w:rsidP="008B559D">
            <w:pPr>
              <w:tabs>
                <w:tab w:val="decimal" w:pos="126"/>
                <w:tab w:val="left" w:pos="792"/>
                <w:tab w:val="left" w:pos="936"/>
              </w:tabs>
              <w:spacing w:before="279"/>
              <w:jc w:val="both"/>
              <w:textAlignment w:val="baseline"/>
              <w:rPr>
                <w:rFonts w:eastAsia="Times New Roman"/>
                <w:lang w:val="it-IT"/>
              </w:rPr>
            </w:pPr>
            <w:r w:rsidRPr="00E92B0C">
              <w:rPr>
                <w:rFonts w:eastAsia="Times New Roman"/>
                <w:lang w:val="it-IT"/>
              </w:rPr>
              <w:t>b) permettano la memorizzazione di informazioni su supporti durevoli, conformemente all’articolo 18, per consentire l’effettuazione di ulteriori indagini.</w:t>
            </w:r>
          </w:p>
          <w:p w14:paraId="26D92E1D" w14:textId="77777777" w:rsidR="00702F21" w:rsidRPr="00E92B0C" w:rsidRDefault="00702F21" w:rsidP="008B559D">
            <w:pPr>
              <w:rPr>
                <w:lang w:val="it-IT"/>
              </w:rPr>
            </w:pPr>
          </w:p>
        </w:tc>
        <w:tc>
          <w:tcPr>
            <w:tcW w:w="4814" w:type="dxa"/>
          </w:tcPr>
          <w:p w14:paraId="74CADB2F" w14:textId="77777777" w:rsidR="00702F21" w:rsidRPr="00E92B0C" w:rsidRDefault="00702F21" w:rsidP="008B559D">
            <w:pPr>
              <w:jc w:val="both"/>
              <w:rPr>
                <w:lang w:val="it-IT"/>
              </w:rPr>
            </w:pPr>
            <w:r>
              <w:rPr>
                <w:lang w:val="it-IT"/>
              </w:rPr>
              <w:t>v. art. 7, comma 1</w:t>
            </w:r>
          </w:p>
        </w:tc>
      </w:tr>
      <w:tr w:rsidR="00702F21" w:rsidRPr="00D64489" w14:paraId="125080A1" w14:textId="77777777" w:rsidTr="008B559D">
        <w:tc>
          <w:tcPr>
            <w:tcW w:w="4814" w:type="dxa"/>
          </w:tcPr>
          <w:p w14:paraId="45EB13A4" w14:textId="77777777" w:rsidR="00702F21" w:rsidRPr="00E92B0C" w:rsidRDefault="00702F21" w:rsidP="008B559D">
            <w:pPr>
              <w:tabs>
                <w:tab w:val="decimal" w:pos="0"/>
                <w:tab w:val="left" w:pos="936"/>
              </w:tabs>
              <w:spacing w:before="244"/>
              <w:ind w:left="126" w:hanging="126"/>
              <w:jc w:val="both"/>
              <w:textAlignment w:val="baseline"/>
              <w:rPr>
                <w:rFonts w:eastAsia="Times New Roman"/>
                <w:lang w:val="it-IT"/>
              </w:rPr>
            </w:pPr>
            <w:r w:rsidRPr="00E92B0C">
              <w:rPr>
                <w:rFonts w:eastAsia="Times New Roman"/>
                <w:lang w:val="it-IT"/>
              </w:rPr>
              <w:t>2. I canali di segnalazione esterna consentono che la segnalazione sia effettuata in forma scritta e orale. Le segnalazioni orali sono possibili tramite telefono o attraverso altri sistemi di messaggistica vocale e, su richiesta della persona segnalante, mediante un incontro diretto entro un termine ragionevole.</w:t>
            </w:r>
          </w:p>
          <w:p w14:paraId="665D6187" w14:textId="77777777" w:rsidR="00702F21" w:rsidRPr="00E92B0C" w:rsidRDefault="00702F21" w:rsidP="008B559D">
            <w:pPr>
              <w:rPr>
                <w:lang w:val="it-IT"/>
              </w:rPr>
            </w:pPr>
          </w:p>
        </w:tc>
        <w:tc>
          <w:tcPr>
            <w:tcW w:w="4814" w:type="dxa"/>
          </w:tcPr>
          <w:p w14:paraId="277367EA" w14:textId="77777777" w:rsidR="00702F21" w:rsidRPr="00E92B0C" w:rsidRDefault="00702F21" w:rsidP="008B559D">
            <w:pPr>
              <w:jc w:val="both"/>
              <w:rPr>
                <w:rFonts w:eastAsia="Times New Roman"/>
                <w:color w:val="000000"/>
                <w:lang w:val="it-IT"/>
              </w:rPr>
            </w:pPr>
          </w:p>
          <w:p w14:paraId="116636C1" w14:textId="77777777" w:rsidR="00702F21" w:rsidRPr="00E92B0C" w:rsidRDefault="00702F21" w:rsidP="008B559D">
            <w:pPr>
              <w:jc w:val="both"/>
              <w:rPr>
                <w:rFonts w:eastAsia="Times New Roman"/>
                <w:color w:val="000000"/>
                <w:lang w:val="it-IT"/>
              </w:rPr>
            </w:pPr>
            <w:r>
              <w:rPr>
                <w:rFonts w:eastAsia="Times New Roman"/>
                <w:color w:val="000000"/>
                <w:lang w:val="it-IT"/>
              </w:rPr>
              <w:t xml:space="preserve">v. art. 7, comma </w:t>
            </w:r>
            <w:r w:rsidRPr="00E92B0C">
              <w:rPr>
                <w:rFonts w:eastAsia="Times New Roman"/>
                <w:color w:val="000000"/>
                <w:lang w:val="it-IT"/>
              </w:rPr>
              <w:t xml:space="preserve">2 </w:t>
            </w:r>
          </w:p>
          <w:p w14:paraId="194F4D2D" w14:textId="77777777" w:rsidR="00702F21" w:rsidRPr="00E92B0C" w:rsidRDefault="00702F21" w:rsidP="008B559D">
            <w:pPr>
              <w:rPr>
                <w:lang w:val="it-IT"/>
              </w:rPr>
            </w:pPr>
          </w:p>
        </w:tc>
      </w:tr>
      <w:tr w:rsidR="00702F21" w:rsidRPr="00D64489" w14:paraId="5AE9DC1E" w14:textId="77777777" w:rsidTr="008B559D">
        <w:tc>
          <w:tcPr>
            <w:tcW w:w="4814" w:type="dxa"/>
          </w:tcPr>
          <w:p w14:paraId="35636CB1" w14:textId="77777777" w:rsidR="00702F21" w:rsidRPr="00E92B0C" w:rsidRDefault="00702F21" w:rsidP="008B559D">
            <w:pPr>
              <w:tabs>
                <w:tab w:val="decimal" w:pos="126"/>
                <w:tab w:val="left" w:pos="936"/>
              </w:tabs>
              <w:spacing w:before="244"/>
              <w:ind w:left="126" w:hanging="126"/>
              <w:jc w:val="both"/>
              <w:textAlignment w:val="baseline"/>
              <w:rPr>
                <w:rFonts w:eastAsia="Times New Roman"/>
                <w:lang w:val="it-IT"/>
              </w:rPr>
            </w:pPr>
            <w:r w:rsidRPr="00E92B0C">
              <w:rPr>
                <w:rFonts w:eastAsia="Times New Roman"/>
                <w:lang w:val="it-IT"/>
              </w:rPr>
              <w:t>3. Le autorità competenti assicurano che, qualora una segnalazione sia ricevuta attraverso canali diversi dai canali di segnalazione di cui ai paragrafi 1 e 2 o da personale diverso da quello addetto al trattamento delle segnalazioni, al personale che la riceve sia proibito divulgare qualsiasi informazione che consenta di identificare la persona segnalante o coinvolta e trasmetta la segnalazione, senza indugio e senza modifiche, al personale addetto al trattamento delle segnalazioni.</w:t>
            </w:r>
          </w:p>
          <w:p w14:paraId="424D91BA" w14:textId="77777777" w:rsidR="00702F21" w:rsidRPr="00E92B0C" w:rsidRDefault="00702F21" w:rsidP="008B559D">
            <w:pPr>
              <w:rPr>
                <w:lang w:val="it-IT"/>
              </w:rPr>
            </w:pPr>
          </w:p>
        </w:tc>
        <w:tc>
          <w:tcPr>
            <w:tcW w:w="4814" w:type="dxa"/>
          </w:tcPr>
          <w:p w14:paraId="34DC54BA" w14:textId="77777777" w:rsidR="00702F21" w:rsidRPr="00E92B0C" w:rsidRDefault="00702F21" w:rsidP="008B559D">
            <w:pPr>
              <w:rPr>
                <w:lang w:val="it-IT"/>
              </w:rPr>
            </w:pPr>
          </w:p>
          <w:p w14:paraId="03AB3A57" w14:textId="77777777" w:rsidR="00702F21" w:rsidRPr="00E92B0C" w:rsidRDefault="00702F21" w:rsidP="008B559D">
            <w:pPr>
              <w:jc w:val="both"/>
              <w:rPr>
                <w:lang w:val="it-IT"/>
              </w:rPr>
            </w:pPr>
            <w:r>
              <w:rPr>
                <w:lang w:val="it-IT"/>
              </w:rPr>
              <w:t>v. art. 7, comma 1</w:t>
            </w:r>
          </w:p>
        </w:tc>
      </w:tr>
      <w:tr w:rsidR="00702F21" w:rsidRPr="00E92B0C" w14:paraId="7A40E99A" w14:textId="77777777" w:rsidTr="008B559D">
        <w:tc>
          <w:tcPr>
            <w:tcW w:w="4814" w:type="dxa"/>
          </w:tcPr>
          <w:p w14:paraId="58AE53CC" w14:textId="77777777" w:rsidR="00702F21" w:rsidRPr="00E92B0C" w:rsidRDefault="00702F21" w:rsidP="008B559D">
            <w:pPr>
              <w:tabs>
                <w:tab w:val="decimal" w:pos="126"/>
                <w:tab w:val="left" w:pos="936"/>
              </w:tabs>
              <w:spacing w:before="239"/>
              <w:ind w:left="126" w:hanging="126"/>
              <w:jc w:val="both"/>
              <w:textAlignment w:val="baseline"/>
              <w:rPr>
                <w:rFonts w:eastAsia="Times New Roman"/>
                <w:spacing w:val="-1"/>
                <w:lang w:val="it-IT"/>
              </w:rPr>
            </w:pPr>
            <w:r w:rsidRPr="00E92B0C">
              <w:rPr>
                <w:rFonts w:eastAsia="Times New Roman"/>
                <w:lang w:val="it-IT"/>
              </w:rPr>
              <w:t>4. Gli Stati membri assicurano che le autorità competenti designino di personale addetto al trattamento delle segnala</w:t>
            </w:r>
            <w:r w:rsidRPr="00E92B0C">
              <w:rPr>
                <w:rFonts w:eastAsia="Times New Roman"/>
                <w:spacing w:val="-1"/>
                <w:lang w:val="it-IT"/>
              </w:rPr>
              <w:t>zioni, e in particolare di:</w:t>
            </w:r>
          </w:p>
          <w:p w14:paraId="32D19E57" w14:textId="77777777" w:rsidR="00702F21" w:rsidRPr="00E92B0C" w:rsidRDefault="00702F21" w:rsidP="008B559D">
            <w:pPr>
              <w:tabs>
                <w:tab w:val="decimal" w:pos="126"/>
                <w:tab w:val="left" w:pos="792"/>
                <w:tab w:val="left" w:pos="936"/>
              </w:tabs>
              <w:spacing w:before="240"/>
              <w:jc w:val="both"/>
              <w:textAlignment w:val="baseline"/>
              <w:rPr>
                <w:rFonts w:eastAsia="Times New Roman"/>
                <w:lang w:val="it-IT"/>
              </w:rPr>
            </w:pPr>
            <w:r w:rsidRPr="00E92B0C">
              <w:rPr>
                <w:rFonts w:eastAsia="Times New Roman"/>
                <w:lang w:val="it-IT"/>
              </w:rPr>
              <w:t>a) fornire a qualsiasi persona interessata informazioni sulle procedure per la segnalazione;</w:t>
            </w:r>
          </w:p>
          <w:p w14:paraId="2EB4324B" w14:textId="77777777" w:rsidR="00702F21" w:rsidRPr="00E92B0C" w:rsidRDefault="00702F21" w:rsidP="008B559D">
            <w:pPr>
              <w:tabs>
                <w:tab w:val="decimal" w:pos="126"/>
                <w:tab w:val="left" w:pos="792"/>
                <w:tab w:val="left" w:pos="936"/>
              </w:tabs>
              <w:spacing w:before="240"/>
              <w:jc w:val="both"/>
              <w:textAlignment w:val="baseline"/>
              <w:rPr>
                <w:rFonts w:eastAsia="Times New Roman"/>
                <w:spacing w:val="-1"/>
                <w:lang w:val="it-IT"/>
              </w:rPr>
            </w:pPr>
            <w:r w:rsidRPr="00E92B0C">
              <w:rPr>
                <w:rFonts w:eastAsia="Times New Roman"/>
                <w:spacing w:val="-1"/>
                <w:lang w:val="it-IT"/>
              </w:rPr>
              <w:t>b) ricevere le segnalazioni e dare loro seguito;</w:t>
            </w:r>
          </w:p>
          <w:p w14:paraId="51FA340C" w14:textId="77777777" w:rsidR="00702F21" w:rsidRPr="00E92B0C" w:rsidRDefault="00702F21" w:rsidP="008B559D">
            <w:pPr>
              <w:tabs>
                <w:tab w:val="decimal" w:pos="126"/>
                <w:tab w:val="left" w:pos="792"/>
                <w:tab w:val="left" w:pos="936"/>
              </w:tabs>
              <w:spacing w:before="283"/>
              <w:jc w:val="both"/>
              <w:textAlignment w:val="baseline"/>
              <w:rPr>
                <w:rFonts w:eastAsia="Times New Roman"/>
                <w:lang w:val="it-IT"/>
              </w:rPr>
            </w:pPr>
            <w:r w:rsidRPr="00E92B0C">
              <w:rPr>
                <w:rFonts w:eastAsia="Times New Roman"/>
                <w:lang w:val="it-IT"/>
              </w:rPr>
              <w:t>c) mantenere i contatti con la persona segnalante al fine di fornire un riscontro e chiedere ulteriori informazioni, se necessario.</w:t>
            </w:r>
          </w:p>
          <w:p w14:paraId="06AB912C" w14:textId="77777777" w:rsidR="00702F21" w:rsidRPr="00E92B0C" w:rsidRDefault="00702F21" w:rsidP="008B559D">
            <w:pPr>
              <w:rPr>
                <w:lang w:val="it-IT"/>
              </w:rPr>
            </w:pPr>
          </w:p>
        </w:tc>
        <w:tc>
          <w:tcPr>
            <w:tcW w:w="4814" w:type="dxa"/>
          </w:tcPr>
          <w:p w14:paraId="7EECEC2B" w14:textId="77777777" w:rsidR="00702F21" w:rsidRPr="00E92B0C" w:rsidRDefault="00702F21" w:rsidP="008B559D">
            <w:pPr>
              <w:rPr>
                <w:lang w:val="it-IT"/>
              </w:rPr>
            </w:pPr>
          </w:p>
          <w:p w14:paraId="622D2DBF" w14:textId="77777777" w:rsidR="00702F21" w:rsidRPr="00E92B0C" w:rsidRDefault="00702F21" w:rsidP="008B559D">
            <w:pPr>
              <w:rPr>
                <w:lang w:val="it-IT"/>
              </w:rPr>
            </w:pPr>
            <w:r>
              <w:rPr>
                <w:lang w:val="it-IT"/>
              </w:rPr>
              <w:t>v. a</w:t>
            </w:r>
            <w:r w:rsidRPr="00E92B0C">
              <w:rPr>
                <w:lang w:val="it-IT"/>
              </w:rPr>
              <w:t>rt. 8, comma1.</w:t>
            </w:r>
          </w:p>
        </w:tc>
      </w:tr>
    </w:tbl>
    <w:p w14:paraId="274EA465" w14:textId="77777777" w:rsidR="00702F21" w:rsidRPr="00E92B0C" w:rsidRDefault="00702F21" w:rsidP="00702F21">
      <w:pPr>
        <w:rPr>
          <w:lang w:val="it-IT"/>
        </w:rPr>
      </w:pPr>
    </w:p>
    <w:tbl>
      <w:tblPr>
        <w:tblStyle w:val="Grigliatabella"/>
        <w:tblW w:w="9864" w:type="dxa"/>
        <w:tblLook w:val="04A0" w:firstRow="1" w:lastRow="0" w:firstColumn="1" w:lastColumn="0" w:noHBand="0" w:noVBand="1"/>
      </w:tblPr>
      <w:tblGrid>
        <w:gridCol w:w="4814"/>
        <w:gridCol w:w="5050"/>
      </w:tblGrid>
      <w:tr w:rsidR="00702F21" w:rsidRPr="00E92B0C" w14:paraId="550897FC" w14:textId="77777777" w:rsidTr="008B559D">
        <w:tc>
          <w:tcPr>
            <w:tcW w:w="4814" w:type="dxa"/>
          </w:tcPr>
          <w:p w14:paraId="0F057C74" w14:textId="77777777" w:rsidR="00702F21" w:rsidRPr="00E92B0C" w:rsidRDefault="00702F21" w:rsidP="008B559D">
            <w:pPr>
              <w:jc w:val="both"/>
              <w:rPr>
                <w:rFonts w:eastAsia="Times New Roman"/>
                <w:lang w:val="it-IT"/>
              </w:rPr>
            </w:pPr>
          </w:p>
          <w:p w14:paraId="608425BC" w14:textId="77777777" w:rsidR="00702F21" w:rsidRPr="00E92B0C" w:rsidRDefault="00702F21" w:rsidP="008B559D">
            <w:pPr>
              <w:jc w:val="both"/>
              <w:rPr>
                <w:rFonts w:eastAsia="Times New Roman"/>
                <w:lang w:val="it-IT"/>
              </w:rPr>
            </w:pPr>
            <w:r w:rsidRPr="00E92B0C">
              <w:rPr>
                <w:rFonts w:eastAsia="Times New Roman"/>
                <w:lang w:val="it-IT"/>
              </w:rPr>
              <w:t>5. Il personale addetto di cui al paragrafo 4 riceve una formazione specifica ai fini del trattamento delle segnalazioni.</w:t>
            </w:r>
          </w:p>
          <w:p w14:paraId="48A894F5" w14:textId="77777777" w:rsidR="00702F21" w:rsidRPr="00E92B0C" w:rsidRDefault="00702F21" w:rsidP="008B559D">
            <w:pPr>
              <w:jc w:val="both"/>
              <w:rPr>
                <w:lang w:val="it-IT"/>
              </w:rPr>
            </w:pPr>
          </w:p>
        </w:tc>
        <w:tc>
          <w:tcPr>
            <w:tcW w:w="5050" w:type="dxa"/>
          </w:tcPr>
          <w:p w14:paraId="066757EB" w14:textId="77777777" w:rsidR="00702F21" w:rsidRPr="00E92B0C" w:rsidRDefault="00702F21" w:rsidP="008B559D">
            <w:pPr>
              <w:rPr>
                <w:lang w:val="it-IT"/>
              </w:rPr>
            </w:pPr>
          </w:p>
          <w:p w14:paraId="45A48ED7" w14:textId="77777777" w:rsidR="00702F21" w:rsidRPr="00E92B0C" w:rsidRDefault="00702F21" w:rsidP="008B559D">
            <w:pPr>
              <w:rPr>
                <w:lang w:val="it-IT"/>
              </w:rPr>
            </w:pPr>
            <w:r>
              <w:rPr>
                <w:lang w:val="it-IT"/>
              </w:rPr>
              <w:t>v. a</w:t>
            </w:r>
            <w:r w:rsidRPr="00E92B0C">
              <w:rPr>
                <w:lang w:val="it-IT"/>
              </w:rPr>
              <w:t>rt. 8, comma 1.</w:t>
            </w:r>
          </w:p>
        </w:tc>
      </w:tr>
      <w:tr w:rsidR="00702F21" w:rsidRPr="00BE38E8" w14:paraId="466EC1A3" w14:textId="77777777" w:rsidTr="008B559D">
        <w:tc>
          <w:tcPr>
            <w:tcW w:w="4814" w:type="dxa"/>
          </w:tcPr>
          <w:p w14:paraId="45BB7C22" w14:textId="77777777" w:rsidR="00702F21" w:rsidRPr="00E92B0C" w:rsidRDefault="00702F21" w:rsidP="008B559D">
            <w:pPr>
              <w:jc w:val="center"/>
              <w:textAlignment w:val="baseline"/>
              <w:rPr>
                <w:rFonts w:eastAsia="Times New Roman"/>
                <w:i/>
                <w:spacing w:val="-3"/>
                <w:lang w:val="it-IT"/>
              </w:rPr>
            </w:pPr>
            <w:r w:rsidRPr="00E92B0C">
              <w:rPr>
                <w:rFonts w:eastAsia="Times New Roman"/>
                <w:i/>
                <w:spacing w:val="-3"/>
                <w:lang w:val="it-IT"/>
              </w:rPr>
              <w:t>Articolo 13</w:t>
            </w:r>
          </w:p>
          <w:p w14:paraId="4495F92C" w14:textId="77777777" w:rsidR="00702F21" w:rsidRPr="00E92B0C" w:rsidRDefault="00702F21" w:rsidP="008B559D">
            <w:pPr>
              <w:jc w:val="center"/>
              <w:textAlignment w:val="baseline"/>
              <w:rPr>
                <w:rFonts w:eastAsia="Times New Roman"/>
                <w:b/>
                <w:spacing w:val="2"/>
                <w:lang w:val="it-IT"/>
              </w:rPr>
            </w:pPr>
            <w:r w:rsidRPr="00E92B0C">
              <w:rPr>
                <w:rFonts w:eastAsia="Times New Roman"/>
                <w:b/>
                <w:spacing w:val="2"/>
                <w:lang w:val="it-IT"/>
              </w:rPr>
              <w:t>Informazioni sul ricevimento delle segnalazioni e relativo seguito</w:t>
            </w:r>
          </w:p>
          <w:p w14:paraId="4884D823" w14:textId="77777777" w:rsidR="00702F21" w:rsidRPr="00E92B0C" w:rsidRDefault="00702F21" w:rsidP="008B559D">
            <w:pPr>
              <w:rPr>
                <w:lang w:val="it-IT"/>
              </w:rPr>
            </w:pPr>
          </w:p>
        </w:tc>
        <w:tc>
          <w:tcPr>
            <w:tcW w:w="5050" w:type="dxa"/>
          </w:tcPr>
          <w:p w14:paraId="2B6497AC" w14:textId="77777777" w:rsidR="00702F21" w:rsidRPr="00E92B0C" w:rsidRDefault="00702F21" w:rsidP="008B559D">
            <w:pPr>
              <w:jc w:val="center"/>
              <w:rPr>
                <w:rFonts w:eastAsia="Times New Roman"/>
                <w:b/>
                <w:bCs/>
                <w:color w:val="000000"/>
                <w:lang w:val="it-IT"/>
              </w:rPr>
            </w:pPr>
            <w:r w:rsidRPr="00E92B0C">
              <w:rPr>
                <w:rFonts w:eastAsia="Times New Roman"/>
                <w:b/>
                <w:bCs/>
                <w:color w:val="000000"/>
                <w:lang w:val="it-IT"/>
              </w:rPr>
              <w:t>Art. 9</w:t>
            </w:r>
          </w:p>
          <w:p w14:paraId="4D1B7CF9" w14:textId="77777777" w:rsidR="00702F21" w:rsidRPr="00E92B0C" w:rsidRDefault="00702F21" w:rsidP="008B559D">
            <w:pPr>
              <w:jc w:val="center"/>
              <w:rPr>
                <w:rFonts w:eastAsia="Times New Roman"/>
                <w:color w:val="000000"/>
                <w:lang w:val="it-IT"/>
              </w:rPr>
            </w:pPr>
            <w:r w:rsidRPr="00E92B0C">
              <w:rPr>
                <w:rFonts w:eastAsia="Times New Roman"/>
                <w:color w:val="000000"/>
                <w:lang w:val="it-IT"/>
              </w:rPr>
              <w:t>(</w:t>
            </w:r>
            <w:r w:rsidRPr="00E92B0C">
              <w:rPr>
                <w:rFonts w:eastAsia="Times New Roman"/>
                <w:i/>
                <w:iCs/>
                <w:color w:val="000000"/>
                <w:lang w:val="it-IT"/>
              </w:rPr>
              <w:t>Informazioni sulle segnalazioni esterne e sul relativo seguito</w:t>
            </w:r>
            <w:r w:rsidRPr="00E92B0C">
              <w:rPr>
                <w:rFonts w:eastAsia="Times New Roman"/>
                <w:color w:val="000000"/>
                <w:lang w:val="it-IT"/>
              </w:rPr>
              <w:t>)</w:t>
            </w:r>
          </w:p>
          <w:p w14:paraId="32962DFB" w14:textId="77777777" w:rsidR="00702F21" w:rsidRPr="00E92B0C" w:rsidRDefault="00702F21" w:rsidP="008B559D">
            <w:pPr>
              <w:rPr>
                <w:lang w:val="it-IT"/>
              </w:rPr>
            </w:pPr>
          </w:p>
        </w:tc>
      </w:tr>
      <w:tr w:rsidR="00702F21" w:rsidRPr="00AF6525" w14:paraId="359A1A14" w14:textId="77777777" w:rsidTr="008B559D">
        <w:tc>
          <w:tcPr>
            <w:tcW w:w="4814" w:type="dxa"/>
          </w:tcPr>
          <w:p w14:paraId="220760AF" w14:textId="77777777" w:rsidR="00702F21" w:rsidRPr="00E92B0C" w:rsidRDefault="00702F21" w:rsidP="008B559D">
            <w:pPr>
              <w:spacing w:before="135"/>
              <w:ind w:right="-11" w:firstLine="126"/>
              <w:jc w:val="both"/>
              <w:textAlignment w:val="baseline"/>
              <w:rPr>
                <w:rFonts w:eastAsia="Times New Roman"/>
                <w:lang w:val="it-IT"/>
              </w:rPr>
            </w:pPr>
            <w:r w:rsidRPr="00E92B0C">
              <w:rPr>
                <w:rFonts w:eastAsia="Times New Roman"/>
                <w:lang w:val="it-IT"/>
              </w:rPr>
              <w:t>Gli Stati membri assicurano che le autorità competenti pubblichino sui loro siti web, in una sezione separata, facilmente identificabile e accessibile, almeno le seguenti informazioni:</w:t>
            </w:r>
          </w:p>
          <w:p w14:paraId="1014E495" w14:textId="77777777" w:rsidR="00702F21" w:rsidRPr="00E92B0C" w:rsidRDefault="00702F21" w:rsidP="008B559D">
            <w:pPr>
              <w:spacing w:before="240"/>
              <w:ind w:right="-11"/>
              <w:jc w:val="both"/>
              <w:textAlignment w:val="baseline"/>
              <w:rPr>
                <w:rFonts w:eastAsia="Times New Roman"/>
                <w:lang w:val="it-IT"/>
              </w:rPr>
            </w:pPr>
            <w:r w:rsidRPr="00E92B0C">
              <w:rPr>
                <w:rFonts w:eastAsia="Times New Roman"/>
                <w:lang w:val="it-IT"/>
              </w:rPr>
              <w:t>a) le condizioni per beneficiare di protezione ai sensi della presente direttiva;</w:t>
            </w:r>
          </w:p>
          <w:p w14:paraId="0C91D4CA" w14:textId="77777777" w:rsidR="00702F21" w:rsidRPr="00E92B0C" w:rsidRDefault="00702F21" w:rsidP="008B559D">
            <w:pPr>
              <w:spacing w:before="273"/>
              <w:ind w:right="-11"/>
              <w:jc w:val="both"/>
              <w:textAlignment w:val="baseline"/>
              <w:rPr>
                <w:rFonts w:eastAsia="Times New Roman"/>
                <w:lang w:val="it-IT"/>
              </w:rPr>
            </w:pPr>
            <w:r w:rsidRPr="00E92B0C">
              <w:rPr>
                <w:rFonts w:eastAsia="Times New Roman"/>
                <w:lang w:val="it-IT"/>
              </w:rPr>
              <w:t>b) i dati di contatto per i canali di segnalazione esterna di cui all’articolo 12, in particolare gli indirizzi postali ed elettronici e i numeri di telefono per tali canali, indicando se le conversazioni telefoniche sono registrate;</w:t>
            </w:r>
          </w:p>
          <w:p w14:paraId="519D06C0" w14:textId="77777777" w:rsidR="00702F21" w:rsidRPr="00E92B0C" w:rsidRDefault="00702F21" w:rsidP="008B559D">
            <w:pPr>
              <w:spacing w:before="278"/>
              <w:ind w:right="-11"/>
              <w:jc w:val="both"/>
              <w:textAlignment w:val="baseline"/>
              <w:rPr>
                <w:rFonts w:eastAsia="Times New Roman"/>
                <w:lang w:val="it-IT"/>
              </w:rPr>
            </w:pPr>
            <w:r w:rsidRPr="00E92B0C">
              <w:rPr>
                <w:rFonts w:eastAsia="Times New Roman"/>
                <w:lang w:val="it-IT"/>
              </w:rPr>
              <w:t>c) le procedure applicabili alle segnalazioni di violazioni, comprese le modalità con cui l’autorità competente può chiedere alla persona segnalante di chiarire le informazioni comunicate o di fornire ulteriori informazioni, il termine per fornire un riscontro nonché il tipo e contenuto di tale riscontro;</w:t>
            </w:r>
          </w:p>
          <w:p w14:paraId="1018C487" w14:textId="77777777" w:rsidR="00702F21" w:rsidRPr="00E92B0C" w:rsidRDefault="00702F21" w:rsidP="008B559D">
            <w:pPr>
              <w:spacing w:before="278"/>
              <w:ind w:right="-11"/>
              <w:jc w:val="both"/>
              <w:textAlignment w:val="baseline"/>
              <w:rPr>
                <w:rFonts w:eastAsia="Times New Roman"/>
                <w:lang w:val="it-IT"/>
              </w:rPr>
            </w:pPr>
            <w:r w:rsidRPr="00E92B0C">
              <w:rPr>
                <w:rFonts w:eastAsia="Times New Roman"/>
                <w:lang w:val="it-IT"/>
              </w:rPr>
              <w:t>d) il regime di riservatezza applicabile alle segnalazioni, in particolare alle informazioni relative al trattamento dei dati personali conformemente all’articolo 17 della presente direttiva, agli articoli 5 e 13 del regolamento (UE) 2016/679, all’articolo 13 della direttiva (UE) 2016/680 e all’articolo 15 del regolamento (UE) 2018/1725, a seconda dei casi;</w:t>
            </w:r>
          </w:p>
          <w:p w14:paraId="21381B2E" w14:textId="77777777" w:rsidR="00702F21" w:rsidRPr="00E92B0C" w:rsidRDefault="00702F21" w:rsidP="008B559D">
            <w:pPr>
              <w:textAlignment w:val="baseline"/>
              <w:rPr>
                <w:rFonts w:eastAsia="Times New Roman"/>
                <w:spacing w:val="1"/>
                <w:lang w:val="it-IT"/>
              </w:rPr>
            </w:pPr>
            <w:r w:rsidRPr="00E92B0C">
              <w:rPr>
                <w:rFonts w:eastAsia="Times New Roman"/>
                <w:spacing w:val="1"/>
                <w:lang w:val="it-IT"/>
              </w:rPr>
              <w:t>e) il tipo di seguito da dare;</w:t>
            </w:r>
          </w:p>
          <w:p w14:paraId="007766AB" w14:textId="77777777" w:rsidR="00702F21" w:rsidRPr="00E92B0C" w:rsidRDefault="00702F21" w:rsidP="008B559D">
            <w:pPr>
              <w:spacing w:before="235"/>
              <w:jc w:val="both"/>
              <w:textAlignment w:val="baseline"/>
              <w:rPr>
                <w:rFonts w:eastAsia="Times New Roman"/>
                <w:lang w:val="it-IT"/>
              </w:rPr>
            </w:pPr>
            <w:r w:rsidRPr="00E92B0C">
              <w:rPr>
                <w:rFonts w:eastAsia="Times New Roman"/>
                <w:lang w:val="it-IT"/>
              </w:rPr>
              <w:t>f) i mezzi di ricorso e le procedure di protezione contro le ritorsioni e la disponibilità di una consulenza riservata per le persone che intendano effettuare una segnalazione;</w:t>
            </w:r>
          </w:p>
          <w:p w14:paraId="7FAA4F03" w14:textId="77777777" w:rsidR="00702F21" w:rsidRPr="00E92B0C" w:rsidRDefault="00702F21" w:rsidP="008B559D">
            <w:pPr>
              <w:spacing w:before="240"/>
              <w:jc w:val="both"/>
              <w:textAlignment w:val="baseline"/>
              <w:rPr>
                <w:rFonts w:eastAsia="Times New Roman"/>
                <w:lang w:val="it-IT"/>
              </w:rPr>
            </w:pPr>
            <w:r w:rsidRPr="00E92B0C">
              <w:rPr>
                <w:rFonts w:eastAsia="Times New Roman"/>
                <w:lang w:val="it-IT"/>
              </w:rPr>
              <w:t>g) una dichiarazione che spieghi chiaramente le condizioni alle quali le persone che effettuano segnalazioni all’autorità competente siano protette dall’incorrere in responsabilità per violazione della riservatezza ai sensi dell’articolo 21, paragrafo 2; e</w:t>
            </w:r>
          </w:p>
          <w:p w14:paraId="43A61C54" w14:textId="77777777" w:rsidR="00702F21" w:rsidRPr="00E92B0C" w:rsidRDefault="00702F21" w:rsidP="008B559D">
            <w:pPr>
              <w:rPr>
                <w:rFonts w:eastAsia="Times New Roman"/>
                <w:lang w:val="it-IT"/>
              </w:rPr>
            </w:pPr>
          </w:p>
          <w:p w14:paraId="569999A8" w14:textId="77777777" w:rsidR="00702F21" w:rsidRPr="00E92B0C" w:rsidRDefault="00702F21" w:rsidP="008B559D">
            <w:pPr>
              <w:jc w:val="both"/>
              <w:rPr>
                <w:lang w:val="it-IT"/>
              </w:rPr>
            </w:pPr>
            <w:r w:rsidRPr="00E92B0C">
              <w:rPr>
                <w:rFonts w:eastAsia="Times New Roman"/>
                <w:lang w:val="it-IT"/>
              </w:rPr>
              <w:t>h) le informazioni di contatto del centro d’informazione o dell’autorità amministrativa indipendente unica di cui all’articolo 20, paragrafo 3, se del caso.</w:t>
            </w:r>
          </w:p>
        </w:tc>
        <w:tc>
          <w:tcPr>
            <w:tcW w:w="5050" w:type="dxa"/>
          </w:tcPr>
          <w:p w14:paraId="5DA8A562" w14:textId="77777777" w:rsidR="00702F21" w:rsidRPr="00E92B0C" w:rsidRDefault="00702F21" w:rsidP="008B559D">
            <w:pPr>
              <w:rPr>
                <w:lang w:val="it-IT"/>
              </w:rPr>
            </w:pPr>
          </w:p>
          <w:p w14:paraId="29DD9B43" w14:textId="77777777" w:rsidR="00702F21" w:rsidRPr="00E92B0C" w:rsidRDefault="00702F21" w:rsidP="008B559D">
            <w:pPr>
              <w:jc w:val="both"/>
              <w:rPr>
                <w:lang w:val="it-IT"/>
              </w:rPr>
            </w:pPr>
            <w:r>
              <w:rPr>
                <w:lang w:val="it-IT"/>
              </w:rPr>
              <w:t>Art. 9, comma 1</w:t>
            </w:r>
          </w:p>
        </w:tc>
      </w:tr>
      <w:tr w:rsidR="00702F21" w:rsidRPr="00BE38E8" w14:paraId="66CE9466" w14:textId="77777777" w:rsidTr="008B559D">
        <w:tc>
          <w:tcPr>
            <w:tcW w:w="4814" w:type="dxa"/>
          </w:tcPr>
          <w:p w14:paraId="73E748B4" w14:textId="77777777" w:rsidR="00702F21" w:rsidRPr="00E92B0C" w:rsidRDefault="00702F21" w:rsidP="008B559D">
            <w:pPr>
              <w:spacing w:before="116"/>
              <w:jc w:val="center"/>
              <w:textAlignment w:val="baseline"/>
              <w:rPr>
                <w:rFonts w:eastAsia="Times New Roman"/>
                <w:b/>
                <w:spacing w:val="1"/>
                <w:lang w:val="it-IT"/>
              </w:rPr>
            </w:pPr>
            <w:r w:rsidRPr="00E92B0C">
              <w:rPr>
                <w:rFonts w:eastAsia="Times New Roman"/>
                <w:i/>
                <w:spacing w:val="-2"/>
                <w:lang w:val="it-IT"/>
              </w:rPr>
              <w:t>Articolo 14</w:t>
            </w:r>
          </w:p>
          <w:p w14:paraId="0ADD209F" w14:textId="77777777" w:rsidR="00702F21" w:rsidRPr="00E92B0C" w:rsidRDefault="00702F21" w:rsidP="008B559D">
            <w:pPr>
              <w:rPr>
                <w:lang w:val="it-IT"/>
              </w:rPr>
            </w:pPr>
            <w:r w:rsidRPr="00E92B0C">
              <w:rPr>
                <w:rFonts w:eastAsia="Times New Roman"/>
                <w:b/>
                <w:spacing w:val="1"/>
                <w:lang w:val="it-IT"/>
              </w:rPr>
              <w:t>Riesame delle procedure da parte delle autorità competenti</w:t>
            </w:r>
          </w:p>
        </w:tc>
        <w:tc>
          <w:tcPr>
            <w:tcW w:w="5050" w:type="dxa"/>
          </w:tcPr>
          <w:p w14:paraId="603937B8" w14:textId="77777777" w:rsidR="00702F21" w:rsidRPr="00E92B0C" w:rsidRDefault="00702F21" w:rsidP="008B559D">
            <w:pPr>
              <w:spacing w:line="360" w:lineRule="auto"/>
              <w:jc w:val="center"/>
              <w:rPr>
                <w:rFonts w:eastAsia="Times New Roman"/>
                <w:b/>
                <w:bCs/>
                <w:color w:val="000000"/>
                <w:lang w:val="it-IT"/>
              </w:rPr>
            </w:pPr>
            <w:r w:rsidRPr="00E92B0C">
              <w:rPr>
                <w:rFonts w:eastAsia="Times New Roman"/>
                <w:b/>
                <w:bCs/>
                <w:color w:val="000000"/>
                <w:lang w:val="it-IT"/>
              </w:rPr>
              <w:t>Art. 10</w:t>
            </w:r>
          </w:p>
          <w:p w14:paraId="0E1B8462" w14:textId="77777777" w:rsidR="00702F21" w:rsidRPr="00E92B0C" w:rsidRDefault="00702F21" w:rsidP="008B559D">
            <w:pPr>
              <w:spacing w:line="360" w:lineRule="auto"/>
              <w:jc w:val="center"/>
              <w:rPr>
                <w:rFonts w:eastAsia="Times New Roman"/>
                <w:color w:val="000000"/>
                <w:lang w:val="it-IT"/>
              </w:rPr>
            </w:pPr>
            <w:r w:rsidRPr="00E92B0C">
              <w:rPr>
                <w:rFonts w:eastAsia="Times New Roman"/>
                <w:color w:val="000000"/>
                <w:lang w:val="it-IT"/>
              </w:rPr>
              <w:t>(</w:t>
            </w:r>
            <w:r w:rsidRPr="00E92B0C">
              <w:rPr>
                <w:rFonts w:eastAsia="Times New Roman"/>
                <w:i/>
                <w:iCs/>
                <w:color w:val="000000"/>
                <w:lang w:val="it-IT"/>
              </w:rPr>
              <w:t>Adozione di Linee guida</w:t>
            </w:r>
            <w:r w:rsidRPr="00E92B0C">
              <w:rPr>
                <w:rFonts w:eastAsia="Times New Roman"/>
                <w:color w:val="000000"/>
                <w:lang w:val="it-IT"/>
              </w:rPr>
              <w:t>)</w:t>
            </w:r>
          </w:p>
          <w:p w14:paraId="50B264B7" w14:textId="77777777" w:rsidR="00702F21" w:rsidRPr="00E92B0C" w:rsidRDefault="00702F21" w:rsidP="008B559D">
            <w:pPr>
              <w:rPr>
                <w:lang w:val="it-IT"/>
              </w:rPr>
            </w:pPr>
          </w:p>
        </w:tc>
      </w:tr>
      <w:tr w:rsidR="00702F21" w:rsidRPr="00AF6525" w14:paraId="22226550" w14:textId="77777777" w:rsidTr="008B559D">
        <w:tc>
          <w:tcPr>
            <w:tcW w:w="4814" w:type="dxa"/>
          </w:tcPr>
          <w:p w14:paraId="1E1FF7AE" w14:textId="77777777" w:rsidR="00702F21" w:rsidRPr="00E92B0C" w:rsidRDefault="00702F21" w:rsidP="008B559D">
            <w:pPr>
              <w:spacing w:before="136"/>
              <w:jc w:val="both"/>
              <w:textAlignment w:val="baseline"/>
              <w:rPr>
                <w:rFonts w:eastAsia="Times New Roman"/>
                <w:lang w:val="it-IT"/>
              </w:rPr>
            </w:pPr>
            <w:r w:rsidRPr="00E92B0C">
              <w:rPr>
                <w:rFonts w:eastAsia="Times New Roman"/>
                <w:lang w:val="it-IT"/>
              </w:rPr>
              <w:t>Gli Stati membri provvedono a che le autorità competenti riesaminino regolarmente, e almeno una volta ogni tre anni, le proprie procedure per il ricevimento delle segnalazioni e relativo seguito. Nell’ambito di tale riesame le autorità competenti tengono conto della propria esperienza e di quella di altre autorità competenti e adeguano le proprie procedure di conseguenza.</w:t>
            </w:r>
          </w:p>
          <w:p w14:paraId="4B6D93E5" w14:textId="77777777" w:rsidR="00702F21" w:rsidRPr="00E92B0C" w:rsidRDefault="00702F21" w:rsidP="008B559D">
            <w:pPr>
              <w:rPr>
                <w:lang w:val="it-IT"/>
              </w:rPr>
            </w:pPr>
          </w:p>
        </w:tc>
        <w:tc>
          <w:tcPr>
            <w:tcW w:w="5050" w:type="dxa"/>
          </w:tcPr>
          <w:p w14:paraId="45CF8F2F" w14:textId="77777777" w:rsidR="00702F21" w:rsidRPr="00E92B0C" w:rsidRDefault="00702F21" w:rsidP="008B559D">
            <w:pPr>
              <w:jc w:val="both"/>
              <w:rPr>
                <w:rFonts w:eastAsia="Times New Roman"/>
                <w:color w:val="000000"/>
                <w:lang w:val="it-IT"/>
              </w:rPr>
            </w:pPr>
          </w:p>
          <w:p w14:paraId="46B4D37E" w14:textId="77777777" w:rsidR="00702F21" w:rsidRPr="00E92B0C" w:rsidRDefault="00702F21" w:rsidP="008B559D">
            <w:pPr>
              <w:jc w:val="both"/>
              <w:rPr>
                <w:lang w:val="it-IT"/>
              </w:rPr>
            </w:pPr>
            <w:r>
              <w:rPr>
                <w:lang w:val="it-IT"/>
              </w:rPr>
              <w:t>Art. 10, comma 2</w:t>
            </w:r>
          </w:p>
        </w:tc>
      </w:tr>
      <w:tr w:rsidR="00702F21" w:rsidRPr="00E92B0C" w14:paraId="49B3F50F" w14:textId="77777777" w:rsidTr="008B559D">
        <w:tc>
          <w:tcPr>
            <w:tcW w:w="4814" w:type="dxa"/>
          </w:tcPr>
          <w:p w14:paraId="1C956E0E" w14:textId="77777777" w:rsidR="00702F21" w:rsidRPr="00E92B0C" w:rsidRDefault="00702F21" w:rsidP="008B559D">
            <w:pPr>
              <w:jc w:val="center"/>
              <w:textAlignment w:val="baseline"/>
              <w:rPr>
                <w:rFonts w:eastAsia="Times New Roman"/>
                <w:lang w:val="it-IT"/>
              </w:rPr>
            </w:pPr>
            <w:r w:rsidRPr="00E92B0C">
              <w:rPr>
                <w:rFonts w:eastAsia="Times New Roman"/>
                <w:lang w:val="it-IT"/>
              </w:rPr>
              <w:t>CAPO IV</w:t>
            </w:r>
          </w:p>
          <w:p w14:paraId="2BABC735" w14:textId="77777777" w:rsidR="00702F21" w:rsidRPr="00E92B0C" w:rsidRDefault="00702F21" w:rsidP="008B559D">
            <w:pPr>
              <w:jc w:val="center"/>
              <w:textAlignment w:val="baseline"/>
              <w:rPr>
                <w:rFonts w:eastAsia="Times New Roman"/>
                <w:b/>
                <w:lang w:val="it-IT"/>
              </w:rPr>
            </w:pPr>
            <w:r w:rsidRPr="00E92B0C">
              <w:rPr>
                <w:rFonts w:eastAsia="Times New Roman"/>
                <w:b/>
                <w:lang w:val="it-IT"/>
              </w:rPr>
              <w:t>DIVULGAZIONI PUBBLICHE</w:t>
            </w:r>
          </w:p>
          <w:p w14:paraId="780617F7" w14:textId="77777777" w:rsidR="00702F21" w:rsidRPr="00E92B0C" w:rsidRDefault="00702F21" w:rsidP="008B559D">
            <w:pPr>
              <w:rPr>
                <w:lang w:val="it-IT"/>
              </w:rPr>
            </w:pPr>
          </w:p>
        </w:tc>
        <w:tc>
          <w:tcPr>
            <w:tcW w:w="5050" w:type="dxa"/>
          </w:tcPr>
          <w:p w14:paraId="1CD24529" w14:textId="77777777" w:rsidR="00702F21" w:rsidRPr="00E92B0C" w:rsidRDefault="00702F21" w:rsidP="008B559D">
            <w:pPr>
              <w:rPr>
                <w:lang w:val="it-IT"/>
              </w:rPr>
            </w:pPr>
          </w:p>
        </w:tc>
      </w:tr>
      <w:tr w:rsidR="00702F21" w:rsidRPr="00E92B0C" w14:paraId="0EC9C2F3" w14:textId="77777777" w:rsidTr="008B559D">
        <w:tc>
          <w:tcPr>
            <w:tcW w:w="4814" w:type="dxa"/>
          </w:tcPr>
          <w:p w14:paraId="17CD1F03" w14:textId="77777777" w:rsidR="00702F21" w:rsidRPr="00E92B0C" w:rsidRDefault="00702F21" w:rsidP="008B559D">
            <w:pPr>
              <w:spacing w:before="113" w:line="240" w:lineRule="exact"/>
              <w:jc w:val="center"/>
              <w:textAlignment w:val="baseline"/>
              <w:rPr>
                <w:rFonts w:eastAsia="Times New Roman"/>
                <w:i/>
                <w:spacing w:val="-2"/>
                <w:lang w:val="it-IT"/>
              </w:rPr>
            </w:pPr>
            <w:r w:rsidRPr="00E92B0C">
              <w:rPr>
                <w:rFonts w:eastAsia="Times New Roman"/>
                <w:i/>
                <w:spacing w:val="-2"/>
                <w:lang w:val="it-IT"/>
              </w:rPr>
              <w:t>Articolo 15</w:t>
            </w:r>
          </w:p>
          <w:p w14:paraId="332B7269" w14:textId="77777777" w:rsidR="00702F21" w:rsidRPr="00E92B0C" w:rsidRDefault="00702F21" w:rsidP="008B559D">
            <w:pPr>
              <w:spacing w:before="115" w:line="253" w:lineRule="exact"/>
              <w:jc w:val="center"/>
              <w:textAlignment w:val="baseline"/>
              <w:rPr>
                <w:rFonts w:eastAsia="Times New Roman"/>
                <w:b/>
                <w:spacing w:val="1"/>
                <w:lang w:val="it-IT"/>
              </w:rPr>
            </w:pPr>
            <w:r w:rsidRPr="00E92B0C">
              <w:rPr>
                <w:rFonts w:eastAsia="Times New Roman"/>
                <w:b/>
                <w:spacing w:val="1"/>
                <w:lang w:val="it-IT"/>
              </w:rPr>
              <w:t>Divulgazioni pubbliche</w:t>
            </w:r>
          </w:p>
          <w:p w14:paraId="24D0E217" w14:textId="77777777" w:rsidR="00702F21" w:rsidRPr="00E92B0C" w:rsidRDefault="00702F21" w:rsidP="008B559D">
            <w:pPr>
              <w:rPr>
                <w:lang w:val="it-IT"/>
              </w:rPr>
            </w:pPr>
          </w:p>
        </w:tc>
        <w:tc>
          <w:tcPr>
            <w:tcW w:w="5050" w:type="dxa"/>
          </w:tcPr>
          <w:p w14:paraId="7C7E4BD1" w14:textId="77777777" w:rsidR="00702F21" w:rsidRPr="00E92B0C" w:rsidRDefault="00702F21" w:rsidP="008B559D">
            <w:pPr>
              <w:spacing w:before="120"/>
              <w:jc w:val="center"/>
              <w:rPr>
                <w:rFonts w:eastAsia="Times New Roman"/>
                <w:b/>
                <w:bCs/>
                <w:color w:val="000000" w:themeColor="text1"/>
                <w:lang w:val="it-IT"/>
              </w:rPr>
            </w:pPr>
            <w:r w:rsidRPr="00E92B0C">
              <w:rPr>
                <w:rFonts w:eastAsia="Times New Roman"/>
                <w:b/>
                <w:bCs/>
                <w:color w:val="000000" w:themeColor="text1"/>
                <w:lang w:val="it-IT"/>
              </w:rPr>
              <w:t>Art. 15</w:t>
            </w:r>
          </w:p>
          <w:p w14:paraId="142F8B5D" w14:textId="77777777" w:rsidR="00702F21" w:rsidRPr="00E92B0C" w:rsidRDefault="00702F21" w:rsidP="008B559D">
            <w:pPr>
              <w:spacing w:before="120"/>
              <w:jc w:val="center"/>
              <w:rPr>
                <w:rFonts w:eastAsia="Times New Roman"/>
                <w:i/>
                <w:iCs/>
                <w:color w:val="000000" w:themeColor="text1"/>
                <w:lang w:val="it-IT"/>
              </w:rPr>
            </w:pPr>
            <w:r w:rsidRPr="00E92B0C">
              <w:rPr>
                <w:rFonts w:eastAsia="Times New Roman"/>
                <w:i/>
                <w:iCs/>
                <w:color w:val="000000" w:themeColor="text1"/>
                <w:lang w:val="it-IT"/>
              </w:rPr>
              <w:t>(Divulgazioni pubbliche)</w:t>
            </w:r>
          </w:p>
          <w:p w14:paraId="7F021AC4" w14:textId="77777777" w:rsidR="00702F21" w:rsidRPr="00E92B0C" w:rsidRDefault="00702F21" w:rsidP="008B559D">
            <w:pPr>
              <w:rPr>
                <w:lang w:val="it-IT"/>
              </w:rPr>
            </w:pPr>
          </w:p>
        </w:tc>
      </w:tr>
      <w:tr w:rsidR="00702F21" w:rsidRPr="00593199" w14:paraId="3BBE6B83" w14:textId="77777777" w:rsidTr="008B559D">
        <w:tc>
          <w:tcPr>
            <w:tcW w:w="4814" w:type="dxa"/>
          </w:tcPr>
          <w:p w14:paraId="6D488D8F" w14:textId="77777777" w:rsidR="00702F21" w:rsidRPr="00E92B0C" w:rsidRDefault="00702F21" w:rsidP="008B559D">
            <w:pPr>
              <w:tabs>
                <w:tab w:val="decimal" w:pos="648"/>
                <w:tab w:val="left" w:pos="936"/>
              </w:tabs>
              <w:spacing w:before="102"/>
              <w:jc w:val="both"/>
              <w:textAlignment w:val="baseline"/>
              <w:rPr>
                <w:rFonts w:eastAsia="Times New Roman"/>
                <w:lang w:val="it-IT"/>
              </w:rPr>
            </w:pPr>
            <w:r w:rsidRPr="00E92B0C">
              <w:rPr>
                <w:rFonts w:eastAsia="Times New Roman"/>
                <w:lang w:val="it-IT"/>
              </w:rPr>
              <w:t>1.</w:t>
            </w:r>
            <w:r w:rsidRPr="00E92B0C">
              <w:rPr>
                <w:rFonts w:eastAsia="Times New Roman"/>
                <w:lang w:val="it-IT"/>
              </w:rPr>
              <w:tab/>
              <w:t>Una persona che effettua una divulgazione pubblica beneficia della protezione prevista dalla presente direttiva se ricorre una delle seguenti condizioni:</w:t>
            </w:r>
          </w:p>
          <w:p w14:paraId="136BAA60" w14:textId="77777777" w:rsidR="00702F21" w:rsidRPr="00E92B0C" w:rsidRDefault="00702F21" w:rsidP="008B559D">
            <w:pPr>
              <w:tabs>
                <w:tab w:val="left" w:pos="504"/>
              </w:tabs>
              <w:ind w:right="36"/>
              <w:jc w:val="both"/>
              <w:textAlignment w:val="baseline"/>
              <w:rPr>
                <w:rFonts w:eastAsia="Times New Roman"/>
                <w:lang w:val="it-IT"/>
              </w:rPr>
            </w:pPr>
            <w:r w:rsidRPr="00E92B0C">
              <w:rPr>
                <w:rFonts w:eastAsia="Times New Roman"/>
                <w:lang w:val="it-IT"/>
              </w:rPr>
              <w:t>a) la persona segnalante ha prima segnalato internamente ed esternamente, o direttamente esternamente conformemente ai capi II e III, ma non è stata intrapresa un’azione appropriata in risposta alla segnalazione entro il termine di cui all’articolo 9, paragrafo 1, lettera f), o all’articolo 11, paragrafo 2, lettera d); oppure</w:t>
            </w:r>
          </w:p>
          <w:p w14:paraId="2473EF6E" w14:textId="77777777" w:rsidR="00702F21" w:rsidRPr="00E92B0C" w:rsidRDefault="00702F21" w:rsidP="008B559D">
            <w:pPr>
              <w:tabs>
                <w:tab w:val="left" w:pos="504"/>
              </w:tabs>
              <w:ind w:right="36"/>
              <w:jc w:val="both"/>
              <w:textAlignment w:val="baseline"/>
              <w:rPr>
                <w:rFonts w:eastAsia="Times New Roman"/>
                <w:lang w:val="it-IT"/>
              </w:rPr>
            </w:pPr>
          </w:p>
          <w:p w14:paraId="0EB51E8A" w14:textId="77777777" w:rsidR="00702F21" w:rsidRPr="00E92B0C" w:rsidRDefault="00702F21" w:rsidP="008B559D">
            <w:pPr>
              <w:tabs>
                <w:tab w:val="left" w:pos="322"/>
              </w:tabs>
              <w:jc w:val="both"/>
              <w:textAlignment w:val="baseline"/>
              <w:rPr>
                <w:rFonts w:eastAsia="Times New Roman"/>
                <w:lang w:val="it-IT"/>
              </w:rPr>
            </w:pPr>
            <w:r w:rsidRPr="00E92B0C">
              <w:rPr>
                <w:rFonts w:eastAsia="Times New Roman"/>
                <w:lang w:val="it-IT"/>
              </w:rPr>
              <w:t>b) la persona segnalante aveva fondati motivi di ritenere che:</w:t>
            </w:r>
          </w:p>
          <w:p w14:paraId="556143DC" w14:textId="77777777" w:rsidR="00702F21" w:rsidRPr="00E92B0C" w:rsidRDefault="00702F21" w:rsidP="008B559D">
            <w:pPr>
              <w:pStyle w:val="Paragrafoelenco"/>
              <w:ind w:left="684"/>
              <w:jc w:val="both"/>
              <w:textAlignment w:val="baseline"/>
              <w:rPr>
                <w:rFonts w:eastAsia="Times New Roman"/>
                <w:lang w:val="it-IT"/>
              </w:rPr>
            </w:pPr>
            <w:r w:rsidRPr="00E92B0C">
              <w:rPr>
                <w:rFonts w:eastAsia="Times New Roman"/>
                <w:lang w:val="it-IT"/>
              </w:rPr>
              <w:t>i) la violazione possa costituire un pericolo imminente o palese per il pubblico interesse, come nel caso in cui sussi</w:t>
            </w:r>
            <w:r w:rsidRPr="00E92B0C">
              <w:rPr>
                <w:rFonts w:eastAsia="Times New Roman"/>
                <w:lang w:val="it-IT"/>
              </w:rPr>
              <w:softHyphen/>
              <w:t>sta una situazione di emergenza o il rischio di danno irreversibile; oppure</w:t>
            </w:r>
          </w:p>
          <w:p w14:paraId="0F7543D0" w14:textId="77777777" w:rsidR="00702F21" w:rsidRPr="00E92B0C" w:rsidRDefault="00702F21" w:rsidP="008B559D">
            <w:pPr>
              <w:pStyle w:val="Paragrafoelenco"/>
              <w:ind w:left="684"/>
              <w:jc w:val="both"/>
              <w:textAlignment w:val="baseline"/>
              <w:rPr>
                <w:rFonts w:eastAsia="Times New Roman"/>
                <w:lang w:val="it-IT"/>
              </w:rPr>
            </w:pPr>
          </w:p>
          <w:p w14:paraId="20B743D4" w14:textId="77777777" w:rsidR="00702F21" w:rsidRPr="00E92B0C" w:rsidRDefault="00702F21" w:rsidP="008B559D">
            <w:pPr>
              <w:pStyle w:val="Paragrafoelenco"/>
              <w:ind w:left="684"/>
              <w:jc w:val="both"/>
              <w:textAlignment w:val="baseline"/>
              <w:rPr>
                <w:lang w:val="it-IT"/>
              </w:rPr>
            </w:pPr>
            <w:r w:rsidRPr="00E92B0C">
              <w:rPr>
                <w:rFonts w:eastAsia="Times New Roman"/>
                <w:lang w:val="it-IT"/>
              </w:rPr>
              <w:t>ii) in caso di segnalazione esterna, sussista il rischio di ritorsioni o le prospettive che la violazione sia affrontata efficacemente siano scarse per via delle circostanze del caso di specie, come quelle in cui possano essere occultate o distrutte prove oppure in cui un’autorità possa essere collusa con l’autore della violazione o coinvolta nella violazione stessa.</w:t>
            </w:r>
          </w:p>
        </w:tc>
        <w:tc>
          <w:tcPr>
            <w:tcW w:w="5050" w:type="dxa"/>
          </w:tcPr>
          <w:p w14:paraId="31B1D783" w14:textId="77777777" w:rsidR="00702F21" w:rsidRPr="00E92B0C" w:rsidRDefault="00702F21" w:rsidP="008B559D">
            <w:pPr>
              <w:spacing w:after="160"/>
              <w:jc w:val="both"/>
              <w:rPr>
                <w:rFonts w:eastAsia="Times New Roman"/>
                <w:color w:val="000000" w:themeColor="text1"/>
                <w:lang w:val="it-IT"/>
              </w:rPr>
            </w:pPr>
            <w:r>
              <w:rPr>
                <w:rFonts w:eastAsia="Times New Roman"/>
                <w:color w:val="000000" w:themeColor="text1"/>
                <w:lang w:val="it-IT"/>
              </w:rPr>
              <w:t>Art. 15 comma 1</w:t>
            </w:r>
          </w:p>
          <w:p w14:paraId="0EA5789C" w14:textId="77777777" w:rsidR="00702F21" w:rsidRPr="00E92B0C" w:rsidRDefault="00702F21" w:rsidP="008B559D">
            <w:pPr>
              <w:spacing w:after="160"/>
              <w:jc w:val="both"/>
              <w:rPr>
                <w:rFonts w:eastAsia="Times New Roman"/>
                <w:color w:val="000000" w:themeColor="text1"/>
                <w:lang w:val="it-IT"/>
              </w:rPr>
            </w:pPr>
          </w:p>
          <w:p w14:paraId="7D10BF1A" w14:textId="77777777" w:rsidR="00702F21" w:rsidRDefault="00702F21" w:rsidP="008B559D">
            <w:pPr>
              <w:spacing w:after="160"/>
              <w:jc w:val="both"/>
              <w:rPr>
                <w:rFonts w:eastAsia="Times New Roman"/>
                <w:color w:val="000000" w:themeColor="text1"/>
                <w:lang w:val="it-IT"/>
              </w:rPr>
            </w:pPr>
          </w:p>
          <w:p w14:paraId="06803EC3" w14:textId="77777777" w:rsidR="00702F21" w:rsidRDefault="00702F21" w:rsidP="008B559D">
            <w:pPr>
              <w:spacing w:after="160"/>
              <w:jc w:val="both"/>
              <w:rPr>
                <w:rFonts w:eastAsia="Times New Roman"/>
                <w:color w:val="000000" w:themeColor="text1"/>
                <w:lang w:val="it-IT"/>
              </w:rPr>
            </w:pPr>
          </w:p>
          <w:p w14:paraId="00F46B20" w14:textId="77777777" w:rsidR="00702F21" w:rsidRPr="00E92B0C" w:rsidRDefault="00702F21" w:rsidP="008B559D">
            <w:pPr>
              <w:spacing w:after="160"/>
              <w:jc w:val="both"/>
              <w:rPr>
                <w:lang w:val="it-IT"/>
              </w:rPr>
            </w:pPr>
          </w:p>
        </w:tc>
      </w:tr>
      <w:tr w:rsidR="00702F21" w:rsidRPr="00593199" w14:paraId="217CE25A" w14:textId="77777777" w:rsidTr="008B559D">
        <w:tc>
          <w:tcPr>
            <w:tcW w:w="4814" w:type="dxa"/>
          </w:tcPr>
          <w:p w14:paraId="132F65F9" w14:textId="77777777" w:rsidR="00702F21" w:rsidRDefault="00702F21" w:rsidP="008B559D">
            <w:pPr>
              <w:tabs>
                <w:tab w:val="decimal" w:pos="648"/>
                <w:tab w:val="left" w:pos="936"/>
              </w:tabs>
              <w:spacing w:before="102"/>
              <w:jc w:val="both"/>
              <w:textAlignment w:val="baseline"/>
              <w:rPr>
                <w:rFonts w:eastAsia="Times New Roman"/>
                <w:lang w:val="it-IT"/>
              </w:rPr>
            </w:pPr>
            <w:r w:rsidRPr="00E92B0C">
              <w:rPr>
                <w:rFonts w:eastAsia="Times New Roman"/>
                <w:lang w:val="it-IT"/>
              </w:rPr>
              <w:t>2. Il presente articolo non si applica a casi in cui una persona divulghi direttamente informazioni alla stampa conformemente a specifiche disposizioni nazionali che stabiliscono un sistema di protezione relativo alla libertà di espressione e d’informazione</w:t>
            </w:r>
            <w:r>
              <w:rPr>
                <w:rFonts w:eastAsia="Times New Roman"/>
                <w:lang w:val="it-IT"/>
              </w:rPr>
              <w:t>.</w:t>
            </w:r>
          </w:p>
          <w:p w14:paraId="1C67B72F" w14:textId="77777777" w:rsidR="00702F21" w:rsidRPr="00E92B0C" w:rsidRDefault="00702F21" w:rsidP="008B559D">
            <w:pPr>
              <w:tabs>
                <w:tab w:val="decimal" w:pos="648"/>
                <w:tab w:val="left" w:pos="936"/>
              </w:tabs>
              <w:spacing w:before="102"/>
              <w:jc w:val="both"/>
              <w:textAlignment w:val="baseline"/>
              <w:rPr>
                <w:rFonts w:eastAsia="Times New Roman"/>
                <w:lang w:val="it-IT"/>
              </w:rPr>
            </w:pPr>
          </w:p>
        </w:tc>
        <w:tc>
          <w:tcPr>
            <w:tcW w:w="5050" w:type="dxa"/>
          </w:tcPr>
          <w:p w14:paraId="51EB429E" w14:textId="77777777" w:rsidR="00702F21" w:rsidRPr="00E92B0C" w:rsidRDefault="00702F21" w:rsidP="008B559D">
            <w:pPr>
              <w:spacing w:after="160"/>
              <w:jc w:val="both"/>
              <w:rPr>
                <w:rFonts w:eastAsia="Times New Roman"/>
                <w:color w:val="000000" w:themeColor="text1"/>
                <w:lang w:val="it-IT"/>
              </w:rPr>
            </w:pPr>
            <w:r>
              <w:rPr>
                <w:rFonts w:eastAsia="Times New Roman"/>
                <w:color w:val="000000" w:themeColor="text1"/>
                <w:lang w:val="it-IT"/>
              </w:rPr>
              <w:t xml:space="preserve">Art. 15 comma </w:t>
            </w:r>
            <w:r w:rsidRPr="00E92B0C">
              <w:rPr>
                <w:rFonts w:eastAsia="Times New Roman"/>
                <w:color w:val="000000" w:themeColor="text1"/>
                <w:lang w:val="it-IT"/>
              </w:rPr>
              <w:t>2</w:t>
            </w:r>
          </w:p>
          <w:p w14:paraId="4967783F" w14:textId="77777777" w:rsidR="00702F21" w:rsidRPr="00E92B0C" w:rsidRDefault="00702F21" w:rsidP="008B559D">
            <w:pPr>
              <w:spacing w:before="120"/>
              <w:jc w:val="both"/>
              <w:rPr>
                <w:rFonts w:eastAsia="Times New Roman"/>
                <w:color w:val="000000" w:themeColor="text1"/>
                <w:lang w:val="it-IT"/>
              </w:rPr>
            </w:pPr>
          </w:p>
        </w:tc>
      </w:tr>
      <w:tr w:rsidR="00702F21" w:rsidRPr="00BE38E8" w14:paraId="7EEA0489" w14:textId="77777777" w:rsidTr="008B559D">
        <w:tc>
          <w:tcPr>
            <w:tcW w:w="4814" w:type="dxa"/>
          </w:tcPr>
          <w:p w14:paraId="4F046BE3" w14:textId="77777777" w:rsidR="00702F21" w:rsidRDefault="00702F21" w:rsidP="008B559D">
            <w:pPr>
              <w:jc w:val="center"/>
              <w:rPr>
                <w:lang w:val="it-IT"/>
              </w:rPr>
            </w:pPr>
            <w:r w:rsidRPr="00E92B0C">
              <w:rPr>
                <w:lang w:val="it-IT"/>
              </w:rPr>
              <w:t>CAPO V</w:t>
            </w:r>
          </w:p>
          <w:p w14:paraId="77ABD175" w14:textId="77777777" w:rsidR="00702F21" w:rsidRDefault="00702F21" w:rsidP="008B559D">
            <w:pPr>
              <w:jc w:val="center"/>
              <w:rPr>
                <w:b/>
                <w:bCs/>
                <w:lang w:val="it-IT"/>
              </w:rPr>
            </w:pPr>
            <w:r w:rsidRPr="0026164C">
              <w:rPr>
                <w:b/>
                <w:bCs/>
                <w:lang w:val="it-IT"/>
              </w:rPr>
              <w:t>DISPOSIZIONI APPLICABILI ALLE SEGNALAZIONI INTERNE ED ESTERNE</w:t>
            </w:r>
          </w:p>
          <w:p w14:paraId="158F6839" w14:textId="77777777" w:rsidR="00702F21" w:rsidRPr="0026164C" w:rsidRDefault="00702F21" w:rsidP="008B559D">
            <w:pPr>
              <w:jc w:val="center"/>
              <w:rPr>
                <w:b/>
                <w:bCs/>
                <w:lang w:val="it-IT"/>
              </w:rPr>
            </w:pPr>
          </w:p>
        </w:tc>
        <w:tc>
          <w:tcPr>
            <w:tcW w:w="5050" w:type="dxa"/>
          </w:tcPr>
          <w:p w14:paraId="399E09C8" w14:textId="77777777" w:rsidR="00702F21" w:rsidRPr="00E92B0C" w:rsidRDefault="00702F21" w:rsidP="008B559D">
            <w:pPr>
              <w:spacing w:line="360" w:lineRule="auto"/>
              <w:jc w:val="both"/>
              <w:rPr>
                <w:lang w:val="it-IT"/>
              </w:rPr>
            </w:pPr>
          </w:p>
        </w:tc>
      </w:tr>
      <w:tr w:rsidR="00702F21" w:rsidRPr="00E92B0C" w14:paraId="62FF8E7C" w14:textId="77777777" w:rsidTr="008B559D">
        <w:tc>
          <w:tcPr>
            <w:tcW w:w="4814" w:type="dxa"/>
          </w:tcPr>
          <w:p w14:paraId="72BCF586" w14:textId="77777777" w:rsidR="00702F21" w:rsidRPr="00E92B0C" w:rsidRDefault="00702F21" w:rsidP="008B559D">
            <w:pPr>
              <w:jc w:val="center"/>
              <w:rPr>
                <w:lang w:val="it-IT"/>
              </w:rPr>
            </w:pPr>
          </w:p>
          <w:p w14:paraId="56241C53" w14:textId="77777777" w:rsidR="00702F21" w:rsidRPr="00E92B0C" w:rsidRDefault="00702F21" w:rsidP="008B559D">
            <w:pPr>
              <w:jc w:val="center"/>
              <w:rPr>
                <w:i/>
                <w:iCs/>
              </w:rPr>
            </w:pPr>
            <w:proofErr w:type="spellStart"/>
            <w:r w:rsidRPr="00E92B0C">
              <w:rPr>
                <w:i/>
                <w:iCs/>
              </w:rPr>
              <w:t>Articolo</w:t>
            </w:r>
            <w:proofErr w:type="spellEnd"/>
            <w:r w:rsidRPr="00E92B0C">
              <w:rPr>
                <w:i/>
                <w:iCs/>
              </w:rPr>
              <w:t xml:space="preserve"> 16</w:t>
            </w:r>
          </w:p>
          <w:p w14:paraId="425F85BA" w14:textId="77777777" w:rsidR="00702F21" w:rsidRPr="00E92B0C" w:rsidRDefault="00702F21" w:rsidP="008B559D">
            <w:pPr>
              <w:jc w:val="center"/>
            </w:pPr>
          </w:p>
          <w:p w14:paraId="659A07C9" w14:textId="77777777" w:rsidR="00702F21" w:rsidRPr="00E92B0C" w:rsidRDefault="00702F21" w:rsidP="008B559D">
            <w:pPr>
              <w:jc w:val="center"/>
              <w:rPr>
                <w:b/>
                <w:bCs/>
              </w:rPr>
            </w:pPr>
            <w:proofErr w:type="spellStart"/>
            <w:r w:rsidRPr="00E92B0C">
              <w:rPr>
                <w:b/>
                <w:bCs/>
              </w:rPr>
              <w:t>Obbligo</w:t>
            </w:r>
            <w:proofErr w:type="spellEnd"/>
            <w:r w:rsidRPr="00E92B0C">
              <w:rPr>
                <w:b/>
                <w:bCs/>
              </w:rPr>
              <w:t xml:space="preserve"> di </w:t>
            </w:r>
            <w:proofErr w:type="spellStart"/>
            <w:r w:rsidRPr="00E92B0C">
              <w:rPr>
                <w:b/>
                <w:bCs/>
              </w:rPr>
              <w:t>riservatezza</w:t>
            </w:r>
            <w:proofErr w:type="spellEnd"/>
          </w:p>
          <w:p w14:paraId="61299457" w14:textId="77777777" w:rsidR="00702F21" w:rsidRPr="00E92B0C" w:rsidRDefault="00702F21" w:rsidP="008B559D">
            <w:pPr>
              <w:jc w:val="center"/>
              <w:rPr>
                <w:b/>
                <w:bCs/>
                <w:lang w:val="it-IT"/>
              </w:rPr>
            </w:pPr>
          </w:p>
        </w:tc>
        <w:tc>
          <w:tcPr>
            <w:tcW w:w="5050" w:type="dxa"/>
          </w:tcPr>
          <w:p w14:paraId="132CC425" w14:textId="77777777" w:rsidR="00702F21" w:rsidRPr="00EC448D" w:rsidRDefault="00702F21" w:rsidP="008B559D">
            <w:pPr>
              <w:spacing w:line="360" w:lineRule="auto"/>
              <w:jc w:val="center"/>
              <w:rPr>
                <w:rFonts w:eastAsia="Times New Roman"/>
                <w:b/>
                <w:bCs/>
                <w:color w:val="000000" w:themeColor="text1"/>
                <w:lang w:val="it-IT"/>
              </w:rPr>
            </w:pPr>
            <w:r w:rsidRPr="00EC448D">
              <w:rPr>
                <w:rFonts w:eastAsia="Times New Roman"/>
                <w:b/>
                <w:bCs/>
                <w:color w:val="000000" w:themeColor="text1"/>
                <w:lang w:val="it-IT"/>
              </w:rPr>
              <w:t>Art. 12</w:t>
            </w:r>
          </w:p>
          <w:p w14:paraId="376D808E" w14:textId="77777777" w:rsidR="00702F21" w:rsidRPr="00EC448D" w:rsidRDefault="00702F21" w:rsidP="008B559D">
            <w:pPr>
              <w:spacing w:line="360" w:lineRule="auto"/>
              <w:jc w:val="center"/>
              <w:rPr>
                <w:rFonts w:eastAsia="Times New Roman"/>
                <w:color w:val="000000" w:themeColor="text1"/>
                <w:lang w:val="it-IT"/>
              </w:rPr>
            </w:pPr>
            <w:r w:rsidRPr="00EC448D">
              <w:rPr>
                <w:rFonts w:eastAsia="Times New Roman"/>
                <w:color w:val="000000" w:themeColor="text1"/>
                <w:lang w:val="it-IT"/>
              </w:rPr>
              <w:t>(</w:t>
            </w:r>
            <w:r w:rsidRPr="00EC448D">
              <w:rPr>
                <w:rFonts w:eastAsia="Times New Roman"/>
                <w:i/>
                <w:iCs/>
                <w:color w:val="000000" w:themeColor="text1"/>
                <w:lang w:val="it-IT"/>
              </w:rPr>
              <w:t>Obbligo di riservatezza</w:t>
            </w:r>
            <w:r w:rsidRPr="00EC448D">
              <w:rPr>
                <w:rFonts w:eastAsia="Times New Roman"/>
                <w:color w:val="000000" w:themeColor="text1"/>
                <w:lang w:val="it-IT"/>
              </w:rPr>
              <w:t>)</w:t>
            </w:r>
          </w:p>
          <w:p w14:paraId="7EE99B81" w14:textId="77777777" w:rsidR="00702F21" w:rsidRPr="00E92B0C" w:rsidRDefault="00702F21" w:rsidP="008B559D">
            <w:pPr>
              <w:rPr>
                <w:lang w:val="it-IT"/>
              </w:rPr>
            </w:pPr>
          </w:p>
        </w:tc>
      </w:tr>
      <w:tr w:rsidR="00702F21" w:rsidRPr="00593199" w14:paraId="2A647303" w14:textId="77777777" w:rsidTr="008B559D">
        <w:tc>
          <w:tcPr>
            <w:tcW w:w="4814" w:type="dxa"/>
          </w:tcPr>
          <w:p w14:paraId="010A172C" w14:textId="77777777" w:rsidR="00702F21" w:rsidRPr="00E92B0C" w:rsidRDefault="00702F21" w:rsidP="008B559D">
            <w:pPr>
              <w:jc w:val="both"/>
              <w:rPr>
                <w:lang w:val="it-IT"/>
              </w:rPr>
            </w:pPr>
            <w:r w:rsidRPr="00E92B0C">
              <w:rPr>
                <w:lang w:val="it-IT"/>
              </w:rPr>
              <w:t>1. Gli Stati membri provvedono affinché l’identità della persona segnalante non sia divulgata, senza il suo consenso esplicito, a nessuno che non faccia parte del personale autorizzato competente a ricevere o a dare seguito alle segnalazioni. Altrettanto vale per qualsiasi altra informazione da cui si possa dedurre direttamente o indirettamente l’identità della persona segnalante.</w:t>
            </w:r>
          </w:p>
          <w:p w14:paraId="7B27AA94" w14:textId="77777777" w:rsidR="00702F21" w:rsidRPr="00E92B0C" w:rsidRDefault="00702F21" w:rsidP="008B559D">
            <w:pPr>
              <w:jc w:val="both"/>
              <w:rPr>
                <w:lang w:val="it-IT"/>
              </w:rPr>
            </w:pPr>
          </w:p>
        </w:tc>
        <w:tc>
          <w:tcPr>
            <w:tcW w:w="5050" w:type="dxa"/>
          </w:tcPr>
          <w:p w14:paraId="3BC7E76E" w14:textId="77777777" w:rsidR="00702F21" w:rsidRPr="003766CD" w:rsidRDefault="00702F21" w:rsidP="008B559D">
            <w:pPr>
              <w:jc w:val="both"/>
              <w:rPr>
                <w:rFonts w:eastAsia="Times New Roman"/>
                <w:color w:val="000000" w:themeColor="text1"/>
                <w:sz w:val="24"/>
                <w:szCs w:val="24"/>
                <w:lang w:val="it-IT"/>
              </w:rPr>
            </w:pPr>
            <w:r>
              <w:rPr>
                <w:rFonts w:eastAsia="Times New Roman"/>
                <w:color w:val="000000" w:themeColor="text1"/>
                <w:sz w:val="24"/>
                <w:szCs w:val="24"/>
                <w:lang w:val="it-IT"/>
              </w:rPr>
              <w:t xml:space="preserve">Art. 12 comma </w:t>
            </w:r>
            <w:r w:rsidRPr="003766CD">
              <w:rPr>
                <w:rFonts w:eastAsia="Times New Roman"/>
                <w:color w:val="000000" w:themeColor="text1"/>
                <w:sz w:val="24"/>
                <w:szCs w:val="24"/>
                <w:lang w:val="it-IT"/>
              </w:rPr>
              <w:t>1</w:t>
            </w:r>
          </w:p>
          <w:p w14:paraId="7F06291E" w14:textId="77777777" w:rsidR="00702F21" w:rsidRPr="00E92B0C" w:rsidRDefault="00702F21" w:rsidP="008B559D">
            <w:pPr>
              <w:jc w:val="both"/>
              <w:rPr>
                <w:lang w:val="it-IT"/>
              </w:rPr>
            </w:pPr>
          </w:p>
        </w:tc>
      </w:tr>
      <w:tr w:rsidR="00702F21" w:rsidRPr="00593199" w14:paraId="4E3B6A32" w14:textId="77777777" w:rsidTr="008B559D">
        <w:tc>
          <w:tcPr>
            <w:tcW w:w="4814" w:type="dxa"/>
          </w:tcPr>
          <w:p w14:paraId="6A9D1187" w14:textId="77777777" w:rsidR="00702F21" w:rsidRPr="00E92B0C" w:rsidRDefault="00702F21" w:rsidP="008B559D">
            <w:pPr>
              <w:jc w:val="both"/>
              <w:rPr>
                <w:lang w:val="it-IT"/>
              </w:rPr>
            </w:pPr>
            <w:r w:rsidRPr="00E92B0C">
              <w:rPr>
                <w:lang w:val="it-IT"/>
              </w:rPr>
              <w:t>2. In deroga al paragrafo 1, la divulgazione dell’identità della persona segnalante e di qualsiasi altra informazione di cui al paragrafo 1 è ammessa solo qualora ciò rappresenti un obbligo necessario e proporzionato imposto dal diritto dell’Unione o nazionale nel contesto di indagini da parte delle autorità nazionali o di procedimenti giudiziari, anche al fine di salvaguardare i diritti della difesa della persona coinvolta.</w:t>
            </w:r>
          </w:p>
        </w:tc>
        <w:tc>
          <w:tcPr>
            <w:tcW w:w="5050" w:type="dxa"/>
          </w:tcPr>
          <w:p w14:paraId="26B66746" w14:textId="77777777" w:rsidR="00702F21" w:rsidRPr="00E92B0C" w:rsidRDefault="00702F21" w:rsidP="008B559D">
            <w:pPr>
              <w:jc w:val="both"/>
              <w:rPr>
                <w:rFonts w:eastAsia="Times New Roman"/>
                <w:color w:val="000000" w:themeColor="text1"/>
                <w:lang w:val="it-IT"/>
              </w:rPr>
            </w:pPr>
            <w:r>
              <w:rPr>
                <w:rFonts w:eastAsia="Times New Roman"/>
                <w:color w:val="000000" w:themeColor="text1"/>
                <w:lang w:val="it-IT"/>
              </w:rPr>
              <w:t xml:space="preserve">Art. 12 commi da </w:t>
            </w:r>
            <w:r w:rsidRPr="00742C6E">
              <w:rPr>
                <w:rFonts w:eastAsia="Times New Roman"/>
                <w:color w:val="000000" w:themeColor="text1"/>
                <w:lang w:val="it-IT"/>
              </w:rPr>
              <w:t>2</w:t>
            </w:r>
            <w:r>
              <w:rPr>
                <w:rFonts w:eastAsia="Times New Roman"/>
                <w:color w:val="000000" w:themeColor="text1"/>
                <w:lang w:val="it-IT"/>
              </w:rPr>
              <w:t xml:space="preserve"> a 8</w:t>
            </w:r>
          </w:p>
          <w:p w14:paraId="3EA4AC3D" w14:textId="77777777" w:rsidR="00702F21" w:rsidRPr="00E92B0C" w:rsidRDefault="00702F21" w:rsidP="008B559D">
            <w:pPr>
              <w:jc w:val="both"/>
              <w:rPr>
                <w:rFonts w:eastAsia="Times New Roman"/>
                <w:color w:val="000000" w:themeColor="text1"/>
                <w:lang w:val="it-IT"/>
              </w:rPr>
            </w:pPr>
          </w:p>
          <w:p w14:paraId="4E7088C2" w14:textId="77777777" w:rsidR="00702F21" w:rsidRPr="00E92B0C" w:rsidRDefault="00702F21" w:rsidP="008B559D">
            <w:pPr>
              <w:rPr>
                <w:lang w:val="it-IT"/>
              </w:rPr>
            </w:pPr>
          </w:p>
        </w:tc>
      </w:tr>
      <w:tr w:rsidR="00702F21" w:rsidRPr="00E92B0C" w14:paraId="4503A464" w14:textId="77777777" w:rsidTr="008B559D">
        <w:tc>
          <w:tcPr>
            <w:tcW w:w="4814" w:type="dxa"/>
          </w:tcPr>
          <w:p w14:paraId="5865D355" w14:textId="77777777" w:rsidR="00702F21" w:rsidRPr="00E92B0C" w:rsidRDefault="00702F21" w:rsidP="008B559D">
            <w:pPr>
              <w:jc w:val="both"/>
              <w:rPr>
                <w:lang w:val="it-IT"/>
              </w:rPr>
            </w:pPr>
            <w:r w:rsidRPr="00E92B0C">
              <w:rPr>
                <w:lang w:val="it-IT"/>
              </w:rPr>
              <w:t xml:space="preserve">3. La divulgazione fatta conformemente alla deroga di cui al paragrafo 2 è oggetto di adeguate garanzie ai sensi delle norme </w:t>
            </w:r>
            <w:proofErr w:type="spellStart"/>
            <w:r w:rsidRPr="00E92B0C">
              <w:rPr>
                <w:lang w:val="it-IT"/>
              </w:rPr>
              <w:t>unionali</w:t>
            </w:r>
            <w:proofErr w:type="spellEnd"/>
            <w:r w:rsidRPr="00E92B0C">
              <w:rPr>
                <w:lang w:val="it-IT"/>
              </w:rPr>
              <w:t xml:space="preserve"> e nazionali applicabili. In particolare, le persone segnalanti sono informate prima della divulgazione della loro identità, a meno che ciò non pregiudichi le relative indagini o procedimenti giudiziari. Quando informa le persone segnalanti, l’autorità competente invia loro una spiegazione scritta delle ragioni alla base della divulgazione dei dati riservati in questione</w:t>
            </w:r>
          </w:p>
        </w:tc>
        <w:tc>
          <w:tcPr>
            <w:tcW w:w="5050" w:type="dxa"/>
          </w:tcPr>
          <w:p w14:paraId="5569558B" w14:textId="77777777" w:rsidR="00702F21" w:rsidRPr="00E92B0C" w:rsidRDefault="00702F21" w:rsidP="008B559D">
            <w:pPr>
              <w:rPr>
                <w:lang w:val="it-IT"/>
              </w:rPr>
            </w:pPr>
            <w:r>
              <w:rPr>
                <w:lang w:val="it-IT"/>
              </w:rPr>
              <w:t>v. art. 12, c</w:t>
            </w:r>
            <w:r w:rsidRPr="00E92B0C">
              <w:rPr>
                <w:lang w:val="it-IT"/>
              </w:rPr>
              <w:t>omma 6</w:t>
            </w:r>
          </w:p>
        </w:tc>
      </w:tr>
      <w:tr w:rsidR="00702F21" w:rsidRPr="00E92B0C" w14:paraId="53345498" w14:textId="77777777" w:rsidTr="008B559D">
        <w:tc>
          <w:tcPr>
            <w:tcW w:w="4814" w:type="dxa"/>
          </w:tcPr>
          <w:p w14:paraId="37C66393" w14:textId="77777777" w:rsidR="00702F21" w:rsidRPr="00E92B0C" w:rsidRDefault="00702F21" w:rsidP="008B559D">
            <w:pPr>
              <w:jc w:val="both"/>
              <w:rPr>
                <w:lang w:val="it-IT"/>
              </w:rPr>
            </w:pPr>
            <w:r w:rsidRPr="00E92B0C">
              <w:rPr>
                <w:lang w:val="it-IT"/>
              </w:rPr>
              <w:t>4. Gli Stati membri provvedono affinché le autorità competenti che ricevono segnalazioni con informazioni sulle violazioni che comprendono segreti commerciali non li utilizzino o divulghino per altri fini che vadano oltre quanto necessario per dare seguito adeguato</w:t>
            </w:r>
          </w:p>
        </w:tc>
        <w:tc>
          <w:tcPr>
            <w:tcW w:w="5050" w:type="dxa"/>
          </w:tcPr>
          <w:p w14:paraId="50E6D0AC" w14:textId="77777777" w:rsidR="00702F21" w:rsidRPr="00E92B0C" w:rsidRDefault="00702F21" w:rsidP="008B559D">
            <w:pPr>
              <w:jc w:val="both"/>
              <w:rPr>
                <w:rFonts w:eastAsia="Times New Roman"/>
                <w:color w:val="000000" w:themeColor="text1"/>
                <w:lang w:val="it-IT"/>
              </w:rPr>
            </w:pPr>
            <w:r>
              <w:rPr>
                <w:rFonts w:eastAsia="Times New Roman"/>
                <w:color w:val="000000" w:themeColor="text1"/>
                <w:lang w:val="it-IT"/>
              </w:rPr>
              <w:t>v. art. 12, c</w:t>
            </w:r>
            <w:r w:rsidRPr="00E92B0C">
              <w:rPr>
                <w:rFonts w:eastAsia="Times New Roman"/>
                <w:color w:val="000000" w:themeColor="text1"/>
                <w:lang w:val="it-IT"/>
              </w:rPr>
              <w:t xml:space="preserve">omma </w:t>
            </w:r>
            <w:r>
              <w:rPr>
                <w:rFonts w:eastAsia="Times New Roman"/>
                <w:color w:val="000000" w:themeColor="text1"/>
                <w:lang w:val="it-IT"/>
              </w:rPr>
              <w:t>1</w:t>
            </w:r>
          </w:p>
          <w:p w14:paraId="41E04142" w14:textId="77777777" w:rsidR="00702F21" w:rsidRPr="00E92B0C" w:rsidRDefault="00702F21" w:rsidP="008B559D">
            <w:pPr>
              <w:rPr>
                <w:lang w:val="it-IT"/>
              </w:rPr>
            </w:pPr>
          </w:p>
        </w:tc>
      </w:tr>
      <w:tr w:rsidR="00702F21" w:rsidRPr="00BE38E8" w14:paraId="6A22B8A5" w14:textId="77777777" w:rsidTr="008B559D">
        <w:tc>
          <w:tcPr>
            <w:tcW w:w="4814" w:type="dxa"/>
          </w:tcPr>
          <w:p w14:paraId="199E4056" w14:textId="77777777" w:rsidR="00702F21" w:rsidRPr="00E92B0C" w:rsidRDefault="00702F21" w:rsidP="008B559D">
            <w:pPr>
              <w:rPr>
                <w:lang w:val="it-IT"/>
              </w:rPr>
            </w:pPr>
          </w:p>
          <w:p w14:paraId="6716D30B" w14:textId="77777777" w:rsidR="00702F21" w:rsidRPr="00E92B0C" w:rsidRDefault="00702F21" w:rsidP="008B559D">
            <w:pPr>
              <w:jc w:val="center"/>
              <w:rPr>
                <w:i/>
                <w:iCs/>
                <w:lang w:val="it-IT"/>
              </w:rPr>
            </w:pPr>
            <w:r w:rsidRPr="00E92B0C">
              <w:rPr>
                <w:i/>
                <w:iCs/>
                <w:lang w:val="it-IT"/>
              </w:rPr>
              <w:t>Articolo 17</w:t>
            </w:r>
          </w:p>
          <w:p w14:paraId="71AB48DA" w14:textId="77777777" w:rsidR="00702F21" w:rsidRPr="00E92B0C" w:rsidRDefault="00702F21" w:rsidP="008B559D">
            <w:pPr>
              <w:jc w:val="center"/>
              <w:rPr>
                <w:b/>
                <w:bCs/>
                <w:lang w:val="it-IT"/>
              </w:rPr>
            </w:pPr>
            <w:r w:rsidRPr="00E92B0C">
              <w:rPr>
                <w:b/>
                <w:bCs/>
                <w:lang w:val="it-IT"/>
              </w:rPr>
              <w:t>Trattamento dei dati personali</w:t>
            </w:r>
          </w:p>
          <w:p w14:paraId="5316B6B3" w14:textId="77777777" w:rsidR="00702F21" w:rsidRPr="00E92B0C" w:rsidRDefault="00702F21" w:rsidP="008B559D">
            <w:pPr>
              <w:rPr>
                <w:lang w:val="it-IT"/>
              </w:rPr>
            </w:pPr>
          </w:p>
        </w:tc>
        <w:tc>
          <w:tcPr>
            <w:tcW w:w="5050" w:type="dxa"/>
          </w:tcPr>
          <w:p w14:paraId="296BD343" w14:textId="77777777" w:rsidR="00702F21" w:rsidRPr="00E92B0C" w:rsidRDefault="00702F21" w:rsidP="008B559D">
            <w:pPr>
              <w:spacing w:before="120" w:line="360" w:lineRule="auto"/>
              <w:ind w:right="36"/>
              <w:jc w:val="center"/>
              <w:rPr>
                <w:rFonts w:eastAsia="Times New Roman"/>
                <w:color w:val="000000" w:themeColor="text1"/>
                <w:lang w:val="it-IT"/>
              </w:rPr>
            </w:pPr>
            <w:r w:rsidRPr="00E92B0C">
              <w:rPr>
                <w:rFonts w:eastAsia="Times New Roman"/>
                <w:b/>
                <w:bCs/>
                <w:color w:val="000000" w:themeColor="text1"/>
                <w:lang w:val="it-IT"/>
              </w:rPr>
              <w:t xml:space="preserve">Art. 13 </w:t>
            </w:r>
          </w:p>
          <w:p w14:paraId="289469D6" w14:textId="77777777" w:rsidR="00702F21" w:rsidRPr="00E92B0C" w:rsidRDefault="00702F21" w:rsidP="008B559D">
            <w:pPr>
              <w:spacing w:before="120" w:line="360" w:lineRule="auto"/>
              <w:ind w:right="36"/>
              <w:jc w:val="center"/>
              <w:rPr>
                <w:rFonts w:eastAsia="Times New Roman"/>
                <w:color w:val="000000" w:themeColor="text1"/>
                <w:lang w:val="it-IT"/>
              </w:rPr>
            </w:pPr>
            <w:r w:rsidRPr="00E92B0C">
              <w:rPr>
                <w:rFonts w:eastAsia="Times New Roman"/>
                <w:color w:val="000000" w:themeColor="text1"/>
                <w:lang w:val="it-IT"/>
              </w:rPr>
              <w:t>(</w:t>
            </w:r>
            <w:r w:rsidRPr="00E92B0C">
              <w:rPr>
                <w:rFonts w:eastAsia="Times New Roman"/>
                <w:i/>
                <w:iCs/>
                <w:color w:val="000000" w:themeColor="text1"/>
                <w:lang w:val="it-IT"/>
              </w:rPr>
              <w:t>Trattamento dei dati personali</w:t>
            </w:r>
            <w:r w:rsidRPr="00E92B0C">
              <w:rPr>
                <w:rFonts w:eastAsia="Times New Roman"/>
                <w:color w:val="000000" w:themeColor="text1"/>
                <w:lang w:val="it-IT"/>
              </w:rPr>
              <w:t>)</w:t>
            </w:r>
          </w:p>
          <w:p w14:paraId="60AD0EEE" w14:textId="77777777" w:rsidR="00702F21" w:rsidRPr="00E92B0C" w:rsidRDefault="00702F21" w:rsidP="008B559D">
            <w:pPr>
              <w:rPr>
                <w:lang w:val="it-IT"/>
              </w:rPr>
            </w:pPr>
          </w:p>
        </w:tc>
      </w:tr>
      <w:tr w:rsidR="00702F21" w:rsidRPr="00AF6525" w14:paraId="573DFB01" w14:textId="77777777" w:rsidTr="008B559D">
        <w:tc>
          <w:tcPr>
            <w:tcW w:w="4814" w:type="dxa"/>
          </w:tcPr>
          <w:p w14:paraId="51127944" w14:textId="77777777" w:rsidR="00702F21" w:rsidRPr="00E92B0C" w:rsidRDefault="00702F21" w:rsidP="008B559D">
            <w:pPr>
              <w:jc w:val="both"/>
              <w:rPr>
                <w:lang w:val="it-IT"/>
              </w:rPr>
            </w:pPr>
            <w:r w:rsidRPr="00E92B0C">
              <w:rPr>
                <w:lang w:val="it-IT"/>
              </w:rPr>
              <w:t>Ogni trattamento dei dati personali effettuato ai sensi della presente direttiva, compresi lo scambio e la trasmissione di dati personali da parte delle autorità competenti, deve essere effettuato a norma del regolamento (UE) 2016/679 e della direttiva (UE) 2016/680. Lo scambio e la trasmissione di informazioni da parte delle istituzioni, degli organi o degli organismi dell’Unione sono effettuati in conformità del regolamento (UE) 2018/1725. I dati personali che manifestamente non sono utili al trattamento di una specifica segnalazione non sono raccolti o, se raccolti accidentalmente, sono cancellati senza indugio.</w:t>
            </w:r>
          </w:p>
        </w:tc>
        <w:tc>
          <w:tcPr>
            <w:tcW w:w="5050" w:type="dxa"/>
          </w:tcPr>
          <w:p w14:paraId="4CC3120D" w14:textId="77777777" w:rsidR="00702F21" w:rsidRDefault="00702F21" w:rsidP="008B559D">
            <w:pPr>
              <w:jc w:val="both"/>
              <w:rPr>
                <w:lang w:val="it-IT"/>
              </w:rPr>
            </w:pPr>
          </w:p>
          <w:p w14:paraId="72984939" w14:textId="77777777" w:rsidR="00702F21" w:rsidRPr="009F7403" w:rsidRDefault="00702F21" w:rsidP="008B559D">
            <w:pPr>
              <w:jc w:val="both"/>
              <w:rPr>
                <w:lang w:val="it-IT"/>
              </w:rPr>
            </w:pPr>
            <w:r>
              <w:rPr>
                <w:lang w:val="it-IT"/>
              </w:rPr>
              <w:t>Art. 13</w:t>
            </w:r>
          </w:p>
        </w:tc>
      </w:tr>
      <w:tr w:rsidR="00702F21" w:rsidRPr="00BE38E8" w14:paraId="72A712A8" w14:textId="77777777" w:rsidTr="008B559D">
        <w:tc>
          <w:tcPr>
            <w:tcW w:w="4814" w:type="dxa"/>
          </w:tcPr>
          <w:p w14:paraId="7FD33365" w14:textId="77777777" w:rsidR="00702F21" w:rsidRPr="00E92B0C" w:rsidRDefault="00702F21" w:rsidP="008B559D">
            <w:pPr>
              <w:jc w:val="center"/>
              <w:rPr>
                <w:lang w:val="it-IT"/>
              </w:rPr>
            </w:pPr>
          </w:p>
          <w:p w14:paraId="6467A851" w14:textId="77777777" w:rsidR="00702F21" w:rsidRPr="00E92B0C" w:rsidRDefault="00702F21" w:rsidP="008B559D">
            <w:pPr>
              <w:jc w:val="center"/>
              <w:rPr>
                <w:i/>
                <w:iCs/>
                <w:lang w:val="it-IT"/>
              </w:rPr>
            </w:pPr>
            <w:r w:rsidRPr="00E92B0C">
              <w:rPr>
                <w:i/>
                <w:iCs/>
                <w:lang w:val="it-IT"/>
              </w:rPr>
              <w:t>Articolo 18</w:t>
            </w:r>
          </w:p>
          <w:p w14:paraId="77B12ABA" w14:textId="77777777" w:rsidR="00702F21" w:rsidRPr="00E92B0C" w:rsidRDefault="00702F21" w:rsidP="008B559D">
            <w:pPr>
              <w:jc w:val="center"/>
              <w:rPr>
                <w:b/>
                <w:bCs/>
                <w:lang w:val="it-IT"/>
              </w:rPr>
            </w:pPr>
            <w:r w:rsidRPr="00E92B0C">
              <w:rPr>
                <w:b/>
                <w:bCs/>
                <w:lang w:val="it-IT"/>
              </w:rPr>
              <w:t>Conservazione della documentazione inerente alle segnalazioni</w:t>
            </w:r>
          </w:p>
          <w:p w14:paraId="62C112B6" w14:textId="77777777" w:rsidR="00702F21" w:rsidRPr="00E92B0C" w:rsidRDefault="00702F21" w:rsidP="008B559D">
            <w:pPr>
              <w:jc w:val="center"/>
              <w:rPr>
                <w:lang w:val="it-IT"/>
              </w:rPr>
            </w:pPr>
          </w:p>
        </w:tc>
        <w:tc>
          <w:tcPr>
            <w:tcW w:w="5050" w:type="dxa"/>
          </w:tcPr>
          <w:p w14:paraId="23F7B4BF" w14:textId="77777777" w:rsidR="00702F21" w:rsidRPr="009C628E" w:rsidRDefault="00702F21" w:rsidP="008B559D">
            <w:pPr>
              <w:spacing w:before="120" w:line="360" w:lineRule="auto"/>
              <w:ind w:right="36"/>
              <w:jc w:val="center"/>
              <w:rPr>
                <w:rFonts w:eastAsia="Times New Roman"/>
                <w:b/>
                <w:bCs/>
                <w:color w:val="000000" w:themeColor="text1"/>
                <w:sz w:val="24"/>
                <w:szCs w:val="24"/>
                <w:lang w:val="it-IT"/>
              </w:rPr>
            </w:pPr>
            <w:r w:rsidRPr="009C628E">
              <w:rPr>
                <w:rFonts w:eastAsia="Times New Roman"/>
                <w:b/>
                <w:bCs/>
                <w:color w:val="000000" w:themeColor="text1"/>
                <w:sz w:val="24"/>
                <w:szCs w:val="24"/>
                <w:lang w:val="it-IT"/>
              </w:rPr>
              <w:t>Art. 14</w:t>
            </w:r>
            <w:r w:rsidRPr="009C628E">
              <w:rPr>
                <w:rFonts w:eastAsia="Times New Roman"/>
                <w:b/>
                <w:bCs/>
                <w:color w:val="FF0000"/>
                <w:sz w:val="24"/>
                <w:szCs w:val="24"/>
                <w:lang w:val="it-IT"/>
              </w:rPr>
              <w:t xml:space="preserve"> </w:t>
            </w:r>
          </w:p>
          <w:p w14:paraId="70DDDB0D" w14:textId="77777777" w:rsidR="00702F21" w:rsidRPr="009C628E" w:rsidRDefault="00702F21" w:rsidP="008B559D">
            <w:pPr>
              <w:spacing w:before="120" w:line="360" w:lineRule="auto"/>
              <w:ind w:right="36"/>
              <w:jc w:val="center"/>
              <w:rPr>
                <w:rFonts w:eastAsia="Times New Roman"/>
                <w:color w:val="000000" w:themeColor="text1"/>
                <w:sz w:val="24"/>
                <w:szCs w:val="24"/>
                <w:lang w:val="it-IT"/>
              </w:rPr>
            </w:pPr>
            <w:r w:rsidRPr="009C628E">
              <w:rPr>
                <w:rFonts w:eastAsia="Times New Roman"/>
                <w:color w:val="000000" w:themeColor="text1"/>
                <w:sz w:val="24"/>
                <w:szCs w:val="24"/>
                <w:lang w:val="it-IT"/>
              </w:rPr>
              <w:t>(</w:t>
            </w:r>
            <w:r w:rsidRPr="009C628E">
              <w:rPr>
                <w:rFonts w:eastAsia="Times New Roman"/>
                <w:i/>
                <w:iCs/>
                <w:color w:val="000000" w:themeColor="text1"/>
                <w:sz w:val="24"/>
                <w:szCs w:val="24"/>
                <w:lang w:val="it-IT"/>
              </w:rPr>
              <w:t>Conservazione della documentazione inerente alle segnalazioni</w:t>
            </w:r>
            <w:r w:rsidRPr="009C628E">
              <w:rPr>
                <w:rFonts w:eastAsia="Times New Roman"/>
                <w:color w:val="000000" w:themeColor="text1"/>
                <w:sz w:val="24"/>
                <w:szCs w:val="24"/>
                <w:lang w:val="it-IT"/>
              </w:rPr>
              <w:t>)</w:t>
            </w:r>
          </w:p>
          <w:p w14:paraId="0A296F7F" w14:textId="77777777" w:rsidR="00702F21" w:rsidRPr="00E92B0C" w:rsidRDefault="00702F21" w:rsidP="008B559D">
            <w:pPr>
              <w:rPr>
                <w:lang w:val="it-IT"/>
              </w:rPr>
            </w:pPr>
          </w:p>
        </w:tc>
      </w:tr>
      <w:tr w:rsidR="00702F21" w:rsidRPr="00593199" w14:paraId="420DA50B" w14:textId="77777777" w:rsidTr="008B559D">
        <w:tc>
          <w:tcPr>
            <w:tcW w:w="4814" w:type="dxa"/>
          </w:tcPr>
          <w:p w14:paraId="0E83A7BA" w14:textId="77777777" w:rsidR="00702F21" w:rsidRPr="00E92B0C" w:rsidRDefault="00702F21" w:rsidP="008B559D">
            <w:pPr>
              <w:jc w:val="both"/>
              <w:rPr>
                <w:lang w:val="it-IT"/>
              </w:rPr>
            </w:pPr>
            <w:r w:rsidRPr="00E92B0C">
              <w:rPr>
                <w:lang w:val="it-IT"/>
              </w:rPr>
              <w:t>1. Gli Stati membri provvedono affinché i soggetti giuridici del settore privato e del settore pubblico e le autorità competenti conservino la documentazione inerente a ogni segnalazione ricevuta, nel rispetto dei requisiti di riservatezza di cui all’articolo 16. Le relazioni sono conservate soltanto per il tempo ritenuto necessario e proporzionato per conformarsi all’obbligo imposto dalla presente direttiva o ad altri obblighi imposti dal diritto dell’Unione o nazionale.</w:t>
            </w:r>
          </w:p>
          <w:p w14:paraId="6BC6453D" w14:textId="77777777" w:rsidR="00702F21" w:rsidRPr="00E92B0C" w:rsidRDefault="00702F21" w:rsidP="008B559D">
            <w:pPr>
              <w:jc w:val="both"/>
              <w:rPr>
                <w:lang w:val="it-IT"/>
              </w:rPr>
            </w:pPr>
          </w:p>
        </w:tc>
        <w:tc>
          <w:tcPr>
            <w:tcW w:w="5050" w:type="dxa"/>
          </w:tcPr>
          <w:p w14:paraId="305B179E" w14:textId="77777777" w:rsidR="00702F21" w:rsidRPr="000C36B1" w:rsidRDefault="00702F21" w:rsidP="008B559D">
            <w:pPr>
              <w:spacing w:before="120"/>
              <w:jc w:val="both"/>
              <w:rPr>
                <w:rFonts w:eastAsia="Times New Roman"/>
                <w:highlight w:val="yellow"/>
                <w:lang w:val="it-IT"/>
              </w:rPr>
            </w:pPr>
            <w:r>
              <w:rPr>
                <w:rFonts w:eastAsia="Times New Roman"/>
                <w:color w:val="000000" w:themeColor="text1"/>
                <w:lang w:val="it-IT"/>
              </w:rPr>
              <w:t xml:space="preserve">Art. 14 comma </w:t>
            </w:r>
            <w:r w:rsidRPr="000C36B1">
              <w:rPr>
                <w:rFonts w:eastAsia="Times New Roman"/>
                <w:color w:val="000000" w:themeColor="text1"/>
                <w:lang w:val="it-IT"/>
              </w:rPr>
              <w:t xml:space="preserve">1 </w:t>
            </w:r>
            <w:r w:rsidRPr="000C36B1">
              <w:rPr>
                <w:rFonts w:eastAsia="Times New Roman"/>
                <w:lang w:val="it-IT"/>
              </w:rPr>
              <w:t xml:space="preserve"> </w:t>
            </w:r>
          </w:p>
          <w:p w14:paraId="31A5D5F3" w14:textId="77777777" w:rsidR="00702F21" w:rsidRPr="000C36B1" w:rsidRDefault="00702F21" w:rsidP="008B559D">
            <w:pPr>
              <w:rPr>
                <w:lang w:val="it-IT"/>
              </w:rPr>
            </w:pPr>
          </w:p>
        </w:tc>
      </w:tr>
      <w:tr w:rsidR="00702F21" w:rsidRPr="00593199" w14:paraId="070656D3" w14:textId="77777777" w:rsidTr="008B559D">
        <w:tc>
          <w:tcPr>
            <w:tcW w:w="4814" w:type="dxa"/>
          </w:tcPr>
          <w:p w14:paraId="208161B4" w14:textId="77777777" w:rsidR="00702F21" w:rsidRPr="00E92B0C" w:rsidRDefault="00702F21" w:rsidP="008B559D">
            <w:pPr>
              <w:jc w:val="both"/>
              <w:rPr>
                <w:lang w:val="it-IT"/>
              </w:rPr>
            </w:pPr>
            <w:r w:rsidRPr="00E92B0C">
              <w:rPr>
                <w:lang w:val="it-IT"/>
              </w:rPr>
              <w:t>2. Se per la segnalazione si utilizza una linea telefonica registrata o un altro sistema di messaggistica vocale registrato, subordinatamente al consenso della persona segnalante, i soggetti giuridici del settore privato e del settore pubblico e le autorità competenti hanno il diritto di documentare la segnalazione orale: a) facendo una registrazione della conversazione su un supporto durevole che consenta l’accesso alle informazioni; o b) mediante una trascrizione completa e accurata della conversazione effettuata dal personale addetto al trattamento della segnalazione. I soggetti giuridici del settore privato e del settore pubblico e le autorità competenti consentono alla persona segnalante di verificare, rettificare e approvare la trascrizione della chiamata mediante l’apposizione della propria firma.</w:t>
            </w:r>
          </w:p>
          <w:p w14:paraId="1E8DED8A" w14:textId="77777777" w:rsidR="00702F21" w:rsidRPr="00E92B0C" w:rsidRDefault="00702F21" w:rsidP="008B559D">
            <w:pPr>
              <w:jc w:val="both"/>
              <w:rPr>
                <w:lang w:val="it-IT"/>
              </w:rPr>
            </w:pPr>
          </w:p>
        </w:tc>
        <w:tc>
          <w:tcPr>
            <w:tcW w:w="5050" w:type="dxa"/>
          </w:tcPr>
          <w:p w14:paraId="45DE94FC" w14:textId="77777777" w:rsidR="00702F21" w:rsidRPr="00E92B0C" w:rsidRDefault="00702F21" w:rsidP="008B559D">
            <w:pPr>
              <w:spacing w:before="120"/>
              <w:jc w:val="both"/>
              <w:rPr>
                <w:lang w:val="it-IT"/>
              </w:rPr>
            </w:pPr>
            <w:r>
              <w:rPr>
                <w:rFonts w:eastAsia="Times New Roman"/>
                <w:color w:val="000000" w:themeColor="text1"/>
                <w:lang w:val="it-IT"/>
              </w:rPr>
              <w:t xml:space="preserve">Art. 14 comma </w:t>
            </w:r>
            <w:r w:rsidRPr="000C36B1">
              <w:rPr>
                <w:rFonts w:eastAsia="Times New Roman"/>
                <w:color w:val="000000" w:themeColor="text1"/>
                <w:lang w:val="it-IT"/>
              </w:rPr>
              <w:t>2</w:t>
            </w:r>
          </w:p>
        </w:tc>
      </w:tr>
      <w:tr w:rsidR="00702F21" w:rsidRPr="00593199" w14:paraId="01C2D7B9" w14:textId="77777777" w:rsidTr="008B559D">
        <w:tc>
          <w:tcPr>
            <w:tcW w:w="4814" w:type="dxa"/>
          </w:tcPr>
          <w:p w14:paraId="193D96E0" w14:textId="77777777" w:rsidR="00702F21" w:rsidRPr="00E92B0C" w:rsidRDefault="00702F21" w:rsidP="008B559D">
            <w:pPr>
              <w:jc w:val="both"/>
              <w:rPr>
                <w:lang w:val="it-IT"/>
              </w:rPr>
            </w:pPr>
            <w:r w:rsidRPr="00E92B0C">
              <w:rPr>
                <w:lang w:val="it-IT"/>
              </w:rPr>
              <w:t>3. Se per la segnalazione si utilizza una linea telefonica non registrata o un altro sistema di messaggistica vocale non registrato, i soggetti giuridici del settore privato e del settore pubblico e le autorità competenti hanno il diritto di documentare la segnalazione orale mediante un resoconto dettagliato della conversazione scritto dal personale addetto al trattamento della segnalazione. I soggetti giuridici del settore privato e del settore pubblico e le autorità competenti offrono alla persona segnalante la possibilità di verificare, rettificare e approvare il resoconto della conversazione mediante l’apposizione della propria firma.</w:t>
            </w:r>
          </w:p>
          <w:p w14:paraId="6AD1C805" w14:textId="77777777" w:rsidR="00702F21" w:rsidRPr="00E92B0C" w:rsidRDefault="00702F21" w:rsidP="008B559D">
            <w:pPr>
              <w:jc w:val="both"/>
              <w:rPr>
                <w:lang w:val="it-IT"/>
              </w:rPr>
            </w:pPr>
          </w:p>
        </w:tc>
        <w:tc>
          <w:tcPr>
            <w:tcW w:w="5050" w:type="dxa"/>
          </w:tcPr>
          <w:p w14:paraId="0CF34DF2" w14:textId="77777777" w:rsidR="00702F21" w:rsidRPr="000C36B1" w:rsidRDefault="00702F21" w:rsidP="008B559D">
            <w:pPr>
              <w:spacing w:before="120"/>
              <w:jc w:val="both"/>
              <w:rPr>
                <w:rFonts w:asciiTheme="minorHAnsi" w:eastAsiaTheme="minorHAnsi" w:hAnsiTheme="minorHAnsi" w:cstheme="minorBidi"/>
                <w:lang w:val="it-IT"/>
              </w:rPr>
            </w:pPr>
            <w:r>
              <w:rPr>
                <w:rFonts w:eastAsia="Times New Roman"/>
                <w:color w:val="000000" w:themeColor="text1"/>
                <w:lang w:val="it-IT"/>
              </w:rPr>
              <w:t xml:space="preserve">Art. 14 comma </w:t>
            </w:r>
            <w:r w:rsidRPr="000C36B1">
              <w:rPr>
                <w:rFonts w:eastAsia="Times New Roman"/>
                <w:color w:val="000000" w:themeColor="text1"/>
                <w:lang w:val="it-IT"/>
              </w:rPr>
              <w:t>3</w:t>
            </w:r>
          </w:p>
          <w:p w14:paraId="6D020691" w14:textId="77777777" w:rsidR="00702F21" w:rsidRPr="00E92B0C" w:rsidRDefault="00702F21" w:rsidP="008B559D">
            <w:pPr>
              <w:rPr>
                <w:lang w:val="it-IT"/>
              </w:rPr>
            </w:pPr>
          </w:p>
        </w:tc>
      </w:tr>
      <w:tr w:rsidR="00702F21" w:rsidRPr="00593199" w14:paraId="3CF16698" w14:textId="77777777" w:rsidTr="008B559D">
        <w:tc>
          <w:tcPr>
            <w:tcW w:w="4814" w:type="dxa"/>
          </w:tcPr>
          <w:p w14:paraId="2ADA8F2D" w14:textId="77777777" w:rsidR="00702F21" w:rsidRPr="00E92B0C" w:rsidRDefault="00702F21" w:rsidP="008B559D">
            <w:pPr>
              <w:jc w:val="both"/>
              <w:rPr>
                <w:lang w:val="it-IT"/>
              </w:rPr>
            </w:pPr>
            <w:r w:rsidRPr="00E92B0C">
              <w:rPr>
                <w:lang w:val="it-IT"/>
              </w:rPr>
              <w:t>4. Se una persona chiede un incontro con il personale dei soggetti giuridici del settore privato e del settore pubblico o delle autorità competenti ai fini di una segnalazione ai sensi dell’articolo 9, paragrafo 2, e dell’articolo 12, paragrafo 2, i soggetti giuridici del settore privato e del settore pubblico e le autorità competenti assicurano, subordinatamente al consenso della persona segnalante, che sia conservata una documentazione completa e accurata di tale incontro su un supporto durevole che consenta l’accesso alle informazioni. I soggetti giuridici del settore privato e del settore pubblico e le autorità competenti hanno il diritto di documentare l’incontro: a) facendo una registrazione della conversazione su un supporto durevole che consenta l’accesso alle informazioni; o b) mediante un verbale dettagliato dell’incontro redatto dal personale addetto al trattamento della segnalazione. I soggetti giuridici del settore privato e pubblico e le autorità competenti offrono alla persona segnalante la possibilità di verificare, rettificare e approvare il verbale dell’incontro mediante l’apposizione della propria firma.</w:t>
            </w:r>
          </w:p>
        </w:tc>
        <w:tc>
          <w:tcPr>
            <w:tcW w:w="5050" w:type="dxa"/>
          </w:tcPr>
          <w:p w14:paraId="1DB38951" w14:textId="77777777" w:rsidR="00702F21" w:rsidRPr="000C36B1" w:rsidRDefault="00702F21" w:rsidP="008B559D">
            <w:pPr>
              <w:spacing w:before="120"/>
              <w:jc w:val="both"/>
              <w:rPr>
                <w:rFonts w:eastAsia="Times New Roman"/>
                <w:color w:val="000000" w:themeColor="text1"/>
                <w:lang w:val="it-IT"/>
              </w:rPr>
            </w:pPr>
            <w:r>
              <w:rPr>
                <w:rFonts w:eastAsia="Times New Roman"/>
                <w:color w:val="000000" w:themeColor="text1"/>
                <w:lang w:val="it-IT"/>
              </w:rPr>
              <w:t xml:space="preserve">Art. 14 comma </w:t>
            </w:r>
            <w:r w:rsidRPr="000C36B1">
              <w:rPr>
                <w:rFonts w:eastAsia="Times New Roman"/>
                <w:color w:val="000000" w:themeColor="text1"/>
                <w:lang w:val="it-IT"/>
              </w:rPr>
              <w:t>4</w:t>
            </w:r>
          </w:p>
          <w:p w14:paraId="0BA7BC59" w14:textId="77777777" w:rsidR="00702F21" w:rsidRPr="00E92B0C" w:rsidRDefault="00702F21" w:rsidP="008B559D">
            <w:pPr>
              <w:rPr>
                <w:lang w:val="it-IT"/>
              </w:rPr>
            </w:pPr>
          </w:p>
        </w:tc>
      </w:tr>
      <w:tr w:rsidR="00702F21" w:rsidRPr="00E92B0C" w14:paraId="3EF8F4AF" w14:textId="77777777" w:rsidTr="008B559D">
        <w:tc>
          <w:tcPr>
            <w:tcW w:w="4814" w:type="dxa"/>
          </w:tcPr>
          <w:p w14:paraId="13F99AE8" w14:textId="77777777" w:rsidR="00702F21" w:rsidRDefault="00702F21" w:rsidP="008B559D">
            <w:pPr>
              <w:jc w:val="center"/>
              <w:rPr>
                <w:lang w:val="it-IT"/>
              </w:rPr>
            </w:pPr>
            <w:r w:rsidRPr="006C7CAD">
              <w:rPr>
                <w:lang w:val="it-IT"/>
              </w:rPr>
              <w:t>CAPO VI</w:t>
            </w:r>
          </w:p>
          <w:p w14:paraId="69B866E8" w14:textId="77777777" w:rsidR="00702F21" w:rsidRPr="006C7CAD" w:rsidRDefault="00702F21" w:rsidP="008B559D">
            <w:pPr>
              <w:jc w:val="center"/>
              <w:rPr>
                <w:b/>
                <w:bCs/>
                <w:lang w:val="it-IT"/>
              </w:rPr>
            </w:pPr>
            <w:r w:rsidRPr="006C7CAD">
              <w:rPr>
                <w:b/>
                <w:bCs/>
                <w:lang w:val="it-IT"/>
              </w:rPr>
              <w:t>MISURE DI PROTEZIONE</w:t>
            </w:r>
          </w:p>
          <w:p w14:paraId="6250CE10" w14:textId="77777777" w:rsidR="00702F21" w:rsidRPr="006C7CAD" w:rsidRDefault="00702F21" w:rsidP="008B559D">
            <w:pPr>
              <w:jc w:val="center"/>
              <w:rPr>
                <w:lang w:val="it-IT"/>
              </w:rPr>
            </w:pPr>
          </w:p>
        </w:tc>
        <w:tc>
          <w:tcPr>
            <w:tcW w:w="5050" w:type="dxa"/>
          </w:tcPr>
          <w:p w14:paraId="50FE1859" w14:textId="77777777" w:rsidR="00702F21" w:rsidRPr="00E92B0C" w:rsidRDefault="00702F21" w:rsidP="008B559D">
            <w:pPr>
              <w:rPr>
                <w:lang w:val="it-IT"/>
              </w:rPr>
            </w:pPr>
          </w:p>
        </w:tc>
      </w:tr>
      <w:tr w:rsidR="00702F21" w:rsidRPr="00E92B0C" w14:paraId="6D3A9B2C" w14:textId="77777777" w:rsidTr="008B559D">
        <w:tc>
          <w:tcPr>
            <w:tcW w:w="4814" w:type="dxa"/>
          </w:tcPr>
          <w:p w14:paraId="6FCFBC0E" w14:textId="77777777" w:rsidR="00702F21" w:rsidRPr="001103CD" w:rsidRDefault="00702F21" w:rsidP="008B559D">
            <w:pPr>
              <w:tabs>
                <w:tab w:val="left" w:pos="3005"/>
              </w:tabs>
              <w:jc w:val="center"/>
              <w:rPr>
                <w:i/>
                <w:iCs/>
              </w:rPr>
            </w:pPr>
            <w:proofErr w:type="spellStart"/>
            <w:r w:rsidRPr="001103CD">
              <w:rPr>
                <w:i/>
                <w:iCs/>
              </w:rPr>
              <w:t>Articolo</w:t>
            </w:r>
            <w:proofErr w:type="spellEnd"/>
            <w:r w:rsidRPr="001103CD">
              <w:rPr>
                <w:i/>
                <w:iCs/>
              </w:rPr>
              <w:t xml:space="preserve"> 19</w:t>
            </w:r>
          </w:p>
          <w:p w14:paraId="0F6E672A" w14:textId="77777777" w:rsidR="00702F21" w:rsidRPr="001103CD" w:rsidRDefault="00702F21" w:rsidP="008B559D">
            <w:pPr>
              <w:tabs>
                <w:tab w:val="left" w:pos="3005"/>
              </w:tabs>
              <w:jc w:val="center"/>
              <w:rPr>
                <w:b/>
                <w:bCs/>
              </w:rPr>
            </w:pPr>
            <w:r w:rsidRPr="001103CD">
              <w:rPr>
                <w:b/>
                <w:bCs/>
              </w:rPr>
              <w:t xml:space="preserve"> </w:t>
            </w:r>
            <w:proofErr w:type="spellStart"/>
            <w:r w:rsidRPr="001103CD">
              <w:rPr>
                <w:b/>
                <w:bCs/>
              </w:rPr>
              <w:t>Divieto</w:t>
            </w:r>
            <w:proofErr w:type="spellEnd"/>
            <w:r w:rsidRPr="001103CD">
              <w:rPr>
                <w:b/>
                <w:bCs/>
              </w:rPr>
              <w:t xml:space="preserve"> di </w:t>
            </w:r>
            <w:proofErr w:type="spellStart"/>
            <w:r w:rsidRPr="001103CD">
              <w:rPr>
                <w:b/>
                <w:bCs/>
              </w:rPr>
              <w:t>ritorsione</w:t>
            </w:r>
            <w:proofErr w:type="spellEnd"/>
          </w:p>
          <w:p w14:paraId="19787653" w14:textId="77777777" w:rsidR="00702F21" w:rsidRPr="00E92B0C" w:rsidRDefault="00702F21" w:rsidP="008B559D">
            <w:pPr>
              <w:tabs>
                <w:tab w:val="left" w:pos="3005"/>
              </w:tabs>
              <w:jc w:val="center"/>
              <w:rPr>
                <w:lang w:val="it-IT"/>
              </w:rPr>
            </w:pPr>
          </w:p>
        </w:tc>
        <w:tc>
          <w:tcPr>
            <w:tcW w:w="5050" w:type="dxa"/>
          </w:tcPr>
          <w:p w14:paraId="3D600D3E" w14:textId="77777777" w:rsidR="00702F21" w:rsidRPr="00105E6A" w:rsidRDefault="00702F21" w:rsidP="008B559D">
            <w:pPr>
              <w:spacing w:line="360" w:lineRule="auto"/>
              <w:jc w:val="center"/>
              <w:rPr>
                <w:rFonts w:eastAsia="Times New Roman"/>
                <w:i/>
                <w:iCs/>
                <w:color w:val="000000" w:themeColor="text1"/>
                <w:lang w:val="it-IT"/>
              </w:rPr>
            </w:pPr>
            <w:r w:rsidRPr="00105E6A">
              <w:rPr>
                <w:rFonts w:eastAsia="Times New Roman"/>
                <w:b/>
                <w:bCs/>
                <w:color w:val="000000" w:themeColor="text1"/>
                <w:lang w:val="it-IT"/>
              </w:rPr>
              <w:t>Art. 17</w:t>
            </w:r>
          </w:p>
          <w:p w14:paraId="28E8DB1E" w14:textId="77777777" w:rsidR="00702F21" w:rsidRPr="00105E6A" w:rsidRDefault="00702F21" w:rsidP="008B559D">
            <w:pPr>
              <w:spacing w:line="360" w:lineRule="auto"/>
              <w:jc w:val="center"/>
              <w:rPr>
                <w:rFonts w:eastAsia="Times New Roman"/>
                <w:i/>
                <w:iCs/>
                <w:color w:val="000000" w:themeColor="text1"/>
                <w:lang w:val="it-IT"/>
              </w:rPr>
            </w:pPr>
            <w:r w:rsidRPr="00105E6A">
              <w:rPr>
                <w:rFonts w:eastAsia="Times New Roman"/>
                <w:i/>
                <w:iCs/>
                <w:color w:val="000000" w:themeColor="text1"/>
                <w:lang w:val="it-IT"/>
              </w:rPr>
              <w:t>(Divieto di ritorsione)</w:t>
            </w:r>
          </w:p>
          <w:p w14:paraId="082ACE57" w14:textId="77777777" w:rsidR="00702F21" w:rsidRPr="00E92B0C" w:rsidRDefault="00702F21" w:rsidP="008B559D">
            <w:pPr>
              <w:tabs>
                <w:tab w:val="left" w:pos="1145"/>
              </w:tabs>
              <w:rPr>
                <w:lang w:val="it-IT"/>
              </w:rPr>
            </w:pPr>
          </w:p>
        </w:tc>
      </w:tr>
      <w:tr w:rsidR="00702F21" w:rsidRPr="00AF6525" w14:paraId="4DE2E6A4" w14:textId="77777777" w:rsidTr="008B559D">
        <w:tc>
          <w:tcPr>
            <w:tcW w:w="4814" w:type="dxa"/>
          </w:tcPr>
          <w:p w14:paraId="7C5FD055" w14:textId="77777777" w:rsidR="00702F21" w:rsidRDefault="00702F21" w:rsidP="008B559D">
            <w:pPr>
              <w:tabs>
                <w:tab w:val="left" w:pos="1746"/>
              </w:tabs>
              <w:jc w:val="both"/>
              <w:rPr>
                <w:lang w:val="it-IT"/>
              </w:rPr>
            </w:pPr>
            <w:r w:rsidRPr="00B14358">
              <w:rPr>
                <w:lang w:val="it-IT"/>
              </w:rPr>
              <w:t>Gli Stati membri adottano le misure necessarie per vietare qualsiasi forma di ritorsione contro le persone di cui all’articolo 4, comprese minacce e tentativi di ritorsione, inclusi in particolare: a) il licenziamento, la sospensione o misure equivalenti; b) la retrocessione di grado o la mancata promozione; c) il mutamento di funzioni, il cambiamento del luogo di lavoro, la riduzione dello stipendio, la modifica dell’orario di lavoro; d) la sospensione della formazione; e) note di merito o referenze negative; f) l’imposizione o amministrazione di misure disciplinari, la nota di biasimo o altra sanzione, anche pecuniaria; g) la coercizione, l’intimidazione, le molestie o l’ostracismo; h) la discriminazione, il trattamento svantaggioso o iniquo; i) la mancata conversione di un contratto di lavoro a termine in un contratto di lavoro permanente, laddove il lavoratore avesse legittime aspettative di vedersi offrire un impiego permanente; j) il mancato rinnovo o la risoluzione anticipata di un contratto di lavoro a termine; k) danni, anche alla reputazione della persona, in particolare sui social media, o la perdita finanziaria, comprese la perdita di opportunità economiche e la perdita di reddito; l) l’inserimento nelle liste nere sulla base di un accordo settoriale o industriale formale o informale, che possono comportare l’impossibilità per la persona di trovare un’occupazione nel settore o nell’industria in futuro; m) la conclusione anticipata o l’annullamento del contratto per beni o servizi; n) l’annullamento di una licenza o di un permesso; o) la sottoposizione ad accertamenti psichiatrici o medic</w:t>
            </w:r>
            <w:r>
              <w:rPr>
                <w:lang w:val="it-IT"/>
              </w:rPr>
              <w:t>i.</w:t>
            </w:r>
          </w:p>
          <w:p w14:paraId="02C835B5" w14:textId="77777777" w:rsidR="00702F21" w:rsidRPr="00E92B0C" w:rsidRDefault="00702F21" w:rsidP="008B559D">
            <w:pPr>
              <w:tabs>
                <w:tab w:val="left" w:pos="1746"/>
              </w:tabs>
              <w:jc w:val="both"/>
              <w:rPr>
                <w:lang w:val="it-IT"/>
              </w:rPr>
            </w:pPr>
          </w:p>
        </w:tc>
        <w:tc>
          <w:tcPr>
            <w:tcW w:w="5050" w:type="dxa"/>
          </w:tcPr>
          <w:p w14:paraId="55C118B9" w14:textId="77777777" w:rsidR="00702F21" w:rsidRDefault="00702F21" w:rsidP="008B559D">
            <w:pPr>
              <w:jc w:val="both"/>
              <w:rPr>
                <w:lang w:val="it-IT"/>
              </w:rPr>
            </w:pPr>
          </w:p>
          <w:p w14:paraId="6BDE6559" w14:textId="77777777" w:rsidR="00702F21" w:rsidRPr="0020209D" w:rsidRDefault="00702F21" w:rsidP="008B559D">
            <w:pPr>
              <w:jc w:val="both"/>
              <w:rPr>
                <w:lang w:val="it-IT"/>
              </w:rPr>
            </w:pPr>
            <w:r>
              <w:rPr>
                <w:lang w:val="it-IT"/>
              </w:rPr>
              <w:t xml:space="preserve">Art. 17, commi 1 e 4 </w:t>
            </w:r>
          </w:p>
        </w:tc>
      </w:tr>
      <w:tr w:rsidR="00702F21" w:rsidRPr="00E92B0C" w14:paraId="42B590D1" w14:textId="77777777" w:rsidTr="008B559D">
        <w:tc>
          <w:tcPr>
            <w:tcW w:w="4814" w:type="dxa"/>
          </w:tcPr>
          <w:p w14:paraId="14B6FD38" w14:textId="77777777" w:rsidR="00702F21" w:rsidRPr="00205531" w:rsidRDefault="00702F21" w:rsidP="008B559D">
            <w:pPr>
              <w:tabs>
                <w:tab w:val="left" w:pos="1746"/>
              </w:tabs>
              <w:jc w:val="center"/>
              <w:rPr>
                <w:i/>
                <w:iCs/>
                <w:lang w:val="it-IT"/>
              </w:rPr>
            </w:pPr>
            <w:r w:rsidRPr="00205531">
              <w:rPr>
                <w:i/>
                <w:iCs/>
                <w:lang w:val="it-IT"/>
              </w:rPr>
              <w:t>Articolo 20</w:t>
            </w:r>
          </w:p>
          <w:p w14:paraId="4B1D0670" w14:textId="77777777" w:rsidR="00702F21" w:rsidRPr="00205531" w:rsidRDefault="00702F21" w:rsidP="008B559D">
            <w:pPr>
              <w:tabs>
                <w:tab w:val="left" w:pos="1746"/>
              </w:tabs>
              <w:jc w:val="center"/>
              <w:rPr>
                <w:b/>
                <w:bCs/>
                <w:lang w:val="it-IT"/>
              </w:rPr>
            </w:pPr>
            <w:r w:rsidRPr="00205531">
              <w:rPr>
                <w:b/>
                <w:bCs/>
                <w:lang w:val="it-IT"/>
              </w:rPr>
              <w:t>Misure di sostegno</w:t>
            </w:r>
          </w:p>
          <w:p w14:paraId="338CE043" w14:textId="77777777" w:rsidR="00702F21" w:rsidRPr="00B14358" w:rsidRDefault="00702F21" w:rsidP="008B559D">
            <w:pPr>
              <w:tabs>
                <w:tab w:val="left" w:pos="1746"/>
              </w:tabs>
              <w:jc w:val="both"/>
              <w:rPr>
                <w:lang w:val="it-IT"/>
              </w:rPr>
            </w:pPr>
          </w:p>
        </w:tc>
        <w:tc>
          <w:tcPr>
            <w:tcW w:w="5050" w:type="dxa"/>
          </w:tcPr>
          <w:p w14:paraId="3E84418F" w14:textId="77777777" w:rsidR="00702F21" w:rsidRDefault="00702F21" w:rsidP="008B559D">
            <w:pPr>
              <w:jc w:val="center"/>
              <w:rPr>
                <w:rFonts w:eastAsia="Times New Roman"/>
                <w:i/>
                <w:iCs/>
                <w:lang w:val="it-IT"/>
              </w:rPr>
            </w:pPr>
            <w:r>
              <w:rPr>
                <w:rFonts w:eastAsia="Times New Roman"/>
                <w:i/>
                <w:iCs/>
                <w:lang w:val="it-IT"/>
              </w:rPr>
              <w:t>Articolo 18</w:t>
            </w:r>
          </w:p>
          <w:p w14:paraId="72D3CEE8" w14:textId="77777777" w:rsidR="00702F21" w:rsidRPr="00222BB2" w:rsidRDefault="00702F21" w:rsidP="008B559D">
            <w:pPr>
              <w:jc w:val="center"/>
              <w:rPr>
                <w:rFonts w:eastAsia="Times New Roman"/>
                <w:b/>
                <w:bCs/>
                <w:lang w:val="it-IT"/>
              </w:rPr>
            </w:pPr>
            <w:r>
              <w:rPr>
                <w:rFonts w:eastAsia="Times New Roman"/>
                <w:b/>
                <w:bCs/>
                <w:lang w:val="it-IT"/>
              </w:rPr>
              <w:t>Misure di sostegno</w:t>
            </w:r>
          </w:p>
        </w:tc>
      </w:tr>
      <w:tr w:rsidR="00702F21" w:rsidRPr="00593199" w14:paraId="25051A56" w14:textId="77777777" w:rsidTr="008B559D">
        <w:tc>
          <w:tcPr>
            <w:tcW w:w="4814" w:type="dxa"/>
          </w:tcPr>
          <w:p w14:paraId="4A81898D" w14:textId="5F74785C" w:rsidR="00702F21" w:rsidRDefault="00702F21" w:rsidP="008B559D">
            <w:pPr>
              <w:tabs>
                <w:tab w:val="left" w:pos="1746"/>
              </w:tabs>
              <w:jc w:val="both"/>
              <w:rPr>
                <w:lang w:val="it-IT"/>
              </w:rPr>
            </w:pPr>
            <w:r w:rsidRPr="001F1A6F">
              <w:rPr>
                <w:lang w:val="it-IT"/>
              </w:rPr>
              <w:t xml:space="preserve">1. Gli Stati membri provvedono affinché le persone di cui all’articolo 4 abbiano accesso, a seconda dei casi, a misure di sostegno, in particolare: </w:t>
            </w:r>
          </w:p>
          <w:p w14:paraId="6686C814" w14:textId="77777777" w:rsidR="00702F21" w:rsidRDefault="00702F21" w:rsidP="008B559D">
            <w:pPr>
              <w:tabs>
                <w:tab w:val="left" w:pos="1746"/>
              </w:tabs>
              <w:jc w:val="both"/>
              <w:rPr>
                <w:lang w:val="it-IT"/>
              </w:rPr>
            </w:pPr>
            <w:r w:rsidRPr="001F1A6F">
              <w:rPr>
                <w:lang w:val="it-IT"/>
              </w:rPr>
              <w:t xml:space="preserve">a) a informazioni e consulenze esaustive e indipendenti, facilmente accessibili al pubblico e a titolo gratuito, sulle procedure e i mezzi di ricorso disponibili in materia di protezione dalle ritorsioni e sui diritti della persona coinvolta; </w:t>
            </w:r>
          </w:p>
          <w:p w14:paraId="5BB689A5" w14:textId="77777777" w:rsidR="00702F21" w:rsidRDefault="00702F21" w:rsidP="008B559D">
            <w:pPr>
              <w:tabs>
                <w:tab w:val="left" w:pos="1746"/>
              </w:tabs>
              <w:jc w:val="both"/>
              <w:rPr>
                <w:lang w:val="it-IT"/>
              </w:rPr>
            </w:pPr>
            <w:r w:rsidRPr="001F1A6F">
              <w:rPr>
                <w:lang w:val="it-IT"/>
              </w:rPr>
              <w:t xml:space="preserve">b) a un’assistenza efficace da parte delle autorità competenti dinanzi a qualsiasi autorità pertinente associata alla loro protezione dalle ritorsioni, compreso, ove previsto dal diritto nazionale, la certificazione del fatto che possono beneficiare della protezione prevista dalla presente direttiva; e </w:t>
            </w:r>
          </w:p>
          <w:p w14:paraId="04CB6BBE" w14:textId="77777777" w:rsidR="00702F21" w:rsidRDefault="00702F21" w:rsidP="008B559D">
            <w:pPr>
              <w:tabs>
                <w:tab w:val="left" w:pos="1746"/>
              </w:tabs>
              <w:jc w:val="both"/>
              <w:rPr>
                <w:lang w:val="it-IT"/>
              </w:rPr>
            </w:pPr>
            <w:r w:rsidRPr="001F1A6F">
              <w:rPr>
                <w:lang w:val="it-IT"/>
              </w:rPr>
              <w:t xml:space="preserve">c) al patrocinio a spese dello Stato nell’ambito di un procedimento penale e di un procedimento civile transfrontaliero conformemente alle direttive (UE) 2016/1919 e 2008/52/CE del Parlamento europeo e del Consiglio </w:t>
            </w:r>
            <w:proofErr w:type="gramStart"/>
            <w:r w:rsidRPr="001F1A6F">
              <w:rPr>
                <w:lang w:val="it-IT"/>
              </w:rPr>
              <w:t>( 48</w:t>
            </w:r>
            <w:proofErr w:type="gramEnd"/>
            <w:r w:rsidRPr="001F1A6F">
              <w:rPr>
                <w:lang w:val="it-IT"/>
              </w:rPr>
              <w:t xml:space="preserve">), nonché, in conformità del diritto nazionale, al patrocinio a spese dello Stato nell’ambito di ulteriori procedimenti e a consulenze legali o altri tipi di assistenza legale. </w:t>
            </w:r>
          </w:p>
          <w:p w14:paraId="0AF1019D" w14:textId="77777777" w:rsidR="00702F21" w:rsidRPr="00B14358" w:rsidRDefault="00702F21" w:rsidP="008B559D">
            <w:pPr>
              <w:tabs>
                <w:tab w:val="left" w:pos="1746"/>
              </w:tabs>
              <w:jc w:val="both"/>
              <w:rPr>
                <w:lang w:val="it-IT"/>
              </w:rPr>
            </w:pPr>
          </w:p>
        </w:tc>
        <w:tc>
          <w:tcPr>
            <w:tcW w:w="5050" w:type="dxa"/>
          </w:tcPr>
          <w:p w14:paraId="5AD7903E" w14:textId="77777777" w:rsidR="00702F21" w:rsidRPr="00A86159" w:rsidRDefault="00702F21" w:rsidP="008B559D">
            <w:pPr>
              <w:spacing w:line="360" w:lineRule="auto"/>
              <w:jc w:val="both"/>
              <w:rPr>
                <w:rFonts w:eastAsia="Times New Roman"/>
                <w:sz w:val="24"/>
                <w:szCs w:val="24"/>
                <w:lang w:val="it-IT"/>
              </w:rPr>
            </w:pPr>
            <w:r>
              <w:rPr>
                <w:rFonts w:eastAsia="Times New Roman"/>
                <w:sz w:val="24"/>
                <w:szCs w:val="24"/>
                <w:lang w:val="it-IT"/>
              </w:rPr>
              <w:t xml:space="preserve">Art. 18 commi 1, 2 ,3 </w:t>
            </w:r>
          </w:p>
          <w:p w14:paraId="445A4091" w14:textId="77777777" w:rsidR="00710160" w:rsidRDefault="00710160" w:rsidP="00C64B0A">
            <w:pPr>
              <w:spacing w:before="136"/>
              <w:jc w:val="both"/>
              <w:textAlignment w:val="baseline"/>
              <w:rPr>
                <w:rFonts w:eastAsia="Times New Roman"/>
                <w:i/>
                <w:iCs/>
                <w:lang w:val="it-IT"/>
              </w:rPr>
            </w:pPr>
          </w:p>
          <w:p w14:paraId="5D05D7B6" w14:textId="77777777" w:rsidR="00710160" w:rsidRDefault="00710160" w:rsidP="00C64B0A">
            <w:pPr>
              <w:spacing w:before="136"/>
              <w:jc w:val="both"/>
              <w:textAlignment w:val="baseline"/>
              <w:rPr>
                <w:rFonts w:eastAsia="Times New Roman"/>
                <w:i/>
                <w:iCs/>
                <w:lang w:val="it-IT"/>
              </w:rPr>
            </w:pPr>
          </w:p>
          <w:p w14:paraId="2469718F" w14:textId="77777777" w:rsidR="00710160" w:rsidRDefault="00710160" w:rsidP="00C64B0A">
            <w:pPr>
              <w:spacing w:before="136"/>
              <w:jc w:val="both"/>
              <w:textAlignment w:val="baseline"/>
              <w:rPr>
                <w:rFonts w:eastAsia="Times New Roman"/>
                <w:i/>
                <w:iCs/>
                <w:lang w:val="it-IT"/>
              </w:rPr>
            </w:pPr>
          </w:p>
          <w:p w14:paraId="24B676B7" w14:textId="77777777" w:rsidR="00710160" w:rsidRDefault="00710160" w:rsidP="00C64B0A">
            <w:pPr>
              <w:spacing w:before="136"/>
              <w:jc w:val="both"/>
              <w:textAlignment w:val="baseline"/>
              <w:rPr>
                <w:rFonts w:eastAsia="Times New Roman"/>
                <w:i/>
                <w:iCs/>
                <w:lang w:val="it-IT"/>
              </w:rPr>
            </w:pPr>
          </w:p>
          <w:p w14:paraId="781E9CAF" w14:textId="77777777" w:rsidR="00710160" w:rsidRDefault="00710160" w:rsidP="00C64B0A">
            <w:pPr>
              <w:spacing w:before="136"/>
              <w:jc w:val="both"/>
              <w:textAlignment w:val="baseline"/>
              <w:rPr>
                <w:rFonts w:eastAsia="Times New Roman"/>
                <w:i/>
                <w:iCs/>
                <w:lang w:val="it-IT"/>
              </w:rPr>
            </w:pPr>
          </w:p>
          <w:p w14:paraId="5C657A50" w14:textId="77777777" w:rsidR="00710160" w:rsidRDefault="00710160" w:rsidP="00C64B0A">
            <w:pPr>
              <w:spacing w:before="136"/>
              <w:jc w:val="both"/>
              <w:textAlignment w:val="baseline"/>
              <w:rPr>
                <w:rFonts w:eastAsia="Times New Roman"/>
                <w:i/>
                <w:iCs/>
                <w:lang w:val="it-IT"/>
              </w:rPr>
            </w:pPr>
          </w:p>
          <w:p w14:paraId="40C3635A" w14:textId="77777777" w:rsidR="00710160" w:rsidRDefault="00710160" w:rsidP="00C64B0A">
            <w:pPr>
              <w:spacing w:before="136"/>
              <w:jc w:val="both"/>
              <w:textAlignment w:val="baseline"/>
              <w:rPr>
                <w:rFonts w:eastAsia="Times New Roman"/>
                <w:i/>
                <w:iCs/>
                <w:lang w:val="it-IT"/>
              </w:rPr>
            </w:pPr>
          </w:p>
          <w:p w14:paraId="4ABB1423" w14:textId="77777777" w:rsidR="00710160" w:rsidRDefault="00710160" w:rsidP="00C64B0A">
            <w:pPr>
              <w:spacing w:before="136"/>
              <w:jc w:val="both"/>
              <w:textAlignment w:val="baseline"/>
              <w:rPr>
                <w:rFonts w:eastAsia="Times New Roman"/>
                <w:i/>
                <w:iCs/>
                <w:lang w:val="it-IT"/>
              </w:rPr>
            </w:pPr>
          </w:p>
          <w:p w14:paraId="3AA46EAB" w14:textId="77777777" w:rsidR="00710160" w:rsidRDefault="00710160" w:rsidP="00C64B0A">
            <w:pPr>
              <w:spacing w:before="136"/>
              <w:jc w:val="both"/>
              <w:textAlignment w:val="baseline"/>
              <w:rPr>
                <w:rFonts w:eastAsia="Times New Roman"/>
                <w:i/>
                <w:iCs/>
                <w:lang w:val="it-IT"/>
              </w:rPr>
            </w:pPr>
          </w:p>
          <w:p w14:paraId="33A03D4F" w14:textId="77777777" w:rsidR="00710160" w:rsidRDefault="00710160" w:rsidP="00C64B0A">
            <w:pPr>
              <w:spacing w:before="136"/>
              <w:jc w:val="both"/>
              <w:textAlignment w:val="baseline"/>
              <w:rPr>
                <w:rFonts w:eastAsia="Times New Roman"/>
                <w:i/>
                <w:iCs/>
                <w:lang w:val="it-IT"/>
              </w:rPr>
            </w:pPr>
          </w:p>
          <w:p w14:paraId="264367C3" w14:textId="25145E3C" w:rsidR="00C64B0A" w:rsidRDefault="00710160" w:rsidP="00C64B0A">
            <w:pPr>
              <w:spacing w:before="136"/>
              <w:jc w:val="both"/>
              <w:textAlignment w:val="baseline"/>
              <w:rPr>
                <w:rFonts w:eastAsia="Times New Roman"/>
                <w:i/>
                <w:iCs/>
                <w:lang w:val="it-IT"/>
              </w:rPr>
            </w:pPr>
            <w:r>
              <w:rPr>
                <w:rFonts w:eastAsia="Times New Roman"/>
                <w:i/>
                <w:iCs/>
                <w:lang w:val="it-IT"/>
              </w:rPr>
              <w:t xml:space="preserve">v. </w:t>
            </w:r>
            <w:r w:rsidR="00C64B0A">
              <w:rPr>
                <w:rFonts w:eastAsia="Times New Roman"/>
                <w:i/>
                <w:iCs/>
                <w:lang w:val="it-IT"/>
              </w:rPr>
              <w:t>DPR 115/2002 Patrocinio a spese dello Stato:</w:t>
            </w:r>
          </w:p>
          <w:p w14:paraId="02F0646F" w14:textId="77777777" w:rsidR="00C64B0A" w:rsidRPr="002A62C6" w:rsidRDefault="00C64B0A" w:rsidP="00C64B0A">
            <w:pPr>
              <w:spacing w:before="136"/>
              <w:jc w:val="both"/>
              <w:textAlignment w:val="baseline"/>
              <w:rPr>
                <w:i/>
                <w:iCs/>
                <w:color w:val="000000"/>
                <w:sz w:val="24"/>
                <w:szCs w:val="24"/>
                <w:lang w:val="it-IT"/>
              </w:rPr>
            </w:pPr>
            <w:r w:rsidRPr="004610C7">
              <w:rPr>
                <w:rFonts w:eastAsia="Times New Roman"/>
                <w:i/>
                <w:iCs/>
                <w:sz w:val="24"/>
                <w:szCs w:val="24"/>
                <w:lang w:val="it-IT"/>
              </w:rPr>
              <w:t>Art. 74</w:t>
            </w:r>
            <w:r w:rsidRPr="002A62C6">
              <w:rPr>
                <w:i/>
                <w:iCs/>
                <w:sz w:val="24"/>
                <w:szCs w:val="24"/>
                <w:lang w:val="it-IT"/>
              </w:rPr>
              <w:t xml:space="preserve"> </w:t>
            </w:r>
            <w:r w:rsidRPr="002A62C6">
              <w:rPr>
                <w:i/>
                <w:iCs/>
                <w:color w:val="000000"/>
                <w:sz w:val="24"/>
                <w:szCs w:val="24"/>
                <w:shd w:val="clear" w:color="auto" w:fill="FFFFFF"/>
                <w:lang w:val="it-IT"/>
              </w:rPr>
              <w:t>(Istituzione del patrocinio)</w:t>
            </w:r>
          </w:p>
          <w:p w14:paraId="5B499977" w14:textId="77777777" w:rsidR="00C64B0A" w:rsidRDefault="00C64B0A" w:rsidP="00C64B0A">
            <w:pPr>
              <w:pStyle w:val="NormaleWeb"/>
              <w:shd w:val="clear" w:color="auto" w:fill="FFFFFF"/>
              <w:spacing w:before="0" w:beforeAutospacing="0" w:after="120" w:afterAutospacing="0" w:line="300" w:lineRule="atLeast"/>
              <w:jc w:val="both"/>
              <w:rPr>
                <w:i/>
                <w:iCs/>
                <w:color w:val="000000"/>
              </w:rPr>
            </w:pPr>
            <w:r w:rsidRPr="004610C7">
              <w:rPr>
                <w:i/>
                <w:iCs/>
                <w:color w:val="000000"/>
              </w:rPr>
              <w:t>Art. 75 (Ambito di applicabilità)</w:t>
            </w:r>
          </w:p>
          <w:p w14:paraId="31914B57" w14:textId="77777777" w:rsidR="00C64B0A" w:rsidRDefault="00C64B0A" w:rsidP="00C64B0A">
            <w:pPr>
              <w:pStyle w:val="NormaleWeb"/>
              <w:shd w:val="clear" w:color="auto" w:fill="FFFFFF"/>
              <w:spacing w:before="0" w:beforeAutospacing="0" w:after="120" w:afterAutospacing="0" w:line="300" w:lineRule="atLeast"/>
              <w:jc w:val="both"/>
              <w:rPr>
                <w:i/>
                <w:iCs/>
                <w:color w:val="000000"/>
              </w:rPr>
            </w:pPr>
            <w:r w:rsidRPr="004610C7">
              <w:rPr>
                <w:i/>
                <w:iCs/>
                <w:color w:val="000000"/>
              </w:rPr>
              <w:t>Art. 76 (Condizioni per l’ammissione)</w:t>
            </w:r>
            <w:r>
              <w:rPr>
                <w:i/>
                <w:iCs/>
                <w:color w:val="000000"/>
              </w:rPr>
              <w:t>;</w:t>
            </w:r>
          </w:p>
          <w:p w14:paraId="1AC57ACF" w14:textId="77777777" w:rsidR="00702F21" w:rsidRPr="00B152BF" w:rsidRDefault="00702F21" w:rsidP="008B559D">
            <w:pPr>
              <w:jc w:val="both"/>
              <w:rPr>
                <w:rFonts w:eastAsia="Times New Roman"/>
                <w:lang w:val="it-IT"/>
              </w:rPr>
            </w:pPr>
          </w:p>
        </w:tc>
      </w:tr>
      <w:tr w:rsidR="00702F21" w:rsidRPr="00E92B0C" w14:paraId="1982135C" w14:textId="77777777" w:rsidTr="008B559D">
        <w:tc>
          <w:tcPr>
            <w:tcW w:w="4814" w:type="dxa"/>
          </w:tcPr>
          <w:p w14:paraId="4FD0257D" w14:textId="77777777" w:rsidR="00702F21" w:rsidRPr="00B14358" w:rsidRDefault="00702F21" w:rsidP="008B559D">
            <w:pPr>
              <w:tabs>
                <w:tab w:val="left" w:pos="1746"/>
              </w:tabs>
              <w:jc w:val="both"/>
              <w:rPr>
                <w:lang w:val="it-IT"/>
              </w:rPr>
            </w:pPr>
            <w:r w:rsidRPr="001F1A6F">
              <w:rPr>
                <w:lang w:val="it-IT"/>
              </w:rPr>
              <w:t xml:space="preserve">2. Gli Stati membri possono prevedere misure di assistenza finanziaria e sostegno, anche psicologico, per le persone segnalanti nell’ambito dei procedimenti giudiziari. 3. Le misure di sostegno di cui al presente articolo possono essere fornite, a seconda dei casi, da un centro d’informazione o da un’autorità amministrativa indipendente unica e chiaramente identificata. </w:t>
            </w:r>
          </w:p>
        </w:tc>
        <w:tc>
          <w:tcPr>
            <w:tcW w:w="5050" w:type="dxa"/>
          </w:tcPr>
          <w:p w14:paraId="7F3B1ADA" w14:textId="3BC9B297" w:rsidR="00702F21" w:rsidRPr="00062962" w:rsidRDefault="00E34C85" w:rsidP="008B559D">
            <w:pPr>
              <w:jc w:val="both"/>
              <w:rPr>
                <w:rFonts w:eastAsia="Times New Roman"/>
                <w:strike/>
                <w:lang w:val="it-IT"/>
              </w:rPr>
            </w:pPr>
            <w:r w:rsidRPr="00062962">
              <w:rPr>
                <w:rFonts w:eastAsia="Times New Roman"/>
                <w:lang w:val="it-IT"/>
              </w:rPr>
              <w:t>Opzione non esercitata</w:t>
            </w:r>
          </w:p>
        </w:tc>
      </w:tr>
      <w:tr w:rsidR="00702F21" w:rsidRPr="004717EF" w14:paraId="4AF2756A" w14:textId="77777777" w:rsidTr="008B559D">
        <w:tc>
          <w:tcPr>
            <w:tcW w:w="4814" w:type="dxa"/>
          </w:tcPr>
          <w:p w14:paraId="2E2D7522" w14:textId="77777777" w:rsidR="00702F21" w:rsidRPr="008C7959" w:rsidRDefault="00702F21" w:rsidP="008B559D">
            <w:pPr>
              <w:tabs>
                <w:tab w:val="left" w:pos="1746"/>
              </w:tabs>
              <w:jc w:val="center"/>
              <w:rPr>
                <w:i/>
                <w:iCs/>
                <w:lang w:val="it-IT"/>
              </w:rPr>
            </w:pPr>
            <w:r w:rsidRPr="008C7959">
              <w:rPr>
                <w:i/>
                <w:iCs/>
                <w:lang w:val="it-IT"/>
              </w:rPr>
              <w:t>Articolo 21</w:t>
            </w:r>
          </w:p>
          <w:p w14:paraId="20F3627C" w14:textId="77777777" w:rsidR="00702F21" w:rsidRPr="008C7959" w:rsidRDefault="00702F21" w:rsidP="008B559D">
            <w:pPr>
              <w:tabs>
                <w:tab w:val="left" w:pos="1746"/>
              </w:tabs>
              <w:jc w:val="center"/>
              <w:rPr>
                <w:b/>
                <w:bCs/>
                <w:lang w:val="it-IT"/>
              </w:rPr>
            </w:pPr>
            <w:r w:rsidRPr="008C7959">
              <w:rPr>
                <w:b/>
                <w:bCs/>
                <w:lang w:val="it-IT"/>
              </w:rPr>
              <w:t>Misure di protezione dalle ritorsioni</w:t>
            </w:r>
          </w:p>
          <w:p w14:paraId="3415ED50" w14:textId="77777777" w:rsidR="00702F21" w:rsidRPr="00D17F2C" w:rsidRDefault="00702F21" w:rsidP="008B559D">
            <w:pPr>
              <w:tabs>
                <w:tab w:val="left" w:pos="1746"/>
              </w:tabs>
              <w:jc w:val="center"/>
              <w:rPr>
                <w:lang w:val="it-IT"/>
              </w:rPr>
            </w:pPr>
          </w:p>
        </w:tc>
        <w:tc>
          <w:tcPr>
            <w:tcW w:w="5050" w:type="dxa"/>
          </w:tcPr>
          <w:p w14:paraId="483DEDBA" w14:textId="77777777" w:rsidR="00702F21" w:rsidRDefault="00702F21" w:rsidP="008B559D">
            <w:pPr>
              <w:jc w:val="center"/>
              <w:rPr>
                <w:rFonts w:eastAsia="Times New Roman"/>
                <w:i/>
                <w:iCs/>
                <w:lang w:val="it-IT"/>
              </w:rPr>
            </w:pPr>
            <w:r>
              <w:rPr>
                <w:rFonts w:eastAsia="Times New Roman"/>
                <w:i/>
                <w:iCs/>
                <w:lang w:val="it-IT"/>
              </w:rPr>
              <w:t>Articolo 19</w:t>
            </w:r>
          </w:p>
          <w:p w14:paraId="0AD5E658" w14:textId="77777777" w:rsidR="00702F21" w:rsidRPr="00DF167A" w:rsidRDefault="00702F21" w:rsidP="008B559D">
            <w:pPr>
              <w:jc w:val="center"/>
              <w:rPr>
                <w:rFonts w:eastAsia="Times New Roman"/>
                <w:b/>
                <w:bCs/>
                <w:lang w:val="it-IT"/>
              </w:rPr>
            </w:pPr>
            <w:r>
              <w:rPr>
                <w:rFonts w:eastAsia="Times New Roman"/>
                <w:b/>
                <w:bCs/>
                <w:lang w:val="it-IT"/>
              </w:rPr>
              <w:t>Protezione dalle ritorsioni</w:t>
            </w:r>
          </w:p>
        </w:tc>
      </w:tr>
      <w:tr w:rsidR="00702F21" w:rsidRPr="00127CC2" w14:paraId="3D328491" w14:textId="77777777" w:rsidTr="008B559D">
        <w:tc>
          <w:tcPr>
            <w:tcW w:w="4814" w:type="dxa"/>
          </w:tcPr>
          <w:p w14:paraId="528F4D3B" w14:textId="77777777" w:rsidR="00702F21" w:rsidRPr="00EE0CDB" w:rsidRDefault="00702F21" w:rsidP="00702F21">
            <w:pPr>
              <w:pStyle w:val="Paragrafoelenco"/>
              <w:numPr>
                <w:ilvl w:val="0"/>
                <w:numId w:val="1"/>
              </w:numPr>
              <w:tabs>
                <w:tab w:val="left" w:pos="1746"/>
              </w:tabs>
              <w:spacing w:after="0" w:line="240" w:lineRule="auto"/>
              <w:jc w:val="both"/>
              <w:rPr>
                <w:lang w:val="it-IT"/>
              </w:rPr>
            </w:pPr>
            <w:r w:rsidRPr="00EE0CDB">
              <w:rPr>
                <w:lang w:val="it-IT"/>
              </w:rPr>
              <w:t>Gli Stati membri adottano le misure necessarie a garantire che le persone di cui all’articolo 4 siano protette dalle ritorsioni. Tali misure comprendono, in particolare, quelle di cui ai paragrafi da 2 a 8 del presente articolo.</w:t>
            </w:r>
          </w:p>
          <w:p w14:paraId="5E92B596" w14:textId="77777777" w:rsidR="00702F21" w:rsidRPr="00D17F2C" w:rsidRDefault="00702F21" w:rsidP="008B559D">
            <w:pPr>
              <w:tabs>
                <w:tab w:val="left" w:pos="1746"/>
              </w:tabs>
              <w:jc w:val="both"/>
              <w:rPr>
                <w:lang w:val="it-IT"/>
              </w:rPr>
            </w:pPr>
          </w:p>
        </w:tc>
        <w:tc>
          <w:tcPr>
            <w:tcW w:w="5050" w:type="dxa"/>
          </w:tcPr>
          <w:p w14:paraId="3D4D1D93" w14:textId="4BFBE030" w:rsidR="00702F21" w:rsidRPr="00A86159" w:rsidRDefault="00702F21" w:rsidP="008B559D">
            <w:pPr>
              <w:spacing w:before="120"/>
              <w:jc w:val="both"/>
              <w:rPr>
                <w:rFonts w:eastAsia="Times New Roman"/>
                <w:color w:val="000000" w:themeColor="text1"/>
                <w:lang w:val="it-IT"/>
              </w:rPr>
            </w:pPr>
            <w:r>
              <w:rPr>
                <w:rFonts w:eastAsia="Times New Roman"/>
                <w:color w:val="000000" w:themeColor="text1"/>
                <w:lang w:val="it-IT"/>
              </w:rPr>
              <w:t xml:space="preserve">Art. 17, commi </w:t>
            </w:r>
            <w:r w:rsidR="00F74DC5">
              <w:rPr>
                <w:rFonts w:eastAsia="Times New Roman"/>
                <w:color w:val="000000" w:themeColor="text1"/>
                <w:lang w:val="it-IT"/>
              </w:rPr>
              <w:t xml:space="preserve">1, </w:t>
            </w:r>
            <w:r>
              <w:rPr>
                <w:rFonts w:eastAsia="Times New Roman"/>
                <w:color w:val="000000" w:themeColor="text1"/>
                <w:lang w:val="it-IT"/>
              </w:rPr>
              <w:t xml:space="preserve">2 e 3 e art. 19 </w:t>
            </w:r>
          </w:p>
          <w:p w14:paraId="52746153" w14:textId="77777777" w:rsidR="00702F21" w:rsidRPr="00A86159" w:rsidRDefault="00702F21" w:rsidP="008B559D">
            <w:pPr>
              <w:spacing w:before="120"/>
              <w:jc w:val="both"/>
              <w:rPr>
                <w:rFonts w:eastAsia="Times New Roman"/>
                <w:color w:val="000000" w:themeColor="text1"/>
                <w:lang w:val="it-IT"/>
              </w:rPr>
            </w:pPr>
          </w:p>
          <w:p w14:paraId="55C68D96" w14:textId="77777777" w:rsidR="00702F21" w:rsidRPr="00B152BF" w:rsidRDefault="00702F21" w:rsidP="008B559D">
            <w:pPr>
              <w:jc w:val="both"/>
              <w:rPr>
                <w:rFonts w:eastAsia="Times New Roman"/>
                <w:lang w:val="it-IT"/>
              </w:rPr>
            </w:pPr>
          </w:p>
        </w:tc>
      </w:tr>
      <w:tr w:rsidR="00702F21" w:rsidRPr="00593199" w14:paraId="214AD338" w14:textId="77777777" w:rsidTr="008B559D">
        <w:tc>
          <w:tcPr>
            <w:tcW w:w="4814" w:type="dxa"/>
          </w:tcPr>
          <w:p w14:paraId="561476AE" w14:textId="77777777" w:rsidR="00702F21" w:rsidRDefault="00702F21" w:rsidP="008B559D">
            <w:pPr>
              <w:tabs>
                <w:tab w:val="left" w:pos="1746"/>
              </w:tabs>
              <w:jc w:val="both"/>
              <w:rPr>
                <w:lang w:val="it-IT"/>
              </w:rPr>
            </w:pPr>
            <w:r w:rsidRPr="008C7959">
              <w:rPr>
                <w:lang w:val="it-IT"/>
              </w:rPr>
              <w:t>2. Fatto salvo l’articolo 3, paragrafi 2 e 3, qualora le persone effettuino una segnalazione o una divulgazione pubblica conformemente alla presente direttiva non sono considerate responsabili di aver violato eventuali restrizioni alla divulgazione di informazioni né incorrono in alcun tipo di responsabilità in relazione a tale segnalazione o divulgazione pubblica, a condizione che avessero fondati motivi di ritenere che detta segnalazione o divulgazione pubblica fosse necessaria per rivelare una violazione ai sensi della presente direttiva</w:t>
            </w:r>
            <w:r>
              <w:rPr>
                <w:lang w:val="it-IT"/>
              </w:rPr>
              <w:t>.</w:t>
            </w:r>
          </w:p>
          <w:p w14:paraId="6A19E067" w14:textId="77777777" w:rsidR="00702F21" w:rsidRPr="008C7959" w:rsidRDefault="00702F21" w:rsidP="008B559D">
            <w:pPr>
              <w:tabs>
                <w:tab w:val="left" w:pos="1746"/>
              </w:tabs>
              <w:jc w:val="both"/>
              <w:rPr>
                <w:lang w:val="it-IT"/>
              </w:rPr>
            </w:pPr>
          </w:p>
        </w:tc>
        <w:tc>
          <w:tcPr>
            <w:tcW w:w="5050" w:type="dxa"/>
          </w:tcPr>
          <w:p w14:paraId="7DC2BE88" w14:textId="77777777" w:rsidR="00702F21" w:rsidRPr="004276C9" w:rsidRDefault="00702F21" w:rsidP="008B559D">
            <w:pPr>
              <w:tabs>
                <w:tab w:val="left" w:pos="1008"/>
              </w:tabs>
              <w:jc w:val="center"/>
              <w:rPr>
                <w:rFonts w:eastAsia="Times New Roman"/>
                <w:b/>
                <w:bCs/>
                <w:color w:val="000000" w:themeColor="text1"/>
                <w:lang w:val="it-IT"/>
              </w:rPr>
            </w:pPr>
            <w:r w:rsidRPr="004276C9">
              <w:rPr>
                <w:rFonts w:eastAsia="Times New Roman"/>
                <w:b/>
                <w:bCs/>
                <w:color w:val="000000" w:themeColor="text1"/>
                <w:lang w:val="it-IT"/>
              </w:rPr>
              <w:t xml:space="preserve">Art. 20 </w:t>
            </w:r>
          </w:p>
          <w:p w14:paraId="331475EC" w14:textId="77777777" w:rsidR="00702F21" w:rsidRPr="004276C9" w:rsidRDefault="00702F21" w:rsidP="008B559D">
            <w:pPr>
              <w:tabs>
                <w:tab w:val="left" w:pos="1008"/>
              </w:tabs>
              <w:jc w:val="center"/>
              <w:rPr>
                <w:rFonts w:eastAsia="Times New Roman"/>
                <w:color w:val="000000" w:themeColor="text1"/>
                <w:lang w:val="it-IT"/>
              </w:rPr>
            </w:pPr>
            <w:r w:rsidRPr="004276C9">
              <w:rPr>
                <w:rFonts w:eastAsia="Times New Roman"/>
                <w:color w:val="000000" w:themeColor="text1"/>
                <w:lang w:val="it-IT"/>
              </w:rPr>
              <w:t>(</w:t>
            </w:r>
            <w:r w:rsidRPr="0020209D">
              <w:rPr>
                <w:rFonts w:eastAsia="Times New Roman"/>
                <w:i/>
                <w:iCs/>
                <w:color w:val="000000" w:themeColor="text1"/>
                <w:lang w:val="it-IT"/>
              </w:rPr>
              <w:t xml:space="preserve">Limitazioni </w:t>
            </w:r>
            <w:r w:rsidRPr="004276C9">
              <w:rPr>
                <w:rFonts w:eastAsia="Times New Roman"/>
                <w:i/>
                <w:iCs/>
                <w:color w:val="000000" w:themeColor="text1"/>
                <w:lang w:val="it-IT"/>
              </w:rPr>
              <w:t>d</w:t>
            </w:r>
            <w:r>
              <w:rPr>
                <w:rFonts w:eastAsia="Times New Roman"/>
                <w:i/>
                <w:iCs/>
                <w:color w:val="000000" w:themeColor="text1"/>
                <w:lang w:val="it-IT"/>
              </w:rPr>
              <w:t>e</w:t>
            </w:r>
            <w:r w:rsidRPr="004276C9">
              <w:rPr>
                <w:rFonts w:eastAsia="Times New Roman"/>
                <w:i/>
                <w:iCs/>
                <w:color w:val="000000" w:themeColor="text1"/>
                <w:lang w:val="it-IT"/>
              </w:rPr>
              <w:t>lla responsabilità</w:t>
            </w:r>
            <w:r w:rsidRPr="004276C9">
              <w:rPr>
                <w:rFonts w:eastAsia="Times New Roman"/>
                <w:color w:val="000000" w:themeColor="text1"/>
                <w:lang w:val="it-IT"/>
              </w:rPr>
              <w:t>)</w:t>
            </w:r>
          </w:p>
          <w:p w14:paraId="32FCA4CB" w14:textId="77777777" w:rsidR="00702F21" w:rsidRPr="00B152BF" w:rsidRDefault="00702F21" w:rsidP="008B559D">
            <w:pPr>
              <w:spacing w:before="120"/>
              <w:jc w:val="both"/>
              <w:rPr>
                <w:rFonts w:eastAsia="Times New Roman"/>
                <w:lang w:val="it-IT"/>
              </w:rPr>
            </w:pPr>
          </w:p>
        </w:tc>
      </w:tr>
      <w:tr w:rsidR="00702F21" w:rsidRPr="00E92B0C" w14:paraId="4653C9CB" w14:textId="77777777" w:rsidTr="008B559D">
        <w:tc>
          <w:tcPr>
            <w:tcW w:w="4814" w:type="dxa"/>
          </w:tcPr>
          <w:p w14:paraId="4E95CC28" w14:textId="77777777" w:rsidR="00702F21" w:rsidRDefault="00702F21" w:rsidP="008B559D">
            <w:pPr>
              <w:tabs>
                <w:tab w:val="left" w:pos="1746"/>
              </w:tabs>
              <w:jc w:val="both"/>
              <w:rPr>
                <w:lang w:val="it-IT"/>
              </w:rPr>
            </w:pPr>
            <w:r w:rsidRPr="008C7959">
              <w:rPr>
                <w:lang w:val="it-IT"/>
              </w:rPr>
              <w:t>3. Le persone segnalanti non incorrono in responsabilità per l’acquisizione delle informazioni segnalate o divulgate pubblicamente né per l’accesso alle stesse, purché tale acquisizione o accesso non costituisca di per sé un reato. Nel caso in cui l’acquisizione o l’accesso costituisca di per sé un reato, la responsabilità penale deve continuare a essere disciplinata dal diritto nazionale</w:t>
            </w:r>
            <w:r>
              <w:rPr>
                <w:lang w:val="it-IT"/>
              </w:rPr>
              <w:t>.</w:t>
            </w:r>
          </w:p>
          <w:p w14:paraId="63C5F8F0" w14:textId="77777777" w:rsidR="00702F21" w:rsidRPr="008C7959" w:rsidRDefault="00702F21" w:rsidP="008B559D">
            <w:pPr>
              <w:tabs>
                <w:tab w:val="left" w:pos="1746"/>
              </w:tabs>
              <w:jc w:val="both"/>
              <w:rPr>
                <w:lang w:val="it-IT"/>
              </w:rPr>
            </w:pPr>
          </w:p>
        </w:tc>
        <w:tc>
          <w:tcPr>
            <w:tcW w:w="5050" w:type="dxa"/>
          </w:tcPr>
          <w:p w14:paraId="3CEC0A4C" w14:textId="77777777" w:rsidR="00702F21" w:rsidRPr="00B152BF" w:rsidRDefault="00702F21" w:rsidP="008B559D">
            <w:pPr>
              <w:jc w:val="both"/>
              <w:rPr>
                <w:rFonts w:eastAsia="Times New Roman"/>
                <w:lang w:val="it-IT"/>
              </w:rPr>
            </w:pPr>
            <w:r>
              <w:rPr>
                <w:rFonts w:eastAsia="Times New Roman"/>
                <w:lang w:val="it-IT"/>
              </w:rPr>
              <w:t>v. art. 20, comma 3.</w:t>
            </w:r>
          </w:p>
        </w:tc>
      </w:tr>
      <w:tr w:rsidR="00702F21" w:rsidRPr="00E92B0C" w14:paraId="3E01DF05" w14:textId="77777777" w:rsidTr="008B559D">
        <w:tc>
          <w:tcPr>
            <w:tcW w:w="4814" w:type="dxa"/>
          </w:tcPr>
          <w:p w14:paraId="177155D4" w14:textId="77777777" w:rsidR="00702F21" w:rsidRDefault="00702F21" w:rsidP="008B559D">
            <w:pPr>
              <w:tabs>
                <w:tab w:val="left" w:pos="1746"/>
              </w:tabs>
              <w:jc w:val="both"/>
              <w:rPr>
                <w:lang w:val="it-IT"/>
              </w:rPr>
            </w:pPr>
            <w:r w:rsidRPr="004B734F">
              <w:rPr>
                <w:lang w:val="it-IT"/>
              </w:rPr>
              <w:t>4. Qualsiasi altra eventuale responsabilità delle persone segnalanti derivante da atti od omissioni che non sono collegati alla segnalazione o alla divulgazione pubblica o che non sono necessari per rivelare una violazione ai sensi della presente direttiva continua a essere disciplinata dal diritto dell’Unione o nazionale applicabile</w:t>
            </w:r>
            <w:r>
              <w:rPr>
                <w:lang w:val="it-IT"/>
              </w:rPr>
              <w:t>.</w:t>
            </w:r>
          </w:p>
          <w:p w14:paraId="71F65AC3" w14:textId="77777777" w:rsidR="00702F21" w:rsidRPr="004B734F" w:rsidRDefault="00702F21" w:rsidP="008B559D">
            <w:pPr>
              <w:tabs>
                <w:tab w:val="left" w:pos="1746"/>
              </w:tabs>
              <w:jc w:val="both"/>
              <w:rPr>
                <w:lang w:val="it-IT"/>
              </w:rPr>
            </w:pPr>
          </w:p>
        </w:tc>
        <w:tc>
          <w:tcPr>
            <w:tcW w:w="5050" w:type="dxa"/>
          </w:tcPr>
          <w:p w14:paraId="1304E640" w14:textId="77777777" w:rsidR="00702F21" w:rsidRPr="00B152BF" w:rsidRDefault="00702F21" w:rsidP="008B559D">
            <w:pPr>
              <w:jc w:val="both"/>
              <w:rPr>
                <w:rFonts w:eastAsia="Times New Roman"/>
                <w:lang w:val="it-IT"/>
              </w:rPr>
            </w:pPr>
            <w:r>
              <w:rPr>
                <w:rFonts w:eastAsia="Times New Roman"/>
                <w:lang w:val="it-IT"/>
              </w:rPr>
              <w:t>v. art. 20, comma 4.</w:t>
            </w:r>
          </w:p>
        </w:tc>
      </w:tr>
      <w:tr w:rsidR="00702F21" w:rsidRPr="00A86159" w14:paraId="0F0FBF8C" w14:textId="77777777" w:rsidTr="008B559D">
        <w:tc>
          <w:tcPr>
            <w:tcW w:w="4814" w:type="dxa"/>
          </w:tcPr>
          <w:p w14:paraId="68D59E60" w14:textId="77777777" w:rsidR="00702F21" w:rsidRDefault="00702F21" w:rsidP="008B559D">
            <w:pPr>
              <w:tabs>
                <w:tab w:val="left" w:pos="1746"/>
              </w:tabs>
              <w:jc w:val="both"/>
              <w:rPr>
                <w:lang w:val="it-IT"/>
              </w:rPr>
            </w:pPr>
            <w:r w:rsidRPr="004B734F">
              <w:rPr>
                <w:lang w:val="it-IT"/>
              </w:rPr>
              <w:t>5. Nei procedimenti dinanzi a un giudice o un’altra autorità relativi a un danno subito dalla persona segnalante, e a condizione che tale persona dimostri di aver effettuato una segnalazione oppure di aver effettuato una divulgazione pubblica e di aver subito un danno, si presume che il danno sia stato compiuto per ritorsione a seguito di tale segnalazione o divulgazione. In questi casi, spetta alla persona che ha adottato la misura lesiva dimostrare che tale misura è imputabile a motivi debitamente giustificati.</w:t>
            </w:r>
          </w:p>
          <w:p w14:paraId="6629C7BA" w14:textId="77777777" w:rsidR="00702F21" w:rsidRPr="004B734F" w:rsidRDefault="00702F21" w:rsidP="008B559D">
            <w:pPr>
              <w:tabs>
                <w:tab w:val="left" w:pos="1746"/>
              </w:tabs>
              <w:jc w:val="both"/>
              <w:rPr>
                <w:lang w:val="it-IT"/>
              </w:rPr>
            </w:pPr>
          </w:p>
        </w:tc>
        <w:tc>
          <w:tcPr>
            <w:tcW w:w="5050" w:type="dxa"/>
          </w:tcPr>
          <w:p w14:paraId="6BE01843" w14:textId="77777777" w:rsidR="00702F21" w:rsidRPr="00B152BF" w:rsidRDefault="00702F21" w:rsidP="008B559D">
            <w:pPr>
              <w:spacing w:before="120"/>
              <w:jc w:val="both"/>
              <w:rPr>
                <w:rFonts w:eastAsia="Times New Roman"/>
                <w:lang w:val="it-IT"/>
              </w:rPr>
            </w:pPr>
            <w:r>
              <w:rPr>
                <w:rFonts w:eastAsia="Times New Roman"/>
                <w:lang w:val="it-IT"/>
              </w:rPr>
              <w:t>v. art. 17, commi 2, 3.</w:t>
            </w:r>
          </w:p>
        </w:tc>
      </w:tr>
      <w:tr w:rsidR="00702F21" w:rsidRPr="00A86159" w14:paraId="5C82B8B2" w14:textId="77777777" w:rsidTr="008B559D">
        <w:tc>
          <w:tcPr>
            <w:tcW w:w="4814" w:type="dxa"/>
          </w:tcPr>
          <w:p w14:paraId="6A34256A" w14:textId="77777777" w:rsidR="00702F21" w:rsidRDefault="00702F21" w:rsidP="008B559D">
            <w:pPr>
              <w:tabs>
                <w:tab w:val="left" w:pos="1746"/>
              </w:tabs>
              <w:jc w:val="both"/>
              <w:rPr>
                <w:lang w:val="it-IT"/>
              </w:rPr>
            </w:pPr>
            <w:r w:rsidRPr="004B734F">
              <w:rPr>
                <w:lang w:val="it-IT"/>
              </w:rPr>
              <w:t>6. Le persone di cui all’articolo 4 hanno accesso a misure correttive adeguate contro le ritorsioni, compresi provved</w:t>
            </w:r>
            <w:r>
              <w:rPr>
                <w:lang w:val="it-IT"/>
              </w:rPr>
              <w:t>i</w:t>
            </w:r>
            <w:r w:rsidRPr="004B734F">
              <w:rPr>
                <w:lang w:val="it-IT"/>
              </w:rPr>
              <w:t>menti provvisori in attesa della definizione dei procedimenti giudiziari, conforme</w:t>
            </w:r>
            <w:r>
              <w:rPr>
                <w:lang w:val="it-IT"/>
              </w:rPr>
              <w:t>mente al diritto nazionale.</w:t>
            </w:r>
          </w:p>
          <w:p w14:paraId="6D8C3F41" w14:textId="77777777" w:rsidR="00702F21" w:rsidRPr="004B734F" w:rsidRDefault="00702F21" w:rsidP="008B559D">
            <w:pPr>
              <w:tabs>
                <w:tab w:val="left" w:pos="1746"/>
              </w:tabs>
              <w:jc w:val="both"/>
              <w:rPr>
                <w:lang w:val="it-IT"/>
              </w:rPr>
            </w:pPr>
          </w:p>
        </w:tc>
        <w:tc>
          <w:tcPr>
            <w:tcW w:w="5050" w:type="dxa"/>
          </w:tcPr>
          <w:p w14:paraId="38638219" w14:textId="683404BC" w:rsidR="00702F21" w:rsidRPr="00B152BF" w:rsidRDefault="00702F21" w:rsidP="008B559D">
            <w:pPr>
              <w:spacing w:before="120"/>
              <w:jc w:val="both"/>
              <w:rPr>
                <w:rFonts w:eastAsia="Times New Roman"/>
                <w:lang w:val="it-IT"/>
              </w:rPr>
            </w:pPr>
            <w:r>
              <w:rPr>
                <w:rFonts w:eastAsia="Times New Roman"/>
                <w:lang w:val="it-IT"/>
              </w:rPr>
              <w:t xml:space="preserve">v. art. 19, comma 4 </w:t>
            </w:r>
          </w:p>
        </w:tc>
      </w:tr>
      <w:tr w:rsidR="00702F21" w:rsidRPr="00E92B0C" w14:paraId="2D990239" w14:textId="77777777" w:rsidTr="008B559D">
        <w:tc>
          <w:tcPr>
            <w:tcW w:w="4814" w:type="dxa"/>
          </w:tcPr>
          <w:p w14:paraId="1DF466AC" w14:textId="77777777" w:rsidR="00702F21" w:rsidRDefault="00702F21" w:rsidP="008B559D">
            <w:pPr>
              <w:tabs>
                <w:tab w:val="left" w:pos="1746"/>
              </w:tabs>
              <w:jc w:val="both"/>
              <w:rPr>
                <w:lang w:val="it-IT"/>
              </w:rPr>
            </w:pPr>
            <w:r w:rsidRPr="00BF4E13">
              <w:rPr>
                <w:lang w:val="it-IT"/>
              </w:rPr>
              <w:t>7. Nei procedimenti giudiziari, compreso per diffamazione, violazione del diritto d’autore, violazione degli obblighi di segretezza, violazione delle norme in materia di protezione dei dati, divulgazione di segreti commerciali o per richieste di risarcimento fondate sul diritto privato, sul diritto pubblico o sul diritto del lavoro collettivo, le persone di cui all’articolo 4 non incorrono in alcun tipo di responsabilità per effetto di segnalazioni o divulgazioni pubbliche a norma della presente direttiva. Tali persone hanno il diritto di invocare tale segnalazione o divulgazione per chiedere il non luogo a procedere, a condizione che avessero fondati motivi di ritenere che la segnalazione o la divulgazione pubblica fosse necessaria per rivelare una violazione ai sensi della presente direttiva</w:t>
            </w:r>
            <w:r>
              <w:rPr>
                <w:lang w:val="it-IT"/>
              </w:rPr>
              <w:t>.</w:t>
            </w:r>
          </w:p>
          <w:p w14:paraId="44139E70" w14:textId="77777777" w:rsidR="00702F21" w:rsidRPr="00BF4E13" w:rsidRDefault="00702F21" w:rsidP="008B559D">
            <w:pPr>
              <w:tabs>
                <w:tab w:val="left" w:pos="1746"/>
              </w:tabs>
              <w:jc w:val="both"/>
              <w:rPr>
                <w:lang w:val="it-IT"/>
              </w:rPr>
            </w:pPr>
            <w:r w:rsidRPr="00BF4E13">
              <w:rPr>
                <w:lang w:val="it-IT"/>
              </w:rPr>
              <w:t>Ove una persona segnali o divulghi pubblicamente informazioni relative a violazioni rientranti nell’ambito di applicazione della presente direttiva e tali informazioni comprendano segreti commerciali e ove tale persona soddisfi le condizioni della presente direttiva, tale segnalazione o divulgazione pubblica è considerata lecita alle condizioni di cui all’articolo 3, paragrafo 2, della direttiva (UE) 2016/943</w:t>
            </w:r>
            <w:r>
              <w:rPr>
                <w:lang w:val="it-IT"/>
              </w:rPr>
              <w:t>.</w:t>
            </w:r>
          </w:p>
        </w:tc>
        <w:tc>
          <w:tcPr>
            <w:tcW w:w="5050" w:type="dxa"/>
          </w:tcPr>
          <w:p w14:paraId="3FB2133E" w14:textId="77777777" w:rsidR="00702F21" w:rsidRPr="00B152BF" w:rsidRDefault="00702F21" w:rsidP="008B559D">
            <w:pPr>
              <w:jc w:val="both"/>
              <w:rPr>
                <w:rFonts w:eastAsia="Times New Roman"/>
                <w:lang w:val="it-IT"/>
              </w:rPr>
            </w:pPr>
            <w:r>
              <w:rPr>
                <w:rFonts w:eastAsia="Times New Roman"/>
                <w:lang w:val="it-IT"/>
              </w:rPr>
              <w:t>v. art. 20 co. 1</w:t>
            </w:r>
          </w:p>
        </w:tc>
      </w:tr>
      <w:tr w:rsidR="00702F21" w:rsidRPr="00E92B0C" w14:paraId="7253E3AD" w14:textId="77777777" w:rsidTr="008B559D">
        <w:tc>
          <w:tcPr>
            <w:tcW w:w="4814" w:type="dxa"/>
          </w:tcPr>
          <w:p w14:paraId="61F7103C" w14:textId="77777777" w:rsidR="00702F21" w:rsidRPr="00E62839" w:rsidRDefault="00702F21" w:rsidP="008B559D">
            <w:pPr>
              <w:tabs>
                <w:tab w:val="left" w:pos="1746"/>
              </w:tabs>
              <w:jc w:val="both"/>
              <w:rPr>
                <w:lang w:val="it-IT"/>
              </w:rPr>
            </w:pPr>
            <w:r w:rsidRPr="00E62839">
              <w:rPr>
                <w:lang w:val="it-IT"/>
              </w:rPr>
              <w:t>8. Gli Stati membri adottano le misure necessarie a garantire che vi siano, conformemente al diritto nazionale, misure correttive e un risarcimento integrale per i danni subiti dalle persone di cui all’articolo 4</w:t>
            </w:r>
            <w:r>
              <w:rPr>
                <w:lang w:val="it-IT"/>
              </w:rPr>
              <w:t>.</w:t>
            </w:r>
          </w:p>
        </w:tc>
        <w:tc>
          <w:tcPr>
            <w:tcW w:w="5050" w:type="dxa"/>
          </w:tcPr>
          <w:p w14:paraId="5E36AB3B" w14:textId="77777777" w:rsidR="00702F21" w:rsidRPr="00B152BF" w:rsidRDefault="00702F21" w:rsidP="008B559D">
            <w:pPr>
              <w:jc w:val="both"/>
              <w:rPr>
                <w:rFonts w:eastAsia="Times New Roman"/>
                <w:lang w:val="it-IT"/>
              </w:rPr>
            </w:pPr>
            <w:r>
              <w:rPr>
                <w:rFonts w:eastAsia="Times New Roman"/>
                <w:lang w:val="it-IT"/>
              </w:rPr>
              <w:t>v. art. 19 co. 4</w:t>
            </w:r>
          </w:p>
        </w:tc>
      </w:tr>
      <w:tr w:rsidR="00702F21" w:rsidRPr="00BE38E8" w14:paraId="78387E74" w14:textId="77777777" w:rsidTr="008B559D">
        <w:tc>
          <w:tcPr>
            <w:tcW w:w="4814" w:type="dxa"/>
          </w:tcPr>
          <w:p w14:paraId="17525D9C" w14:textId="77777777" w:rsidR="00702F21" w:rsidRDefault="00702F21" w:rsidP="008B559D">
            <w:pPr>
              <w:tabs>
                <w:tab w:val="left" w:pos="1746"/>
              </w:tabs>
              <w:jc w:val="center"/>
              <w:rPr>
                <w:lang w:val="it-IT"/>
              </w:rPr>
            </w:pPr>
          </w:p>
          <w:p w14:paraId="4DDDE397" w14:textId="77777777" w:rsidR="00702F21" w:rsidRPr="00B76713" w:rsidRDefault="00702F21" w:rsidP="008B559D">
            <w:pPr>
              <w:tabs>
                <w:tab w:val="left" w:pos="1746"/>
              </w:tabs>
              <w:jc w:val="center"/>
              <w:rPr>
                <w:i/>
                <w:iCs/>
                <w:lang w:val="it-IT"/>
              </w:rPr>
            </w:pPr>
            <w:r w:rsidRPr="00B76713">
              <w:rPr>
                <w:i/>
                <w:iCs/>
                <w:lang w:val="it-IT"/>
              </w:rPr>
              <w:t>Articolo 22</w:t>
            </w:r>
          </w:p>
          <w:p w14:paraId="5471015B" w14:textId="77777777" w:rsidR="00702F21" w:rsidRPr="00B76713" w:rsidRDefault="00702F21" w:rsidP="008B559D">
            <w:pPr>
              <w:tabs>
                <w:tab w:val="left" w:pos="1746"/>
              </w:tabs>
              <w:jc w:val="center"/>
              <w:rPr>
                <w:b/>
                <w:bCs/>
                <w:lang w:val="it-IT"/>
              </w:rPr>
            </w:pPr>
            <w:r w:rsidRPr="00B76713">
              <w:rPr>
                <w:b/>
                <w:bCs/>
                <w:lang w:val="it-IT"/>
              </w:rPr>
              <w:t>Misure per la protezione delle persone coinvolte</w:t>
            </w:r>
          </w:p>
          <w:p w14:paraId="0E4DD04F" w14:textId="77777777" w:rsidR="00702F21" w:rsidRPr="00B76713" w:rsidRDefault="00702F21" w:rsidP="008B559D">
            <w:pPr>
              <w:tabs>
                <w:tab w:val="left" w:pos="1746"/>
              </w:tabs>
              <w:jc w:val="center"/>
              <w:rPr>
                <w:lang w:val="it-IT"/>
              </w:rPr>
            </w:pPr>
          </w:p>
        </w:tc>
        <w:tc>
          <w:tcPr>
            <w:tcW w:w="5050" w:type="dxa"/>
          </w:tcPr>
          <w:p w14:paraId="5A3D2EC7" w14:textId="77777777" w:rsidR="00702F21" w:rsidRPr="00B152BF" w:rsidRDefault="00702F21" w:rsidP="008B559D">
            <w:pPr>
              <w:tabs>
                <w:tab w:val="left" w:pos="1008"/>
              </w:tabs>
              <w:spacing w:line="360" w:lineRule="auto"/>
              <w:jc w:val="center"/>
              <w:rPr>
                <w:rFonts w:eastAsia="Times New Roman"/>
                <w:lang w:val="it-IT"/>
              </w:rPr>
            </w:pPr>
          </w:p>
        </w:tc>
      </w:tr>
      <w:tr w:rsidR="00702F21" w:rsidRPr="00D64489" w14:paraId="18A9523D" w14:textId="77777777" w:rsidTr="008B559D">
        <w:tc>
          <w:tcPr>
            <w:tcW w:w="4814" w:type="dxa"/>
          </w:tcPr>
          <w:p w14:paraId="2A581324" w14:textId="77777777" w:rsidR="00702F21" w:rsidRPr="004276C9" w:rsidRDefault="00702F21" w:rsidP="008B559D">
            <w:pPr>
              <w:tabs>
                <w:tab w:val="left" w:pos="1746"/>
              </w:tabs>
              <w:jc w:val="both"/>
              <w:rPr>
                <w:lang w:val="it-IT"/>
              </w:rPr>
            </w:pPr>
            <w:r>
              <w:rPr>
                <w:lang w:val="it-IT"/>
              </w:rPr>
              <w:t>1.</w:t>
            </w:r>
            <w:r w:rsidRPr="004276C9">
              <w:rPr>
                <w:lang w:val="it-IT"/>
              </w:rPr>
              <w:t>Gli Stati membri assicurano che, in conformità della Carta, le persone coinvolte godano pienamente del diritto a un ricorso effettivo e a un giudice imparziale, della presunzione di innocenza e dei diritti della difesa, compreso il diritto di essere sentiti e il diritto di accedere al proprio fascicolo.</w:t>
            </w:r>
          </w:p>
          <w:p w14:paraId="0FE30E3E" w14:textId="77777777" w:rsidR="00702F21" w:rsidRPr="00D76EC5" w:rsidRDefault="00702F21" w:rsidP="008B559D">
            <w:pPr>
              <w:tabs>
                <w:tab w:val="left" w:pos="1746"/>
              </w:tabs>
              <w:jc w:val="both"/>
              <w:rPr>
                <w:lang w:val="it-IT"/>
              </w:rPr>
            </w:pPr>
          </w:p>
        </w:tc>
        <w:tc>
          <w:tcPr>
            <w:tcW w:w="5050" w:type="dxa"/>
          </w:tcPr>
          <w:p w14:paraId="0421E80C" w14:textId="29824A2C" w:rsidR="00204FCE" w:rsidRPr="00062962" w:rsidRDefault="00204FCE" w:rsidP="008B559D">
            <w:pPr>
              <w:spacing w:before="136"/>
              <w:jc w:val="both"/>
              <w:textAlignment w:val="baseline"/>
              <w:rPr>
                <w:rFonts w:eastAsia="Times New Roman"/>
                <w:color w:val="000000" w:themeColor="text1"/>
                <w:lang w:val="it-IT"/>
              </w:rPr>
            </w:pPr>
            <w:r w:rsidRPr="00062962">
              <w:rPr>
                <w:rFonts w:eastAsia="Times New Roman"/>
                <w:color w:val="000000" w:themeColor="text1"/>
                <w:lang w:val="it-IT"/>
              </w:rPr>
              <w:t>Art. 12 comma 9</w:t>
            </w:r>
          </w:p>
          <w:p w14:paraId="14A622EA" w14:textId="54094ED3" w:rsidR="00702F21" w:rsidRPr="00563E80" w:rsidRDefault="00702F21" w:rsidP="008B559D">
            <w:pPr>
              <w:spacing w:before="136"/>
              <w:jc w:val="both"/>
              <w:textAlignment w:val="baseline"/>
              <w:rPr>
                <w:rFonts w:eastAsia="Times New Roman"/>
                <w:i/>
                <w:iCs/>
                <w:color w:val="000000" w:themeColor="text1"/>
                <w:lang w:val="it-IT"/>
              </w:rPr>
            </w:pPr>
            <w:r w:rsidRPr="00563E80">
              <w:rPr>
                <w:rFonts w:eastAsia="Times New Roman"/>
                <w:i/>
                <w:iCs/>
                <w:color w:val="000000" w:themeColor="text1"/>
                <w:lang w:val="it-IT"/>
              </w:rPr>
              <w:t xml:space="preserve">artt. 27 e 111 della Costituzione; art. 34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(Incompatibilità determinata da atti compiuti nel procedimento);</w:t>
            </w:r>
            <w:r w:rsidRPr="00563E80">
              <w:rPr>
                <w:rFonts w:eastAsia="Times New Roman"/>
                <w:b/>
                <w:bCs/>
                <w:i/>
                <w:iCs/>
                <w:color w:val="000000" w:themeColor="text1"/>
                <w:lang w:val="it-IT"/>
              </w:rPr>
              <w:t xml:space="preserve"> </w:t>
            </w:r>
            <w:r w:rsidRPr="00563E80">
              <w:rPr>
                <w:rFonts w:eastAsia="Times New Roman"/>
                <w:i/>
                <w:iCs/>
                <w:color w:val="000000" w:themeColor="text1"/>
                <w:lang w:val="it-IT"/>
              </w:rPr>
              <w:t xml:space="preserve">art. 36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w:t>
            </w:r>
            <w:r w:rsidRPr="00BE38E8">
              <w:rPr>
                <w:rFonts w:eastAsia="Times New Roman"/>
                <w:i/>
                <w:iCs/>
                <w:color w:val="000000" w:themeColor="text1"/>
              </w:rPr>
              <w:t xml:space="preserve">(Astensione); art. 37 cod. proc. pen. (Ricusazione); art. 45 cod. proc. pen. </w:t>
            </w:r>
            <w:r w:rsidRPr="00563E80">
              <w:rPr>
                <w:rFonts w:eastAsia="Times New Roman"/>
                <w:i/>
                <w:iCs/>
                <w:color w:val="000000" w:themeColor="text1"/>
                <w:lang w:val="it-IT"/>
              </w:rPr>
              <w:t xml:space="preserve">(Casi di rimessione); art. 65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proofErr w:type="gram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w:t>
            </w:r>
            <w:proofErr w:type="gramEnd"/>
            <w:r w:rsidRPr="00563E80">
              <w:rPr>
                <w:rFonts w:eastAsia="Times New Roman"/>
                <w:i/>
                <w:iCs/>
                <w:color w:val="000000" w:themeColor="text1"/>
                <w:lang w:val="it-IT"/>
              </w:rPr>
              <w:t xml:space="preserve"> (interrogatorio nel merito);</w:t>
            </w:r>
            <w:r w:rsidRPr="00563E80">
              <w:rPr>
                <w:rFonts w:eastAsia="Times New Roman"/>
                <w:b/>
                <w:bCs/>
                <w:i/>
                <w:iCs/>
                <w:color w:val="000000" w:themeColor="text1"/>
                <w:lang w:val="it-IT"/>
              </w:rPr>
              <w:t xml:space="preserve"> </w:t>
            </w:r>
            <w:r w:rsidRPr="00563E80">
              <w:rPr>
                <w:rFonts w:eastAsia="Times New Roman"/>
                <w:i/>
                <w:iCs/>
                <w:color w:val="000000" w:themeColor="text1"/>
                <w:lang w:val="it-IT"/>
              </w:rPr>
              <w:t xml:space="preserve">art. 96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(Difensore di fiducia); art. 97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(Difensore di ufficio); art. 121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(memorie e richieste delle parti); art. 294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(interrogatorio della persona sottoposta a misura cautelare personale); art. 415 bis c.p.p. (avviso all’indagato della conclusione delle indagini preliminari); art. 466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(facoltà dei difensori); art. 474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(assistenza dell’imputato all’udienza); art. 482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(diritto delle parti in ordine alla documentazione); art. 568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Pen</w:t>
            </w:r>
            <w:r>
              <w:rPr>
                <w:rFonts w:eastAsia="Times New Roman"/>
                <w:i/>
                <w:iCs/>
                <w:color w:val="000000" w:themeColor="text1"/>
                <w:lang w:val="it-IT"/>
              </w:rPr>
              <w:t>.</w:t>
            </w:r>
            <w:r w:rsidRPr="00563E80">
              <w:rPr>
                <w:rFonts w:eastAsia="Times New Roman"/>
                <w:i/>
                <w:iCs/>
                <w:color w:val="000000" w:themeColor="text1"/>
                <w:lang w:val="it-IT"/>
              </w:rPr>
              <w:t xml:space="preserve"> (Regole generali); art. 588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(Sospensione della esecuzione). </w:t>
            </w:r>
          </w:p>
          <w:p w14:paraId="44961BF0" w14:textId="77777777" w:rsidR="00702F21" w:rsidRDefault="00702F21" w:rsidP="008B559D">
            <w:pPr>
              <w:spacing w:before="136"/>
              <w:jc w:val="both"/>
              <w:textAlignment w:val="baseline"/>
              <w:rPr>
                <w:rFonts w:eastAsia="Times New Roman"/>
                <w:i/>
                <w:iCs/>
                <w:lang w:val="it-IT"/>
              </w:rPr>
            </w:pPr>
            <w:r>
              <w:rPr>
                <w:rFonts w:eastAsia="Times New Roman"/>
                <w:i/>
                <w:iCs/>
                <w:lang w:val="it-IT"/>
              </w:rPr>
              <w:t xml:space="preserve">Art. 99 cod. </w:t>
            </w:r>
            <w:proofErr w:type="spellStart"/>
            <w:r>
              <w:rPr>
                <w:rFonts w:eastAsia="Times New Roman"/>
                <w:i/>
                <w:iCs/>
                <w:lang w:val="it-IT"/>
              </w:rPr>
              <w:t>proc</w:t>
            </w:r>
            <w:proofErr w:type="spellEnd"/>
            <w:r>
              <w:rPr>
                <w:rFonts w:eastAsia="Times New Roman"/>
                <w:i/>
                <w:iCs/>
                <w:lang w:val="it-IT"/>
              </w:rPr>
              <w:t xml:space="preserve">. </w:t>
            </w:r>
            <w:proofErr w:type="spellStart"/>
            <w:r>
              <w:rPr>
                <w:rFonts w:eastAsia="Times New Roman"/>
                <w:i/>
                <w:iCs/>
                <w:lang w:val="it-IT"/>
              </w:rPr>
              <w:t>Civ</w:t>
            </w:r>
            <w:proofErr w:type="spellEnd"/>
            <w:r>
              <w:rPr>
                <w:rFonts w:eastAsia="Times New Roman"/>
                <w:i/>
                <w:iCs/>
                <w:lang w:val="it-IT"/>
              </w:rPr>
              <w:t xml:space="preserve">. (Principio della domanda); art. 101 cod. </w:t>
            </w:r>
            <w:proofErr w:type="spellStart"/>
            <w:r>
              <w:rPr>
                <w:rFonts w:eastAsia="Times New Roman"/>
                <w:i/>
                <w:iCs/>
                <w:lang w:val="it-IT"/>
              </w:rPr>
              <w:t>proc</w:t>
            </w:r>
            <w:proofErr w:type="spellEnd"/>
            <w:r>
              <w:rPr>
                <w:rFonts w:eastAsia="Times New Roman"/>
                <w:i/>
                <w:iCs/>
                <w:lang w:val="it-IT"/>
              </w:rPr>
              <w:t xml:space="preserve">. </w:t>
            </w:r>
            <w:proofErr w:type="spellStart"/>
            <w:r>
              <w:rPr>
                <w:rFonts w:eastAsia="Times New Roman"/>
                <w:i/>
                <w:iCs/>
                <w:lang w:val="it-IT"/>
              </w:rPr>
              <w:t>Civ</w:t>
            </w:r>
            <w:proofErr w:type="spellEnd"/>
            <w:r>
              <w:rPr>
                <w:rFonts w:eastAsia="Times New Roman"/>
                <w:i/>
                <w:iCs/>
                <w:lang w:val="it-IT"/>
              </w:rPr>
              <w:t xml:space="preserve">. (Principio del contraddittorio), art. 115 cod. </w:t>
            </w:r>
            <w:proofErr w:type="spellStart"/>
            <w:r>
              <w:rPr>
                <w:rFonts w:eastAsia="Times New Roman"/>
                <w:i/>
                <w:iCs/>
                <w:lang w:val="it-IT"/>
              </w:rPr>
              <w:t>proc</w:t>
            </w:r>
            <w:proofErr w:type="spellEnd"/>
            <w:r>
              <w:rPr>
                <w:rFonts w:eastAsia="Times New Roman"/>
                <w:i/>
                <w:iCs/>
                <w:lang w:val="it-IT"/>
              </w:rPr>
              <w:t xml:space="preserve">. Civile (Disponibilità delle prove); art. 117 cod. </w:t>
            </w:r>
            <w:proofErr w:type="spellStart"/>
            <w:r>
              <w:rPr>
                <w:rFonts w:eastAsia="Times New Roman"/>
                <w:i/>
                <w:iCs/>
                <w:lang w:val="it-IT"/>
              </w:rPr>
              <w:t>proc</w:t>
            </w:r>
            <w:proofErr w:type="spellEnd"/>
            <w:r>
              <w:rPr>
                <w:rFonts w:eastAsia="Times New Roman"/>
                <w:i/>
                <w:iCs/>
                <w:lang w:val="it-IT"/>
              </w:rPr>
              <w:t xml:space="preserve">. </w:t>
            </w:r>
            <w:proofErr w:type="spellStart"/>
            <w:r>
              <w:rPr>
                <w:rFonts w:eastAsia="Times New Roman"/>
                <w:i/>
                <w:iCs/>
                <w:lang w:val="it-IT"/>
              </w:rPr>
              <w:t>Civ</w:t>
            </w:r>
            <w:proofErr w:type="spellEnd"/>
            <w:r>
              <w:rPr>
                <w:rFonts w:eastAsia="Times New Roman"/>
                <w:i/>
                <w:iCs/>
                <w:lang w:val="it-IT"/>
              </w:rPr>
              <w:t>.  (Interrogatorio non formale delle parti);</w:t>
            </w:r>
          </w:p>
          <w:p w14:paraId="4DBA911E" w14:textId="77777777" w:rsidR="00702F21" w:rsidRDefault="00702F21" w:rsidP="008B559D">
            <w:pPr>
              <w:spacing w:before="136"/>
              <w:jc w:val="both"/>
              <w:textAlignment w:val="baseline"/>
              <w:rPr>
                <w:rFonts w:eastAsia="Times New Roman"/>
                <w:i/>
                <w:iCs/>
                <w:lang w:val="it-IT"/>
              </w:rPr>
            </w:pPr>
            <w:r>
              <w:rPr>
                <w:rFonts w:eastAsia="Times New Roman"/>
                <w:i/>
                <w:iCs/>
                <w:lang w:val="it-IT"/>
              </w:rPr>
              <w:t>DPR 115/2002 Patrocinio a spese dello Stato:</w:t>
            </w:r>
          </w:p>
          <w:p w14:paraId="095DF7F4" w14:textId="77777777" w:rsidR="00702F21" w:rsidRPr="002A62C6" w:rsidRDefault="00702F21" w:rsidP="008B559D">
            <w:pPr>
              <w:spacing w:before="136"/>
              <w:jc w:val="both"/>
              <w:textAlignment w:val="baseline"/>
              <w:rPr>
                <w:i/>
                <w:iCs/>
                <w:color w:val="000000"/>
                <w:sz w:val="24"/>
                <w:szCs w:val="24"/>
                <w:lang w:val="it-IT"/>
              </w:rPr>
            </w:pPr>
            <w:r w:rsidRPr="004610C7">
              <w:rPr>
                <w:rFonts w:eastAsia="Times New Roman"/>
                <w:i/>
                <w:iCs/>
                <w:sz w:val="24"/>
                <w:szCs w:val="24"/>
                <w:lang w:val="it-IT"/>
              </w:rPr>
              <w:t>Art. 74</w:t>
            </w:r>
            <w:r w:rsidRPr="002A62C6">
              <w:rPr>
                <w:i/>
                <w:iCs/>
                <w:sz w:val="24"/>
                <w:szCs w:val="24"/>
                <w:lang w:val="it-IT"/>
              </w:rPr>
              <w:t xml:space="preserve"> </w:t>
            </w:r>
            <w:r w:rsidRPr="002A62C6">
              <w:rPr>
                <w:i/>
                <w:iCs/>
                <w:color w:val="000000"/>
                <w:sz w:val="24"/>
                <w:szCs w:val="24"/>
                <w:shd w:val="clear" w:color="auto" w:fill="FFFFFF"/>
                <w:lang w:val="it-IT"/>
              </w:rPr>
              <w:t>(Istituzione del patrocinio)</w:t>
            </w:r>
          </w:p>
          <w:p w14:paraId="74FE0D20" w14:textId="77777777" w:rsidR="00702F21" w:rsidRDefault="00702F21" w:rsidP="008B559D">
            <w:pPr>
              <w:pStyle w:val="NormaleWeb"/>
              <w:shd w:val="clear" w:color="auto" w:fill="FFFFFF"/>
              <w:spacing w:before="0" w:beforeAutospacing="0" w:after="120" w:afterAutospacing="0" w:line="300" w:lineRule="atLeast"/>
              <w:jc w:val="both"/>
              <w:rPr>
                <w:i/>
                <w:iCs/>
                <w:color w:val="000000"/>
              </w:rPr>
            </w:pPr>
            <w:r w:rsidRPr="004610C7">
              <w:rPr>
                <w:i/>
                <w:iCs/>
                <w:color w:val="000000"/>
              </w:rPr>
              <w:t>Art. 75 (Ambito di applicabilità)</w:t>
            </w:r>
          </w:p>
          <w:p w14:paraId="514A7B63" w14:textId="77777777" w:rsidR="00702F21" w:rsidRDefault="00702F21" w:rsidP="008B559D">
            <w:pPr>
              <w:pStyle w:val="NormaleWeb"/>
              <w:shd w:val="clear" w:color="auto" w:fill="FFFFFF"/>
              <w:spacing w:before="0" w:beforeAutospacing="0" w:after="120" w:afterAutospacing="0" w:line="300" w:lineRule="atLeast"/>
              <w:jc w:val="both"/>
              <w:rPr>
                <w:i/>
                <w:iCs/>
                <w:color w:val="000000"/>
              </w:rPr>
            </w:pPr>
            <w:r w:rsidRPr="004610C7">
              <w:rPr>
                <w:i/>
                <w:iCs/>
                <w:color w:val="000000"/>
              </w:rPr>
              <w:t>Art. 76 (Condizioni per l’ammissione)</w:t>
            </w:r>
            <w:r>
              <w:rPr>
                <w:i/>
                <w:iCs/>
                <w:color w:val="000000"/>
              </w:rPr>
              <w:t>;</w:t>
            </w:r>
          </w:p>
          <w:p w14:paraId="316C5B0F" w14:textId="77777777" w:rsidR="00702F21" w:rsidRDefault="00702F21" w:rsidP="008B559D">
            <w:pPr>
              <w:pStyle w:val="NormaleWeb"/>
              <w:shd w:val="clear" w:color="auto" w:fill="FFFFFF"/>
              <w:spacing w:before="0" w:beforeAutospacing="0" w:after="120" w:afterAutospacing="0" w:line="300" w:lineRule="atLeast"/>
              <w:jc w:val="both"/>
              <w:rPr>
                <w:i/>
                <w:iCs/>
                <w:color w:val="000000"/>
              </w:rPr>
            </w:pPr>
            <w:r>
              <w:rPr>
                <w:i/>
                <w:iCs/>
                <w:color w:val="000000"/>
              </w:rPr>
              <w:t>Codice del processo amministrativo:</w:t>
            </w:r>
          </w:p>
          <w:p w14:paraId="24EE1CFA" w14:textId="77777777" w:rsidR="00702F21" w:rsidRPr="007B6E89" w:rsidRDefault="00702F21" w:rsidP="008B559D">
            <w:pPr>
              <w:pStyle w:val="NormaleWeb"/>
              <w:shd w:val="clear" w:color="auto" w:fill="FFFFFF"/>
              <w:spacing w:before="0" w:beforeAutospacing="0" w:after="120" w:afterAutospacing="0" w:line="300" w:lineRule="atLeast"/>
              <w:jc w:val="both"/>
              <w:rPr>
                <w:rStyle w:val="Enfasigrassetto"/>
                <w:b w:val="0"/>
                <w:bCs w:val="0"/>
                <w:i/>
                <w:iCs/>
                <w:shd w:val="clear" w:color="auto" w:fill="FFFFFF"/>
              </w:rPr>
            </w:pPr>
            <w:r w:rsidRPr="007B6E89">
              <w:rPr>
                <w:rStyle w:val="Enfasigrassetto"/>
                <w:b w:val="0"/>
                <w:bCs w:val="0"/>
                <w:i/>
                <w:iCs/>
                <w:shd w:val="clear" w:color="auto" w:fill="FFFFFF"/>
              </w:rPr>
              <w:t>Art. 1 – Effettività</w:t>
            </w:r>
          </w:p>
          <w:p w14:paraId="5DDA6415" w14:textId="77777777" w:rsidR="00702F21" w:rsidRPr="007B6E89" w:rsidRDefault="00702F21" w:rsidP="008B559D">
            <w:pPr>
              <w:pStyle w:val="NormaleWeb"/>
              <w:shd w:val="clear" w:color="auto" w:fill="FFFFFF"/>
              <w:spacing w:before="0" w:beforeAutospacing="0" w:after="120" w:afterAutospacing="0" w:line="300" w:lineRule="atLeast"/>
              <w:jc w:val="both"/>
              <w:rPr>
                <w:rStyle w:val="Enfasigrassetto"/>
                <w:b w:val="0"/>
                <w:bCs w:val="0"/>
                <w:i/>
                <w:iCs/>
                <w:shd w:val="clear" w:color="auto" w:fill="FFFFFF"/>
              </w:rPr>
            </w:pPr>
            <w:r w:rsidRPr="007B6E89">
              <w:rPr>
                <w:rStyle w:val="Enfasigrassetto"/>
                <w:b w:val="0"/>
                <w:bCs w:val="0"/>
                <w:i/>
                <w:iCs/>
                <w:shd w:val="clear" w:color="auto" w:fill="FFFFFF"/>
              </w:rPr>
              <w:t>Art. 2 - Giusto processo</w:t>
            </w:r>
          </w:p>
          <w:p w14:paraId="1E3E5B7D" w14:textId="77777777" w:rsidR="00702F21" w:rsidRPr="007B6E89" w:rsidRDefault="00702F21" w:rsidP="008B559D">
            <w:pPr>
              <w:pStyle w:val="NormaleWeb"/>
              <w:shd w:val="clear" w:color="auto" w:fill="FFFFFF"/>
              <w:spacing w:before="0" w:beforeAutospacing="0" w:after="120" w:afterAutospacing="0" w:line="300" w:lineRule="atLeast"/>
              <w:jc w:val="both"/>
              <w:rPr>
                <w:rStyle w:val="Enfasigrassetto"/>
                <w:b w:val="0"/>
                <w:bCs w:val="0"/>
                <w:i/>
                <w:iCs/>
                <w:shd w:val="clear" w:color="auto" w:fill="FFFFFF"/>
              </w:rPr>
            </w:pPr>
            <w:r w:rsidRPr="007B6E89">
              <w:rPr>
                <w:rStyle w:val="Enfasigrassetto"/>
                <w:b w:val="0"/>
                <w:bCs w:val="0"/>
                <w:i/>
                <w:iCs/>
                <w:shd w:val="clear" w:color="auto" w:fill="FFFFFF"/>
              </w:rPr>
              <w:t>Art. 4 - Giurisdizione dei giudici amministrativi</w:t>
            </w:r>
          </w:p>
          <w:p w14:paraId="5948866D" w14:textId="77777777" w:rsidR="00702F21" w:rsidRPr="00DE33F6" w:rsidRDefault="00702F21" w:rsidP="008B559D">
            <w:pPr>
              <w:pStyle w:val="NormaleWeb"/>
              <w:shd w:val="clear" w:color="auto" w:fill="FFFFFF"/>
              <w:spacing w:before="0" w:beforeAutospacing="0" w:after="120" w:afterAutospacing="0" w:line="300" w:lineRule="atLeast"/>
              <w:jc w:val="both"/>
              <w:rPr>
                <w:b/>
                <w:bCs/>
                <w:color w:val="333333"/>
              </w:rPr>
            </w:pPr>
            <w:r w:rsidRPr="007B6E89">
              <w:rPr>
                <w:rStyle w:val="Enfasigrassetto"/>
                <w:b w:val="0"/>
                <w:bCs w:val="0"/>
                <w:i/>
                <w:iCs/>
              </w:rPr>
              <w:t>Art. 7 - Giurisdizione amministrativa</w:t>
            </w:r>
          </w:p>
          <w:p w14:paraId="4E59F065" w14:textId="77777777" w:rsidR="00702F21" w:rsidRDefault="00702F21" w:rsidP="008B559D">
            <w:pPr>
              <w:pStyle w:val="NormaleWeb"/>
              <w:shd w:val="clear" w:color="auto" w:fill="FFFFFF"/>
              <w:spacing w:before="0" w:beforeAutospacing="0" w:after="150" w:afterAutospacing="0"/>
              <w:rPr>
                <w:rFonts w:ascii="Titillium Web" w:hAnsi="Titillium Web"/>
                <w:color w:val="333333"/>
                <w:sz w:val="33"/>
                <w:szCs w:val="33"/>
              </w:rPr>
            </w:pPr>
            <w:r>
              <w:rPr>
                <w:rFonts w:ascii="Titillium Web" w:hAnsi="Titillium Web"/>
                <w:color w:val="333333"/>
                <w:sz w:val="33"/>
                <w:szCs w:val="33"/>
              </w:rPr>
              <w:t> </w:t>
            </w:r>
          </w:p>
          <w:p w14:paraId="6B6822A3" w14:textId="77777777" w:rsidR="00702F21" w:rsidRPr="004610C7" w:rsidRDefault="00702F21" w:rsidP="008B559D">
            <w:pPr>
              <w:pStyle w:val="NormaleWeb"/>
              <w:shd w:val="clear" w:color="auto" w:fill="FFFFFF"/>
              <w:spacing w:before="0" w:beforeAutospacing="0" w:after="120" w:afterAutospacing="0" w:line="300" w:lineRule="atLeast"/>
              <w:jc w:val="both"/>
              <w:rPr>
                <w:i/>
                <w:iCs/>
                <w:color w:val="000000"/>
              </w:rPr>
            </w:pPr>
          </w:p>
          <w:p w14:paraId="1505C027" w14:textId="77777777" w:rsidR="00702F21" w:rsidRPr="00563E80" w:rsidRDefault="00702F21" w:rsidP="008B559D">
            <w:pPr>
              <w:spacing w:before="136"/>
              <w:jc w:val="both"/>
              <w:textAlignment w:val="baseline"/>
              <w:rPr>
                <w:rFonts w:eastAsia="Times New Roman"/>
                <w:i/>
                <w:iCs/>
                <w:lang w:val="it-IT"/>
              </w:rPr>
            </w:pPr>
            <w:r>
              <w:rPr>
                <w:rFonts w:eastAsia="Times New Roman"/>
                <w:i/>
                <w:iCs/>
                <w:lang w:val="it-IT"/>
              </w:rPr>
              <w:t xml:space="preserve"> </w:t>
            </w:r>
          </w:p>
        </w:tc>
      </w:tr>
      <w:tr w:rsidR="00702F21" w:rsidRPr="00BE38E8" w14:paraId="37F12887" w14:textId="77777777" w:rsidTr="008B559D">
        <w:tc>
          <w:tcPr>
            <w:tcW w:w="4814" w:type="dxa"/>
          </w:tcPr>
          <w:p w14:paraId="32C4BF3C" w14:textId="77777777" w:rsidR="00702F21" w:rsidRDefault="00702F21" w:rsidP="008B559D">
            <w:pPr>
              <w:tabs>
                <w:tab w:val="left" w:pos="1020"/>
                <w:tab w:val="left" w:pos="1746"/>
              </w:tabs>
              <w:jc w:val="both"/>
              <w:rPr>
                <w:lang w:val="it-IT"/>
              </w:rPr>
            </w:pPr>
            <w:r w:rsidRPr="00137277">
              <w:rPr>
                <w:lang w:val="it-IT"/>
              </w:rPr>
              <w:t>2. Le autorità competenti provvedono, in conformità del diritto nazionale, affinché l’identità delle persone coinvolte sia tutelata fintanto che sono in corso indagini avviate dalla segnalazione o dalla divulgazione pubblica.</w:t>
            </w:r>
            <w:r>
              <w:rPr>
                <w:lang w:val="it-IT"/>
              </w:rPr>
              <w:tab/>
            </w:r>
          </w:p>
          <w:p w14:paraId="40E928CE" w14:textId="77777777" w:rsidR="00702F21" w:rsidRDefault="00702F21" w:rsidP="008B559D">
            <w:pPr>
              <w:tabs>
                <w:tab w:val="left" w:pos="1020"/>
                <w:tab w:val="left" w:pos="1746"/>
              </w:tabs>
              <w:jc w:val="both"/>
              <w:rPr>
                <w:lang w:val="it-IT"/>
              </w:rPr>
            </w:pPr>
          </w:p>
        </w:tc>
        <w:tc>
          <w:tcPr>
            <w:tcW w:w="5050" w:type="dxa"/>
          </w:tcPr>
          <w:p w14:paraId="4BCF2FAA" w14:textId="77777777" w:rsidR="00702F21" w:rsidRPr="00563E80" w:rsidRDefault="00702F21" w:rsidP="008B559D">
            <w:pPr>
              <w:spacing w:before="136"/>
              <w:jc w:val="both"/>
              <w:textAlignment w:val="baseline"/>
              <w:rPr>
                <w:rFonts w:eastAsia="Times New Roman"/>
                <w:i/>
                <w:iCs/>
                <w:color w:val="000000" w:themeColor="text1"/>
                <w:lang w:val="it-IT"/>
              </w:rPr>
            </w:pPr>
            <w:r>
              <w:rPr>
                <w:rFonts w:eastAsia="Times New Roman"/>
                <w:i/>
                <w:iCs/>
                <w:color w:val="000000" w:themeColor="text1"/>
                <w:lang w:val="it-IT"/>
              </w:rPr>
              <w:t>C</w:t>
            </w:r>
            <w:r w:rsidRPr="00563E80">
              <w:rPr>
                <w:rFonts w:eastAsia="Times New Roman"/>
                <w:i/>
                <w:iCs/>
                <w:color w:val="000000" w:themeColor="text1"/>
                <w:lang w:val="it-IT"/>
              </w:rPr>
              <w:t xml:space="preserve">odice di procedura penale: art. 114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(Divieto di pubblicazione di atti e di immagini); art. 329 cod. </w:t>
            </w:r>
            <w:proofErr w:type="spellStart"/>
            <w:r w:rsidRPr="00563E80">
              <w:rPr>
                <w:rFonts w:eastAsia="Times New Roman"/>
                <w:i/>
                <w:iCs/>
                <w:color w:val="000000" w:themeColor="text1"/>
                <w:lang w:val="it-IT"/>
              </w:rPr>
              <w:t>proc</w:t>
            </w:r>
            <w:proofErr w:type="spell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xml:space="preserve">. (obbligo del segreto); art. 335 </w:t>
            </w:r>
            <w:proofErr w:type="spellStart"/>
            <w:proofErr w:type="gramStart"/>
            <w:r w:rsidRPr="00563E80">
              <w:rPr>
                <w:rFonts w:eastAsia="Times New Roman"/>
                <w:i/>
                <w:iCs/>
                <w:color w:val="000000" w:themeColor="text1"/>
                <w:lang w:val="it-IT"/>
              </w:rPr>
              <w:t>cod.proc</w:t>
            </w:r>
            <w:proofErr w:type="spellEnd"/>
            <w:proofErr w:type="gramEnd"/>
            <w:r w:rsidRPr="00563E80">
              <w:rPr>
                <w:rFonts w:eastAsia="Times New Roman"/>
                <w:i/>
                <w:iCs/>
                <w:color w:val="000000" w:themeColor="text1"/>
                <w:lang w:val="it-IT"/>
              </w:rPr>
              <w:t xml:space="preserve">. </w:t>
            </w:r>
            <w:proofErr w:type="spellStart"/>
            <w:r w:rsidRPr="00563E80">
              <w:rPr>
                <w:rFonts w:eastAsia="Times New Roman"/>
                <w:i/>
                <w:iCs/>
                <w:color w:val="000000" w:themeColor="text1"/>
                <w:lang w:val="it-IT"/>
              </w:rPr>
              <w:t>pen</w:t>
            </w:r>
            <w:proofErr w:type="spellEnd"/>
            <w:r w:rsidRPr="00563E80">
              <w:rPr>
                <w:rFonts w:eastAsia="Times New Roman"/>
                <w:i/>
                <w:iCs/>
                <w:color w:val="000000" w:themeColor="text1"/>
                <w:lang w:val="it-IT"/>
              </w:rPr>
              <w:t>. (registro delle notizie di reato).</w:t>
            </w:r>
          </w:p>
          <w:p w14:paraId="66647BE0" w14:textId="77777777" w:rsidR="00702F21" w:rsidRPr="00563E80" w:rsidRDefault="00702F21" w:rsidP="008B559D">
            <w:pPr>
              <w:jc w:val="both"/>
              <w:rPr>
                <w:rFonts w:eastAsia="Times New Roman"/>
                <w:i/>
                <w:iCs/>
                <w:lang w:val="it-IT"/>
              </w:rPr>
            </w:pPr>
          </w:p>
        </w:tc>
      </w:tr>
      <w:tr w:rsidR="00702F21" w:rsidRPr="00E92B0C" w14:paraId="4A178614" w14:textId="77777777" w:rsidTr="008B559D">
        <w:tc>
          <w:tcPr>
            <w:tcW w:w="4814" w:type="dxa"/>
          </w:tcPr>
          <w:p w14:paraId="39AC88F4" w14:textId="77777777" w:rsidR="00702F21" w:rsidRDefault="00702F21" w:rsidP="008B559D">
            <w:pPr>
              <w:tabs>
                <w:tab w:val="left" w:pos="1746"/>
              </w:tabs>
              <w:jc w:val="both"/>
              <w:rPr>
                <w:lang w:val="it-IT"/>
              </w:rPr>
            </w:pPr>
            <w:r w:rsidRPr="00137277">
              <w:rPr>
                <w:lang w:val="it-IT"/>
              </w:rPr>
              <w:t>3. Le norme di cui agli articoli 12, 17 e 18 relative alla protezione dell’identità delle persone segnalate si applicano anche alla tutela dell’identità delle persone coinvolte.</w:t>
            </w:r>
          </w:p>
          <w:p w14:paraId="2B0EBE2D" w14:textId="77777777" w:rsidR="00702F21" w:rsidRPr="00137277" w:rsidRDefault="00702F21" w:rsidP="008B559D">
            <w:pPr>
              <w:tabs>
                <w:tab w:val="left" w:pos="1746"/>
              </w:tabs>
              <w:jc w:val="both"/>
              <w:rPr>
                <w:lang w:val="it-IT"/>
              </w:rPr>
            </w:pPr>
          </w:p>
        </w:tc>
        <w:tc>
          <w:tcPr>
            <w:tcW w:w="5050" w:type="dxa"/>
          </w:tcPr>
          <w:p w14:paraId="6FA28D66" w14:textId="77777777" w:rsidR="00702F21" w:rsidRPr="00B152BF" w:rsidRDefault="00702F21" w:rsidP="008B559D">
            <w:pPr>
              <w:jc w:val="both"/>
              <w:rPr>
                <w:rFonts w:eastAsia="Times New Roman"/>
                <w:lang w:val="it-IT"/>
              </w:rPr>
            </w:pPr>
            <w:r>
              <w:rPr>
                <w:rFonts w:eastAsia="Times New Roman"/>
                <w:lang w:val="it-IT"/>
              </w:rPr>
              <w:t>v. art. 12, comma 7.</w:t>
            </w:r>
          </w:p>
        </w:tc>
      </w:tr>
      <w:tr w:rsidR="00702F21" w:rsidRPr="00E92B0C" w14:paraId="4C592E5B" w14:textId="77777777" w:rsidTr="008B559D">
        <w:tc>
          <w:tcPr>
            <w:tcW w:w="4814" w:type="dxa"/>
          </w:tcPr>
          <w:p w14:paraId="037F8935" w14:textId="77777777" w:rsidR="00702F21" w:rsidRPr="006539AA" w:rsidRDefault="00702F21" w:rsidP="008B559D">
            <w:pPr>
              <w:tabs>
                <w:tab w:val="left" w:pos="1746"/>
              </w:tabs>
              <w:jc w:val="center"/>
              <w:rPr>
                <w:i/>
                <w:iCs/>
              </w:rPr>
            </w:pPr>
            <w:proofErr w:type="spellStart"/>
            <w:r w:rsidRPr="006539AA">
              <w:rPr>
                <w:i/>
                <w:iCs/>
              </w:rPr>
              <w:t>Articolo</w:t>
            </w:r>
            <w:proofErr w:type="spellEnd"/>
            <w:r w:rsidRPr="006539AA">
              <w:rPr>
                <w:i/>
                <w:iCs/>
              </w:rPr>
              <w:t xml:space="preserve"> 23</w:t>
            </w:r>
          </w:p>
          <w:p w14:paraId="4EBF64DC" w14:textId="77777777" w:rsidR="00702F21" w:rsidRPr="006539AA" w:rsidRDefault="00702F21" w:rsidP="008B559D">
            <w:pPr>
              <w:tabs>
                <w:tab w:val="left" w:pos="1746"/>
              </w:tabs>
              <w:jc w:val="center"/>
              <w:rPr>
                <w:b/>
                <w:bCs/>
              </w:rPr>
            </w:pPr>
            <w:proofErr w:type="spellStart"/>
            <w:r w:rsidRPr="006539AA">
              <w:rPr>
                <w:b/>
                <w:bCs/>
              </w:rPr>
              <w:t>Sanzioni</w:t>
            </w:r>
            <w:proofErr w:type="spellEnd"/>
          </w:p>
          <w:p w14:paraId="1F8D2504" w14:textId="77777777" w:rsidR="00702F21" w:rsidRPr="00137277" w:rsidRDefault="00702F21" w:rsidP="008B559D">
            <w:pPr>
              <w:tabs>
                <w:tab w:val="left" w:pos="1746"/>
              </w:tabs>
              <w:jc w:val="center"/>
              <w:rPr>
                <w:lang w:val="it-IT"/>
              </w:rPr>
            </w:pPr>
          </w:p>
        </w:tc>
        <w:tc>
          <w:tcPr>
            <w:tcW w:w="5050" w:type="dxa"/>
          </w:tcPr>
          <w:p w14:paraId="04D1BCCF" w14:textId="77777777" w:rsidR="00702F21" w:rsidRPr="00EA5768" w:rsidRDefault="00702F21" w:rsidP="008B559D">
            <w:pPr>
              <w:tabs>
                <w:tab w:val="left" w:pos="432"/>
                <w:tab w:val="left" w:pos="1008"/>
              </w:tabs>
              <w:spacing w:before="345"/>
              <w:ind w:left="396" w:right="27"/>
              <w:contextualSpacing/>
              <w:jc w:val="center"/>
              <w:rPr>
                <w:rFonts w:eastAsia="Times New Roman"/>
                <w:color w:val="000000" w:themeColor="text1"/>
                <w:lang w:val="it-IT"/>
              </w:rPr>
            </w:pPr>
            <w:r w:rsidRPr="00EA5768">
              <w:rPr>
                <w:rFonts w:eastAsia="Times New Roman"/>
                <w:b/>
                <w:bCs/>
                <w:color w:val="000000" w:themeColor="text1"/>
                <w:lang w:val="it-IT"/>
              </w:rPr>
              <w:t>Art. 21</w:t>
            </w:r>
          </w:p>
          <w:p w14:paraId="7D450712" w14:textId="77777777" w:rsidR="00702F21" w:rsidRPr="00EA5768" w:rsidRDefault="00702F21" w:rsidP="008B559D">
            <w:pPr>
              <w:spacing w:before="120"/>
              <w:ind w:left="396"/>
              <w:contextualSpacing/>
              <w:jc w:val="center"/>
              <w:rPr>
                <w:rFonts w:eastAsia="Times New Roman"/>
                <w:color w:val="000000" w:themeColor="text1"/>
                <w:lang w:val="it-IT"/>
              </w:rPr>
            </w:pPr>
            <w:r w:rsidRPr="00EA5768">
              <w:rPr>
                <w:rFonts w:eastAsia="Times New Roman"/>
                <w:color w:val="000000" w:themeColor="text1"/>
                <w:lang w:val="it-IT"/>
              </w:rPr>
              <w:t>(</w:t>
            </w:r>
            <w:r w:rsidRPr="00EA5768">
              <w:rPr>
                <w:rFonts w:eastAsia="Times New Roman"/>
                <w:i/>
                <w:iCs/>
                <w:color w:val="000000" w:themeColor="text1"/>
                <w:lang w:val="it-IT"/>
              </w:rPr>
              <w:t>Sanzioni</w:t>
            </w:r>
            <w:r w:rsidRPr="00EA5768">
              <w:rPr>
                <w:rFonts w:eastAsia="Times New Roman"/>
                <w:color w:val="000000" w:themeColor="text1"/>
                <w:lang w:val="it-IT"/>
              </w:rPr>
              <w:t>)</w:t>
            </w:r>
          </w:p>
          <w:p w14:paraId="5C2D2E61" w14:textId="77777777" w:rsidR="00702F21" w:rsidRPr="00304F57" w:rsidRDefault="00702F21" w:rsidP="008B559D">
            <w:pPr>
              <w:jc w:val="both"/>
              <w:rPr>
                <w:rFonts w:eastAsia="Times New Roman"/>
                <w:lang w:val="it-IT"/>
              </w:rPr>
            </w:pPr>
          </w:p>
        </w:tc>
      </w:tr>
      <w:tr w:rsidR="00702F21" w:rsidRPr="00AF6525" w14:paraId="697CB459" w14:textId="77777777" w:rsidTr="008B559D">
        <w:tc>
          <w:tcPr>
            <w:tcW w:w="4814" w:type="dxa"/>
          </w:tcPr>
          <w:p w14:paraId="14544136" w14:textId="77777777" w:rsidR="00702F21" w:rsidRDefault="00702F21" w:rsidP="008B559D">
            <w:pPr>
              <w:tabs>
                <w:tab w:val="left" w:pos="1746"/>
              </w:tabs>
              <w:jc w:val="both"/>
              <w:rPr>
                <w:lang w:val="it-IT"/>
              </w:rPr>
            </w:pPr>
            <w:r w:rsidRPr="00F405F9">
              <w:rPr>
                <w:lang w:val="it-IT"/>
              </w:rPr>
              <w:t xml:space="preserve">1. Gli Stati membri prevedono sanzioni effettive, proporzionate e dissuasive applicabili alle persone fisiche o giuridiche che: </w:t>
            </w:r>
          </w:p>
          <w:p w14:paraId="7F567A86" w14:textId="77777777" w:rsidR="00702F21" w:rsidRDefault="00702F21" w:rsidP="008B559D">
            <w:pPr>
              <w:tabs>
                <w:tab w:val="left" w:pos="1746"/>
              </w:tabs>
              <w:jc w:val="both"/>
              <w:rPr>
                <w:lang w:val="it-IT"/>
              </w:rPr>
            </w:pPr>
            <w:r w:rsidRPr="00F405F9">
              <w:rPr>
                <w:lang w:val="it-IT"/>
              </w:rPr>
              <w:t>a) ostacolano o tentano di ostacolare le segnalazioni;</w:t>
            </w:r>
          </w:p>
          <w:p w14:paraId="33A75294" w14:textId="77777777" w:rsidR="00702F21" w:rsidRDefault="00702F21" w:rsidP="008B559D">
            <w:pPr>
              <w:tabs>
                <w:tab w:val="left" w:pos="1746"/>
              </w:tabs>
              <w:jc w:val="both"/>
              <w:rPr>
                <w:lang w:val="it-IT"/>
              </w:rPr>
            </w:pPr>
            <w:r w:rsidRPr="00F405F9">
              <w:rPr>
                <w:lang w:val="it-IT"/>
              </w:rPr>
              <w:t xml:space="preserve">b) attuano atti di ritorsione contro le persone di cui all’articolo 4; </w:t>
            </w:r>
          </w:p>
          <w:p w14:paraId="3517C0D2" w14:textId="77777777" w:rsidR="00702F21" w:rsidRDefault="00702F21" w:rsidP="008B559D">
            <w:pPr>
              <w:tabs>
                <w:tab w:val="left" w:pos="1746"/>
              </w:tabs>
              <w:jc w:val="both"/>
              <w:rPr>
                <w:lang w:val="it-IT"/>
              </w:rPr>
            </w:pPr>
            <w:r w:rsidRPr="00F405F9">
              <w:rPr>
                <w:lang w:val="it-IT"/>
              </w:rPr>
              <w:t xml:space="preserve">c) intentano procedimenti vessatori contro le persone di cui all’articolo 4; </w:t>
            </w:r>
          </w:p>
          <w:p w14:paraId="6B4D15F2" w14:textId="77777777" w:rsidR="00702F21" w:rsidRDefault="00702F21" w:rsidP="008B559D">
            <w:pPr>
              <w:tabs>
                <w:tab w:val="left" w:pos="1746"/>
              </w:tabs>
              <w:jc w:val="both"/>
              <w:rPr>
                <w:lang w:val="it-IT"/>
              </w:rPr>
            </w:pPr>
            <w:r w:rsidRPr="00F405F9">
              <w:rPr>
                <w:lang w:val="it-IT"/>
              </w:rPr>
              <w:t>d) violano l’obbligo di riservatezza sull’identità delle persone segnalanti di cui all’articolo 16</w:t>
            </w:r>
            <w:r>
              <w:rPr>
                <w:lang w:val="it-IT"/>
              </w:rPr>
              <w:t>.</w:t>
            </w:r>
          </w:p>
          <w:p w14:paraId="074FE711" w14:textId="77777777" w:rsidR="00702F21" w:rsidRPr="00F405F9" w:rsidRDefault="00702F21" w:rsidP="008B559D">
            <w:pPr>
              <w:tabs>
                <w:tab w:val="left" w:pos="1746"/>
              </w:tabs>
              <w:jc w:val="both"/>
              <w:rPr>
                <w:lang w:val="it-IT"/>
              </w:rPr>
            </w:pPr>
          </w:p>
        </w:tc>
        <w:tc>
          <w:tcPr>
            <w:tcW w:w="5050" w:type="dxa"/>
          </w:tcPr>
          <w:p w14:paraId="1F603E49" w14:textId="77777777" w:rsidR="00702F21" w:rsidRDefault="00702F21" w:rsidP="008B559D">
            <w:pPr>
              <w:spacing w:before="120"/>
              <w:contextualSpacing/>
              <w:jc w:val="both"/>
              <w:rPr>
                <w:rFonts w:eastAsia="Times New Roman"/>
                <w:lang w:val="it-IT"/>
              </w:rPr>
            </w:pPr>
          </w:p>
          <w:p w14:paraId="4A423875" w14:textId="77777777" w:rsidR="00702F21" w:rsidRPr="00304F57" w:rsidRDefault="00702F21" w:rsidP="008B559D">
            <w:pPr>
              <w:spacing w:before="120"/>
              <w:contextualSpacing/>
              <w:jc w:val="both"/>
              <w:rPr>
                <w:rFonts w:eastAsia="Times New Roman"/>
                <w:lang w:val="it-IT"/>
              </w:rPr>
            </w:pPr>
            <w:r>
              <w:rPr>
                <w:rFonts w:eastAsia="Times New Roman"/>
                <w:lang w:val="it-IT"/>
              </w:rPr>
              <w:t>Art. 21, comma 1</w:t>
            </w:r>
          </w:p>
        </w:tc>
      </w:tr>
      <w:tr w:rsidR="00702F21" w:rsidRPr="00BE38E8" w14:paraId="4CF0FEAF" w14:textId="77777777" w:rsidTr="008B559D">
        <w:tc>
          <w:tcPr>
            <w:tcW w:w="4814" w:type="dxa"/>
          </w:tcPr>
          <w:p w14:paraId="701F9DFC" w14:textId="77777777" w:rsidR="00702F21" w:rsidRDefault="00702F21" w:rsidP="008B559D">
            <w:pPr>
              <w:tabs>
                <w:tab w:val="left" w:pos="1746"/>
              </w:tabs>
              <w:jc w:val="both"/>
              <w:rPr>
                <w:lang w:val="it-IT"/>
              </w:rPr>
            </w:pPr>
            <w:r w:rsidRPr="00F405F9">
              <w:rPr>
                <w:lang w:val="it-IT"/>
              </w:rPr>
              <w:t>2. Gli Stati membri prevedono sanzioni effettive, proporzionate e dissuasive applicabili alle persone segnalanti per le quali sia accertato che hanno scientemente effettuato segnalazioni o divulgazioni pubbliche false. Gli Stati membri prevedono anche misure per il risarcimento dei danni derivanti da tali segnalazioni o divulgazioni conformemente al diritto nazionale.</w:t>
            </w:r>
          </w:p>
          <w:p w14:paraId="07FCBCB8" w14:textId="77777777" w:rsidR="00702F21" w:rsidRPr="00F405F9" w:rsidRDefault="00702F21" w:rsidP="008B559D">
            <w:pPr>
              <w:tabs>
                <w:tab w:val="left" w:pos="1746"/>
              </w:tabs>
              <w:jc w:val="both"/>
              <w:rPr>
                <w:lang w:val="it-IT"/>
              </w:rPr>
            </w:pPr>
          </w:p>
        </w:tc>
        <w:tc>
          <w:tcPr>
            <w:tcW w:w="5050" w:type="dxa"/>
          </w:tcPr>
          <w:p w14:paraId="49CD744C" w14:textId="1B858358" w:rsidR="00C04282" w:rsidRPr="00062962" w:rsidRDefault="00C04282" w:rsidP="008B559D">
            <w:pPr>
              <w:jc w:val="both"/>
              <w:rPr>
                <w:rFonts w:eastAsia="Times New Roman"/>
                <w:lang w:val="it-IT"/>
              </w:rPr>
            </w:pPr>
            <w:r>
              <w:rPr>
                <w:rFonts w:eastAsia="Times New Roman"/>
                <w:lang w:val="it-IT"/>
              </w:rPr>
              <w:t xml:space="preserve">Art. </w:t>
            </w:r>
            <w:r w:rsidR="00D55A8C">
              <w:rPr>
                <w:rFonts w:eastAsia="Times New Roman"/>
                <w:lang w:val="it-IT"/>
              </w:rPr>
              <w:t xml:space="preserve">16 comma 3 e art. </w:t>
            </w:r>
            <w:r>
              <w:rPr>
                <w:rFonts w:eastAsia="Times New Roman"/>
                <w:lang w:val="it-IT"/>
              </w:rPr>
              <w:t xml:space="preserve">21 comma 1 </w:t>
            </w:r>
            <w:proofErr w:type="spellStart"/>
            <w:r>
              <w:rPr>
                <w:rFonts w:eastAsia="Times New Roman"/>
                <w:lang w:val="it-IT"/>
              </w:rPr>
              <w:t>lett.c</w:t>
            </w:r>
            <w:proofErr w:type="spellEnd"/>
            <w:r>
              <w:rPr>
                <w:rFonts w:eastAsia="Times New Roman"/>
                <w:lang w:val="it-IT"/>
              </w:rPr>
              <w:t>)</w:t>
            </w:r>
          </w:p>
          <w:p w14:paraId="05E08F2D" w14:textId="52B9F7A4" w:rsidR="00702F21" w:rsidRPr="00A7330F" w:rsidRDefault="006B3752" w:rsidP="008B559D">
            <w:pPr>
              <w:jc w:val="both"/>
              <w:rPr>
                <w:rFonts w:eastAsia="Times New Roman"/>
                <w:i/>
                <w:iCs/>
                <w:sz w:val="24"/>
                <w:szCs w:val="24"/>
                <w:lang w:val="it-IT"/>
              </w:rPr>
            </w:pPr>
            <w:r>
              <w:rPr>
                <w:rFonts w:eastAsia="Times New Roman"/>
                <w:i/>
                <w:iCs/>
                <w:lang w:val="it-IT"/>
              </w:rPr>
              <w:t>L</w:t>
            </w:r>
            <w:r w:rsidR="00702F21" w:rsidRPr="00A7330F">
              <w:rPr>
                <w:rFonts w:eastAsia="Times New Roman"/>
                <w:i/>
                <w:iCs/>
                <w:lang w:val="it-IT"/>
              </w:rPr>
              <w:t>e segnalazioni e divulgazioni “scientemente false” possono integrare</w:t>
            </w:r>
            <w:r w:rsidR="00702F21">
              <w:rPr>
                <w:rFonts w:eastAsia="Times New Roman"/>
                <w:i/>
                <w:iCs/>
                <w:lang w:val="it-IT"/>
              </w:rPr>
              <w:t xml:space="preserve">: il </w:t>
            </w:r>
            <w:r w:rsidR="00702F21" w:rsidRPr="00A7330F">
              <w:rPr>
                <w:rFonts w:eastAsia="Times New Roman"/>
                <w:i/>
                <w:iCs/>
                <w:lang w:val="it-IT"/>
              </w:rPr>
              <w:t>delitto di calunnia di cui all’art. 368 c.p.;</w:t>
            </w:r>
            <w:r w:rsidR="00702F21">
              <w:rPr>
                <w:rFonts w:eastAsia="Times New Roman"/>
                <w:i/>
                <w:iCs/>
                <w:lang w:val="it-IT"/>
              </w:rPr>
              <w:t xml:space="preserve"> il delitto di diffamazione di cui all’art. 595 c.p.; è prevista l’azione di risarcimento del danno ex art. 2043 cod. civ.</w:t>
            </w:r>
          </w:p>
          <w:p w14:paraId="12E16AE5" w14:textId="77777777" w:rsidR="00702F21" w:rsidRPr="00A7330F" w:rsidRDefault="00702F21" w:rsidP="008B559D">
            <w:pPr>
              <w:jc w:val="both"/>
              <w:rPr>
                <w:rFonts w:eastAsia="Times New Roman"/>
                <w:i/>
                <w:iCs/>
                <w:sz w:val="24"/>
                <w:szCs w:val="24"/>
                <w:lang w:val="it-IT"/>
              </w:rPr>
            </w:pPr>
          </w:p>
          <w:p w14:paraId="6CCE99D9" w14:textId="77777777" w:rsidR="00702F21" w:rsidRPr="00B152BF" w:rsidRDefault="00702F21" w:rsidP="008B559D">
            <w:pPr>
              <w:jc w:val="both"/>
              <w:rPr>
                <w:rFonts w:eastAsia="Times New Roman"/>
                <w:lang w:val="it-IT"/>
              </w:rPr>
            </w:pPr>
          </w:p>
        </w:tc>
      </w:tr>
      <w:tr w:rsidR="00702F21" w:rsidRPr="00BE38E8" w14:paraId="77100AAB" w14:textId="77777777" w:rsidTr="008B559D">
        <w:tc>
          <w:tcPr>
            <w:tcW w:w="4814" w:type="dxa"/>
          </w:tcPr>
          <w:p w14:paraId="54676C4B" w14:textId="77777777" w:rsidR="00702F21" w:rsidRPr="00172990" w:rsidRDefault="00702F21" w:rsidP="008B559D">
            <w:pPr>
              <w:tabs>
                <w:tab w:val="left" w:pos="1746"/>
              </w:tabs>
              <w:jc w:val="center"/>
              <w:rPr>
                <w:i/>
                <w:iCs/>
                <w:lang w:val="it-IT"/>
              </w:rPr>
            </w:pPr>
            <w:r w:rsidRPr="00172990">
              <w:rPr>
                <w:i/>
                <w:iCs/>
                <w:lang w:val="it-IT"/>
              </w:rPr>
              <w:t>Articolo 24</w:t>
            </w:r>
          </w:p>
          <w:p w14:paraId="1EB26898" w14:textId="77777777" w:rsidR="00702F21" w:rsidRPr="00172990" w:rsidRDefault="00702F21" w:rsidP="008B559D">
            <w:pPr>
              <w:tabs>
                <w:tab w:val="left" w:pos="1746"/>
              </w:tabs>
              <w:jc w:val="center"/>
              <w:rPr>
                <w:b/>
                <w:bCs/>
                <w:lang w:val="it-IT"/>
              </w:rPr>
            </w:pPr>
            <w:r w:rsidRPr="00172990">
              <w:rPr>
                <w:b/>
                <w:bCs/>
                <w:lang w:val="it-IT"/>
              </w:rPr>
              <w:t>Divieto di rinuncia ai diritti e ai mezzi di ricorso</w:t>
            </w:r>
          </w:p>
          <w:p w14:paraId="3D633F8C" w14:textId="77777777" w:rsidR="00702F21" w:rsidRPr="00172990" w:rsidRDefault="00702F21" w:rsidP="008B559D">
            <w:pPr>
              <w:tabs>
                <w:tab w:val="left" w:pos="1746"/>
              </w:tabs>
              <w:jc w:val="center"/>
              <w:rPr>
                <w:lang w:val="it-IT"/>
              </w:rPr>
            </w:pPr>
          </w:p>
        </w:tc>
        <w:tc>
          <w:tcPr>
            <w:tcW w:w="5050" w:type="dxa"/>
          </w:tcPr>
          <w:p w14:paraId="2389BDC5" w14:textId="77777777" w:rsidR="00702F21" w:rsidRPr="00151C2D" w:rsidRDefault="00702F21" w:rsidP="008B559D">
            <w:pPr>
              <w:spacing w:before="120" w:afterLines="120" w:after="288"/>
              <w:ind w:left="340"/>
              <w:jc w:val="center"/>
              <w:rPr>
                <w:rFonts w:eastAsia="Times New Roman"/>
                <w:b/>
                <w:bCs/>
                <w:color w:val="000000" w:themeColor="text1"/>
                <w:lang w:val="it-IT"/>
              </w:rPr>
            </w:pPr>
            <w:r w:rsidRPr="00151C2D">
              <w:rPr>
                <w:rFonts w:eastAsia="Times New Roman"/>
                <w:b/>
                <w:bCs/>
                <w:color w:val="000000" w:themeColor="text1"/>
                <w:lang w:val="it-IT"/>
              </w:rPr>
              <w:t>Art. 22</w:t>
            </w:r>
          </w:p>
          <w:p w14:paraId="7641F539" w14:textId="77777777" w:rsidR="00702F21" w:rsidRPr="00151C2D" w:rsidRDefault="00702F21" w:rsidP="008B559D">
            <w:pPr>
              <w:spacing w:before="120" w:afterLines="120" w:after="288"/>
              <w:ind w:left="340"/>
              <w:jc w:val="center"/>
              <w:rPr>
                <w:rFonts w:eastAsia="Times New Roman"/>
                <w:color w:val="000000" w:themeColor="text1"/>
                <w:lang w:val="it-IT"/>
              </w:rPr>
            </w:pPr>
            <w:r w:rsidRPr="00151C2D">
              <w:rPr>
                <w:rFonts w:eastAsia="Times New Roman"/>
                <w:color w:val="000000" w:themeColor="text1"/>
                <w:lang w:val="it-IT"/>
              </w:rPr>
              <w:t>(</w:t>
            </w:r>
            <w:r w:rsidRPr="00151C2D">
              <w:rPr>
                <w:rFonts w:eastAsia="Times New Roman"/>
                <w:i/>
                <w:iCs/>
                <w:color w:val="000000" w:themeColor="text1"/>
                <w:lang w:val="it-IT"/>
              </w:rPr>
              <w:t>Divieto di rinuncia ai diritti e ai mezzi di ricorso</w:t>
            </w:r>
            <w:r w:rsidRPr="00151C2D">
              <w:rPr>
                <w:rFonts w:eastAsia="Times New Roman"/>
                <w:color w:val="000000" w:themeColor="text1"/>
                <w:lang w:val="it-IT"/>
              </w:rPr>
              <w:t xml:space="preserve">) </w:t>
            </w:r>
          </w:p>
          <w:p w14:paraId="5B69708F" w14:textId="77777777" w:rsidR="00702F21" w:rsidRPr="00484723" w:rsidRDefault="00702F21" w:rsidP="008B559D">
            <w:pPr>
              <w:jc w:val="both"/>
              <w:rPr>
                <w:rFonts w:eastAsia="Times New Roman"/>
                <w:lang w:val="it-IT"/>
              </w:rPr>
            </w:pPr>
          </w:p>
        </w:tc>
      </w:tr>
      <w:tr w:rsidR="00702F21" w:rsidRPr="00BE38E8" w14:paraId="7230B587" w14:textId="77777777" w:rsidTr="008B559D">
        <w:tc>
          <w:tcPr>
            <w:tcW w:w="4814" w:type="dxa"/>
          </w:tcPr>
          <w:p w14:paraId="3D763177" w14:textId="77777777" w:rsidR="00702F21" w:rsidRDefault="00702F21" w:rsidP="008B559D">
            <w:pPr>
              <w:tabs>
                <w:tab w:val="left" w:pos="1746"/>
              </w:tabs>
              <w:jc w:val="both"/>
              <w:rPr>
                <w:lang w:val="it-IT"/>
              </w:rPr>
            </w:pPr>
            <w:r w:rsidRPr="00B51E94">
              <w:rPr>
                <w:lang w:val="it-IT"/>
              </w:rPr>
              <w:t>Gli Stati membri provvedono affinché i diritti e i mezzi di ricorso previsti dalla presente direttiva non possano essere oggetto di rinuncia o limitazione in virtù di accordi, regimi, forme o condizioni di lavoro, compreso un accordo arbitrale precontenzioso.</w:t>
            </w:r>
          </w:p>
          <w:p w14:paraId="7A547912" w14:textId="77777777" w:rsidR="00702F21" w:rsidRPr="00B51E94" w:rsidRDefault="00702F21" w:rsidP="008B559D">
            <w:pPr>
              <w:tabs>
                <w:tab w:val="left" w:pos="1746"/>
              </w:tabs>
              <w:jc w:val="both"/>
              <w:rPr>
                <w:lang w:val="it-IT"/>
              </w:rPr>
            </w:pPr>
          </w:p>
        </w:tc>
        <w:tc>
          <w:tcPr>
            <w:tcW w:w="5050" w:type="dxa"/>
          </w:tcPr>
          <w:p w14:paraId="15B59563" w14:textId="77777777" w:rsidR="00702F21" w:rsidRPr="00484723" w:rsidRDefault="00702F21" w:rsidP="008B5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Lines="120" w:after="288"/>
              <w:jc w:val="both"/>
              <w:textAlignment w:val="baseline"/>
              <w:rPr>
                <w:rFonts w:eastAsia="Times New Roman"/>
                <w:lang w:val="it-IT"/>
              </w:rPr>
            </w:pPr>
          </w:p>
        </w:tc>
      </w:tr>
      <w:tr w:rsidR="00702F21" w:rsidRPr="00E92B0C" w14:paraId="03E3861D" w14:textId="77777777" w:rsidTr="008B559D">
        <w:tc>
          <w:tcPr>
            <w:tcW w:w="4814" w:type="dxa"/>
          </w:tcPr>
          <w:p w14:paraId="51B0EF95" w14:textId="77777777" w:rsidR="00702F21" w:rsidRDefault="00702F21" w:rsidP="008B559D">
            <w:pPr>
              <w:tabs>
                <w:tab w:val="left" w:pos="1746"/>
              </w:tabs>
              <w:jc w:val="center"/>
            </w:pPr>
            <w:r>
              <w:t>CAPO VII</w:t>
            </w:r>
          </w:p>
          <w:p w14:paraId="0BE40491" w14:textId="77777777" w:rsidR="00702F21" w:rsidRDefault="00702F21" w:rsidP="008B559D">
            <w:pPr>
              <w:tabs>
                <w:tab w:val="left" w:pos="1746"/>
              </w:tabs>
              <w:jc w:val="center"/>
              <w:rPr>
                <w:b/>
                <w:bCs/>
              </w:rPr>
            </w:pPr>
            <w:r w:rsidRPr="00B51E94">
              <w:rPr>
                <w:b/>
                <w:bCs/>
              </w:rPr>
              <w:t>DISPOSIZIONI FINALI</w:t>
            </w:r>
          </w:p>
          <w:p w14:paraId="458FF58F" w14:textId="77777777" w:rsidR="00702F21" w:rsidRPr="00B51E94" w:rsidRDefault="00702F21" w:rsidP="008B559D">
            <w:pPr>
              <w:tabs>
                <w:tab w:val="left" w:pos="1746"/>
              </w:tabs>
              <w:jc w:val="center"/>
              <w:rPr>
                <w:b/>
                <w:bCs/>
                <w:lang w:val="it-IT"/>
              </w:rPr>
            </w:pPr>
          </w:p>
        </w:tc>
        <w:tc>
          <w:tcPr>
            <w:tcW w:w="5050" w:type="dxa"/>
          </w:tcPr>
          <w:p w14:paraId="3ECC4258" w14:textId="77777777" w:rsidR="00702F21" w:rsidRDefault="00702F21" w:rsidP="008B559D">
            <w:pPr>
              <w:jc w:val="center"/>
              <w:rPr>
                <w:rFonts w:eastAsia="Times New Roman"/>
                <w:lang w:val="it-IT"/>
              </w:rPr>
            </w:pPr>
            <w:r>
              <w:rPr>
                <w:rFonts w:eastAsia="Times New Roman"/>
                <w:lang w:val="it-IT"/>
              </w:rPr>
              <w:t>CAPO IV</w:t>
            </w:r>
          </w:p>
          <w:p w14:paraId="3D1A0A2D" w14:textId="77777777" w:rsidR="00702F21" w:rsidRDefault="00702F21" w:rsidP="008B559D">
            <w:pPr>
              <w:tabs>
                <w:tab w:val="left" w:pos="1746"/>
              </w:tabs>
              <w:jc w:val="center"/>
              <w:rPr>
                <w:b/>
                <w:bCs/>
              </w:rPr>
            </w:pPr>
            <w:r w:rsidRPr="00B51E94">
              <w:rPr>
                <w:b/>
                <w:bCs/>
              </w:rPr>
              <w:t>DISPOSIZIONI FINALI</w:t>
            </w:r>
          </w:p>
          <w:p w14:paraId="2B0542E1" w14:textId="77777777" w:rsidR="00702F21" w:rsidRPr="00B152BF" w:rsidRDefault="00702F21" w:rsidP="008B559D">
            <w:pPr>
              <w:jc w:val="center"/>
              <w:rPr>
                <w:rFonts w:eastAsia="Times New Roman"/>
                <w:lang w:val="it-IT"/>
              </w:rPr>
            </w:pPr>
          </w:p>
        </w:tc>
      </w:tr>
      <w:tr w:rsidR="00702F21" w:rsidRPr="00BE38E8" w14:paraId="5EF6A8B8" w14:textId="77777777" w:rsidTr="008B559D">
        <w:tc>
          <w:tcPr>
            <w:tcW w:w="4814" w:type="dxa"/>
          </w:tcPr>
          <w:p w14:paraId="4A9CA7E1" w14:textId="77777777" w:rsidR="00702F21" w:rsidRPr="00B00EA3" w:rsidRDefault="00702F21" w:rsidP="008B559D">
            <w:pPr>
              <w:tabs>
                <w:tab w:val="left" w:pos="3413"/>
              </w:tabs>
              <w:jc w:val="center"/>
              <w:rPr>
                <w:i/>
                <w:iCs/>
                <w:lang w:val="it-IT"/>
              </w:rPr>
            </w:pPr>
            <w:r w:rsidRPr="00B00EA3">
              <w:rPr>
                <w:i/>
                <w:iCs/>
                <w:lang w:val="it-IT"/>
              </w:rPr>
              <w:t xml:space="preserve">Articolo 25 </w:t>
            </w:r>
          </w:p>
          <w:p w14:paraId="76E1360E" w14:textId="77777777" w:rsidR="00702F21" w:rsidRDefault="00702F21" w:rsidP="008B559D">
            <w:pPr>
              <w:tabs>
                <w:tab w:val="left" w:pos="3413"/>
              </w:tabs>
              <w:jc w:val="center"/>
              <w:rPr>
                <w:b/>
                <w:bCs/>
                <w:lang w:val="it-IT"/>
              </w:rPr>
            </w:pPr>
            <w:r w:rsidRPr="00B00EA3">
              <w:rPr>
                <w:b/>
                <w:bCs/>
                <w:lang w:val="it-IT"/>
              </w:rPr>
              <w:t>Trattamento più favorevole e clausola di non regressione</w:t>
            </w:r>
          </w:p>
          <w:p w14:paraId="38E3B6B1" w14:textId="77777777" w:rsidR="00702F21" w:rsidRPr="00B00EA3" w:rsidRDefault="00702F21" w:rsidP="008B559D">
            <w:pPr>
              <w:tabs>
                <w:tab w:val="left" w:pos="3413"/>
              </w:tabs>
              <w:jc w:val="center"/>
              <w:rPr>
                <w:b/>
                <w:bCs/>
                <w:lang w:val="it-IT"/>
              </w:rPr>
            </w:pPr>
          </w:p>
        </w:tc>
        <w:tc>
          <w:tcPr>
            <w:tcW w:w="5050" w:type="dxa"/>
          </w:tcPr>
          <w:p w14:paraId="12E464AB" w14:textId="77777777" w:rsidR="00702F21" w:rsidRPr="00E5024D" w:rsidRDefault="00702F21" w:rsidP="008B559D">
            <w:pPr>
              <w:jc w:val="center"/>
              <w:rPr>
                <w:rFonts w:eastAsia="Times New Roman"/>
                <w:b/>
                <w:bCs/>
                <w:lang w:val="it-IT"/>
              </w:rPr>
            </w:pPr>
          </w:p>
        </w:tc>
      </w:tr>
      <w:tr w:rsidR="00702F21" w:rsidRPr="00BE38E8" w14:paraId="602E5037" w14:textId="77777777" w:rsidTr="008B559D">
        <w:tc>
          <w:tcPr>
            <w:tcW w:w="4814" w:type="dxa"/>
          </w:tcPr>
          <w:p w14:paraId="37B38851" w14:textId="77777777" w:rsidR="00702F21" w:rsidRDefault="00702F21" w:rsidP="008B559D">
            <w:pPr>
              <w:tabs>
                <w:tab w:val="left" w:pos="3413"/>
              </w:tabs>
              <w:jc w:val="both"/>
              <w:rPr>
                <w:lang w:val="it-IT"/>
              </w:rPr>
            </w:pPr>
            <w:r w:rsidRPr="00472144">
              <w:rPr>
                <w:lang w:val="it-IT"/>
              </w:rPr>
              <w:t>1. Gli Stati membri possono introdurre o mantenere disposizioni più favorevoli ai diritti delle persone segnalanti di quelle previste dalla presente direttiva, fatti salvi l’articolo 22 e l’articolo 23, paragrafo 2.</w:t>
            </w:r>
          </w:p>
          <w:p w14:paraId="7D814D5C" w14:textId="77777777" w:rsidR="00702F21" w:rsidRPr="00472144" w:rsidRDefault="00702F21" w:rsidP="008B559D">
            <w:pPr>
              <w:tabs>
                <w:tab w:val="left" w:pos="3413"/>
              </w:tabs>
              <w:jc w:val="both"/>
              <w:rPr>
                <w:i/>
                <w:iCs/>
                <w:lang w:val="it-IT"/>
              </w:rPr>
            </w:pPr>
          </w:p>
        </w:tc>
        <w:tc>
          <w:tcPr>
            <w:tcW w:w="5050" w:type="dxa"/>
          </w:tcPr>
          <w:p w14:paraId="6481BCA1" w14:textId="77777777" w:rsidR="00702F21" w:rsidRPr="00B152BF" w:rsidRDefault="00702F21" w:rsidP="008B559D">
            <w:pPr>
              <w:jc w:val="both"/>
              <w:rPr>
                <w:rFonts w:eastAsia="Times New Roman"/>
                <w:lang w:val="it-IT"/>
              </w:rPr>
            </w:pPr>
          </w:p>
        </w:tc>
      </w:tr>
      <w:tr w:rsidR="00702F21" w:rsidRPr="00BE38E8" w14:paraId="03D971EF" w14:textId="77777777" w:rsidTr="008B559D">
        <w:tc>
          <w:tcPr>
            <w:tcW w:w="4814" w:type="dxa"/>
          </w:tcPr>
          <w:p w14:paraId="6BC8451D" w14:textId="77777777" w:rsidR="00702F21" w:rsidRDefault="00702F21" w:rsidP="008B559D">
            <w:pPr>
              <w:tabs>
                <w:tab w:val="left" w:pos="3413"/>
              </w:tabs>
              <w:jc w:val="both"/>
              <w:rPr>
                <w:lang w:val="it-IT"/>
              </w:rPr>
            </w:pPr>
            <w:r w:rsidRPr="00D624B2">
              <w:rPr>
                <w:lang w:val="it-IT"/>
              </w:rPr>
              <w:t>2. L’attuazione della presente direttiva non può in alcun caso costituire motivo di riduzione del livello di protezione già offerto dagli Stati membri nei settori cui si applica la presente direttiva</w:t>
            </w:r>
            <w:r>
              <w:rPr>
                <w:lang w:val="it-IT"/>
              </w:rPr>
              <w:t>.</w:t>
            </w:r>
          </w:p>
          <w:p w14:paraId="7D106264" w14:textId="77777777" w:rsidR="00702F21" w:rsidRPr="00D624B2" w:rsidRDefault="00702F21" w:rsidP="008B559D">
            <w:pPr>
              <w:tabs>
                <w:tab w:val="left" w:pos="3413"/>
              </w:tabs>
              <w:jc w:val="both"/>
              <w:rPr>
                <w:i/>
                <w:iCs/>
                <w:lang w:val="it-IT"/>
              </w:rPr>
            </w:pPr>
          </w:p>
        </w:tc>
        <w:tc>
          <w:tcPr>
            <w:tcW w:w="5050" w:type="dxa"/>
          </w:tcPr>
          <w:p w14:paraId="789B9614" w14:textId="77777777" w:rsidR="00702F21" w:rsidRPr="00B152BF" w:rsidRDefault="00702F21" w:rsidP="008B559D">
            <w:pPr>
              <w:jc w:val="both"/>
              <w:rPr>
                <w:rFonts w:eastAsia="Times New Roman"/>
                <w:lang w:val="it-IT"/>
              </w:rPr>
            </w:pPr>
          </w:p>
        </w:tc>
      </w:tr>
      <w:tr w:rsidR="00702F21" w:rsidRPr="00E92B0C" w14:paraId="4F447429" w14:textId="77777777" w:rsidTr="008B559D">
        <w:tc>
          <w:tcPr>
            <w:tcW w:w="4814" w:type="dxa"/>
          </w:tcPr>
          <w:p w14:paraId="47F48A42" w14:textId="77777777" w:rsidR="00702F21" w:rsidRPr="00445AAC" w:rsidRDefault="00702F21" w:rsidP="008B559D">
            <w:pPr>
              <w:tabs>
                <w:tab w:val="left" w:pos="3413"/>
              </w:tabs>
              <w:jc w:val="center"/>
              <w:rPr>
                <w:i/>
                <w:iCs/>
                <w:lang w:val="it-IT"/>
              </w:rPr>
            </w:pPr>
            <w:r w:rsidRPr="00445AAC">
              <w:rPr>
                <w:i/>
                <w:iCs/>
                <w:lang w:val="it-IT"/>
              </w:rPr>
              <w:t>Articolo 26</w:t>
            </w:r>
          </w:p>
          <w:p w14:paraId="0B68D4CE" w14:textId="77777777" w:rsidR="00702F21" w:rsidRDefault="00702F21" w:rsidP="008B559D">
            <w:pPr>
              <w:tabs>
                <w:tab w:val="left" w:pos="3413"/>
              </w:tabs>
              <w:jc w:val="center"/>
              <w:rPr>
                <w:b/>
                <w:bCs/>
                <w:lang w:val="it-IT"/>
              </w:rPr>
            </w:pPr>
            <w:r w:rsidRPr="00445AAC">
              <w:rPr>
                <w:b/>
                <w:bCs/>
                <w:lang w:val="it-IT"/>
              </w:rPr>
              <w:t>Recepimento e periodo transitorio</w:t>
            </w:r>
          </w:p>
          <w:p w14:paraId="4FB8999C" w14:textId="77777777" w:rsidR="00702F21" w:rsidRPr="00445AAC" w:rsidRDefault="00702F21" w:rsidP="008B559D">
            <w:pPr>
              <w:tabs>
                <w:tab w:val="left" w:pos="3413"/>
              </w:tabs>
              <w:jc w:val="center"/>
              <w:rPr>
                <w:b/>
                <w:bCs/>
                <w:lang w:val="it-IT"/>
              </w:rPr>
            </w:pPr>
          </w:p>
        </w:tc>
        <w:tc>
          <w:tcPr>
            <w:tcW w:w="5050" w:type="dxa"/>
          </w:tcPr>
          <w:p w14:paraId="77E9C70A" w14:textId="77777777" w:rsidR="00702F21" w:rsidRDefault="00702F21" w:rsidP="008B559D">
            <w:pPr>
              <w:jc w:val="center"/>
              <w:rPr>
                <w:rFonts w:eastAsia="Times New Roman"/>
                <w:i/>
                <w:iCs/>
                <w:lang w:val="it-IT"/>
              </w:rPr>
            </w:pPr>
            <w:r>
              <w:rPr>
                <w:rFonts w:eastAsia="Times New Roman"/>
                <w:i/>
                <w:iCs/>
                <w:lang w:val="it-IT"/>
              </w:rPr>
              <w:t>Articolo 23</w:t>
            </w:r>
          </w:p>
          <w:p w14:paraId="5E85D4E0" w14:textId="77777777" w:rsidR="00702F21" w:rsidRPr="00B152BF" w:rsidRDefault="00702F21" w:rsidP="008B559D">
            <w:pPr>
              <w:jc w:val="center"/>
              <w:rPr>
                <w:rFonts w:eastAsia="Times New Roman"/>
                <w:lang w:val="it-IT"/>
              </w:rPr>
            </w:pPr>
            <w:r>
              <w:rPr>
                <w:rFonts w:eastAsia="Times New Roman"/>
                <w:b/>
                <w:bCs/>
                <w:lang w:val="it-IT"/>
              </w:rPr>
              <w:t>Abrogazione di norme</w:t>
            </w:r>
          </w:p>
        </w:tc>
      </w:tr>
      <w:tr w:rsidR="00702F21" w:rsidRPr="00BE38E8" w14:paraId="2449ACE0" w14:textId="77777777" w:rsidTr="008B559D">
        <w:tc>
          <w:tcPr>
            <w:tcW w:w="4814" w:type="dxa"/>
          </w:tcPr>
          <w:p w14:paraId="10291A1F" w14:textId="77777777" w:rsidR="00702F21" w:rsidRDefault="00702F21" w:rsidP="008B559D">
            <w:pPr>
              <w:tabs>
                <w:tab w:val="left" w:pos="3413"/>
              </w:tabs>
              <w:jc w:val="both"/>
              <w:rPr>
                <w:lang w:val="it-IT"/>
              </w:rPr>
            </w:pPr>
            <w:r w:rsidRPr="009E284B">
              <w:rPr>
                <w:lang w:val="it-IT"/>
              </w:rPr>
              <w:t>1. Gli Stati membri mettono in vigore le disposizioni legislative, regolamentari e amministrative necessarie per conformarsi alla presente direttiva entro il 17 dicembre 2021.</w:t>
            </w:r>
          </w:p>
          <w:p w14:paraId="13DBC6D8" w14:textId="77777777" w:rsidR="00702F21" w:rsidRDefault="00702F21" w:rsidP="008B559D">
            <w:pPr>
              <w:tabs>
                <w:tab w:val="left" w:pos="3413"/>
              </w:tabs>
              <w:jc w:val="both"/>
              <w:rPr>
                <w:lang w:val="it-IT"/>
              </w:rPr>
            </w:pPr>
            <w:r w:rsidRPr="009E284B">
              <w:rPr>
                <w:lang w:val="it-IT"/>
              </w:rPr>
              <w:t>2. In deroga al paragrafo 1, per quanto riguarda i soggetti giuridici del settore privato con più di 50 e meno di 250 lavoratori, gli Stati membri mettono in vigore le disposizioni legislative, regolamentari e amministrative necessarie per conformarsi all’obbligo di stabilire un canale di segnalazione interno ai sensi dell’articolo 8, paragrafo 3 entro il 17 dicembre 2023.</w:t>
            </w:r>
          </w:p>
          <w:p w14:paraId="71680D0E" w14:textId="77777777" w:rsidR="00702F21" w:rsidRDefault="00702F21" w:rsidP="008B559D">
            <w:pPr>
              <w:tabs>
                <w:tab w:val="left" w:pos="3413"/>
              </w:tabs>
              <w:jc w:val="both"/>
              <w:rPr>
                <w:lang w:val="it-IT"/>
              </w:rPr>
            </w:pPr>
            <w:r w:rsidRPr="00445AAC">
              <w:rPr>
                <w:lang w:val="it-IT"/>
              </w:rPr>
              <w:t>3. Le disposizioni adottate dagli Stati membri di cui ai paragrafi 1 e 2 contengono un riferimento alla presente direttiva o sono corredate di tale riferimento all’atto della pubblicazione ufficiale. Le modalità del riferimento sono stabilite dagli Stati membri. Essi ne informano immediatamente la Commissione</w:t>
            </w:r>
            <w:r>
              <w:rPr>
                <w:lang w:val="it-IT"/>
              </w:rPr>
              <w:t>.</w:t>
            </w:r>
          </w:p>
          <w:p w14:paraId="3FC9C1F4" w14:textId="77777777" w:rsidR="00702F21" w:rsidRPr="009E284B" w:rsidRDefault="00702F21" w:rsidP="008B559D">
            <w:pPr>
              <w:tabs>
                <w:tab w:val="left" w:pos="3413"/>
              </w:tabs>
              <w:jc w:val="both"/>
              <w:rPr>
                <w:lang w:val="it-IT"/>
              </w:rPr>
            </w:pPr>
          </w:p>
        </w:tc>
        <w:tc>
          <w:tcPr>
            <w:tcW w:w="5050" w:type="dxa"/>
          </w:tcPr>
          <w:p w14:paraId="3A228ED3" w14:textId="0B1E8DE1" w:rsidR="00702F21" w:rsidRDefault="00702F21" w:rsidP="008B559D">
            <w:pPr>
              <w:spacing w:beforeLines="120" w:before="288" w:afterLines="120" w:after="288"/>
              <w:jc w:val="both"/>
              <w:rPr>
                <w:rFonts w:eastAsia="Times New Roman"/>
                <w:color w:val="000000" w:themeColor="text1"/>
                <w:lang w:val="it-IT"/>
              </w:rPr>
            </w:pPr>
            <w:r>
              <w:rPr>
                <w:rFonts w:eastAsia="Times New Roman"/>
                <w:color w:val="000000" w:themeColor="text1"/>
                <w:lang w:val="it-IT"/>
              </w:rPr>
              <w:t>Ar</w:t>
            </w:r>
            <w:r w:rsidR="00B20F0B">
              <w:rPr>
                <w:rFonts w:eastAsia="Times New Roman"/>
                <w:color w:val="000000" w:themeColor="text1"/>
                <w:lang w:val="it-IT"/>
              </w:rPr>
              <w:t>t</w:t>
            </w:r>
            <w:r>
              <w:rPr>
                <w:rFonts w:eastAsia="Times New Roman"/>
                <w:color w:val="000000" w:themeColor="text1"/>
                <w:lang w:val="it-IT"/>
              </w:rPr>
              <w:t>t. 23</w:t>
            </w:r>
            <w:r w:rsidR="00835860">
              <w:rPr>
                <w:rFonts w:eastAsia="Times New Roman"/>
                <w:color w:val="000000" w:themeColor="text1"/>
                <w:lang w:val="it-IT"/>
              </w:rPr>
              <w:t xml:space="preserve"> e 24</w:t>
            </w:r>
          </w:p>
          <w:p w14:paraId="5ACDFEAE" w14:textId="77777777" w:rsidR="00702F21" w:rsidRDefault="00702F21" w:rsidP="008B559D">
            <w:pPr>
              <w:spacing w:beforeLines="120" w:before="288" w:afterLines="120" w:after="288"/>
              <w:jc w:val="both"/>
              <w:rPr>
                <w:rFonts w:eastAsia="Times New Roman"/>
                <w:color w:val="000000" w:themeColor="text1"/>
                <w:lang w:val="it-IT"/>
              </w:rPr>
            </w:pPr>
          </w:p>
          <w:p w14:paraId="1F900734" w14:textId="77777777" w:rsidR="00702F21" w:rsidRDefault="00702F21" w:rsidP="008B559D">
            <w:pPr>
              <w:spacing w:beforeLines="120" w:before="288" w:afterLines="120" w:after="288"/>
              <w:jc w:val="both"/>
              <w:rPr>
                <w:rFonts w:eastAsia="Times New Roman"/>
                <w:color w:val="000000" w:themeColor="text1"/>
                <w:lang w:val="it-IT"/>
              </w:rPr>
            </w:pPr>
            <w:r>
              <w:rPr>
                <w:rFonts w:eastAsia="Times New Roman"/>
                <w:color w:val="000000" w:themeColor="text1"/>
                <w:lang w:val="it-IT"/>
              </w:rPr>
              <w:t>v. art. 24.</w:t>
            </w:r>
          </w:p>
          <w:p w14:paraId="09B0A985" w14:textId="77777777" w:rsidR="00C73D0C" w:rsidRDefault="00C73D0C" w:rsidP="008B559D">
            <w:pPr>
              <w:spacing w:beforeLines="120" w:before="288" w:afterLines="120" w:after="288"/>
              <w:jc w:val="both"/>
              <w:rPr>
                <w:rFonts w:eastAsia="Times New Roman"/>
                <w:color w:val="000000" w:themeColor="text1"/>
                <w:lang w:val="it-IT"/>
              </w:rPr>
            </w:pPr>
          </w:p>
          <w:p w14:paraId="0BFE0637" w14:textId="77777777" w:rsidR="00C73D0C" w:rsidRDefault="00C73D0C" w:rsidP="008B559D">
            <w:pPr>
              <w:spacing w:beforeLines="120" w:before="288" w:afterLines="120" w:after="288"/>
              <w:jc w:val="both"/>
              <w:rPr>
                <w:rFonts w:eastAsia="Times New Roman"/>
                <w:color w:val="000000" w:themeColor="text1"/>
                <w:lang w:val="it-IT"/>
              </w:rPr>
            </w:pPr>
          </w:p>
          <w:p w14:paraId="5A79E6BF" w14:textId="77777777" w:rsidR="00C73D0C" w:rsidRDefault="00C73D0C" w:rsidP="008B559D">
            <w:pPr>
              <w:spacing w:beforeLines="120" w:before="288" w:afterLines="120" w:after="288"/>
              <w:jc w:val="both"/>
              <w:rPr>
                <w:rFonts w:eastAsia="Times New Roman"/>
                <w:color w:val="000000" w:themeColor="text1"/>
                <w:lang w:val="it-IT"/>
              </w:rPr>
            </w:pPr>
          </w:p>
          <w:p w14:paraId="67EC4BEA" w14:textId="77777777" w:rsidR="00C73D0C" w:rsidRDefault="00C73D0C" w:rsidP="008B559D">
            <w:pPr>
              <w:spacing w:beforeLines="120" w:before="288" w:afterLines="120" w:after="288"/>
              <w:jc w:val="both"/>
              <w:rPr>
                <w:rFonts w:eastAsia="Times New Roman"/>
                <w:color w:val="000000" w:themeColor="text1"/>
                <w:lang w:val="it-IT"/>
              </w:rPr>
            </w:pPr>
          </w:p>
          <w:p w14:paraId="2BB044BC" w14:textId="45DE67E8" w:rsidR="00C73D0C" w:rsidRPr="00B152BF" w:rsidRDefault="00DA403F" w:rsidP="008B559D">
            <w:pPr>
              <w:spacing w:beforeLines="120" w:before="288" w:afterLines="120" w:after="288"/>
              <w:jc w:val="both"/>
              <w:rPr>
                <w:rFonts w:eastAsia="Times New Roman"/>
                <w:lang w:val="it-IT"/>
              </w:rPr>
            </w:pPr>
            <w:r>
              <w:rPr>
                <w:rFonts w:eastAsia="Times New Roman"/>
                <w:color w:val="000000" w:themeColor="text1"/>
                <w:lang w:val="it-IT"/>
              </w:rPr>
              <w:t>v. epigrafe</w:t>
            </w:r>
          </w:p>
        </w:tc>
      </w:tr>
      <w:tr w:rsidR="00702F21" w:rsidRPr="00BE38E8" w14:paraId="731471F5" w14:textId="77777777" w:rsidTr="008B559D">
        <w:tc>
          <w:tcPr>
            <w:tcW w:w="4814" w:type="dxa"/>
          </w:tcPr>
          <w:p w14:paraId="3979D947" w14:textId="77777777" w:rsidR="00702F21" w:rsidRPr="009E284B" w:rsidRDefault="00702F21" w:rsidP="008B559D">
            <w:pPr>
              <w:tabs>
                <w:tab w:val="left" w:pos="3413"/>
              </w:tabs>
              <w:jc w:val="both"/>
              <w:rPr>
                <w:lang w:val="it-IT"/>
              </w:rPr>
            </w:pPr>
          </w:p>
        </w:tc>
        <w:tc>
          <w:tcPr>
            <w:tcW w:w="5050" w:type="dxa"/>
          </w:tcPr>
          <w:p w14:paraId="129152B6" w14:textId="77777777" w:rsidR="00702F21" w:rsidRPr="00A86159" w:rsidRDefault="00702F21" w:rsidP="008B559D">
            <w:pPr>
              <w:pStyle w:val="Paragrafoelenco"/>
              <w:spacing w:beforeLines="120" w:before="288" w:afterLines="120" w:after="288"/>
              <w:jc w:val="center"/>
              <w:rPr>
                <w:rFonts w:eastAsia="Times New Roman"/>
                <w:i/>
                <w:iCs/>
                <w:color w:val="000000" w:themeColor="text1"/>
                <w:lang w:val="it-IT"/>
              </w:rPr>
            </w:pPr>
            <w:r w:rsidRPr="00A86159">
              <w:rPr>
                <w:rFonts w:eastAsia="Times New Roman"/>
                <w:i/>
                <w:iCs/>
                <w:color w:val="000000" w:themeColor="text1"/>
                <w:lang w:val="it-IT"/>
              </w:rPr>
              <w:t>Articolo 24</w:t>
            </w:r>
          </w:p>
          <w:p w14:paraId="6C1EC264" w14:textId="77777777" w:rsidR="00702F21" w:rsidRPr="00A86159" w:rsidRDefault="00702F21" w:rsidP="008B559D">
            <w:pPr>
              <w:pStyle w:val="Paragrafoelenco"/>
              <w:spacing w:beforeLines="120" w:before="288" w:afterLines="120" w:after="288"/>
              <w:jc w:val="center"/>
              <w:rPr>
                <w:rFonts w:eastAsia="Times New Roman"/>
                <w:b/>
                <w:bCs/>
                <w:color w:val="000000" w:themeColor="text1"/>
                <w:lang w:val="it-IT"/>
              </w:rPr>
            </w:pPr>
            <w:r w:rsidRPr="00A86159">
              <w:rPr>
                <w:rFonts w:eastAsia="Times New Roman"/>
                <w:b/>
                <w:bCs/>
                <w:color w:val="000000" w:themeColor="text1"/>
                <w:lang w:val="it-IT"/>
              </w:rPr>
              <w:t>Disposizioni transitorie e di coordinamento</w:t>
            </w:r>
          </w:p>
        </w:tc>
      </w:tr>
      <w:tr w:rsidR="00702F21" w:rsidRPr="00BE38E8" w14:paraId="37A6639E" w14:textId="77777777" w:rsidTr="008B559D">
        <w:tc>
          <w:tcPr>
            <w:tcW w:w="4814" w:type="dxa"/>
          </w:tcPr>
          <w:p w14:paraId="7264B91D" w14:textId="77777777" w:rsidR="00702F21" w:rsidRPr="009E284B" w:rsidRDefault="00702F21" w:rsidP="008B559D">
            <w:pPr>
              <w:tabs>
                <w:tab w:val="left" w:pos="3413"/>
              </w:tabs>
              <w:jc w:val="both"/>
              <w:rPr>
                <w:lang w:val="it-IT"/>
              </w:rPr>
            </w:pPr>
          </w:p>
        </w:tc>
        <w:tc>
          <w:tcPr>
            <w:tcW w:w="5050" w:type="dxa"/>
          </w:tcPr>
          <w:p w14:paraId="1D1E8A25" w14:textId="77777777" w:rsidR="00702F21" w:rsidRPr="0013072F" w:rsidRDefault="00702F21" w:rsidP="008B559D">
            <w:pPr>
              <w:jc w:val="both"/>
              <w:rPr>
                <w:rFonts w:eastAsia="Times New Roman"/>
                <w:color w:val="000000" w:themeColor="text1"/>
                <w:lang w:val="it-IT"/>
              </w:rPr>
            </w:pPr>
          </w:p>
        </w:tc>
      </w:tr>
      <w:tr w:rsidR="00702F21" w:rsidRPr="00BE38E8" w14:paraId="09A644D7" w14:textId="77777777" w:rsidTr="008B559D">
        <w:tc>
          <w:tcPr>
            <w:tcW w:w="4814" w:type="dxa"/>
          </w:tcPr>
          <w:p w14:paraId="05486464" w14:textId="77777777" w:rsidR="00702F21" w:rsidRPr="009E284B" w:rsidRDefault="00702F21" w:rsidP="008B559D">
            <w:pPr>
              <w:tabs>
                <w:tab w:val="left" w:pos="3413"/>
              </w:tabs>
              <w:jc w:val="both"/>
              <w:rPr>
                <w:lang w:val="it-IT"/>
              </w:rPr>
            </w:pPr>
          </w:p>
        </w:tc>
        <w:tc>
          <w:tcPr>
            <w:tcW w:w="5050" w:type="dxa"/>
          </w:tcPr>
          <w:p w14:paraId="45400873" w14:textId="77777777" w:rsidR="00702F21" w:rsidRPr="00A86159" w:rsidRDefault="00702F21" w:rsidP="008B559D">
            <w:pPr>
              <w:spacing w:beforeLines="24" w:before="57" w:afterLines="24" w:after="57"/>
              <w:ind w:left="340"/>
              <w:jc w:val="both"/>
              <w:rPr>
                <w:rFonts w:eastAsia="Times New Roman"/>
                <w:color w:val="000000" w:themeColor="text1"/>
                <w:lang w:val="it-IT"/>
              </w:rPr>
            </w:pPr>
          </w:p>
          <w:p w14:paraId="4490FF7D" w14:textId="77777777" w:rsidR="00702F21" w:rsidRPr="00B152BF" w:rsidRDefault="00702F21" w:rsidP="008B559D">
            <w:pPr>
              <w:jc w:val="both"/>
              <w:rPr>
                <w:rFonts w:eastAsia="Times New Roman"/>
                <w:lang w:val="it-IT"/>
              </w:rPr>
            </w:pPr>
          </w:p>
        </w:tc>
      </w:tr>
      <w:tr w:rsidR="00702F21" w:rsidRPr="00BE38E8" w14:paraId="6932F6EA" w14:textId="77777777" w:rsidTr="008B559D">
        <w:tc>
          <w:tcPr>
            <w:tcW w:w="4814" w:type="dxa"/>
          </w:tcPr>
          <w:p w14:paraId="4AABAB32" w14:textId="77777777" w:rsidR="00702F21" w:rsidRPr="00445AAC" w:rsidRDefault="00702F21" w:rsidP="008B559D">
            <w:pPr>
              <w:tabs>
                <w:tab w:val="left" w:pos="3413"/>
              </w:tabs>
              <w:jc w:val="both"/>
              <w:rPr>
                <w:lang w:val="it-IT"/>
              </w:rPr>
            </w:pPr>
          </w:p>
        </w:tc>
        <w:tc>
          <w:tcPr>
            <w:tcW w:w="5050" w:type="dxa"/>
          </w:tcPr>
          <w:p w14:paraId="36D374C2" w14:textId="77777777" w:rsidR="00702F21" w:rsidRPr="00B152BF" w:rsidRDefault="00702F21" w:rsidP="008B559D">
            <w:pPr>
              <w:jc w:val="both"/>
              <w:rPr>
                <w:rFonts w:eastAsia="Times New Roman"/>
                <w:lang w:val="it-IT"/>
              </w:rPr>
            </w:pPr>
          </w:p>
        </w:tc>
      </w:tr>
      <w:tr w:rsidR="00702F21" w:rsidRPr="00E92B0C" w14:paraId="0A40F2B7" w14:textId="77777777" w:rsidTr="008B559D">
        <w:tc>
          <w:tcPr>
            <w:tcW w:w="4814" w:type="dxa"/>
          </w:tcPr>
          <w:p w14:paraId="633750F0" w14:textId="77777777" w:rsidR="00702F21" w:rsidRPr="001856B1" w:rsidRDefault="00702F21" w:rsidP="008B559D">
            <w:pPr>
              <w:tabs>
                <w:tab w:val="left" w:pos="3413"/>
              </w:tabs>
              <w:jc w:val="center"/>
              <w:rPr>
                <w:i/>
                <w:iCs/>
                <w:lang w:val="it-IT"/>
              </w:rPr>
            </w:pPr>
            <w:r w:rsidRPr="001856B1">
              <w:rPr>
                <w:i/>
                <w:iCs/>
                <w:lang w:val="it-IT"/>
              </w:rPr>
              <w:t>Articolo 27</w:t>
            </w:r>
          </w:p>
          <w:p w14:paraId="5C28F089" w14:textId="77777777" w:rsidR="00702F21" w:rsidRDefault="00702F21" w:rsidP="008B559D">
            <w:pPr>
              <w:tabs>
                <w:tab w:val="left" w:pos="3413"/>
              </w:tabs>
              <w:jc w:val="center"/>
              <w:rPr>
                <w:b/>
                <w:bCs/>
                <w:lang w:val="it-IT"/>
              </w:rPr>
            </w:pPr>
            <w:r w:rsidRPr="001856B1">
              <w:rPr>
                <w:b/>
                <w:bCs/>
                <w:lang w:val="it-IT"/>
              </w:rPr>
              <w:t>Relazioni, valutazione e revisione</w:t>
            </w:r>
          </w:p>
          <w:p w14:paraId="29A0A072" w14:textId="77777777" w:rsidR="00702F21" w:rsidRPr="001856B1" w:rsidRDefault="00702F21" w:rsidP="008B559D">
            <w:pPr>
              <w:tabs>
                <w:tab w:val="left" w:pos="3413"/>
              </w:tabs>
              <w:jc w:val="center"/>
              <w:rPr>
                <w:b/>
                <w:bCs/>
                <w:lang w:val="it-IT"/>
              </w:rPr>
            </w:pPr>
          </w:p>
        </w:tc>
        <w:tc>
          <w:tcPr>
            <w:tcW w:w="5050" w:type="dxa"/>
          </w:tcPr>
          <w:p w14:paraId="123805BE" w14:textId="77777777" w:rsidR="00702F21" w:rsidRPr="00B152BF" w:rsidRDefault="00702F21" w:rsidP="008B559D">
            <w:pPr>
              <w:jc w:val="both"/>
              <w:rPr>
                <w:rFonts w:eastAsia="Times New Roman"/>
                <w:lang w:val="it-IT"/>
              </w:rPr>
            </w:pPr>
          </w:p>
        </w:tc>
      </w:tr>
      <w:tr w:rsidR="00702F21" w:rsidRPr="00AF6525" w14:paraId="5AEB7F02" w14:textId="77777777" w:rsidTr="008B559D">
        <w:tc>
          <w:tcPr>
            <w:tcW w:w="4814" w:type="dxa"/>
          </w:tcPr>
          <w:p w14:paraId="78ABFBCB" w14:textId="77777777" w:rsidR="00702F21" w:rsidRDefault="00702F21" w:rsidP="008B559D">
            <w:pPr>
              <w:tabs>
                <w:tab w:val="left" w:pos="3413"/>
              </w:tabs>
              <w:jc w:val="both"/>
              <w:rPr>
                <w:lang w:val="it-IT"/>
              </w:rPr>
            </w:pPr>
            <w:r w:rsidRPr="002C766C">
              <w:rPr>
                <w:lang w:val="it-IT"/>
              </w:rPr>
              <w:t>1. Gli Stati membri comunicano alla Commissione tutte le informazioni pertinenti relative all’attuazione e all’applicazione della presente direttiva. Sulla base delle informazioni fornite, la Commissione presenta al Parlamento europeo e al Consiglio una relazione sull’attuazione e l’applicazione della presente direttiva entro il 17 dicembre 2023.</w:t>
            </w:r>
          </w:p>
          <w:p w14:paraId="78E7861D" w14:textId="77777777" w:rsidR="00702F21" w:rsidRPr="002C766C" w:rsidRDefault="00702F21" w:rsidP="008B559D">
            <w:pPr>
              <w:tabs>
                <w:tab w:val="left" w:pos="3413"/>
              </w:tabs>
              <w:jc w:val="both"/>
              <w:rPr>
                <w:lang w:val="it-IT"/>
              </w:rPr>
            </w:pPr>
          </w:p>
        </w:tc>
        <w:tc>
          <w:tcPr>
            <w:tcW w:w="5050" w:type="dxa"/>
          </w:tcPr>
          <w:p w14:paraId="651111FA" w14:textId="77777777" w:rsidR="00702F21" w:rsidRPr="00B152BF" w:rsidRDefault="00702F21" w:rsidP="008B559D">
            <w:pPr>
              <w:jc w:val="both"/>
              <w:rPr>
                <w:rFonts w:eastAsia="Times New Roman"/>
                <w:lang w:val="it-IT"/>
              </w:rPr>
            </w:pPr>
            <w:r>
              <w:rPr>
                <w:rFonts w:eastAsia="Times New Roman"/>
                <w:lang w:val="it-IT"/>
              </w:rPr>
              <w:t>Art. 24, comma 1</w:t>
            </w:r>
          </w:p>
        </w:tc>
      </w:tr>
      <w:tr w:rsidR="00702F21" w:rsidRPr="00A92D55" w14:paraId="7314094F" w14:textId="77777777" w:rsidTr="008B559D">
        <w:tc>
          <w:tcPr>
            <w:tcW w:w="4814" w:type="dxa"/>
          </w:tcPr>
          <w:p w14:paraId="17744BBE" w14:textId="77777777" w:rsidR="00702F21" w:rsidRDefault="00702F21" w:rsidP="008B559D">
            <w:pPr>
              <w:tabs>
                <w:tab w:val="left" w:pos="3413"/>
              </w:tabs>
              <w:jc w:val="both"/>
              <w:rPr>
                <w:lang w:val="it-IT"/>
              </w:rPr>
            </w:pPr>
            <w:r w:rsidRPr="002C766C">
              <w:rPr>
                <w:lang w:val="it-IT"/>
              </w:rPr>
              <w:t>2. Fatti salvi gli obblighi di relazione previsti da altri atti giuridici dell’Unione, gli Stati membri trasmettono su base annuale alla Commissione le seguenti statistiche relative alle segnalazioni di cui al capo III, preferibilmente in forma aggregata, se disponibili a livello centrale nello Stato membro interessato: a) numero di segnalazioni ricevute dalle autorità competenti; b) numero di indagini e procedimenti avviati a seguito di tali segnalazioni e relativo esito; e c) se accertati, i danni finanziari stimati e gli importi recuperati a seguito di indagini e procedimenti legati alle violazioni segnalate.</w:t>
            </w:r>
          </w:p>
          <w:p w14:paraId="638A6D98" w14:textId="77777777" w:rsidR="00702F21" w:rsidRPr="002C766C" w:rsidRDefault="00702F21" w:rsidP="008B559D">
            <w:pPr>
              <w:tabs>
                <w:tab w:val="left" w:pos="3413"/>
              </w:tabs>
              <w:jc w:val="both"/>
              <w:rPr>
                <w:lang w:val="it-IT"/>
              </w:rPr>
            </w:pPr>
          </w:p>
        </w:tc>
        <w:tc>
          <w:tcPr>
            <w:tcW w:w="5050" w:type="dxa"/>
          </w:tcPr>
          <w:p w14:paraId="509B5B8D" w14:textId="77777777" w:rsidR="00702F21" w:rsidRPr="00A92D55" w:rsidRDefault="00702F21" w:rsidP="008B559D">
            <w:pPr>
              <w:jc w:val="both"/>
              <w:rPr>
                <w:rFonts w:eastAsia="Times New Roman"/>
              </w:rPr>
            </w:pPr>
            <w:proofErr w:type="gramStart"/>
            <w:r w:rsidRPr="00A92D55">
              <w:rPr>
                <w:rFonts w:eastAsia="Times New Roman"/>
              </w:rPr>
              <w:t>v</w:t>
            </w:r>
            <w:proofErr w:type="gramEnd"/>
            <w:r w:rsidRPr="00A92D55">
              <w:rPr>
                <w:rFonts w:eastAsia="Times New Roman"/>
              </w:rPr>
              <w:t xml:space="preserve">. art. 8, comma </w:t>
            </w:r>
            <w:r>
              <w:rPr>
                <w:rFonts w:eastAsia="Times New Roman"/>
              </w:rPr>
              <w:t>3</w:t>
            </w:r>
            <w:r w:rsidRPr="00A92D55">
              <w:rPr>
                <w:rFonts w:eastAsia="Times New Roman"/>
              </w:rPr>
              <w:t>.</w:t>
            </w:r>
          </w:p>
        </w:tc>
      </w:tr>
      <w:tr w:rsidR="00702F21" w:rsidRPr="00BE38E8" w14:paraId="2B748C39" w14:textId="77777777" w:rsidTr="008B559D">
        <w:tc>
          <w:tcPr>
            <w:tcW w:w="4814" w:type="dxa"/>
          </w:tcPr>
          <w:p w14:paraId="62B61AC7" w14:textId="77777777" w:rsidR="00702F21" w:rsidRDefault="00702F21" w:rsidP="008B559D">
            <w:pPr>
              <w:tabs>
                <w:tab w:val="left" w:pos="3413"/>
              </w:tabs>
              <w:jc w:val="both"/>
              <w:rPr>
                <w:lang w:val="it-IT"/>
              </w:rPr>
            </w:pPr>
            <w:r w:rsidRPr="00C80138">
              <w:rPr>
                <w:lang w:val="it-IT"/>
              </w:rPr>
              <w:t>3. Entro il 17 dicembre 2025 e tenendo conto della sua relazione presentata ai sensi del paragrafo 1 e delle statistiche degli Stati membri trasmesse ai sensi del paragrafo 2, la Commissione presenta al Parlamento europeo e al Consiglio una relazione che valuta l’impatto della normativa nazionale di recepimento della presente direttiva. La relazione valuta il funzionamento della presente direttiva e l’eventuale necessità di provvedimenti aggiuntivi, comprese, ove appropriato, modifiche al fine di estendere l’ambito di applicazione della presente direttiva ad altri settori o atti dell’Unione, in particolare il miglioramento dell’ambiente di lavoro allo scopo di tutelare la sicurezza e la salute dei lavoratori e le condizioni di lavoro. Oltre alla valutazione di cui al primo comma, la relazione valuta il modo in cui gli Stati membri si avvalgono dei meccanismi di cooperazione esistenti quale parte dei loro obblighi di dare seguito alle relazioni riguardanti le violazioni che rientrano nell’ambito di applicazione della presente direttiva e, più in generale, le modalità di cooperazione da essi seguite in caso di violazioni con dimensione transfrontaliera</w:t>
            </w:r>
            <w:r>
              <w:rPr>
                <w:lang w:val="it-IT"/>
              </w:rPr>
              <w:t>.</w:t>
            </w:r>
          </w:p>
          <w:p w14:paraId="7F2E2087" w14:textId="77777777" w:rsidR="00702F21" w:rsidRPr="00C80138" w:rsidRDefault="00702F21" w:rsidP="008B559D">
            <w:pPr>
              <w:tabs>
                <w:tab w:val="left" w:pos="3413"/>
              </w:tabs>
              <w:jc w:val="both"/>
              <w:rPr>
                <w:lang w:val="it-IT"/>
              </w:rPr>
            </w:pPr>
          </w:p>
        </w:tc>
        <w:tc>
          <w:tcPr>
            <w:tcW w:w="5050" w:type="dxa"/>
          </w:tcPr>
          <w:p w14:paraId="27A2CBE3" w14:textId="77777777" w:rsidR="00702F21" w:rsidRPr="00B152BF" w:rsidRDefault="00702F21" w:rsidP="008B559D">
            <w:pPr>
              <w:jc w:val="both"/>
              <w:rPr>
                <w:rFonts w:eastAsia="Times New Roman"/>
                <w:lang w:val="it-IT"/>
              </w:rPr>
            </w:pPr>
          </w:p>
        </w:tc>
      </w:tr>
      <w:tr w:rsidR="00702F21" w:rsidRPr="00BE38E8" w14:paraId="3F534D3F" w14:textId="77777777" w:rsidTr="008B559D">
        <w:tc>
          <w:tcPr>
            <w:tcW w:w="4814" w:type="dxa"/>
          </w:tcPr>
          <w:p w14:paraId="3134287F" w14:textId="77777777" w:rsidR="00702F21" w:rsidRDefault="00702F21" w:rsidP="008B559D">
            <w:pPr>
              <w:tabs>
                <w:tab w:val="left" w:pos="3413"/>
              </w:tabs>
              <w:jc w:val="both"/>
              <w:rPr>
                <w:lang w:val="it-IT"/>
              </w:rPr>
            </w:pPr>
            <w:r w:rsidRPr="00C80138">
              <w:rPr>
                <w:lang w:val="it-IT"/>
              </w:rPr>
              <w:t>4. La Commissione rende pubbliche e facilmente accessibili le relazioni di cui ai paragrafi 1 e 3</w:t>
            </w:r>
            <w:r>
              <w:rPr>
                <w:lang w:val="it-IT"/>
              </w:rPr>
              <w:t>.</w:t>
            </w:r>
          </w:p>
          <w:p w14:paraId="3902560C" w14:textId="77777777" w:rsidR="00702F21" w:rsidRPr="00C80138" w:rsidRDefault="00702F21" w:rsidP="008B559D">
            <w:pPr>
              <w:tabs>
                <w:tab w:val="left" w:pos="3413"/>
              </w:tabs>
              <w:jc w:val="both"/>
              <w:rPr>
                <w:lang w:val="it-IT"/>
              </w:rPr>
            </w:pPr>
          </w:p>
        </w:tc>
        <w:tc>
          <w:tcPr>
            <w:tcW w:w="5050" w:type="dxa"/>
          </w:tcPr>
          <w:p w14:paraId="29ABCFE5" w14:textId="77777777" w:rsidR="00702F21" w:rsidRPr="00B152BF" w:rsidRDefault="00702F21" w:rsidP="008B559D">
            <w:pPr>
              <w:jc w:val="both"/>
              <w:rPr>
                <w:rFonts w:eastAsia="Times New Roman"/>
                <w:lang w:val="it-IT"/>
              </w:rPr>
            </w:pPr>
          </w:p>
        </w:tc>
      </w:tr>
      <w:tr w:rsidR="00702F21" w:rsidRPr="00E92B0C" w14:paraId="3CD6A121" w14:textId="77777777" w:rsidTr="008B559D">
        <w:tc>
          <w:tcPr>
            <w:tcW w:w="4814" w:type="dxa"/>
          </w:tcPr>
          <w:p w14:paraId="79C7478B" w14:textId="77777777" w:rsidR="00702F21" w:rsidRPr="005C6113" w:rsidRDefault="00702F21" w:rsidP="008B559D">
            <w:pPr>
              <w:tabs>
                <w:tab w:val="left" w:pos="3413"/>
              </w:tabs>
              <w:jc w:val="center"/>
              <w:rPr>
                <w:i/>
                <w:iCs/>
              </w:rPr>
            </w:pPr>
            <w:proofErr w:type="spellStart"/>
            <w:r w:rsidRPr="005C6113">
              <w:rPr>
                <w:i/>
                <w:iCs/>
              </w:rPr>
              <w:t>Articolo</w:t>
            </w:r>
            <w:proofErr w:type="spellEnd"/>
            <w:r w:rsidRPr="005C6113">
              <w:rPr>
                <w:i/>
                <w:iCs/>
              </w:rPr>
              <w:t xml:space="preserve"> 28</w:t>
            </w:r>
          </w:p>
          <w:p w14:paraId="6D10A1A5" w14:textId="77777777" w:rsidR="00702F21" w:rsidRDefault="00702F21" w:rsidP="008B559D">
            <w:pPr>
              <w:tabs>
                <w:tab w:val="left" w:pos="3413"/>
              </w:tabs>
              <w:jc w:val="center"/>
              <w:rPr>
                <w:b/>
                <w:bCs/>
              </w:rPr>
            </w:pPr>
            <w:proofErr w:type="spellStart"/>
            <w:r w:rsidRPr="005C6113">
              <w:rPr>
                <w:b/>
                <w:bCs/>
              </w:rPr>
              <w:t>Entrata</w:t>
            </w:r>
            <w:proofErr w:type="spellEnd"/>
            <w:r w:rsidRPr="005C6113">
              <w:rPr>
                <w:b/>
                <w:bCs/>
              </w:rPr>
              <w:t xml:space="preserve"> in </w:t>
            </w:r>
            <w:proofErr w:type="spellStart"/>
            <w:r w:rsidRPr="005C6113">
              <w:rPr>
                <w:b/>
                <w:bCs/>
              </w:rPr>
              <w:t>vigore</w:t>
            </w:r>
            <w:proofErr w:type="spellEnd"/>
          </w:p>
          <w:p w14:paraId="3216246A" w14:textId="77777777" w:rsidR="00702F21" w:rsidRPr="005C6113" w:rsidRDefault="00702F21" w:rsidP="008B559D">
            <w:pPr>
              <w:tabs>
                <w:tab w:val="left" w:pos="3413"/>
              </w:tabs>
              <w:jc w:val="center"/>
              <w:rPr>
                <w:b/>
                <w:bCs/>
                <w:lang w:val="it-IT"/>
              </w:rPr>
            </w:pPr>
          </w:p>
        </w:tc>
        <w:tc>
          <w:tcPr>
            <w:tcW w:w="5050" w:type="dxa"/>
          </w:tcPr>
          <w:p w14:paraId="167FB886" w14:textId="77777777" w:rsidR="00702F21" w:rsidRPr="00B152BF" w:rsidRDefault="00702F21" w:rsidP="008B559D">
            <w:pPr>
              <w:jc w:val="both"/>
              <w:rPr>
                <w:rFonts w:eastAsia="Times New Roman"/>
                <w:lang w:val="it-IT"/>
              </w:rPr>
            </w:pPr>
          </w:p>
        </w:tc>
      </w:tr>
      <w:tr w:rsidR="00702F21" w:rsidRPr="00BE38E8" w14:paraId="5528173A" w14:textId="77777777" w:rsidTr="008B559D">
        <w:tc>
          <w:tcPr>
            <w:tcW w:w="4814" w:type="dxa"/>
          </w:tcPr>
          <w:p w14:paraId="10F04E86" w14:textId="77777777" w:rsidR="00702F21" w:rsidRDefault="00702F21" w:rsidP="008B559D">
            <w:pPr>
              <w:tabs>
                <w:tab w:val="left" w:pos="3413"/>
              </w:tabs>
              <w:jc w:val="both"/>
              <w:rPr>
                <w:lang w:val="it-IT"/>
              </w:rPr>
            </w:pPr>
            <w:r w:rsidRPr="00011BDB">
              <w:rPr>
                <w:lang w:val="it-IT"/>
              </w:rPr>
              <w:t>La presente direttiva entra in vigore il ventesimo giorno successivo alla pubblicazione nella Gazzetta ufficiale dell’Unione europea</w:t>
            </w:r>
            <w:r>
              <w:rPr>
                <w:lang w:val="it-IT"/>
              </w:rPr>
              <w:t>.</w:t>
            </w:r>
          </w:p>
          <w:p w14:paraId="6E0134DB" w14:textId="77777777" w:rsidR="00702F21" w:rsidRPr="00011BDB" w:rsidRDefault="00702F21" w:rsidP="008B559D">
            <w:pPr>
              <w:tabs>
                <w:tab w:val="left" w:pos="3413"/>
              </w:tabs>
              <w:jc w:val="both"/>
              <w:rPr>
                <w:lang w:val="it-IT"/>
              </w:rPr>
            </w:pPr>
          </w:p>
        </w:tc>
        <w:tc>
          <w:tcPr>
            <w:tcW w:w="5050" w:type="dxa"/>
          </w:tcPr>
          <w:p w14:paraId="3F55AF05" w14:textId="77777777" w:rsidR="00702F21" w:rsidRPr="00B152BF" w:rsidRDefault="00702F21" w:rsidP="008B559D">
            <w:pPr>
              <w:jc w:val="both"/>
              <w:rPr>
                <w:rFonts w:eastAsia="Times New Roman"/>
                <w:lang w:val="it-IT"/>
              </w:rPr>
            </w:pPr>
          </w:p>
        </w:tc>
      </w:tr>
      <w:tr w:rsidR="00702F21" w:rsidRPr="00E92B0C" w14:paraId="4290572F" w14:textId="77777777" w:rsidTr="008B559D">
        <w:tc>
          <w:tcPr>
            <w:tcW w:w="4814" w:type="dxa"/>
          </w:tcPr>
          <w:p w14:paraId="7E0FDFB0" w14:textId="77777777" w:rsidR="00702F21" w:rsidRPr="005C6113" w:rsidRDefault="00702F21" w:rsidP="008B559D">
            <w:pPr>
              <w:tabs>
                <w:tab w:val="left" w:pos="3413"/>
              </w:tabs>
              <w:jc w:val="center"/>
              <w:rPr>
                <w:i/>
                <w:iCs/>
                <w:u w:val="single"/>
              </w:rPr>
            </w:pPr>
            <w:proofErr w:type="spellStart"/>
            <w:r w:rsidRPr="005C6113">
              <w:rPr>
                <w:i/>
                <w:iCs/>
                <w:u w:val="single"/>
              </w:rPr>
              <w:t>Articolo</w:t>
            </w:r>
            <w:proofErr w:type="spellEnd"/>
            <w:r w:rsidRPr="005C6113">
              <w:rPr>
                <w:i/>
                <w:iCs/>
                <w:u w:val="single"/>
              </w:rPr>
              <w:t xml:space="preserve"> 29 </w:t>
            </w:r>
          </w:p>
          <w:p w14:paraId="4205580D" w14:textId="77777777" w:rsidR="00702F21" w:rsidRPr="005C6113" w:rsidRDefault="00702F21" w:rsidP="008B559D">
            <w:pPr>
              <w:tabs>
                <w:tab w:val="left" w:pos="3413"/>
              </w:tabs>
              <w:jc w:val="center"/>
              <w:rPr>
                <w:b/>
                <w:bCs/>
              </w:rPr>
            </w:pPr>
            <w:proofErr w:type="spellStart"/>
            <w:r w:rsidRPr="005C6113">
              <w:rPr>
                <w:b/>
                <w:bCs/>
              </w:rPr>
              <w:t>Destinatari</w:t>
            </w:r>
            <w:proofErr w:type="spellEnd"/>
          </w:p>
          <w:p w14:paraId="620FC0F7" w14:textId="77777777" w:rsidR="00702F21" w:rsidRPr="00011BDB" w:rsidRDefault="00702F21" w:rsidP="008B559D">
            <w:pPr>
              <w:tabs>
                <w:tab w:val="left" w:pos="3413"/>
              </w:tabs>
              <w:jc w:val="center"/>
              <w:rPr>
                <w:lang w:val="it-IT"/>
              </w:rPr>
            </w:pPr>
          </w:p>
        </w:tc>
        <w:tc>
          <w:tcPr>
            <w:tcW w:w="5050" w:type="dxa"/>
          </w:tcPr>
          <w:p w14:paraId="116AA032" w14:textId="77777777" w:rsidR="00702F21" w:rsidRPr="00B152BF" w:rsidRDefault="00702F21" w:rsidP="008B559D">
            <w:pPr>
              <w:jc w:val="both"/>
              <w:rPr>
                <w:rFonts w:eastAsia="Times New Roman"/>
                <w:lang w:val="it-IT"/>
              </w:rPr>
            </w:pPr>
          </w:p>
        </w:tc>
      </w:tr>
      <w:tr w:rsidR="00702F21" w:rsidRPr="00BE38E8" w14:paraId="59FE32E5" w14:textId="77777777" w:rsidTr="008B559D">
        <w:tc>
          <w:tcPr>
            <w:tcW w:w="4814" w:type="dxa"/>
          </w:tcPr>
          <w:p w14:paraId="366D88AE" w14:textId="77777777" w:rsidR="00702F21" w:rsidRDefault="00702F21" w:rsidP="008B559D">
            <w:pPr>
              <w:tabs>
                <w:tab w:val="left" w:pos="3855"/>
              </w:tabs>
              <w:jc w:val="both"/>
              <w:rPr>
                <w:lang w:val="it-IT"/>
              </w:rPr>
            </w:pPr>
            <w:r w:rsidRPr="005C6113">
              <w:rPr>
                <w:lang w:val="it-IT"/>
              </w:rPr>
              <w:t>Gli Stati membri sono destinatari della presente direttiva.</w:t>
            </w:r>
          </w:p>
          <w:p w14:paraId="2321568D" w14:textId="77777777" w:rsidR="00702F21" w:rsidRPr="005C6113" w:rsidRDefault="00702F21" w:rsidP="008B559D">
            <w:pPr>
              <w:tabs>
                <w:tab w:val="left" w:pos="3855"/>
              </w:tabs>
              <w:jc w:val="both"/>
              <w:rPr>
                <w:lang w:val="it-IT"/>
              </w:rPr>
            </w:pPr>
          </w:p>
        </w:tc>
        <w:tc>
          <w:tcPr>
            <w:tcW w:w="5050" w:type="dxa"/>
          </w:tcPr>
          <w:p w14:paraId="510222CF" w14:textId="77777777" w:rsidR="00702F21" w:rsidRPr="00B152BF" w:rsidRDefault="00702F21" w:rsidP="008B559D">
            <w:pPr>
              <w:jc w:val="both"/>
              <w:rPr>
                <w:rFonts w:eastAsia="Times New Roman"/>
                <w:lang w:val="it-IT"/>
              </w:rPr>
            </w:pPr>
          </w:p>
        </w:tc>
      </w:tr>
      <w:tr w:rsidR="00702F21" w:rsidRPr="002A62C6" w14:paraId="318B2D8F" w14:textId="77777777" w:rsidTr="008B559D">
        <w:tc>
          <w:tcPr>
            <w:tcW w:w="4814" w:type="dxa"/>
          </w:tcPr>
          <w:p w14:paraId="07F350EA" w14:textId="77777777" w:rsidR="00702F21" w:rsidRDefault="00702F21" w:rsidP="008B559D">
            <w:pPr>
              <w:tabs>
                <w:tab w:val="left" w:pos="3855"/>
              </w:tabs>
              <w:jc w:val="both"/>
              <w:rPr>
                <w:lang w:val="it-IT"/>
              </w:rPr>
            </w:pPr>
            <w:r>
              <w:rPr>
                <w:lang w:val="it-IT"/>
              </w:rPr>
              <w:t xml:space="preserve">                                </w:t>
            </w:r>
          </w:p>
          <w:p w14:paraId="1C73CCB2" w14:textId="77777777" w:rsidR="00702F21" w:rsidRDefault="00702F21" w:rsidP="008B559D">
            <w:pPr>
              <w:tabs>
                <w:tab w:val="left" w:pos="3855"/>
              </w:tabs>
              <w:jc w:val="center"/>
              <w:rPr>
                <w:b/>
                <w:bCs/>
                <w:lang w:val="it-IT"/>
              </w:rPr>
            </w:pPr>
            <w:r w:rsidRPr="00BD1B04">
              <w:rPr>
                <w:b/>
                <w:bCs/>
                <w:lang w:val="it-IT"/>
              </w:rPr>
              <w:t>ALLEGATO</w:t>
            </w:r>
            <w:r>
              <w:rPr>
                <w:b/>
                <w:bCs/>
                <w:lang w:val="it-IT"/>
              </w:rPr>
              <w:t xml:space="preserve"> </w:t>
            </w:r>
          </w:p>
          <w:p w14:paraId="2180782C" w14:textId="77777777" w:rsidR="00702F21" w:rsidRPr="00BD1B04" w:rsidRDefault="00702F21" w:rsidP="008B559D">
            <w:pPr>
              <w:tabs>
                <w:tab w:val="left" w:pos="3855"/>
              </w:tabs>
              <w:jc w:val="both"/>
              <w:rPr>
                <w:b/>
                <w:bCs/>
                <w:lang w:val="it-IT"/>
              </w:rPr>
            </w:pPr>
          </w:p>
        </w:tc>
        <w:tc>
          <w:tcPr>
            <w:tcW w:w="5050" w:type="dxa"/>
          </w:tcPr>
          <w:p w14:paraId="588EE99A" w14:textId="77777777" w:rsidR="00702F21" w:rsidRDefault="00702F21" w:rsidP="008B559D">
            <w:pPr>
              <w:jc w:val="both"/>
              <w:rPr>
                <w:rFonts w:eastAsia="Times New Roman"/>
                <w:lang w:val="it-IT"/>
              </w:rPr>
            </w:pPr>
          </w:p>
          <w:p w14:paraId="7DA4ACEE" w14:textId="77777777" w:rsidR="00702F21" w:rsidRPr="00BD1B04" w:rsidRDefault="00702F21" w:rsidP="008B559D">
            <w:pPr>
              <w:jc w:val="both"/>
              <w:rPr>
                <w:rFonts w:eastAsia="Times New Roman"/>
                <w:b/>
                <w:bCs/>
                <w:lang w:val="it-IT"/>
              </w:rPr>
            </w:pPr>
            <w:r>
              <w:rPr>
                <w:rFonts w:eastAsia="Times New Roman"/>
                <w:lang w:val="it-IT"/>
              </w:rPr>
              <w:t xml:space="preserve">                                  </w:t>
            </w:r>
            <w:r w:rsidRPr="00BD1B04">
              <w:rPr>
                <w:rFonts w:eastAsia="Times New Roman"/>
                <w:b/>
                <w:bCs/>
                <w:lang w:val="it-IT"/>
              </w:rPr>
              <w:t>ALLEGATO</w:t>
            </w:r>
          </w:p>
        </w:tc>
      </w:tr>
    </w:tbl>
    <w:p w14:paraId="435F8D9B" w14:textId="77777777" w:rsidR="00702F21" w:rsidRDefault="00702F21" w:rsidP="00702F21">
      <w:pPr>
        <w:rPr>
          <w:lang w:val="it-IT"/>
        </w:rPr>
      </w:pPr>
    </w:p>
    <w:p w14:paraId="43C8582A" w14:textId="77777777" w:rsidR="00702F21" w:rsidRPr="00E92B0C" w:rsidRDefault="00702F21" w:rsidP="00702F21">
      <w:pPr>
        <w:rPr>
          <w:lang w:val="it-IT"/>
        </w:rPr>
      </w:pPr>
    </w:p>
    <w:p w14:paraId="4BA30CAF" w14:textId="77777777" w:rsidR="008A415A" w:rsidRDefault="008A415A"/>
    <w:sectPr w:rsidR="008A41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tillium Web">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C04EB"/>
    <w:multiLevelType w:val="hybridMultilevel"/>
    <w:tmpl w:val="EE00F550"/>
    <w:lvl w:ilvl="0" w:tplc="2DC8CB82">
      <w:start w:val="1"/>
      <w:numFmt w:val="decimal"/>
      <w:lvlText w:val="%1."/>
      <w:lvlJc w:val="left"/>
      <w:pPr>
        <w:ind w:left="720" w:hanging="360"/>
      </w:pPr>
      <w:rPr>
        <w:rFonts w:eastAsia="Times New Roman"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F21"/>
    <w:rsid w:val="00062962"/>
    <w:rsid w:val="000B6AAC"/>
    <w:rsid w:val="000D7BD9"/>
    <w:rsid w:val="001C3741"/>
    <w:rsid w:val="001E3BA6"/>
    <w:rsid w:val="00204557"/>
    <w:rsid w:val="00204FCE"/>
    <w:rsid w:val="00352FCF"/>
    <w:rsid w:val="003D67A2"/>
    <w:rsid w:val="004606AF"/>
    <w:rsid w:val="0053729C"/>
    <w:rsid w:val="00544797"/>
    <w:rsid w:val="00561F3A"/>
    <w:rsid w:val="005C43AE"/>
    <w:rsid w:val="00670844"/>
    <w:rsid w:val="0067431C"/>
    <w:rsid w:val="006B3752"/>
    <w:rsid w:val="00702F21"/>
    <w:rsid w:val="00710160"/>
    <w:rsid w:val="007129AD"/>
    <w:rsid w:val="007A73EA"/>
    <w:rsid w:val="007B6E89"/>
    <w:rsid w:val="00835860"/>
    <w:rsid w:val="0085313C"/>
    <w:rsid w:val="008A415A"/>
    <w:rsid w:val="008A6975"/>
    <w:rsid w:val="008D3BA5"/>
    <w:rsid w:val="0094510E"/>
    <w:rsid w:val="009626EE"/>
    <w:rsid w:val="00985DC4"/>
    <w:rsid w:val="009F3FD5"/>
    <w:rsid w:val="00AE0249"/>
    <w:rsid w:val="00B20F0B"/>
    <w:rsid w:val="00B73055"/>
    <w:rsid w:val="00BE38E8"/>
    <w:rsid w:val="00C04282"/>
    <w:rsid w:val="00C64B0A"/>
    <w:rsid w:val="00C73D0C"/>
    <w:rsid w:val="00C9792A"/>
    <w:rsid w:val="00D01A0F"/>
    <w:rsid w:val="00D04A4B"/>
    <w:rsid w:val="00D55A8C"/>
    <w:rsid w:val="00DA403F"/>
    <w:rsid w:val="00DA793E"/>
    <w:rsid w:val="00E34C85"/>
    <w:rsid w:val="00EC6837"/>
    <w:rsid w:val="00F13971"/>
    <w:rsid w:val="00F74DC5"/>
    <w:rsid w:val="00FC71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F9BA"/>
  <w15:chartTrackingRefBased/>
  <w15:docId w15:val="{A497147E-4BC8-44F3-A93B-F85457C1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2F21"/>
    <w:pPr>
      <w:spacing w:after="120" w:line="276" w:lineRule="auto"/>
    </w:pPr>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2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02F21"/>
    <w:pPr>
      <w:ind w:left="720"/>
      <w:contextualSpacing/>
    </w:pPr>
  </w:style>
  <w:style w:type="paragraph" w:styleId="NormaleWeb">
    <w:name w:val="Normal (Web)"/>
    <w:basedOn w:val="Normale"/>
    <w:uiPriority w:val="99"/>
    <w:semiHidden/>
    <w:unhideWhenUsed/>
    <w:rsid w:val="00702F21"/>
    <w:pPr>
      <w:spacing w:before="100" w:beforeAutospacing="1" w:after="100" w:afterAutospacing="1" w:line="240" w:lineRule="auto"/>
    </w:pPr>
    <w:rPr>
      <w:rFonts w:eastAsia="Times New Roman"/>
      <w:sz w:val="24"/>
      <w:szCs w:val="24"/>
      <w:lang w:val="it-IT" w:eastAsia="it-IT"/>
    </w:rPr>
  </w:style>
  <w:style w:type="character" w:styleId="Enfasigrassetto">
    <w:name w:val="Strong"/>
    <w:basedOn w:val="Carpredefinitoparagrafo"/>
    <w:uiPriority w:val="22"/>
    <w:qFormat/>
    <w:rsid w:val="00702F21"/>
    <w:rPr>
      <w:b/>
      <w:bCs/>
    </w:rPr>
  </w:style>
  <w:style w:type="paragraph" w:styleId="Revisione">
    <w:name w:val="Revision"/>
    <w:hidden/>
    <w:uiPriority w:val="99"/>
    <w:semiHidden/>
    <w:rsid w:val="00EC6837"/>
    <w:pPr>
      <w:spacing w:after="0" w:line="240" w:lineRule="auto"/>
    </w:pPr>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7382</Words>
  <Characters>42081</Characters>
  <Application>Microsoft Office Word</Application>
  <DocSecurity>0</DocSecurity>
  <Lines>350</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Nino Valter</dc:creator>
  <cp:keywords/>
  <dc:description/>
  <cp:lastModifiedBy>Di Nino Walter</cp:lastModifiedBy>
  <cp:revision>3</cp:revision>
  <cp:lastPrinted>2023-03-10T06:56:00Z</cp:lastPrinted>
  <dcterms:created xsi:type="dcterms:W3CDTF">2023-02-24T19:04:00Z</dcterms:created>
  <dcterms:modified xsi:type="dcterms:W3CDTF">2023-03-10T06:57:00Z</dcterms:modified>
</cp:coreProperties>
</file>