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FD" w:rsidRDefault="000E39FD" w:rsidP="000E39FD">
      <w:pPr>
        <w:pStyle w:val="Default"/>
        <w:rPr>
          <w:rFonts w:ascii="Titilium" w:hAnsi="Titilium"/>
          <w:b/>
          <w:sz w:val="23"/>
          <w:szCs w:val="23"/>
        </w:rPr>
      </w:pPr>
      <w:r>
        <w:rPr>
          <w:rFonts w:ascii="Titilium" w:hAnsi="Titilium"/>
          <w:b/>
          <w:noProof/>
          <w:sz w:val="23"/>
          <w:szCs w:val="23"/>
          <w:lang w:eastAsia="it-IT"/>
        </w:rPr>
        <w:drawing>
          <wp:inline distT="0" distB="0" distL="0" distR="0" wp14:anchorId="4F5A99DD">
            <wp:extent cx="3115310" cy="372110"/>
            <wp:effectExtent l="0" t="0" r="889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9FD" w:rsidRDefault="000E39FD" w:rsidP="00A02626">
      <w:pPr>
        <w:pStyle w:val="Default"/>
        <w:jc w:val="center"/>
        <w:rPr>
          <w:rFonts w:ascii="Titilium" w:hAnsi="Titilium"/>
          <w:b/>
          <w:sz w:val="23"/>
          <w:szCs w:val="23"/>
        </w:rPr>
      </w:pPr>
    </w:p>
    <w:p w:rsidR="000E39FD" w:rsidRDefault="000E39FD" w:rsidP="00A02626">
      <w:pPr>
        <w:pStyle w:val="Default"/>
        <w:jc w:val="center"/>
        <w:rPr>
          <w:rFonts w:ascii="Titilium" w:hAnsi="Titilium"/>
          <w:b/>
          <w:sz w:val="23"/>
          <w:szCs w:val="23"/>
        </w:rPr>
      </w:pPr>
      <w:bookmarkStart w:id="0" w:name="_GoBack"/>
      <w:bookmarkEnd w:id="0"/>
    </w:p>
    <w:p w:rsidR="00A02626" w:rsidRDefault="006C1CFD" w:rsidP="00A02626">
      <w:pPr>
        <w:pStyle w:val="Default"/>
        <w:jc w:val="center"/>
        <w:rPr>
          <w:rFonts w:ascii="Titilium" w:hAnsi="Titilium"/>
          <w:b/>
          <w:sz w:val="23"/>
          <w:szCs w:val="23"/>
        </w:rPr>
      </w:pPr>
      <w:r>
        <w:rPr>
          <w:rFonts w:ascii="Titilium" w:hAnsi="Titilium"/>
          <w:b/>
          <w:sz w:val="23"/>
          <w:szCs w:val="23"/>
        </w:rPr>
        <w:t>MODULO</w:t>
      </w:r>
      <w:r w:rsidR="00A02626" w:rsidRPr="00F21D70">
        <w:rPr>
          <w:rFonts w:ascii="Titilium" w:hAnsi="Titilium"/>
          <w:b/>
          <w:sz w:val="23"/>
          <w:szCs w:val="23"/>
        </w:rPr>
        <w:t xml:space="preserve"> MANIFESTAZIONE DI INTERESSE</w:t>
      </w:r>
    </w:p>
    <w:p w:rsidR="00F21D70" w:rsidRPr="00F21D70" w:rsidRDefault="00F21D70" w:rsidP="00A02626">
      <w:pPr>
        <w:pStyle w:val="Default"/>
        <w:jc w:val="center"/>
        <w:rPr>
          <w:rFonts w:ascii="Titilium" w:hAnsi="Titilium"/>
          <w:b/>
          <w:sz w:val="23"/>
          <w:szCs w:val="23"/>
        </w:rPr>
      </w:pPr>
    </w:p>
    <w:p w:rsidR="00A02626" w:rsidRPr="00F21D70" w:rsidRDefault="00A02626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 w:rsidRPr="00F21D70">
        <w:rPr>
          <w:rFonts w:ascii="Titillium" w:hAnsi="Titillium" w:cs="Titillium Web"/>
          <w:color w:val="auto"/>
          <w:sz w:val="20"/>
          <w:szCs w:val="20"/>
        </w:rPr>
        <w:t>(Dichiarazioni resa ai sensi e per gli effetti di</w:t>
      </w:r>
      <w:r w:rsidR="00F21D70">
        <w:rPr>
          <w:rFonts w:ascii="Titillium" w:hAnsi="Titillium" w:cs="Titillium Web"/>
          <w:color w:val="auto"/>
          <w:sz w:val="20"/>
          <w:szCs w:val="20"/>
        </w:rPr>
        <w:t xml:space="preserve"> cui agli artt. 46 e 47 del d.P.R. n. </w:t>
      </w:r>
      <w:r w:rsidRPr="00F21D70">
        <w:rPr>
          <w:rFonts w:ascii="Titillium" w:hAnsi="Titillium" w:cs="Titillium Web"/>
          <w:color w:val="auto"/>
          <w:sz w:val="20"/>
          <w:szCs w:val="20"/>
        </w:rPr>
        <w:t xml:space="preserve">445/2000 e </w:t>
      </w:r>
      <w:proofErr w:type="spellStart"/>
      <w:r w:rsidRPr="00F21D70">
        <w:rPr>
          <w:rFonts w:ascii="Titillium" w:hAnsi="Titillium" w:cs="Titillium Web"/>
          <w:color w:val="auto"/>
          <w:sz w:val="20"/>
          <w:szCs w:val="20"/>
        </w:rPr>
        <w:t>s.m.i.</w:t>
      </w:r>
      <w:proofErr w:type="spellEnd"/>
      <w:r w:rsidRPr="00F21D70">
        <w:rPr>
          <w:rFonts w:ascii="Titillium" w:hAnsi="Titillium" w:cs="Titillium Web"/>
          <w:color w:val="auto"/>
          <w:sz w:val="20"/>
          <w:szCs w:val="20"/>
        </w:rPr>
        <w:t>, ovvero, per i concorrenti stabiliti in stati diversi dall’Italia, documentazione equivalente secondo la legislazione dello stato di appartenenza e, comunque, nel rispetto di quanto previsto nell’a</w:t>
      </w:r>
      <w:r w:rsidR="00F21D70">
        <w:rPr>
          <w:rFonts w:ascii="Titillium" w:hAnsi="Titillium" w:cs="Titillium Web"/>
          <w:color w:val="auto"/>
          <w:sz w:val="20"/>
          <w:szCs w:val="20"/>
        </w:rPr>
        <w:t>rt. 3, commi 2, 3 e 4 del d.P.R.</w:t>
      </w:r>
      <w:r w:rsidRPr="00F21D70">
        <w:rPr>
          <w:rFonts w:ascii="Titillium" w:hAnsi="Titillium" w:cs="Titillium Web"/>
          <w:color w:val="auto"/>
          <w:sz w:val="20"/>
          <w:szCs w:val="20"/>
        </w:rPr>
        <w:t xml:space="preserve"> n.</w:t>
      </w:r>
      <w:r w:rsidR="00F21D70">
        <w:rPr>
          <w:rFonts w:ascii="Titillium" w:hAnsi="Titillium" w:cs="Titillium Web"/>
          <w:color w:val="auto"/>
          <w:sz w:val="20"/>
          <w:szCs w:val="20"/>
        </w:rPr>
        <w:t xml:space="preserve"> </w:t>
      </w:r>
      <w:r w:rsidRPr="00F21D70">
        <w:rPr>
          <w:rFonts w:ascii="Titillium" w:hAnsi="Titillium" w:cs="Titillium Web"/>
          <w:color w:val="auto"/>
          <w:sz w:val="20"/>
          <w:szCs w:val="20"/>
        </w:rPr>
        <w:t xml:space="preserve">445/2000 e </w:t>
      </w:r>
      <w:proofErr w:type="spellStart"/>
      <w:r w:rsidRPr="00F21D70">
        <w:rPr>
          <w:rFonts w:ascii="Titillium" w:hAnsi="Titillium" w:cs="Titillium Web"/>
          <w:color w:val="auto"/>
          <w:sz w:val="20"/>
          <w:szCs w:val="20"/>
        </w:rPr>
        <w:t>s.m.i.</w:t>
      </w:r>
      <w:proofErr w:type="spellEnd"/>
      <w:r w:rsidRPr="00F21D70">
        <w:rPr>
          <w:rFonts w:ascii="Titillium" w:hAnsi="Titillium" w:cs="Titillium Web"/>
          <w:color w:val="auto"/>
          <w:sz w:val="20"/>
          <w:szCs w:val="20"/>
        </w:rPr>
        <w:t>, e laddove applicabile, nel rispetto di quanto previsto ne</w:t>
      </w:r>
      <w:r w:rsidR="00F21D70">
        <w:rPr>
          <w:rFonts w:ascii="Titillium" w:hAnsi="Titillium" w:cs="Titillium Web"/>
          <w:color w:val="auto"/>
          <w:sz w:val="20"/>
          <w:szCs w:val="20"/>
        </w:rPr>
        <w:t>ll’art, 33 del medesimo decreto</w:t>
      </w:r>
      <w:r w:rsidRPr="00F21D70">
        <w:rPr>
          <w:rFonts w:ascii="Titillium" w:hAnsi="Titillium" w:cs="Titillium Web"/>
          <w:color w:val="auto"/>
          <w:sz w:val="20"/>
          <w:szCs w:val="20"/>
        </w:rPr>
        <w:t>)</w:t>
      </w:r>
      <w:r w:rsidR="00F21D70">
        <w:rPr>
          <w:rFonts w:ascii="Titillium" w:hAnsi="Titillium" w:cs="Titillium Web"/>
          <w:color w:val="auto"/>
          <w:sz w:val="20"/>
          <w:szCs w:val="20"/>
        </w:rPr>
        <w:t>.</w:t>
      </w:r>
      <w:r w:rsidRPr="00F21D70">
        <w:rPr>
          <w:rFonts w:ascii="Titillium" w:hAnsi="Titillium" w:cs="Titillium Web"/>
          <w:color w:val="auto"/>
          <w:sz w:val="20"/>
          <w:szCs w:val="20"/>
        </w:rPr>
        <w:t xml:space="preserve"> </w:t>
      </w:r>
    </w:p>
    <w:p w:rsidR="00F21D70" w:rsidRPr="00A02626" w:rsidRDefault="00F21D70" w:rsidP="00A02626">
      <w:pPr>
        <w:pStyle w:val="Default"/>
        <w:rPr>
          <w:rFonts w:ascii="Titilium" w:hAnsi="Titilium"/>
          <w:i/>
          <w:iCs/>
          <w:sz w:val="23"/>
          <w:szCs w:val="23"/>
        </w:rPr>
      </w:pPr>
    </w:p>
    <w:p w:rsidR="00A02626" w:rsidRPr="00A02626" w:rsidRDefault="00A02626" w:rsidP="00A02626">
      <w:pPr>
        <w:pStyle w:val="Default"/>
        <w:rPr>
          <w:rFonts w:ascii="Titilium" w:hAnsi="Titilium"/>
          <w:sz w:val="23"/>
          <w:szCs w:val="23"/>
        </w:rPr>
      </w:pPr>
    </w:p>
    <w:p w:rsidR="00A02626" w:rsidRPr="00A02626" w:rsidRDefault="00A02626" w:rsidP="00F21D70">
      <w:pPr>
        <w:pStyle w:val="Default"/>
        <w:jc w:val="right"/>
        <w:rPr>
          <w:rFonts w:ascii="Titilium" w:hAnsi="Titilium"/>
          <w:sz w:val="22"/>
          <w:szCs w:val="22"/>
        </w:rPr>
      </w:pPr>
      <w:r w:rsidRPr="00A02626">
        <w:rPr>
          <w:rFonts w:ascii="Titilium" w:hAnsi="Titilium"/>
          <w:b/>
          <w:bCs/>
          <w:sz w:val="22"/>
          <w:szCs w:val="22"/>
        </w:rPr>
        <w:t>A</w:t>
      </w:r>
      <w:r w:rsidR="00F21D70">
        <w:rPr>
          <w:rFonts w:ascii="Titilium" w:hAnsi="Titilium"/>
          <w:b/>
          <w:bCs/>
          <w:sz w:val="22"/>
          <w:szCs w:val="22"/>
        </w:rPr>
        <w:t>ll’ ANAC</w:t>
      </w:r>
      <w:r w:rsidRPr="00A02626">
        <w:rPr>
          <w:rFonts w:ascii="Titilium" w:hAnsi="Titilium"/>
          <w:b/>
          <w:bCs/>
          <w:sz w:val="22"/>
          <w:szCs w:val="22"/>
        </w:rPr>
        <w:t xml:space="preserve"> </w:t>
      </w:r>
    </w:p>
    <w:p w:rsidR="00A02626" w:rsidRPr="00A02626" w:rsidRDefault="00F21D70" w:rsidP="00F21D70">
      <w:pPr>
        <w:pStyle w:val="Default"/>
        <w:jc w:val="right"/>
        <w:rPr>
          <w:rFonts w:ascii="Titilium" w:hAnsi="Titilium"/>
          <w:sz w:val="22"/>
          <w:szCs w:val="22"/>
        </w:rPr>
      </w:pPr>
      <w:r>
        <w:rPr>
          <w:rFonts w:ascii="Titilium" w:hAnsi="Titilium"/>
          <w:b/>
          <w:bCs/>
          <w:sz w:val="22"/>
          <w:szCs w:val="22"/>
        </w:rPr>
        <w:t>Via M. Minghetti 10</w:t>
      </w:r>
      <w:r w:rsidR="00A02626" w:rsidRPr="00A02626">
        <w:rPr>
          <w:rFonts w:ascii="Titilium" w:hAnsi="Titilium"/>
          <w:b/>
          <w:bCs/>
          <w:sz w:val="22"/>
          <w:szCs w:val="22"/>
        </w:rPr>
        <w:t xml:space="preserve"> </w:t>
      </w:r>
    </w:p>
    <w:p w:rsidR="00A02626" w:rsidRPr="00A02626" w:rsidRDefault="00F21D70" w:rsidP="00F21D70">
      <w:pPr>
        <w:pStyle w:val="Default"/>
        <w:jc w:val="right"/>
        <w:rPr>
          <w:rFonts w:ascii="Titilium" w:hAnsi="Titilium"/>
          <w:sz w:val="22"/>
          <w:szCs w:val="22"/>
        </w:rPr>
      </w:pPr>
      <w:r>
        <w:rPr>
          <w:rFonts w:ascii="Titilium" w:hAnsi="Titilium"/>
          <w:b/>
          <w:bCs/>
          <w:sz w:val="22"/>
          <w:szCs w:val="22"/>
        </w:rPr>
        <w:t>00187</w:t>
      </w:r>
      <w:r w:rsidR="00A02626" w:rsidRPr="00A02626">
        <w:rPr>
          <w:rFonts w:ascii="Titilium" w:hAnsi="Titilium"/>
          <w:b/>
          <w:bCs/>
          <w:sz w:val="22"/>
          <w:szCs w:val="22"/>
        </w:rPr>
        <w:t xml:space="preserve"> Roma </w:t>
      </w:r>
    </w:p>
    <w:p w:rsidR="00F21D70" w:rsidRDefault="00F21D70" w:rsidP="00F21D70">
      <w:pPr>
        <w:pStyle w:val="Default"/>
        <w:jc w:val="right"/>
        <w:rPr>
          <w:rFonts w:ascii="Titilium" w:hAnsi="Titilium"/>
          <w:b/>
          <w:bCs/>
          <w:sz w:val="22"/>
          <w:szCs w:val="22"/>
        </w:rPr>
      </w:pPr>
      <w:proofErr w:type="spellStart"/>
      <w:r>
        <w:rPr>
          <w:rFonts w:ascii="Titilium" w:hAnsi="Titilium"/>
          <w:b/>
          <w:bCs/>
          <w:sz w:val="22"/>
          <w:szCs w:val="22"/>
        </w:rPr>
        <w:t>Pec</w:t>
      </w:r>
      <w:proofErr w:type="spellEnd"/>
      <w:r>
        <w:rPr>
          <w:rFonts w:ascii="Titilium" w:hAnsi="Titilium"/>
          <w:b/>
          <w:bCs/>
          <w:sz w:val="22"/>
          <w:szCs w:val="22"/>
        </w:rPr>
        <w:t xml:space="preserve"> </w:t>
      </w:r>
      <w:hyperlink r:id="rId7" w:history="1">
        <w:r w:rsidRPr="00337344">
          <w:rPr>
            <w:rStyle w:val="Collegamentoipertestuale"/>
            <w:rFonts w:ascii="Titilium" w:hAnsi="Titilium"/>
            <w:b/>
            <w:bCs/>
            <w:sz w:val="22"/>
            <w:szCs w:val="22"/>
          </w:rPr>
          <w:t>protocollo@pec.anticorruzione.it</w:t>
        </w:r>
      </w:hyperlink>
    </w:p>
    <w:p w:rsidR="00F21D70" w:rsidRDefault="00F21D70" w:rsidP="00F21D70">
      <w:pPr>
        <w:pStyle w:val="Default"/>
        <w:jc w:val="right"/>
        <w:rPr>
          <w:rFonts w:ascii="Titilium" w:hAnsi="Titilium"/>
          <w:b/>
          <w:bCs/>
          <w:sz w:val="22"/>
          <w:szCs w:val="22"/>
        </w:rPr>
      </w:pPr>
    </w:p>
    <w:p w:rsidR="00A02626" w:rsidRPr="00A02626" w:rsidRDefault="00A02626" w:rsidP="00F21D70">
      <w:pPr>
        <w:pStyle w:val="Default"/>
        <w:jc w:val="right"/>
        <w:rPr>
          <w:rFonts w:ascii="Titilium" w:hAnsi="Titilium"/>
          <w:sz w:val="22"/>
          <w:szCs w:val="22"/>
        </w:rPr>
      </w:pPr>
      <w:r w:rsidRPr="00A02626">
        <w:rPr>
          <w:rFonts w:ascii="Titilium" w:hAnsi="Titilium"/>
          <w:b/>
          <w:bCs/>
          <w:sz w:val="22"/>
          <w:szCs w:val="22"/>
        </w:rPr>
        <w:t xml:space="preserve"> </w:t>
      </w:r>
    </w:p>
    <w:p w:rsidR="00F21D70" w:rsidRDefault="00F21D70" w:rsidP="00F21D70">
      <w:pPr>
        <w:pStyle w:val="ANAC-TitoloParagrafo"/>
        <w:ind w:left="426"/>
        <w:rPr>
          <w:lang w:val="it-IT"/>
        </w:rPr>
      </w:pPr>
      <w:r w:rsidRPr="005971D0">
        <w:rPr>
          <w:lang w:val="it-IT"/>
        </w:rPr>
        <w:t xml:space="preserve">Oggetto </w:t>
      </w:r>
    </w:p>
    <w:p w:rsidR="00F21D70" w:rsidRDefault="00F21D70" w:rsidP="00F21D70">
      <w:pPr>
        <w:pStyle w:val="Default"/>
        <w:jc w:val="both"/>
        <w:rPr>
          <w:rFonts w:ascii="Titilium" w:hAnsi="Titilium"/>
          <w:b/>
          <w:bCs/>
          <w:sz w:val="23"/>
          <w:szCs w:val="23"/>
        </w:rPr>
      </w:pPr>
    </w:p>
    <w:p w:rsidR="00F21D70" w:rsidRPr="00F21D70" w:rsidRDefault="00F21D70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:rsidR="00A02626" w:rsidRPr="00F21D70" w:rsidRDefault="00F21D70" w:rsidP="00F21D70">
      <w:pPr>
        <w:pStyle w:val="Default"/>
        <w:jc w:val="both"/>
        <w:rPr>
          <w:rFonts w:ascii="Titillium" w:hAnsi="Titillium" w:cs="Titillium Web"/>
          <w:b/>
          <w:color w:val="auto"/>
          <w:sz w:val="20"/>
          <w:szCs w:val="20"/>
        </w:rPr>
      </w:pPr>
      <w:r w:rsidRPr="00F21D70">
        <w:rPr>
          <w:rFonts w:ascii="Titillium" w:hAnsi="Titillium" w:cs="Titillium Web"/>
          <w:b/>
          <w:color w:val="auto"/>
          <w:sz w:val="20"/>
          <w:szCs w:val="20"/>
        </w:rPr>
        <w:t xml:space="preserve">Risposta a consultazione preliminare di mercato propedeutica all’indizione di una procedura negoziata senza previa pubblicazione di bando di gara per l’acquisizione di servizi di analisi strategica, ricerca di mercato e </w:t>
      </w:r>
      <w:proofErr w:type="spellStart"/>
      <w:r w:rsidRPr="00F21D70">
        <w:rPr>
          <w:rFonts w:ascii="Titillium" w:hAnsi="Titillium" w:cs="Titillium Web"/>
          <w:b/>
          <w:color w:val="auto"/>
          <w:sz w:val="20"/>
          <w:szCs w:val="20"/>
        </w:rPr>
        <w:t>benchmarking</w:t>
      </w:r>
      <w:proofErr w:type="spellEnd"/>
      <w:r w:rsidRPr="00F21D70">
        <w:rPr>
          <w:rFonts w:ascii="Titillium" w:hAnsi="Titillium" w:cs="Titillium Web"/>
          <w:b/>
          <w:color w:val="auto"/>
          <w:sz w:val="20"/>
          <w:szCs w:val="20"/>
        </w:rPr>
        <w:t xml:space="preserve"> nel settore ICT - </w:t>
      </w:r>
      <w:r w:rsidR="00A02626" w:rsidRPr="00F21D70">
        <w:rPr>
          <w:rFonts w:ascii="Titillium" w:hAnsi="Titillium" w:cs="Titillium Web"/>
          <w:b/>
          <w:color w:val="auto"/>
          <w:sz w:val="20"/>
          <w:szCs w:val="20"/>
        </w:rPr>
        <w:t xml:space="preserve">Manifestazione di interesse alla consultazione. </w:t>
      </w:r>
    </w:p>
    <w:p w:rsidR="00F21D70" w:rsidRPr="00F21D70" w:rsidRDefault="00F21D70" w:rsidP="00A02626">
      <w:pPr>
        <w:pStyle w:val="Default"/>
        <w:rPr>
          <w:rFonts w:ascii="Titilium" w:hAnsi="Titilium"/>
          <w:b/>
          <w:bCs/>
          <w:sz w:val="23"/>
          <w:szCs w:val="23"/>
        </w:rPr>
      </w:pPr>
    </w:p>
    <w:p w:rsidR="00A02626" w:rsidRPr="00F21D70" w:rsidRDefault="00A02626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 w:rsidRPr="00F21D70">
        <w:rPr>
          <w:rFonts w:ascii="Titillium" w:hAnsi="Titillium" w:cs="Titillium Web"/>
          <w:color w:val="auto"/>
          <w:sz w:val="20"/>
          <w:szCs w:val="20"/>
        </w:rPr>
        <w:t>Il</w:t>
      </w:r>
      <w:r w:rsidR="00F21D70" w:rsidRPr="00F21D70">
        <w:rPr>
          <w:rFonts w:ascii="Titillium" w:hAnsi="Titillium" w:cs="Titillium Web"/>
          <w:color w:val="auto"/>
          <w:sz w:val="20"/>
          <w:szCs w:val="20"/>
        </w:rPr>
        <w:t>/la</w:t>
      </w:r>
      <w:r w:rsidRPr="00F21D70">
        <w:rPr>
          <w:rFonts w:ascii="Titillium" w:hAnsi="Titillium" w:cs="Titillium Web"/>
          <w:color w:val="auto"/>
          <w:sz w:val="20"/>
          <w:szCs w:val="20"/>
        </w:rPr>
        <w:t xml:space="preserve"> sottoscritto</w:t>
      </w:r>
      <w:r w:rsidR="00F21D70" w:rsidRPr="00F21D70">
        <w:rPr>
          <w:rFonts w:ascii="Titillium" w:hAnsi="Titillium" w:cs="Titillium Web"/>
          <w:color w:val="auto"/>
          <w:sz w:val="20"/>
          <w:szCs w:val="20"/>
        </w:rPr>
        <w:t>/a</w:t>
      </w:r>
      <w:r w:rsidRPr="00F21D70">
        <w:rPr>
          <w:rFonts w:ascii="Titillium" w:hAnsi="Titillium" w:cs="Titillium Web"/>
          <w:color w:val="auto"/>
          <w:sz w:val="20"/>
          <w:szCs w:val="20"/>
        </w:rPr>
        <w:t xml:space="preserve"> _________________nato</w:t>
      </w:r>
      <w:r w:rsidR="00F21D70" w:rsidRPr="00F21D70">
        <w:rPr>
          <w:rFonts w:ascii="Titillium" w:hAnsi="Titillium" w:cs="Titillium Web"/>
          <w:color w:val="auto"/>
          <w:sz w:val="20"/>
          <w:szCs w:val="20"/>
        </w:rPr>
        <w:t>/a</w:t>
      </w:r>
      <w:r w:rsidRPr="00F21D70">
        <w:rPr>
          <w:rFonts w:ascii="Titillium" w:hAnsi="Titillium" w:cs="Titillium Web"/>
          <w:color w:val="auto"/>
          <w:sz w:val="20"/>
          <w:szCs w:val="20"/>
        </w:rPr>
        <w:t xml:space="preserve"> il _______ a _________ residente in ____________________via ________________________ in qualità di legale rappresentante dell’operatore economico ________________ con sede legale </w:t>
      </w:r>
      <w:proofErr w:type="spellStart"/>
      <w:r w:rsidRPr="00F21D70">
        <w:rPr>
          <w:rFonts w:ascii="Titillium" w:hAnsi="Titillium" w:cs="Titillium Web"/>
          <w:color w:val="auto"/>
          <w:sz w:val="20"/>
          <w:szCs w:val="20"/>
        </w:rPr>
        <w:t>in______________via</w:t>
      </w:r>
      <w:proofErr w:type="spellEnd"/>
      <w:r w:rsidRPr="00F21D70">
        <w:rPr>
          <w:rFonts w:ascii="Titillium" w:hAnsi="Titillium" w:cs="Titillium Web"/>
          <w:color w:val="auto"/>
          <w:sz w:val="20"/>
          <w:szCs w:val="20"/>
        </w:rPr>
        <w:t xml:space="preserve"> _______________________________ codice </w:t>
      </w:r>
      <w:proofErr w:type="spellStart"/>
      <w:r w:rsidRPr="00F21D70">
        <w:rPr>
          <w:rFonts w:ascii="Titillium" w:hAnsi="Titillium" w:cs="Titillium Web"/>
          <w:color w:val="auto"/>
          <w:sz w:val="20"/>
          <w:szCs w:val="20"/>
        </w:rPr>
        <w:t>fiscale__________________________Partita</w:t>
      </w:r>
      <w:proofErr w:type="spellEnd"/>
      <w:r w:rsidRPr="00F21D70">
        <w:rPr>
          <w:rFonts w:ascii="Titillium" w:hAnsi="Titillium" w:cs="Titillium Web"/>
          <w:color w:val="auto"/>
          <w:sz w:val="20"/>
          <w:szCs w:val="20"/>
        </w:rPr>
        <w:t xml:space="preserve"> IVA ___________________________________ </w:t>
      </w:r>
      <w:proofErr w:type="spellStart"/>
      <w:r w:rsidRPr="00F21D70">
        <w:rPr>
          <w:rFonts w:ascii="Titillium" w:hAnsi="Titillium" w:cs="Titillium Web"/>
          <w:color w:val="auto"/>
          <w:sz w:val="20"/>
          <w:szCs w:val="20"/>
        </w:rPr>
        <w:t>tel</w:t>
      </w:r>
      <w:proofErr w:type="spellEnd"/>
      <w:r w:rsidRPr="00F21D70">
        <w:rPr>
          <w:rFonts w:ascii="Titillium" w:hAnsi="Titillium" w:cs="Titillium Web"/>
          <w:color w:val="auto"/>
          <w:sz w:val="20"/>
          <w:szCs w:val="20"/>
        </w:rPr>
        <w:t>.____________________________indirizzo PEC _______________</w:t>
      </w:r>
      <w:r w:rsidR="00F21D70" w:rsidRPr="00F21D70">
        <w:rPr>
          <w:rFonts w:ascii="Titillium" w:hAnsi="Titillium" w:cs="Titillium Web"/>
          <w:color w:val="auto"/>
          <w:sz w:val="20"/>
          <w:szCs w:val="20"/>
        </w:rPr>
        <w:t>______________________________.</w:t>
      </w:r>
    </w:p>
    <w:p w:rsidR="00F21D70" w:rsidRPr="00A02626" w:rsidRDefault="00F21D70" w:rsidP="00F21D70">
      <w:pPr>
        <w:pStyle w:val="Default"/>
        <w:jc w:val="both"/>
        <w:rPr>
          <w:rFonts w:ascii="Titilium" w:hAnsi="Titilium"/>
          <w:sz w:val="22"/>
          <w:szCs w:val="22"/>
        </w:rPr>
      </w:pPr>
    </w:p>
    <w:p w:rsidR="00A02626" w:rsidRPr="00F21D70" w:rsidRDefault="00F21D70" w:rsidP="00F21D70">
      <w:pPr>
        <w:pStyle w:val="Default"/>
        <w:jc w:val="center"/>
        <w:rPr>
          <w:rFonts w:ascii="Titillium" w:hAnsi="Titillium" w:cs="Titillium Web"/>
          <w:b/>
          <w:color w:val="auto"/>
          <w:sz w:val="20"/>
          <w:szCs w:val="20"/>
        </w:rPr>
      </w:pPr>
      <w:r w:rsidRPr="00F21D70">
        <w:rPr>
          <w:rFonts w:ascii="Titillium" w:hAnsi="Titillium" w:cs="Titillium Web"/>
          <w:b/>
          <w:color w:val="auto"/>
          <w:sz w:val="20"/>
          <w:szCs w:val="20"/>
        </w:rPr>
        <w:t>m</w:t>
      </w:r>
      <w:r w:rsidR="00A02626" w:rsidRPr="00F21D70">
        <w:rPr>
          <w:rFonts w:ascii="Titillium" w:hAnsi="Titillium" w:cs="Titillium Web"/>
          <w:b/>
          <w:color w:val="auto"/>
          <w:sz w:val="20"/>
          <w:szCs w:val="20"/>
        </w:rPr>
        <w:t>anifesta il proprio intere</w:t>
      </w:r>
      <w:r w:rsidRPr="00F21D70">
        <w:rPr>
          <w:rFonts w:ascii="Titillium" w:hAnsi="Titillium" w:cs="Titillium Web"/>
          <w:b/>
          <w:color w:val="auto"/>
          <w:sz w:val="20"/>
          <w:szCs w:val="20"/>
        </w:rPr>
        <w:t>sse per l’iniziativa in oggetto.</w:t>
      </w:r>
    </w:p>
    <w:p w:rsidR="00F21D70" w:rsidRPr="00F21D70" w:rsidRDefault="00F21D70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:rsidR="00A02626" w:rsidRDefault="00A02626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 w:rsidRPr="00F21D70">
        <w:rPr>
          <w:rFonts w:ascii="Titillium" w:hAnsi="Titillium" w:cs="Titillium Web"/>
          <w:color w:val="auto"/>
          <w:sz w:val="20"/>
          <w:szCs w:val="20"/>
        </w:rPr>
        <w:t>A tal fine, consapevole, ai sensi e per gli effetti dell’art.</w:t>
      </w:r>
      <w:r w:rsidR="00F21D70">
        <w:rPr>
          <w:rFonts w:ascii="Titillium" w:hAnsi="Titillium" w:cs="Titillium Web"/>
          <w:color w:val="auto"/>
          <w:sz w:val="20"/>
          <w:szCs w:val="20"/>
        </w:rPr>
        <w:t xml:space="preserve"> </w:t>
      </w:r>
      <w:r w:rsidRPr="00F21D70">
        <w:rPr>
          <w:rFonts w:ascii="Titillium" w:hAnsi="Titillium" w:cs="Titillium Web"/>
          <w:color w:val="auto"/>
          <w:sz w:val="20"/>
          <w:szCs w:val="20"/>
        </w:rPr>
        <w:t xml:space="preserve">76 del d.P.R. 28 dicembre 2000, n. 445 e </w:t>
      </w:r>
      <w:proofErr w:type="spellStart"/>
      <w:r w:rsidRPr="00F21D70">
        <w:rPr>
          <w:rFonts w:ascii="Titillium" w:hAnsi="Titillium" w:cs="Titillium Web"/>
          <w:color w:val="auto"/>
          <w:sz w:val="20"/>
          <w:szCs w:val="20"/>
        </w:rPr>
        <w:t>s.m.i.</w:t>
      </w:r>
      <w:proofErr w:type="spellEnd"/>
      <w:r w:rsidRPr="00F21D70">
        <w:rPr>
          <w:rFonts w:ascii="Titillium" w:hAnsi="Titillium" w:cs="Titillium Web"/>
          <w:color w:val="auto"/>
          <w:sz w:val="20"/>
          <w:szCs w:val="20"/>
        </w:rPr>
        <w:t xml:space="preserve">, delle responsabilità e delle sanzioni previste in caso di dichiarazioni mendaci e/o formazione o uso di atti falsi, nonché in caso di esibizione di atti contenenti dati non più corrispondenti a verità e consapevole che qualora emerga la non veridicità del contenuto della presente dichiarazione decadrà dai benefici per i quali la stessa è rilasciata </w:t>
      </w:r>
    </w:p>
    <w:p w:rsidR="00F21D70" w:rsidRPr="00F21D70" w:rsidRDefault="00F21D70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:rsidR="00A02626" w:rsidRPr="00F21D70" w:rsidRDefault="00A02626" w:rsidP="00F21D70">
      <w:pPr>
        <w:pStyle w:val="Default"/>
        <w:jc w:val="center"/>
        <w:rPr>
          <w:rFonts w:ascii="Titillium" w:hAnsi="Titillium" w:cs="Titillium Web"/>
          <w:b/>
          <w:color w:val="auto"/>
          <w:sz w:val="20"/>
          <w:szCs w:val="20"/>
        </w:rPr>
      </w:pPr>
      <w:r w:rsidRPr="00F21D70">
        <w:rPr>
          <w:rFonts w:ascii="Titillium" w:hAnsi="Titillium" w:cs="Titillium Web"/>
          <w:b/>
          <w:color w:val="auto"/>
          <w:sz w:val="20"/>
          <w:szCs w:val="20"/>
        </w:rPr>
        <w:t>DICHIARA</w:t>
      </w:r>
    </w:p>
    <w:p w:rsidR="00A02626" w:rsidRPr="00F21D70" w:rsidRDefault="00A02626" w:rsidP="00F21D70">
      <w:pPr>
        <w:pStyle w:val="Default"/>
        <w:jc w:val="center"/>
        <w:rPr>
          <w:rFonts w:ascii="Titillium" w:hAnsi="Titillium" w:cs="Titillium Web"/>
          <w:b/>
          <w:color w:val="auto"/>
          <w:sz w:val="20"/>
          <w:szCs w:val="20"/>
        </w:rPr>
      </w:pPr>
      <w:r w:rsidRPr="00F21D70">
        <w:rPr>
          <w:rFonts w:ascii="Titillium" w:hAnsi="Titillium" w:cs="Titillium Web"/>
          <w:b/>
          <w:color w:val="auto"/>
          <w:sz w:val="20"/>
          <w:szCs w:val="20"/>
        </w:rPr>
        <w:t>AI SENSI DEGLI ARTICOLI 46 E 47 DEL D.P.R. 28 DICEMBRE 2000, N. 445 E S.M.I., SOTTO LA PROPRIA RESPONSABILITÀ</w:t>
      </w:r>
    </w:p>
    <w:p w:rsidR="00A02626" w:rsidRPr="00A02626" w:rsidRDefault="00A02626" w:rsidP="00A02626">
      <w:pPr>
        <w:pStyle w:val="Default"/>
        <w:pageBreakBefore/>
        <w:rPr>
          <w:rFonts w:ascii="Titilium" w:hAnsi="Titilium" w:cs="Calibri"/>
          <w:sz w:val="22"/>
          <w:szCs w:val="22"/>
        </w:rPr>
      </w:pPr>
    </w:p>
    <w:p w:rsidR="00F21D70" w:rsidRDefault="00A02626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 w:rsidRPr="00F21D70">
        <w:rPr>
          <w:rFonts w:ascii="Titillium" w:hAnsi="Titillium" w:cs="Titillium Web"/>
          <w:b/>
          <w:color w:val="auto"/>
          <w:sz w:val="20"/>
          <w:szCs w:val="20"/>
        </w:rPr>
        <w:t>1</w:t>
      </w:r>
      <w:r w:rsidRPr="00F21D70">
        <w:rPr>
          <w:rFonts w:ascii="Titillium" w:hAnsi="Titillium" w:cs="Titillium Web"/>
          <w:color w:val="auto"/>
          <w:sz w:val="20"/>
          <w:szCs w:val="20"/>
        </w:rPr>
        <w:t>. di accettare integralmente, senza condizione o riserva alcuna, tutte le disposizioni dell’Avviso pubblico della Consultazione pr</w:t>
      </w:r>
      <w:r w:rsidR="00F21D70">
        <w:rPr>
          <w:rFonts w:ascii="Titillium" w:hAnsi="Titillium" w:cs="Titillium Web"/>
          <w:color w:val="auto"/>
          <w:sz w:val="20"/>
          <w:szCs w:val="20"/>
        </w:rPr>
        <w:t>eliminare di mercato in oggetto.</w:t>
      </w:r>
    </w:p>
    <w:p w:rsidR="006C1CFD" w:rsidRDefault="006C1CFD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:rsidR="00A02626" w:rsidRPr="00F21D70" w:rsidRDefault="00A02626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 w:rsidRPr="00F21D70">
        <w:rPr>
          <w:rFonts w:ascii="Titillium" w:hAnsi="Titillium" w:cs="Titillium Web"/>
          <w:b/>
          <w:color w:val="auto"/>
          <w:sz w:val="20"/>
          <w:szCs w:val="20"/>
        </w:rPr>
        <w:t>2</w:t>
      </w:r>
      <w:r w:rsidRPr="00F21D70">
        <w:rPr>
          <w:rFonts w:ascii="Titillium" w:hAnsi="Titillium" w:cs="Titillium Web"/>
          <w:color w:val="auto"/>
          <w:sz w:val="20"/>
          <w:szCs w:val="20"/>
        </w:rPr>
        <w:t>. di essere consapevole che la partecipazione alla stessa non ingenera alcun affidamento, non assicura e non preclude l’ammissione alla successiva procedura negoziale, non costituendo condizione di accesso, né impegno alcuno circa il prosieguo della procedura, non dà diritto ad alcun compenso e/o rimborso e non vincola in alcun modo l’Amministrazione che, in qualsiasi momento e per qualsiasi ragione, avrà la facoltà di interrompere, sospendere o revocare la consultazione preliminare di mercato nonché interrompere, in qualsiasi momento, la consultazione di uno o più operatori economici o sospendere la relativa procedura di prossimo avvio senza alcuna responsabilità o pretesa, aspettativa né e alcun diritto da parte degli o</w:t>
      </w:r>
      <w:r w:rsidR="00F21D70">
        <w:rPr>
          <w:rFonts w:ascii="Titillium" w:hAnsi="Titillium" w:cs="Titillium Web"/>
          <w:color w:val="auto"/>
          <w:sz w:val="20"/>
          <w:szCs w:val="20"/>
        </w:rPr>
        <w:t xml:space="preserve">peratori economici consultati. </w:t>
      </w:r>
    </w:p>
    <w:p w:rsidR="00A02626" w:rsidRDefault="00A02626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 w:rsidRPr="00F21D70">
        <w:rPr>
          <w:rFonts w:ascii="Titillium" w:hAnsi="Titillium" w:cs="Titillium Web"/>
          <w:color w:val="auto"/>
          <w:sz w:val="20"/>
          <w:szCs w:val="20"/>
        </w:rPr>
        <w:t xml:space="preserve">Ciò in quanto la presente consultazione preliminare non è finalizzata all'aggiudicazione di alcun contratto, né invito a proporre offerta o a partecipare a gara secondo quanto nello stesso meglio descritto essendo l’affidamento dell’appalto dei servizi in oggetto subordinato all’avvio di apposita procedura negoziata, ai sensi dell’art 63, comma 2, lettera b) del </w:t>
      </w:r>
      <w:proofErr w:type="spellStart"/>
      <w:r w:rsidRPr="00F21D70">
        <w:rPr>
          <w:rFonts w:ascii="Titillium" w:hAnsi="Titillium" w:cs="Titillium Web"/>
          <w:color w:val="auto"/>
          <w:sz w:val="20"/>
          <w:szCs w:val="20"/>
        </w:rPr>
        <w:t>d.lgs</w:t>
      </w:r>
      <w:proofErr w:type="spellEnd"/>
      <w:r w:rsidRPr="00F21D70">
        <w:rPr>
          <w:rFonts w:ascii="Titillium" w:hAnsi="Titillium" w:cs="Titillium Web"/>
          <w:color w:val="auto"/>
          <w:sz w:val="20"/>
          <w:szCs w:val="20"/>
        </w:rPr>
        <w:t xml:space="preserve"> n. 50/</w:t>
      </w:r>
      <w:r w:rsidR="00F21D70">
        <w:rPr>
          <w:rFonts w:ascii="Titillium" w:hAnsi="Titillium" w:cs="Titillium Web"/>
          <w:color w:val="auto"/>
          <w:sz w:val="20"/>
          <w:szCs w:val="20"/>
        </w:rPr>
        <w:t xml:space="preserve">2016 e </w:t>
      </w:r>
      <w:proofErr w:type="spellStart"/>
      <w:r w:rsidR="00F21D70">
        <w:rPr>
          <w:rFonts w:ascii="Titillium" w:hAnsi="Titillium" w:cs="Titillium Web"/>
          <w:color w:val="auto"/>
          <w:sz w:val="20"/>
          <w:szCs w:val="20"/>
        </w:rPr>
        <w:t>s.m.i.</w:t>
      </w:r>
      <w:proofErr w:type="spellEnd"/>
    </w:p>
    <w:p w:rsidR="006C1CFD" w:rsidRDefault="006C1CFD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:rsidR="00F21D70" w:rsidRDefault="00F21D70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>
        <w:rPr>
          <w:rFonts w:ascii="Titillium" w:hAnsi="Titillium" w:cs="Titillium Web"/>
          <w:b/>
          <w:color w:val="auto"/>
          <w:sz w:val="20"/>
          <w:szCs w:val="20"/>
        </w:rPr>
        <w:t xml:space="preserve">3. </w:t>
      </w:r>
      <w:r>
        <w:rPr>
          <w:rFonts w:ascii="Titillium" w:hAnsi="Titillium" w:cs="Titillium Web"/>
          <w:color w:val="auto"/>
          <w:sz w:val="20"/>
          <w:szCs w:val="20"/>
        </w:rPr>
        <w:t>di essere in grado di offrire all’ANAC i</w:t>
      </w:r>
      <w:r w:rsidR="006C1CFD">
        <w:rPr>
          <w:rFonts w:ascii="Titillium" w:hAnsi="Titillium" w:cs="Titillium Web"/>
          <w:color w:val="auto"/>
          <w:sz w:val="20"/>
          <w:szCs w:val="20"/>
        </w:rPr>
        <w:t>l pacchetto di servizi “</w:t>
      </w:r>
      <w:r w:rsidR="006C1CFD">
        <w:rPr>
          <w:rFonts w:ascii="Titillium" w:hAnsi="Titillium" w:cs="Titillium Web"/>
          <w:i/>
          <w:color w:val="auto"/>
          <w:sz w:val="20"/>
          <w:szCs w:val="20"/>
        </w:rPr>
        <w:t>Executive Program</w:t>
      </w:r>
      <w:r w:rsidR="006C1CFD">
        <w:rPr>
          <w:rFonts w:ascii="Titillium" w:hAnsi="Titillium" w:cs="Titillium Web"/>
          <w:color w:val="auto"/>
          <w:sz w:val="20"/>
          <w:szCs w:val="20"/>
        </w:rPr>
        <w:t>”</w:t>
      </w:r>
      <w:r>
        <w:rPr>
          <w:rFonts w:ascii="Titillium" w:hAnsi="Titillium" w:cs="Titillium Web"/>
          <w:color w:val="auto"/>
          <w:sz w:val="20"/>
          <w:szCs w:val="20"/>
        </w:rPr>
        <w:t xml:space="preserve"> e di allegare, a tal fine, la documentazione attestante l</w:t>
      </w:r>
      <w:r w:rsidR="006C1CFD">
        <w:rPr>
          <w:rFonts w:ascii="Titillium" w:hAnsi="Titillium" w:cs="Titillium Web"/>
          <w:color w:val="auto"/>
          <w:sz w:val="20"/>
          <w:szCs w:val="20"/>
        </w:rPr>
        <w:t xml:space="preserve">a relativa </w:t>
      </w:r>
      <w:r>
        <w:rPr>
          <w:rFonts w:ascii="Titillium" w:hAnsi="Titillium" w:cs="Titillium Web"/>
          <w:color w:val="auto"/>
          <w:sz w:val="20"/>
          <w:szCs w:val="20"/>
        </w:rPr>
        <w:t>autorizzazione dell’azienda produttrice</w:t>
      </w:r>
      <w:r w:rsidR="006C1CFD">
        <w:rPr>
          <w:rFonts w:ascii="Titillium" w:hAnsi="Titillium" w:cs="Titillium Web"/>
          <w:color w:val="auto"/>
          <w:sz w:val="20"/>
          <w:szCs w:val="20"/>
        </w:rPr>
        <w:t xml:space="preserve"> (</w:t>
      </w:r>
      <w:proofErr w:type="spellStart"/>
      <w:r w:rsidR="006C1CFD">
        <w:rPr>
          <w:rFonts w:ascii="Titillium" w:hAnsi="Titillium" w:cs="Titillium Web"/>
          <w:i/>
          <w:color w:val="auto"/>
          <w:sz w:val="20"/>
          <w:szCs w:val="20"/>
        </w:rPr>
        <w:t>authorization</w:t>
      </w:r>
      <w:proofErr w:type="spellEnd"/>
      <w:r w:rsidR="006C1CFD">
        <w:rPr>
          <w:rFonts w:ascii="Titillium" w:hAnsi="Titillium" w:cs="Titillium Web"/>
          <w:i/>
          <w:color w:val="auto"/>
          <w:sz w:val="20"/>
          <w:szCs w:val="20"/>
        </w:rPr>
        <w:t xml:space="preserve"> </w:t>
      </w:r>
      <w:proofErr w:type="spellStart"/>
      <w:r w:rsidR="006C1CFD">
        <w:rPr>
          <w:rFonts w:ascii="Titillium" w:hAnsi="Titillium" w:cs="Titillium Web"/>
          <w:i/>
          <w:color w:val="auto"/>
          <w:sz w:val="20"/>
          <w:szCs w:val="20"/>
        </w:rPr>
        <w:t>letter</w:t>
      </w:r>
      <w:proofErr w:type="spellEnd"/>
      <w:r w:rsidR="006C1CFD">
        <w:rPr>
          <w:rFonts w:ascii="Titillium" w:hAnsi="Titillium" w:cs="Titillium Web"/>
          <w:color w:val="auto"/>
          <w:sz w:val="20"/>
          <w:szCs w:val="20"/>
        </w:rPr>
        <w:t>);</w:t>
      </w:r>
    </w:p>
    <w:p w:rsidR="006C1CFD" w:rsidRPr="006C1CFD" w:rsidRDefault="006C1CFD" w:rsidP="006C1CFD">
      <w:pPr>
        <w:pStyle w:val="Default"/>
        <w:jc w:val="center"/>
        <w:rPr>
          <w:rFonts w:ascii="Titillium" w:hAnsi="Titillium" w:cs="Titillium Web"/>
          <w:b/>
          <w:i/>
          <w:color w:val="auto"/>
          <w:sz w:val="20"/>
          <w:szCs w:val="20"/>
        </w:rPr>
      </w:pPr>
      <w:r>
        <w:rPr>
          <w:rFonts w:ascii="Titillium" w:hAnsi="Titillium" w:cs="Titillium Web"/>
          <w:b/>
          <w:i/>
          <w:color w:val="auto"/>
          <w:sz w:val="20"/>
          <w:szCs w:val="20"/>
        </w:rPr>
        <w:t>oppure</w:t>
      </w:r>
    </w:p>
    <w:p w:rsidR="006C1CFD" w:rsidRDefault="00F21D70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>
        <w:rPr>
          <w:rFonts w:ascii="Titillium" w:hAnsi="Titillium" w:cs="Titillium Web"/>
          <w:color w:val="auto"/>
          <w:sz w:val="20"/>
          <w:szCs w:val="20"/>
        </w:rPr>
        <w:t xml:space="preserve"> </w:t>
      </w:r>
      <w:r w:rsidR="006C1CFD">
        <w:rPr>
          <w:rFonts w:ascii="Titillium" w:hAnsi="Titillium" w:cs="Titillium Web"/>
          <w:color w:val="auto"/>
          <w:sz w:val="20"/>
          <w:szCs w:val="20"/>
        </w:rPr>
        <w:t xml:space="preserve">di possedere informazioni rilevanti per l’ANAC circa </w:t>
      </w:r>
      <w:r>
        <w:rPr>
          <w:rFonts w:ascii="Titillium" w:hAnsi="Titillium" w:cs="Titillium Web"/>
          <w:color w:val="auto"/>
          <w:sz w:val="20"/>
          <w:szCs w:val="20"/>
        </w:rPr>
        <w:t xml:space="preserve">fornire all’ANAC informazioni rilevanti </w:t>
      </w:r>
      <w:r w:rsidR="006C1CFD">
        <w:rPr>
          <w:rFonts w:ascii="Titillium" w:hAnsi="Titillium" w:cs="Titillium Web"/>
          <w:color w:val="auto"/>
          <w:sz w:val="20"/>
          <w:szCs w:val="20"/>
        </w:rPr>
        <w:t xml:space="preserve">circa </w:t>
      </w:r>
      <w:r w:rsidR="006C1CFD" w:rsidRPr="006C1CFD">
        <w:rPr>
          <w:rFonts w:ascii="Titillium" w:hAnsi="Titillium" w:cs="Titillium Web"/>
          <w:color w:val="auto"/>
          <w:sz w:val="20"/>
          <w:szCs w:val="20"/>
        </w:rPr>
        <w:t>l’esistenza di soluzioni alternative ragionevoli all’acquisto del pacchetto “</w:t>
      </w:r>
      <w:r w:rsidR="006C1CFD" w:rsidRPr="006C1CFD">
        <w:rPr>
          <w:rFonts w:ascii="Titillium" w:hAnsi="Titillium" w:cs="Titillium Web"/>
          <w:i/>
          <w:color w:val="auto"/>
          <w:sz w:val="20"/>
          <w:szCs w:val="20"/>
        </w:rPr>
        <w:t xml:space="preserve">Executive </w:t>
      </w:r>
      <w:proofErr w:type="spellStart"/>
      <w:r w:rsidR="006C1CFD" w:rsidRPr="006C1CFD">
        <w:rPr>
          <w:rFonts w:ascii="Titillium" w:hAnsi="Titillium" w:cs="Titillium Web"/>
          <w:i/>
          <w:color w:val="auto"/>
          <w:sz w:val="20"/>
          <w:szCs w:val="20"/>
        </w:rPr>
        <w:t>program</w:t>
      </w:r>
      <w:proofErr w:type="spellEnd"/>
      <w:r w:rsidR="006C1CFD">
        <w:rPr>
          <w:rFonts w:ascii="Titillium" w:hAnsi="Titillium" w:cs="Titillium Web"/>
          <w:color w:val="auto"/>
          <w:sz w:val="20"/>
          <w:szCs w:val="20"/>
        </w:rPr>
        <w:t>” e di allegare, a tal fine, una Relazione esplicativa della praticabilità tecnica ed economica della/e soluzione/i prospettata/e.</w:t>
      </w:r>
    </w:p>
    <w:p w:rsidR="006C1CFD" w:rsidRDefault="006C1CFD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:rsidR="006C1CFD" w:rsidRDefault="006C1CFD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>
        <w:rPr>
          <w:rFonts w:ascii="Titillium" w:hAnsi="Titillium" w:cs="Titillium Web"/>
          <w:b/>
          <w:color w:val="auto"/>
          <w:sz w:val="20"/>
          <w:szCs w:val="20"/>
        </w:rPr>
        <w:t xml:space="preserve">4. </w:t>
      </w:r>
      <w:r>
        <w:rPr>
          <w:rFonts w:ascii="Titillium" w:hAnsi="Titillium" w:cs="Titillium Web"/>
          <w:color w:val="auto"/>
          <w:sz w:val="20"/>
          <w:szCs w:val="20"/>
        </w:rPr>
        <w:t>che per ogni eventuale comunicazione inerente la Consultazione preliminare di mercato in oggetto indica quale proprio referente ………………………………………………………………</w:t>
      </w:r>
    </w:p>
    <w:p w:rsidR="006C1CFD" w:rsidRDefault="006C1CFD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:rsidR="006C1CFD" w:rsidRDefault="006C1CFD" w:rsidP="00F21D70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>
        <w:rPr>
          <w:rFonts w:ascii="Titillium" w:hAnsi="Titillium" w:cs="Titillium Web"/>
          <w:color w:val="auto"/>
          <w:sz w:val="20"/>
          <w:szCs w:val="20"/>
        </w:rPr>
        <w:t xml:space="preserve">Si allega un documento di riconoscimento in corso di validità. </w:t>
      </w:r>
    </w:p>
    <w:p w:rsidR="00A02626" w:rsidRPr="00A02626" w:rsidRDefault="00A02626" w:rsidP="00A02626">
      <w:pPr>
        <w:pStyle w:val="Default"/>
        <w:rPr>
          <w:rFonts w:ascii="Titilium" w:hAnsi="Titilium"/>
          <w:sz w:val="23"/>
          <w:szCs w:val="23"/>
        </w:rPr>
      </w:pPr>
    </w:p>
    <w:p w:rsidR="006C1CFD" w:rsidRDefault="00A02626" w:rsidP="006C1CFD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 w:rsidRPr="006C1CFD">
        <w:rPr>
          <w:rFonts w:ascii="Titillium" w:hAnsi="Titillium" w:cs="Titillium Web"/>
          <w:color w:val="auto"/>
          <w:sz w:val="20"/>
          <w:szCs w:val="20"/>
        </w:rPr>
        <w:t>Luogo e data</w:t>
      </w:r>
    </w:p>
    <w:p w:rsidR="00A02626" w:rsidRPr="006C1CFD" w:rsidRDefault="00A02626" w:rsidP="006C1CFD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  <w:r w:rsidRPr="006C1CFD">
        <w:rPr>
          <w:rFonts w:ascii="Titillium" w:hAnsi="Titillium" w:cs="Titillium Web"/>
          <w:color w:val="auto"/>
          <w:sz w:val="20"/>
          <w:szCs w:val="20"/>
        </w:rPr>
        <w:t xml:space="preserve"> </w:t>
      </w:r>
    </w:p>
    <w:p w:rsidR="00124B25" w:rsidRPr="006C1CFD" w:rsidRDefault="00A02626" w:rsidP="006C1CFD">
      <w:pPr>
        <w:pStyle w:val="Default"/>
        <w:jc w:val="right"/>
        <w:rPr>
          <w:rFonts w:ascii="Titillium" w:hAnsi="Titillium" w:cs="Titillium Web"/>
          <w:i/>
          <w:color w:val="auto"/>
          <w:sz w:val="20"/>
          <w:szCs w:val="20"/>
        </w:rPr>
      </w:pPr>
      <w:r w:rsidRPr="006C1CFD">
        <w:rPr>
          <w:rFonts w:ascii="Titillium" w:hAnsi="Titillium" w:cs="Titillium Web"/>
          <w:i/>
          <w:color w:val="auto"/>
          <w:sz w:val="20"/>
          <w:szCs w:val="20"/>
        </w:rPr>
        <w:t>Sottoscrizione digitale</w:t>
      </w:r>
    </w:p>
    <w:sectPr w:rsidR="00124B25" w:rsidRPr="006C1CFD" w:rsidSect="000E39F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DF4" w:rsidRDefault="00A55DF4" w:rsidP="00A02626">
      <w:r>
        <w:separator/>
      </w:r>
    </w:p>
  </w:endnote>
  <w:endnote w:type="continuationSeparator" w:id="0">
    <w:p w:rsidR="00A55DF4" w:rsidRDefault="00A55DF4" w:rsidP="00A0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ium">
    <w:altName w:val="Times New Roman"/>
    <w:panose1 w:val="00000000000000000000"/>
    <w:charset w:val="00"/>
    <w:family w:val="roman"/>
    <w:notTrueType/>
    <w:pitch w:val="default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4D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DF4" w:rsidRDefault="00A55DF4" w:rsidP="00A02626">
      <w:r>
        <w:separator/>
      </w:r>
    </w:p>
  </w:footnote>
  <w:footnote w:type="continuationSeparator" w:id="0">
    <w:p w:rsidR="00A55DF4" w:rsidRDefault="00A55DF4" w:rsidP="00A02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26"/>
    <w:rsid w:val="000657D2"/>
    <w:rsid w:val="000D1408"/>
    <w:rsid w:val="000E39FD"/>
    <w:rsid w:val="00124B25"/>
    <w:rsid w:val="004D2128"/>
    <w:rsid w:val="006C1CFD"/>
    <w:rsid w:val="00A02626"/>
    <w:rsid w:val="00A55DF4"/>
    <w:rsid w:val="00B32214"/>
    <w:rsid w:val="00CA626B"/>
    <w:rsid w:val="00DE13D2"/>
    <w:rsid w:val="00F041A2"/>
    <w:rsid w:val="00F21D70"/>
    <w:rsid w:val="00F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36712"/>
  <w15:chartTrackingRefBased/>
  <w15:docId w15:val="{0C715660-942D-4EC6-B41A-AFCCA8CE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262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2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02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626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02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626"/>
    <w:rPr>
      <w:rFonts w:ascii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F21D70"/>
    <w:rPr>
      <w:color w:val="0563C1" w:themeColor="hyperlink"/>
      <w:u w:val="single"/>
    </w:rPr>
  </w:style>
  <w:style w:type="paragraph" w:customStyle="1" w:styleId="ANAC-TitoloParagrafo">
    <w:name w:val="ANAC - Titolo Paragrafo"/>
    <w:basedOn w:val="Normale"/>
    <w:link w:val="ANAC-TitoloParagrafoCarattere"/>
    <w:qFormat/>
    <w:rsid w:val="00F21D70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/>
      <w:ind w:left="1560" w:right="142"/>
      <w:outlineLvl w:val="4"/>
    </w:pPr>
    <w:rPr>
      <w:rFonts w:ascii="Gotham Light" w:eastAsiaTheme="majorEastAsia" w:hAnsi="Gotham Light" w:cstheme="majorBidi"/>
      <w:color w:val="2770B7"/>
      <w:sz w:val="28"/>
      <w:szCs w:val="24"/>
      <w:lang w:val="en-US"/>
    </w:rPr>
  </w:style>
  <w:style w:type="character" w:customStyle="1" w:styleId="ANAC-TitoloParagrafoCarattere">
    <w:name w:val="ANAC - Titolo Paragrafo Carattere"/>
    <w:basedOn w:val="Carpredefinitoparagrafo"/>
    <w:link w:val="ANAC-TitoloParagrafo"/>
    <w:rsid w:val="00F21D70"/>
    <w:rPr>
      <w:rFonts w:ascii="Gotham Light" w:eastAsiaTheme="majorEastAsia" w:hAnsi="Gotham Light" w:cstheme="majorBidi"/>
      <w:color w:val="2770B7"/>
      <w:sz w:val="28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2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anticorruzione.i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0" ma:contentTypeDescription="Creare un nuovo documento." ma:contentTypeScope="" ma:versionID="f38b25c39e7f2bafd38b065aa3be2dcd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b8e079676b968049d1814ab2718b392e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4B191-1C85-4AD4-B61D-CF2415D70D53}"/>
</file>

<file path=customXml/itemProps2.xml><?xml version="1.0" encoding="utf-8"?>
<ds:datastoreItem xmlns:ds="http://schemas.openxmlformats.org/officeDocument/2006/customXml" ds:itemID="{EFEFC948-F23F-49EE-B2C8-24D4E89A3C0F}"/>
</file>

<file path=customXml/itemProps3.xml><?xml version="1.0" encoding="utf-8"?>
<ds:datastoreItem xmlns:ds="http://schemas.openxmlformats.org/officeDocument/2006/customXml" ds:itemID="{0DF92D69-7970-4980-BAA5-E88921C84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Fontana Paolo</dc:creator>
  <cp:keywords/>
  <dc:description/>
  <cp:lastModifiedBy>Pedercini Duccio Raffaele</cp:lastModifiedBy>
  <cp:revision>10</cp:revision>
  <cp:lastPrinted>2022-02-22T13:25:00Z</cp:lastPrinted>
  <dcterms:created xsi:type="dcterms:W3CDTF">2022-02-21T13:39:00Z</dcterms:created>
  <dcterms:modified xsi:type="dcterms:W3CDTF">2022-02-22T13:28:00Z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