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0B" w:rsidRDefault="00B6390B" w:rsidP="00332723">
      <w:pPr>
        <w:tabs>
          <w:tab w:val="left" w:pos="2774"/>
        </w:tabs>
        <w:spacing w:before="120" w:after="120" w:line="276" w:lineRule="auto"/>
        <w:jc w:val="center"/>
        <w:rPr>
          <w:rFonts w:ascii="Gotham Book" w:hAnsi="Gotham Book" w:cs="Arial"/>
          <w:b/>
          <w:color w:val="2E74B5"/>
        </w:rPr>
      </w:pPr>
    </w:p>
    <w:p w:rsidR="006979D2" w:rsidRPr="008B6ABE" w:rsidRDefault="008F7EEC" w:rsidP="00581C43">
      <w:pPr>
        <w:tabs>
          <w:tab w:val="left" w:pos="2774"/>
        </w:tabs>
        <w:spacing w:before="120" w:after="240" w:line="276" w:lineRule="auto"/>
        <w:jc w:val="center"/>
        <w:rPr>
          <w:rFonts w:ascii="Gotham Light" w:hAnsi="Gotham Light"/>
          <w:b/>
          <w:sz w:val="36"/>
          <w:szCs w:val="36"/>
        </w:rPr>
      </w:pPr>
      <w:r>
        <w:rPr>
          <w:rFonts w:ascii="Gotham Light" w:hAnsi="Gotham Light" w:cs="Arial"/>
          <w:b/>
          <w:color w:val="2E74B5"/>
          <w:sz w:val="36"/>
          <w:szCs w:val="36"/>
        </w:rPr>
        <w:t>DETERMINA DI MODIFICA CONTRATTUALE</w:t>
      </w:r>
    </w:p>
    <w:p w:rsidR="00332723" w:rsidRPr="003E6227" w:rsidRDefault="00332723" w:rsidP="00581C43">
      <w:pPr>
        <w:spacing w:after="100" w:line="276" w:lineRule="auto"/>
        <w:jc w:val="both"/>
        <w:rPr>
          <w:rFonts w:ascii="Titillium" w:hAnsi="Titillium"/>
          <w:sz w:val="21"/>
          <w:szCs w:val="21"/>
        </w:rPr>
      </w:pPr>
      <w:r w:rsidRPr="003E6227">
        <w:rPr>
          <w:rFonts w:ascii="Titillium" w:hAnsi="Titillium"/>
          <w:b/>
          <w:sz w:val="21"/>
          <w:szCs w:val="21"/>
        </w:rPr>
        <w:t>VISTO</w:t>
      </w:r>
      <w:r w:rsidRPr="003E6227">
        <w:rPr>
          <w:rFonts w:ascii="Titillium" w:hAnsi="Titillium"/>
          <w:sz w:val="21"/>
          <w:szCs w:val="21"/>
        </w:rPr>
        <w:t xml:space="preserve"> il decreto le</w:t>
      </w:r>
      <w:r w:rsidR="00FC07A9">
        <w:rPr>
          <w:rFonts w:ascii="Titillium" w:hAnsi="Titillium"/>
          <w:sz w:val="21"/>
          <w:szCs w:val="21"/>
        </w:rPr>
        <w:t xml:space="preserve">gislativo 18 aprile 2016, n. 50 – applicabile </w:t>
      </w:r>
      <w:r w:rsidR="00FC07A9">
        <w:rPr>
          <w:rFonts w:ascii="Titillium" w:hAnsi="Titillium"/>
          <w:i/>
          <w:sz w:val="21"/>
          <w:szCs w:val="21"/>
        </w:rPr>
        <w:t xml:space="preserve">ratione temporis </w:t>
      </w:r>
      <w:r w:rsidR="00FC07A9">
        <w:rPr>
          <w:rFonts w:ascii="Titillium" w:hAnsi="Titillium"/>
          <w:sz w:val="21"/>
          <w:szCs w:val="21"/>
        </w:rPr>
        <w:t>-</w:t>
      </w:r>
      <w:r w:rsidRPr="003E6227">
        <w:rPr>
          <w:rFonts w:ascii="Titillium" w:hAnsi="Titillium"/>
          <w:sz w:val="21"/>
          <w:szCs w:val="21"/>
        </w:rPr>
        <w:t xml:space="preserve"> ed in particolare il comma 2 dell’art. 32, il quale prevede che, prima dell’avvio delle procedure di affidamento dei contratti pubblici, le stazioni appaltanti, in conformità ai propri ordinamenti, decretino o determinino di contrarre, individuando gli elementi essenziali del contratto e i criteri di selezione degli operatori economici e delle </w:t>
      </w:r>
      <w:r w:rsidR="00B80660" w:rsidRPr="003E6227">
        <w:rPr>
          <w:rFonts w:ascii="Titillium" w:hAnsi="Titillium"/>
          <w:sz w:val="21"/>
          <w:szCs w:val="21"/>
        </w:rPr>
        <w:t>offerte</w:t>
      </w:r>
      <w:r w:rsidRPr="003E6227">
        <w:rPr>
          <w:rFonts w:ascii="Titillium" w:hAnsi="Titillium"/>
          <w:sz w:val="21"/>
          <w:szCs w:val="21"/>
        </w:rPr>
        <w:t>;</w:t>
      </w:r>
    </w:p>
    <w:p w:rsidR="004778A3" w:rsidRPr="003E6227" w:rsidRDefault="00332723" w:rsidP="00581C43">
      <w:pPr>
        <w:spacing w:after="100" w:line="276" w:lineRule="auto"/>
        <w:jc w:val="both"/>
        <w:rPr>
          <w:rFonts w:ascii="Titillium" w:hAnsi="Titillium"/>
          <w:sz w:val="21"/>
          <w:szCs w:val="21"/>
        </w:rPr>
      </w:pPr>
      <w:r w:rsidRPr="003E6227">
        <w:rPr>
          <w:rFonts w:ascii="Titillium" w:hAnsi="Titillium"/>
          <w:b/>
          <w:sz w:val="21"/>
          <w:szCs w:val="21"/>
        </w:rPr>
        <w:t>VISTO</w:t>
      </w:r>
      <w:r w:rsidRPr="003E6227">
        <w:rPr>
          <w:rFonts w:ascii="Titillium" w:hAnsi="Titillium"/>
          <w:sz w:val="21"/>
          <w:szCs w:val="21"/>
        </w:rPr>
        <w:t xml:space="preserve"> </w:t>
      </w:r>
      <w:r w:rsidR="004778A3" w:rsidRPr="003E6227">
        <w:rPr>
          <w:rFonts w:ascii="Titillium" w:hAnsi="Titillium"/>
          <w:sz w:val="21"/>
          <w:szCs w:val="21"/>
        </w:rPr>
        <w:t>il Regolamento per la disciplina dei contratti pubblici di servizi e forniture stipulati dall’Autorità approvato con Delibera n. 538 del 7.7.2021 e pubblicato in data 21.7.2021;</w:t>
      </w:r>
    </w:p>
    <w:p w:rsidR="001D2907" w:rsidRPr="003E6227" w:rsidRDefault="001D2907" w:rsidP="001D2907">
      <w:pPr>
        <w:pStyle w:val="Corpodeltesto2"/>
        <w:spacing w:before="120" w:line="276" w:lineRule="auto"/>
        <w:ind w:right="-1"/>
        <w:jc w:val="both"/>
        <w:rPr>
          <w:rFonts w:ascii="Titillium" w:hAnsi="Titillium"/>
          <w:sz w:val="21"/>
          <w:szCs w:val="21"/>
        </w:rPr>
      </w:pPr>
      <w:r w:rsidRPr="003E6227">
        <w:rPr>
          <w:rFonts w:ascii="Titillium" w:hAnsi="Titillium"/>
          <w:b/>
          <w:sz w:val="21"/>
          <w:szCs w:val="21"/>
        </w:rPr>
        <w:t xml:space="preserve">VISTO </w:t>
      </w:r>
      <w:r w:rsidRPr="003E6227">
        <w:rPr>
          <w:rFonts w:ascii="Titillium" w:hAnsi="Titillium"/>
          <w:sz w:val="21"/>
          <w:szCs w:val="21"/>
        </w:rPr>
        <w:t>il Regolamento concernente la disciplina contabile dell’Autorità Nazionale Anticorruzione approvato dal Consiglio dell’Autorità nella seduta del 7 luglio 2021 ed entrato in vigore il 1° gennaio 2022;</w:t>
      </w:r>
    </w:p>
    <w:p w:rsidR="00A271BF" w:rsidRPr="003E6227" w:rsidRDefault="00EE175F" w:rsidP="00581C43">
      <w:pPr>
        <w:spacing w:after="100" w:line="276" w:lineRule="auto"/>
        <w:jc w:val="both"/>
        <w:rPr>
          <w:rFonts w:ascii="Titillium" w:hAnsi="Titillium"/>
          <w:sz w:val="21"/>
          <w:szCs w:val="21"/>
        </w:rPr>
      </w:pPr>
      <w:r w:rsidRPr="003E6227">
        <w:rPr>
          <w:rFonts w:ascii="Titillium" w:hAnsi="Titillium"/>
          <w:b/>
          <w:sz w:val="21"/>
          <w:szCs w:val="21"/>
        </w:rPr>
        <w:t xml:space="preserve">VISTO </w:t>
      </w:r>
      <w:r w:rsidRPr="003E6227">
        <w:rPr>
          <w:rFonts w:ascii="Titillium" w:hAnsi="Titillium"/>
          <w:sz w:val="21"/>
          <w:szCs w:val="21"/>
        </w:rPr>
        <w:t xml:space="preserve">l’ordine diretto di acquisto n. 5360676 del </w:t>
      </w:r>
      <w:r w:rsidR="00A271BF" w:rsidRPr="003E6227">
        <w:rPr>
          <w:rFonts w:ascii="Titillium" w:hAnsi="Titillium"/>
          <w:sz w:val="21"/>
          <w:szCs w:val="21"/>
        </w:rPr>
        <w:t xml:space="preserve">5.06.2020 </w:t>
      </w:r>
      <w:r w:rsidRPr="003E6227">
        <w:rPr>
          <w:rFonts w:ascii="Titillium" w:hAnsi="Titillium"/>
          <w:sz w:val="21"/>
          <w:szCs w:val="21"/>
        </w:rPr>
        <w:t xml:space="preserve">inviato al Consorzio Leonardo Servizi e Lavori Società Cooperativa Consortile Stabile, con il quale </w:t>
      </w:r>
      <w:r w:rsidR="00A271BF" w:rsidRPr="003E6227">
        <w:rPr>
          <w:rFonts w:ascii="Titillium" w:hAnsi="Titillium"/>
          <w:sz w:val="21"/>
          <w:szCs w:val="21"/>
        </w:rPr>
        <w:t xml:space="preserve">l’Autorità ha aderito alla Convenzione </w:t>
      </w:r>
      <w:r w:rsidRPr="003E6227">
        <w:rPr>
          <w:rFonts w:ascii="Titillium" w:hAnsi="Titillium"/>
          <w:sz w:val="21"/>
          <w:szCs w:val="21"/>
        </w:rPr>
        <w:t xml:space="preserve">Consip </w:t>
      </w:r>
      <w:r w:rsidR="00A10E00" w:rsidRPr="003E6227">
        <w:rPr>
          <w:rFonts w:ascii="Titillium" w:hAnsi="Titillium"/>
          <w:sz w:val="21"/>
          <w:szCs w:val="21"/>
        </w:rPr>
        <w:t>“</w:t>
      </w:r>
      <w:r w:rsidR="00A271BF" w:rsidRPr="003E6227">
        <w:rPr>
          <w:rFonts w:ascii="Titillium" w:hAnsi="Titillium"/>
          <w:sz w:val="21"/>
          <w:szCs w:val="21"/>
        </w:rPr>
        <w:t>Servizi di Contact Center in Outsourcing 2</w:t>
      </w:r>
      <w:r w:rsidR="00236417" w:rsidRPr="003E6227">
        <w:rPr>
          <w:rFonts w:ascii="Titillium" w:hAnsi="Titillium"/>
          <w:sz w:val="21"/>
          <w:szCs w:val="21"/>
        </w:rPr>
        <w:t xml:space="preserve"> – Lotto 3 (Lazio)</w:t>
      </w:r>
      <w:r w:rsidR="00A10E00" w:rsidRPr="003E6227">
        <w:rPr>
          <w:rFonts w:ascii="Titillium" w:hAnsi="Titillium"/>
          <w:sz w:val="21"/>
          <w:szCs w:val="21"/>
        </w:rPr>
        <w:t>”</w:t>
      </w:r>
      <w:r w:rsidR="00A271BF" w:rsidRPr="003E6227">
        <w:rPr>
          <w:rFonts w:ascii="Titillium" w:hAnsi="Titillium"/>
          <w:sz w:val="21"/>
          <w:szCs w:val="21"/>
        </w:rPr>
        <w:t>,</w:t>
      </w:r>
      <w:r w:rsidR="00110EE1" w:rsidRPr="003E6227">
        <w:rPr>
          <w:rFonts w:ascii="Titillium" w:hAnsi="Titillium"/>
          <w:sz w:val="21"/>
          <w:szCs w:val="21"/>
        </w:rPr>
        <w:t xml:space="preserve"> </w:t>
      </w:r>
      <w:r w:rsidR="00A271BF" w:rsidRPr="003E6227">
        <w:rPr>
          <w:rFonts w:ascii="Titillium" w:hAnsi="Titillium"/>
          <w:sz w:val="21"/>
          <w:szCs w:val="21"/>
        </w:rPr>
        <w:t xml:space="preserve">per un periodo di 48 mesi e per un importo contrattuale di € 8.148.856,28, oltre IVA e oneri </w:t>
      </w:r>
      <w:r w:rsidRPr="003E6227">
        <w:rPr>
          <w:rFonts w:ascii="Titillium" w:hAnsi="Titillium"/>
          <w:sz w:val="21"/>
          <w:szCs w:val="21"/>
        </w:rPr>
        <w:t>de</w:t>
      </w:r>
      <w:r w:rsidR="00A10E00" w:rsidRPr="003E6227">
        <w:rPr>
          <w:rFonts w:ascii="Titillium" w:hAnsi="Titillium"/>
          <w:sz w:val="21"/>
          <w:szCs w:val="21"/>
        </w:rPr>
        <w:t xml:space="preserve">lla sicurezza interferenziale, </w:t>
      </w:r>
      <w:r w:rsidRPr="003E6227">
        <w:rPr>
          <w:rFonts w:ascii="Titillium" w:hAnsi="Titillium"/>
          <w:sz w:val="21"/>
          <w:szCs w:val="21"/>
        </w:rPr>
        <w:t>con decorrenza 1.10.2020</w:t>
      </w:r>
      <w:r w:rsidR="00A271BF" w:rsidRPr="003E6227">
        <w:rPr>
          <w:rFonts w:ascii="Titillium" w:hAnsi="Titillium"/>
          <w:sz w:val="21"/>
          <w:szCs w:val="21"/>
        </w:rPr>
        <w:t>;</w:t>
      </w:r>
    </w:p>
    <w:p w:rsidR="001D2907" w:rsidRPr="003E6227" w:rsidRDefault="001263C2" w:rsidP="00581C43">
      <w:pPr>
        <w:spacing w:after="100" w:line="276" w:lineRule="auto"/>
        <w:jc w:val="both"/>
        <w:rPr>
          <w:rFonts w:ascii="Titillium" w:hAnsi="Titillium"/>
          <w:sz w:val="21"/>
          <w:szCs w:val="21"/>
        </w:rPr>
      </w:pPr>
      <w:r w:rsidRPr="003E6227">
        <w:rPr>
          <w:rFonts w:ascii="Titillium" w:hAnsi="Titillium"/>
          <w:b/>
          <w:sz w:val="21"/>
          <w:szCs w:val="21"/>
        </w:rPr>
        <w:t>VISTO</w:t>
      </w:r>
      <w:r w:rsidRPr="003E6227">
        <w:rPr>
          <w:rFonts w:ascii="Titillium" w:hAnsi="Titillium"/>
          <w:sz w:val="21"/>
          <w:szCs w:val="21"/>
        </w:rPr>
        <w:t xml:space="preserve"> l’appunto al Consiglio dell’Autorità prot. n. 45484 del 13.06.2023</w:t>
      </w:r>
      <w:r w:rsidR="00FC07A9">
        <w:rPr>
          <w:rFonts w:ascii="Titillium" w:hAnsi="Titillium"/>
          <w:sz w:val="21"/>
          <w:szCs w:val="21"/>
        </w:rPr>
        <w:t>, con il quale l’Ufficio USIS aveva rappresentato, tra l’altro, com</w:t>
      </w:r>
      <w:r w:rsidRPr="003E6227">
        <w:rPr>
          <w:rFonts w:ascii="Titillium" w:hAnsi="Titillium"/>
          <w:sz w:val="21"/>
          <w:szCs w:val="21"/>
        </w:rPr>
        <w:t>e per il contratto in essere con il Consorzio Leonardo Servizi e Lavori Società Cooperativa Consortile Stabile, di cui al predetto ordine diretto di acquisto n. 5360676 del 5.06.2020</w:t>
      </w:r>
      <w:r w:rsidR="003E6227">
        <w:rPr>
          <w:rFonts w:ascii="Titillium" w:hAnsi="Titillium"/>
          <w:sz w:val="21"/>
          <w:szCs w:val="21"/>
        </w:rPr>
        <w:t>,</w:t>
      </w:r>
      <w:r w:rsidRPr="003E6227">
        <w:rPr>
          <w:rFonts w:ascii="Titillium" w:hAnsi="Titillium"/>
          <w:sz w:val="21"/>
          <w:szCs w:val="21"/>
        </w:rPr>
        <w:t xml:space="preserve"> sulla base dell’andamento attuale dei volumi in ingresso al contact center e in considerazione dei nuovi servizi </w:t>
      </w:r>
      <w:r w:rsidR="00FC07A9">
        <w:rPr>
          <w:rFonts w:ascii="Titillium" w:hAnsi="Titillium"/>
          <w:sz w:val="21"/>
          <w:szCs w:val="21"/>
        </w:rPr>
        <w:t>erogati dal</w:t>
      </w:r>
      <w:r w:rsidRPr="003E6227">
        <w:rPr>
          <w:rFonts w:ascii="Titillium" w:hAnsi="Titillium"/>
          <w:sz w:val="21"/>
          <w:szCs w:val="21"/>
        </w:rPr>
        <w:t>l’A.N.AC</w:t>
      </w:r>
      <w:r w:rsidR="00FC07A9">
        <w:rPr>
          <w:rFonts w:ascii="Titillium" w:hAnsi="Titillium"/>
          <w:sz w:val="21"/>
          <w:szCs w:val="21"/>
        </w:rPr>
        <w:t>.</w:t>
      </w:r>
      <w:r w:rsidR="003E6227">
        <w:rPr>
          <w:rFonts w:ascii="Titillium" w:hAnsi="Titillium"/>
          <w:sz w:val="21"/>
          <w:szCs w:val="21"/>
        </w:rPr>
        <w:t>,</w:t>
      </w:r>
      <w:r w:rsidR="00FC07A9">
        <w:rPr>
          <w:rFonts w:ascii="Titillium" w:hAnsi="Titillium"/>
          <w:sz w:val="21"/>
          <w:szCs w:val="21"/>
        </w:rPr>
        <w:t xml:space="preserve"> fosse</w:t>
      </w:r>
      <w:r w:rsidRPr="003E6227">
        <w:rPr>
          <w:rFonts w:ascii="Titillium" w:hAnsi="Titillium"/>
          <w:sz w:val="21"/>
          <w:szCs w:val="21"/>
        </w:rPr>
        <w:t xml:space="preserve"> verosimile ipotizzare come scadenza il mese di agosto 2023, tenuto conto </w:t>
      </w:r>
      <w:r w:rsidR="003E4EE3" w:rsidRPr="003E6227">
        <w:rPr>
          <w:rFonts w:ascii="Titillium" w:hAnsi="Titillium"/>
          <w:sz w:val="21"/>
          <w:szCs w:val="21"/>
        </w:rPr>
        <w:t>anche del continuo incremento delle chiamate telefoniche connesso all</w:t>
      </w:r>
      <w:r w:rsidRPr="003E6227">
        <w:rPr>
          <w:rFonts w:ascii="Titillium" w:hAnsi="Titillium"/>
          <w:sz w:val="21"/>
          <w:szCs w:val="21"/>
        </w:rPr>
        <w:t xml:space="preserve">’obbligo di utilizzo del fascicolo virtuale dell’operatore economico, </w:t>
      </w:r>
      <w:r w:rsidR="00460B02" w:rsidRPr="003E6227">
        <w:rPr>
          <w:rFonts w:ascii="Titillium" w:hAnsi="Titillium"/>
          <w:sz w:val="21"/>
          <w:szCs w:val="21"/>
        </w:rPr>
        <w:t>che ha comportato</w:t>
      </w:r>
      <w:r w:rsidR="003E4EE3" w:rsidRPr="003E6227">
        <w:rPr>
          <w:rFonts w:ascii="Titillium" w:hAnsi="Titillium"/>
          <w:sz w:val="21"/>
          <w:szCs w:val="21"/>
        </w:rPr>
        <w:t xml:space="preserve"> un aumento</w:t>
      </w:r>
      <w:r w:rsidRPr="003E6227">
        <w:rPr>
          <w:rFonts w:ascii="Titillium" w:hAnsi="Titillium"/>
          <w:sz w:val="21"/>
          <w:szCs w:val="21"/>
        </w:rPr>
        <w:t xml:space="preserve"> del perimetro degli utenti e dell’uso dei sistemi informatici dell’Autorità; </w:t>
      </w:r>
    </w:p>
    <w:p w:rsidR="00FC07A9" w:rsidRDefault="00EE175F" w:rsidP="00581C43">
      <w:pPr>
        <w:spacing w:after="100" w:line="276" w:lineRule="auto"/>
        <w:jc w:val="both"/>
        <w:rPr>
          <w:rFonts w:ascii="Titillium" w:hAnsi="Titillium"/>
          <w:sz w:val="21"/>
          <w:szCs w:val="21"/>
        </w:rPr>
      </w:pPr>
      <w:r w:rsidRPr="003E6227">
        <w:rPr>
          <w:rFonts w:ascii="Titillium" w:hAnsi="Titillium"/>
          <w:b/>
          <w:sz w:val="21"/>
          <w:szCs w:val="21"/>
        </w:rPr>
        <w:t>CONSIDERATO</w:t>
      </w:r>
      <w:r w:rsidR="00FC07A9">
        <w:rPr>
          <w:rFonts w:ascii="Titillium" w:hAnsi="Titillium"/>
          <w:sz w:val="21"/>
          <w:szCs w:val="21"/>
        </w:rPr>
        <w:t xml:space="preserve"> che il direttore dell’esecuzione del contratto, sulla base dei dati del traffico telefonico rilevato nella prima parte del corrente mese, ha rappresentato in data 23.8.2023 che il massimale contrattuale può considerarsi ormai prossimo all’esaurimento, conformemente a quanto già previsto e rappresentato con il citato Appunto al Consiglio prot. n. 45484 del 13.6.2023;</w:t>
      </w:r>
    </w:p>
    <w:p w:rsidR="00D5477F" w:rsidRDefault="003E4EE3" w:rsidP="00581C43">
      <w:pPr>
        <w:spacing w:after="100" w:line="276" w:lineRule="auto"/>
        <w:jc w:val="both"/>
        <w:rPr>
          <w:rFonts w:ascii="Titillium" w:hAnsi="Titillium"/>
          <w:sz w:val="21"/>
          <w:szCs w:val="21"/>
        </w:rPr>
      </w:pPr>
      <w:r w:rsidRPr="002B2991">
        <w:rPr>
          <w:rFonts w:ascii="Titillium" w:hAnsi="Titillium"/>
          <w:b/>
          <w:sz w:val="21"/>
          <w:szCs w:val="21"/>
        </w:rPr>
        <w:t>TENUTO CONTO</w:t>
      </w:r>
      <w:r w:rsidR="002C00F4" w:rsidRPr="002B2991">
        <w:rPr>
          <w:rFonts w:ascii="Titillium" w:hAnsi="Titillium"/>
          <w:sz w:val="21"/>
          <w:szCs w:val="21"/>
        </w:rPr>
        <w:t xml:space="preserve"> che</w:t>
      </w:r>
      <w:r w:rsidR="007347AC" w:rsidRPr="002B2991">
        <w:rPr>
          <w:rFonts w:ascii="Titillium" w:hAnsi="Titillium"/>
          <w:sz w:val="21"/>
          <w:szCs w:val="21"/>
        </w:rPr>
        <w:t xml:space="preserve"> in data </w:t>
      </w:r>
      <w:r w:rsidR="00FC07A9">
        <w:rPr>
          <w:rFonts w:ascii="Titillium" w:hAnsi="Titillium"/>
          <w:sz w:val="21"/>
          <w:szCs w:val="21"/>
        </w:rPr>
        <w:t>26.6.</w:t>
      </w:r>
      <w:r w:rsidR="002B2991" w:rsidRPr="002B2991">
        <w:rPr>
          <w:rFonts w:ascii="Titillium" w:hAnsi="Titillium"/>
          <w:sz w:val="21"/>
          <w:szCs w:val="21"/>
        </w:rPr>
        <w:t>2023</w:t>
      </w:r>
      <w:r w:rsidR="007347AC" w:rsidRPr="002B2991">
        <w:rPr>
          <w:rFonts w:ascii="Titillium" w:hAnsi="Titillium"/>
          <w:sz w:val="21"/>
          <w:szCs w:val="21"/>
        </w:rPr>
        <w:t xml:space="preserve"> l’Autorità ha pubblicato</w:t>
      </w:r>
      <w:r w:rsidR="00FC07A9">
        <w:rPr>
          <w:rFonts w:ascii="Titillium" w:hAnsi="Titillium"/>
          <w:sz w:val="21"/>
          <w:szCs w:val="21"/>
        </w:rPr>
        <w:t xml:space="preserve"> apposito Appalto S</w:t>
      </w:r>
      <w:r w:rsidRPr="002B2991">
        <w:rPr>
          <w:rFonts w:ascii="Titillium" w:hAnsi="Titillium"/>
          <w:sz w:val="21"/>
          <w:szCs w:val="21"/>
        </w:rPr>
        <w:t>pecifico</w:t>
      </w:r>
      <w:r w:rsidR="003E6227" w:rsidRPr="002B2991">
        <w:rPr>
          <w:rFonts w:ascii="Titillium" w:hAnsi="Titillium"/>
          <w:sz w:val="21"/>
          <w:szCs w:val="21"/>
        </w:rPr>
        <w:t xml:space="preserve"> (n. 3530302)</w:t>
      </w:r>
      <w:r w:rsidRPr="002B2991">
        <w:rPr>
          <w:rFonts w:ascii="Titillium" w:hAnsi="Titillium"/>
          <w:sz w:val="21"/>
          <w:szCs w:val="21"/>
        </w:rPr>
        <w:t>, nell’ambito</w:t>
      </w:r>
      <w:r w:rsidR="002C00F4" w:rsidRPr="002B2991">
        <w:rPr>
          <w:rFonts w:ascii="Titillium" w:hAnsi="Titillium"/>
          <w:sz w:val="21"/>
          <w:szCs w:val="21"/>
        </w:rPr>
        <w:t xml:space="preserve"> </w:t>
      </w:r>
      <w:r w:rsidRPr="002B2991">
        <w:rPr>
          <w:rFonts w:ascii="Titillium" w:hAnsi="Titillium"/>
          <w:sz w:val="21"/>
          <w:szCs w:val="21"/>
        </w:rPr>
        <w:t>del Sistema Dinamico di Acquisizione della</w:t>
      </w:r>
      <w:r w:rsidRPr="003E6227">
        <w:rPr>
          <w:rFonts w:ascii="Titillium" w:hAnsi="Titillium"/>
          <w:sz w:val="21"/>
          <w:szCs w:val="21"/>
        </w:rPr>
        <w:t xml:space="preserve"> Pubblica Amministrazione per la fornitura di Servizi di Contact Center attivato da Consip S.p.A. </w:t>
      </w:r>
      <w:r w:rsidR="00A271BF" w:rsidRPr="003E6227">
        <w:rPr>
          <w:rFonts w:ascii="Titillium" w:hAnsi="Titillium"/>
          <w:sz w:val="21"/>
          <w:szCs w:val="21"/>
        </w:rPr>
        <w:t xml:space="preserve">in data </w:t>
      </w:r>
      <w:r w:rsidR="00AB07B9" w:rsidRPr="003E6227">
        <w:rPr>
          <w:rFonts w:ascii="Titillium" w:hAnsi="Titillium"/>
          <w:sz w:val="21"/>
          <w:szCs w:val="21"/>
        </w:rPr>
        <w:t>6.10.</w:t>
      </w:r>
      <w:r w:rsidR="00A271BF" w:rsidRPr="003E6227">
        <w:rPr>
          <w:rFonts w:ascii="Titillium" w:hAnsi="Titillium"/>
          <w:sz w:val="21"/>
          <w:szCs w:val="21"/>
        </w:rPr>
        <w:t>2022</w:t>
      </w:r>
      <w:r w:rsidRPr="003E6227">
        <w:rPr>
          <w:rFonts w:ascii="Titillium" w:hAnsi="Titillium"/>
          <w:sz w:val="21"/>
          <w:szCs w:val="21"/>
        </w:rPr>
        <w:t xml:space="preserve">, al fine di </w:t>
      </w:r>
      <w:r w:rsidR="00FC07A9">
        <w:rPr>
          <w:rFonts w:ascii="Titillium" w:hAnsi="Titillium"/>
          <w:sz w:val="21"/>
          <w:szCs w:val="21"/>
        </w:rPr>
        <w:t xml:space="preserve">individuare il nuovo fornitore del servizio; </w:t>
      </w:r>
    </w:p>
    <w:p w:rsidR="00FC07A9" w:rsidRDefault="00FC07A9" w:rsidP="00581C43">
      <w:pPr>
        <w:spacing w:after="100" w:line="276" w:lineRule="auto"/>
        <w:jc w:val="both"/>
        <w:rPr>
          <w:rFonts w:ascii="Titillium" w:hAnsi="Titillium"/>
          <w:sz w:val="21"/>
          <w:szCs w:val="21"/>
        </w:rPr>
      </w:pPr>
      <w:r w:rsidRPr="003E6227">
        <w:rPr>
          <w:rFonts w:ascii="Titillium" w:hAnsi="Titillium"/>
          <w:b/>
          <w:sz w:val="21"/>
          <w:szCs w:val="21"/>
        </w:rPr>
        <w:t>CONSIDERATO</w:t>
      </w:r>
      <w:r w:rsidRPr="003E6227">
        <w:rPr>
          <w:rFonts w:ascii="Titillium" w:hAnsi="Titillium"/>
          <w:sz w:val="21"/>
          <w:szCs w:val="21"/>
        </w:rPr>
        <w:t xml:space="preserve"> che</w:t>
      </w:r>
      <w:r>
        <w:rPr>
          <w:rFonts w:ascii="Titillium" w:hAnsi="Titillium"/>
          <w:sz w:val="21"/>
          <w:szCs w:val="21"/>
        </w:rPr>
        <w:t xml:space="preserve"> il citato Appalto Specifico è tuttora in corso di espletamento e che, presumibilmente, non si perverrà alla relativa aggiudicazione prima della seconda metà del mese di settembre p.v.;</w:t>
      </w:r>
    </w:p>
    <w:p w:rsidR="008F7EEC" w:rsidRDefault="008F7EEC" w:rsidP="008F7EEC">
      <w:pPr>
        <w:spacing w:before="120" w:after="120" w:line="276" w:lineRule="auto"/>
        <w:jc w:val="both"/>
        <w:rPr>
          <w:rFonts w:ascii="Titillium" w:hAnsi="Titillium"/>
          <w:sz w:val="21"/>
          <w:szCs w:val="21"/>
        </w:rPr>
      </w:pPr>
      <w:r w:rsidRPr="003E6227">
        <w:rPr>
          <w:rFonts w:ascii="Titillium" w:hAnsi="Titillium"/>
          <w:b/>
          <w:sz w:val="21"/>
          <w:szCs w:val="21"/>
        </w:rPr>
        <w:t>VISTO</w:t>
      </w:r>
      <w:r w:rsidRPr="003E6227">
        <w:rPr>
          <w:rFonts w:ascii="Titillium" w:hAnsi="Titillium"/>
          <w:sz w:val="21"/>
          <w:szCs w:val="21"/>
        </w:rPr>
        <w:t xml:space="preserve"> l’art. 106, comma 1</w:t>
      </w:r>
      <w:r>
        <w:rPr>
          <w:rFonts w:ascii="Titillium" w:hAnsi="Titillium"/>
          <w:sz w:val="21"/>
          <w:szCs w:val="21"/>
        </w:rPr>
        <w:t>2</w:t>
      </w:r>
      <w:r w:rsidRPr="003E6227">
        <w:rPr>
          <w:rFonts w:ascii="Titillium" w:hAnsi="Titillium"/>
          <w:sz w:val="21"/>
          <w:szCs w:val="21"/>
        </w:rPr>
        <w:t xml:space="preserve">, </w:t>
      </w:r>
      <w:r>
        <w:rPr>
          <w:rFonts w:ascii="Titillium" w:hAnsi="Titillium"/>
          <w:sz w:val="21"/>
          <w:szCs w:val="21"/>
        </w:rPr>
        <w:t>d</w:t>
      </w:r>
      <w:r w:rsidRPr="003E6227">
        <w:rPr>
          <w:rFonts w:ascii="Titillium" w:hAnsi="Titillium"/>
          <w:sz w:val="21"/>
          <w:szCs w:val="21"/>
        </w:rPr>
        <w:t xml:space="preserve">el d.lgs. n. 50/2016 e s.m.i., che prevede la possibilità </w:t>
      </w:r>
      <w:r>
        <w:rPr>
          <w:rFonts w:ascii="Titillium" w:hAnsi="Titillium"/>
          <w:sz w:val="21"/>
          <w:szCs w:val="21"/>
        </w:rPr>
        <w:t xml:space="preserve">per la stazione appaltante – qualora </w:t>
      </w:r>
      <w:r w:rsidRPr="008F7EEC">
        <w:rPr>
          <w:rFonts w:ascii="Titillium" w:hAnsi="Titillium"/>
          <w:sz w:val="21"/>
          <w:szCs w:val="21"/>
        </w:rPr>
        <w:t>in corso di esecuzione si renda necessario un aumento o una diminuzione delle prestazioni fino a concorrenza del qu</w:t>
      </w:r>
      <w:r>
        <w:rPr>
          <w:rFonts w:ascii="Titillium" w:hAnsi="Titillium"/>
          <w:sz w:val="21"/>
          <w:szCs w:val="21"/>
        </w:rPr>
        <w:t xml:space="preserve">into dell'importo del contratto – di imporre </w:t>
      </w:r>
      <w:r w:rsidRPr="008F7EEC">
        <w:rPr>
          <w:rFonts w:ascii="Titillium" w:hAnsi="Titillium"/>
          <w:sz w:val="21"/>
          <w:szCs w:val="21"/>
        </w:rPr>
        <w:t>all'appaltatore l'esecuzione alle stesse condizioni previste nel contratto originario</w:t>
      </w:r>
      <w:r>
        <w:rPr>
          <w:rFonts w:ascii="Titillium" w:hAnsi="Titillium"/>
          <w:sz w:val="21"/>
          <w:szCs w:val="21"/>
        </w:rPr>
        <w:t>;</w:t>
      </w:r>
    </w:p>
    <w:p w:rsidR="008F7EEC" w:rsidRPr="003E6227" w:rsidRDefault="008F7EEC" w:rsidP="00581C43">
      <w:pPr>
        <w:spacing w:after="100" w:line="276" w:lineRule="auto"/>
        <w:jc w:val="both"/>
        <w:rPr>
          <w:rFonts w:ascii="Titillium" w:hAnsi="Titillium"/>
          <w:sz w:val="21"/>
          <w:szCs w:val="21"/>
        </w:rPr>
      </w:pPr>
    </w:p>
    <w:p w:rsidR="008F7EEC" w:rsidRDefault="003E4EE3" w:rsidP="00581C43">
      <w:pPr>
        <w:spacing w:after="100" w:line="276" w:lineRule="auto"/>
        <w:jc w:val="both"/>
        <w:rPr>
          <w:rFonts w:ascii="Titillium" w:hAnsi="Titillium"/>
          <w:sz w:val="21"/>
          <w:szCs w:val="21"/>
        </w:rPr>
      </w:pPr>
      <w:r w:rsidRPr="003E6227">
        <w:rPr>
          <w:rFonts w:ascii="Titillium" w:hAnsi="Titillium"/>
          <w:b/>
          <w:sz w:val="21"/>
          <w:szCs w:val="21"/>
        </w:rPr>
        <w:lastRenderedPageBreak/>
        <w:t>CONSIDERATO</w:t>
      </w:r>
      <w:r w:rsidRPr="003E6227">
        <w:rPr>
          <w:rFonts w:ascii="Titillium" w:hAnsi="Titillium"/>
          <w:sz w:val="21"/>
          <w:szCs w:val="21"/>
        </w:rPr>
        <w:t xml:space="preserve"> che, nelle more dell’espletamento e dell’aggiudicazione della procedura di gara finalizzata all’affidamento del predetto appalto specifico, occorre garantire la continuità del servizio in questione e che, conseguentemente, si rende necessario provvedere ad </w:t>
      </w:r>
      <w:r w:rsidR="008F7EEC">
        <w:rPr>
          <w:rFonts w:ascii="Titillium" w:hAnsi="Titillium"/>
          <w:sz w:val="21"/>
          <w:szCs w:val="21"/>
        </w:rPr>
        <w:t xml:space="preserve">un aumento delle prestazioni oggetto del contratto </w:t>
      </w:r>
      <w:r w:rsidRPr="003E6227">
        <w:rPr>
          <w:rFonts w:ascii="Titillium" w:hAnsi="Titillium"/>
          <w:sz w:val="21"/>
          <w:szCs w:val="21"/>
        </w:rPr>
        <w:t>in essere con il Consorzio Leonardo Servizi e Lavori Società Cooperativa Consortile Stabile, di cui al citato ordine dirett</w:t>
      </w:r>
      <w:r w:rsidR="00FC07A9">
        <w:rPr>
          <w:rFonts w:ascii="Titillium" w:hAnsi="Titillium"/>
          <w:sz w:val="21"/>
          <w:szCs w:val="21"/>
        </w:rPr>
        <w:t>o di acquisto n. 5360676 del 5.</w:t>
      </w:r>
      <w:r w:rsidRPr="003E6227">
        <w:rPr>
          <w:rFonts w:ascii="Titillium" w:hAnsi="Titillium"/>
          <w:sz w:val="21"/>
          <w:szCs w:val="21"/>
        </w:rPr>
        <w:t>6.2020,</w:t>
      </w:r>
      <w:r w:rsidR="00DB0A37" w:rsidRPr="003E6227">
        <w:rPr>
          <w:rFonts w:ascii="Titillium" w:hAnsi="Titillium"/>
          <w:sz w:val="21"/>
          <w:szCs w:val="21"/>
        </w:rPr>
        <w:t xml:space="preserve"> in modo da assicurare la regolare erogazione delle prestazioni co</w:t>
      </w:r>
      <w:r w:rsidR="00FC07A9">
        <w:rPr>
          <w:rFonts w:ascii="Titillium" w:hAnsi="Titillium"/>
          <w:sz w:val="21"/>
          <w:szCs w:val="21"/>
        </w:rPr>
        <w:t>ntrattuali quantomeno fino al 30 settembre p.v.</w:t>
      </w:r>
      <w:r w:rsidR="008F7EEC">
        <w:rPr>
          <w:rFonts w:ascii="Titillium" w:hAnsi="Titillium"/>
          <w:sz w:val="21"/>
          <w:szCs w:val="21"/>
        </w:rPr>
        <w:t>;</w:t>
      </w:r>
    </w:p>
    <w:p w:rsidR="008F7EEC" w:rsidRDefault="008F7EEC" w:rsidP="00581C43">
      <w:pPr>
        <w:spacing w:after="100" w:line="276" w:lineRule="auto"/>
        <w:jc w:val="both"/>
        <w:rPr>
          <w:rFonts w:ascii="Titillium" w:hAnsi="Titillium"/>
          <w:sz w:val="21"/>
          <w:szCs w:val="21"/>
        </w:rPr>
      </w:pPr>
      <w:r w:rsidRPr="003E6227">
        <w:rPr>
          <w:rFonts w:ascii="Titillium" w:hAnsi="Titillium"/>
          <w:b/>
          <w:sz w:val="21"/>
          <w:szCs w:val="21"/>
        </w:rPr>
        <w:t>CONSIDERATO</w:t>
      </w:r>
      <w:r>
        <w:rPr>
          <w:rFonts w:ascii="Titillium" w:hAnsi="Titillium"/>
          <w:sz w:val="21"/>
          <w:szCs w:val="21"/>
        </w:rPr>
        <w:t xml:space="preserve"> che l’importo stimato per assicurare la regolare esecuzione delle prestazioni contrattuali fino al 30 settembre p.v. è pari a € </w:t>
      </w:r>
      <w:r w:rsidR="002D72F3">
        <w:rPr>
          <w:rFonts w:ascii="Titillium" w:hAnsi="Titillium"/>
          <w:sz w:val="21"/>
          <w:szCs w:val="21"/>
        </w:rPr>
        <w:t>400.000,00 iva compresa, corrispondente al 4,02% dell’importo contrattuale originario;</w:t>
      </w:r>
    </w:p>
    <w:p w:rsidR="008F7EEC" w:rsidRDefault="002D72F3" w:rsidP="00581C43">
      <w:pPr>
        <w:spacing w:after="100" w:line="276" w:lineRule="auto"/>
        <w:jc w:val="both"/>
        <w:rPr>
          <w:rFonts w:ascii="Titillium" w:hAnsi="Titillium"/>
          <w:sz w:val="21"/>
          <w:szCs w:val="21"/>
        </w:rPr>
      </w:pPr>
      <w:r w:rsidRPr="003E6227">
        <w:rPr>
          <w:rFonts w:ascii="Titillium" w:hAnsi="Titillium"/>
          <w:b/>
          <w:sz w:val="21"/>
          <w:szCs w:val="21"/>
        </w:rPr>
        <w:t>CONSIDERATO</w:t>
      </w:r>
      <w:r>
        <w:rPr>
          <w:rFonts w:ascii="Titillium" w:hAnsi="Titillium"/>
          <w:sz w:val="21"/>
          <w:szCs w:val="21"/>
        </w:rPr>
        <w:t xml:space="preserve"> </w:t>
      </w:r>
      <w:r>
        <w:rPr>
          <w:rFonts w:ascii="Titillium" w:hAnsi="Titillium"/>
          <w:sz w:val="21"/>
          <w:szCs w:val="21"/>
        </w:rPr>
        <w:t>che tale importo risulta inferiore al limite del c.d. ‘quinto d’obbligo’ di cui al citato art. 106, comma 12, d.lgs. n. 50/2016;</w:t>
      </w:r>
    </w:p>
    <w:p w:rsidR="00752608" w:rsidRDefault="00DB0A37" w:rsidP="00DB0A37">
      <w:pPr>
        <w:pStyle w:val="Corpodeltesto2"/>
        <w:spacing w:before="120" w:line="276" w:lineRule="auto"/>
        <w:ind w:right="-1"/>
        <w:jc w:val="both"/>
        <w:rPr>
          <w:rFonts w:ascii="Titillium" w:hAnsi="Titillium"/>
          <w:sz w:val="21"/>
          <w:szCs w:val="21"/>
        </w:rPr>
      </w:pPr>
      <w:r w:rsidRPr="003E6227">
        <w:rPr>
          <w:rFonts w:ascii="Titillium" w:hAnsi="Titillium"/>
          <w:b/>
          <w:sz w:val="21"/>
          <w:szCs w:val="21"/>
        </w:rPr>
        <w:t xml:space="preserve">CONSIDERATO </w:t>
      </w:r>
      <w:r w:rsidR="002D72F3">
        <w:rPr>
          <w:rFonts w:ascii="Titillium" w:hAnsi="Titillium"/>
          <w:sz w:val="21"/>
          <w:szCs w:val="21"/>
        </w:rPr>
        <w:t>quindi c</w:t>
      </w:r>
      <w:r w:rsidRPr="003E6227">
        <w:rPr>
          <w:rFonts w:ascii="Titillium" w:hAnsi="Titillium"/>
          <w:sz w:val="21"/>
          <w:szCs w:val="21"/>
        </w:rPr>
        <w:t>he sussistono i presupposti per procedere ad un</w:t>
      </w:r>
      <w:r w:rsidR="002D72F3">
        <w:rPr>
          <w:rFonts w:ascii="Titillium" w:hAnsi="Titillium"/>
          <w:sz w:val="21"/>
          <w:szCs w:val="21"/>
        </w:rPr>
        <w:t xml:space="preserve"> aumento delle prestazioni contrattuali </w:t>
      </w:r>
      <w:r w:rsidR="00EE3934" w:rsidRPr="003E6227">
        <w:rPr>
          <w:rFonts w:ascii="Titillium" w:hAnsi="Titillium"/>
          <w:sz w:val="21"/>
          <w:szCs w:val="21"/>
        </w:rPr>
        <w:t>ai sensi dell’art. 106, comma 1</w:t>
      </w:r>
      <w:r w:rsidR="002D72F3">
        <w:rPr>
          <w:rFonts w:ascii="Titillium" w:hAnsi="Titillium"/>
          <w:sz w:val="21"/>
          <w:szCs w:val="21"/>
        </w:rPr>
        <w:t>2</w:t>
      </w:r>
      <w:r w:rsidR="00EE3934" w:rsidRPr="003E6227">
        <w:rPr>
          <w:rFonts w:ascii="Titillium" w:hAnsi="Titillium"/>
          <w:sz w:val="21"/>
          <w:szCs w:val="21"/>
        </w:rPr>
        <w:t>, del d.lgs. n. 50/2016 e s.m.i.</w:t>
      </w:r>
      <w:r w:rsidR="002D72F3">
        <w:rPr>
          <w:rFonts w:ascii="Titillium" w:hAnsi="Titillium"/>
          <w:sz w:val="21"/>
          <w:szCs w:val="21"/>
        </w:rPr>
        <w:t xml:space="preserve">; </w:t>
      </w:r>
    </w:p>
    <w:p w:rsidR="00DB0A37" w:rsidRDefault="00DB0A37" w:rsidP="00DB0A37">
      <w:pPr>
        <w:spacing w:before="120" w:after="120" w:line="276" w:lineRule="auto"/>
        <w:jc w:val="both"/>
        <w:rPr>
          <w:rFonts w:ascii="Titillium" w:hAnsi="Titillium"/>
          <w:sz w:val="21"/>
          <w:szCs w:val="21"/>
        </w:rPr>
      </w:pPr>
      <w:r w:rsidRPr="00095795">
        <w:rPr>
          <w:rFonts w:ascii="Titillium" w:hAnsi="Titillium"/>
          <w:b/>
          <w:sz w:val="21"/>
          <w:szCs w:val="21"/>
        </w:rPr>
        <w:t xml:space="preserve">TENUTO CONTO </w:t>
      </w:r>
      <w:r w:rsidRPr="00095795">
        <w:rPr>
          <w:rFonts w:ascii="Titillium" w:hAnsi="Titillium"/>
          <w:sz w:val="21"/>
          <w:szCs w:val="21"/>
        </w:rPr>
        <w:t xml:space="preserve">che il RUP del contratto </w:t>
      </w:r>
      <w:r w:rsidR="00D17D66" w:rsidRPr="00095795">
        <w:rPr>
          <w:rFonts w:ascii="Titillium" w:hAnsi="Titillium"/>
          <w:sz w:val="21"/>
          <w:szCs w:val="21"/>
        </w:rPr>
        <w:t>di cui all’ordine diretto di acquisto n. 5360676 del 5.06.2020</w:t>
      </w:r>
      <w:r w:rsidRPr="00095795">
        <w:rPr>
          <w:rFonts w:ascii="Titillium" w:hAnsi="Titillium"/>
          <w:sz w:val="21"/>
          <w:szCs w:val="21"/>
        </w:rPr>
        <w:t xml:space="preserve"> </w:t>
      </w:r>
      <w:r w:rsidR="00D17D66" w:rsidRPr="00095795">
        <w:rPr>
          <w:rFonts w:ascii="Titillium" w:hAnsi="Titillium"/>
          <w:sz w:val="21"/>
          <w:szCs w:val="21"/>
        </w:rPr>
        <w:t>è l’allora</w:t>
      </w:r>
      <w:r w:rsidRPr="00095795">
        <w:rPr>
          <w:rFonts w:ascii="Titillium" w:hAnsi="Titillium"/>
          <w:sz w:val="21"/>
          <w:szCs w:val="21"/>
        </w:rPr>
        <w:t xml:space="preserve"> dirigente dell’Ufficio Gare e Logistica</w:t>
      </w:r>
      <w:r w:rsidR="001B7143" w:rsidRPr="00095795">
        <w:rPr>
          <w:rFonts w:ascii="Titillium" w:hAnsi="Titillium"/>
          <w:sz w:val="21"/>
          <w:szCs w:val="21"/>
        </w:rPr>
        <w:t xml:space="preserve"> dott. Antonello Colandrea</w:t>
      </w:r>
      <w:r w:rsidR="00E22E2D">
        <w:rPr>
          <w:rFonts w:ascii="Titillium" w:hAnsi="Titillium"/>
          <w:sz w:val="21"/>
          <w:szCs w:val="21"/>
        </w:rPr>
        <w:t xml:space="preserve">, </w:t>
      </w:r>
      <w:r w:rsidR="00E22E2D">
        <w:rPr>
          <w:rFonts w:ascii="Titillium" w:hAnsi="Titillium"/>
          <w:i/>
          <w:sz w:val="21"/>
          <w:szCs w:val="21"/>
        </w:rPr>
        <w:t xml:space="preserve">medio tempore </w:t>
      </w:r>
      <w:r w:rsidR="00E22E2D">
        <w:rPr>
          <w:rFonts w:ascii="Titillium" w:hAnsi="Titillium"/>
          <w:sz w:val="21"/>
          <w:szCs w:val="21"/>
        </w:rPr>
        <w:t>destinato ad altro incarico</w:t>
      </w:r>
      <w:r w:rsidR="00095795">
        <w:rPr>
          <w:rFonts w:ascii="Titillium" w:hAnsi="Titillium"/>
          <w:sz w:val="21"/>
          <w:szCs w:val="21"/>
        </w:rPr>
        <w:t>;</w:t>
      </w:r>
    </w:p>
    <w:p w:rsidR="00095795" w:rsidRDefault="00E22E2D" w:rsidP="00DB0A37">
      <w:pPr>
        <w:spacing w:before="120" w:after="120" w:line="276" w:lineRule="auto"/>
        <w:jc w:val="both"/>
        <w:rPr>
          <w:rFonts w:ascii="Titillium" w:hAnsi="Titillium"/>
          <w:sz w:val="21"/>
          <w:szCs w:val="21"/>
        </w:rPr>
      </w:pPr>
      <w:r>
        <w:rPr>
          <w:rFonts w:ascii="Titillium" w:hAnsi="Titillium"/>
          <w:b/>
          <w:sz w:val="21"/>
          <w:szCs w:val="21"/>
        </w:rPr>
        <w:t>CONSIDERATA</w:t>
      </w:r>
      <w:r>
        <w:rPr>
          <w:rFonts w:ascii="Titillium" w:hAnsi="Titillium"/>
          <w:sz w:val="21"/>
          <w:szCs w:val="21"/>
        </w:rPr>
        <w:t xml:space="preserve"> la necessità di individuare un nuovo RUP;</w:t>
      </w:r>
    </w:p>
    <w:p w:rsidR="00E22E2D" w:rsidRPr="003E6227" w:rsidRDefault="00E22E2D" w:rsidP="00DB0A37">
      <w:pPr>
        <w:spacing w:before="120" w:after="120" w:line="276" w:lineRule="auto"/>
        <w:jc w:val="both"/>
        <w:rPr>
          <w:rFonts w:ascii="Titillium" w:hAnsi="Titillium"/>
          <w:sz w:val="21"/>
          <w:szCs w:val="21"/>
        </w:rPr>
      </w:pPr>
      <w:r>
        <w:rPr>
          <w:rFonts w:ascii="Titillium" w:hAnsi="Titillium"/>
          <w:b/>
          <w:sz w:val="21"/>
          <w:szCs w:val="21"/>
        </w:rPr>
        <w:t>RITENU</w:t>
      </w:r>
      <w:r w:rsidRPr="003E6227">
        <w:rPr>
          <w:rFonts w:ascii="Titillium" w:hAnsi="Titillium"/>
          <w:b/>
          <w:sz w:val="21"/>
          <w:szCs w:val="21"/>
        </w:rPr>
        <w:t>TO</w:t>
      </w:r>
      <w:r>
        <w:rPr>
          <w:rFonts w:ascii="Titillium" w:hAnsi="Titillium"/>
          <w:sz w:val="21"/>
          <w:szCs w:val="21"/>
        </w:rPr>
        <w:t xml:space="preserve"> opportuno affidare il predetto incarico al RUP dell’Appalto Specifico in corso di espletamento per l’individuazione del nuovo fornitore del servizio;</w:t>
      </w:r>
    </w:p>
    <w:p w:rsidR="00DB0A37" w:rsidRPr="003E6227" w:rsidRDefault="00DB0A37" w:rsidP="001B7143">
      <w:pPr>
        <w:pStyle w:val="NormaleWeb"/>
        <w:spacing w:after="100" w:line="276" w:lineRule="auto"/>
        <w:jc w:val="both"/>
        <w:rPr>
          <w:rFonts w:ascii="Titillium" w:hAnsi="Titillium"/>
          <w:sz w:val="21"/>
          <w:szCs w:val="21"/>
        </w:rPr>
      </w:pPr>
      <w:r w:rsidRPr="003E6227">
        <w:rPr>
          <w:rFonts w:ascii="Titillium" w:eastAsia="Calibri" w:hAnsi="Titillium" w:cs="Titillium Web"/>
          <w:b/>
          <w:sz w:val="21"/>
          <w:szCs w:val="21"/>
          <w:lang w:eastAsia="en-US"/>
        </w:rPr>
        <w:t xml:space="preserve">ACCERTATO </w:t>
      </w:r>
      <w:r w:rsidRPr="003E6227">
        <w:rPr>
          <w:rFonts w:ascii="Titillium" w:eastAsia="Calibri" w:hAnsi="Titillium" w:cs="Titillium Web"/>
          <w:sz w:val="21"/>
          <w:szCs w:val="21"/>
          <w:lang w:eastAsia="en-US"/>
        </w:rPr>
        <w:t>che è garantita la copertura finanziaria della spesa in argomento sul capitolo n.</w:t>
      </w:r>
      <w:r w:rsidRPr="003E6227">
        <w:rPr>
          <w:rFonts w:ascii="Titillium" w:hAnsi="Titillium"/>
          <w:sz w:val="21"/>
          <w:szCs w:val="21"/>
        </w:rPr>
        <w:t xml:space="preserve"> </w:t>
      </w:r>
      <w:r w:rsidR="001B7143" w:rsidRPr="003E6227">
        <w:rPr>
          <w:rFonts w:ascii="Titillium" w:hAnsi="Titillium"/>
          <w:sz w:val="21"/>
          <w:szCs w:val="21"/>
        </w:rPr>
        <w:t>1310.3</w:t>
      </w:r>
      <w:r w:rsidRPr="003E6227">
        <w:rPr>
          <w:rFonts w:ascii="Titillium" w:hAnsi="Titillium"/>
          <w:sz w:val="21"/>
          <w:szCs w:val="21"/>
        </w:rPr>
        <w:t xml:space="preserve"> </w:t>
      </w:r>
      <w:r w:rsidRPr="003E6227">
        <w:rPr>
          <w:rFonts w:ascii="Titillium" w:eastAsia="Calibri" w:hAnsi="Titillium" w:cs="Titillium Web"/>
          <w:sz w:val="21"/>
          <w:szCs w:val="21"/>
          <w:lang w:eastAsia="en-US"/>
        </w:rPr>
        <w:t xml:space="preserve">del </w:t>
      </w:r>
      <w:r w:rsidRPr="003E6227">
        <w:rPr>
          <w:rFonts w:ascii="Titillium" w:hAnsi="Titillium"/>
          <w:sz w:val="21"/>
          <w:szCs w:val="21"/>
        </w:rPr>
        <w:t>bilancio di previsione 2023 dell’A.N.AC. (approvato con delibera n. 623 del 20.12.2022);</w:t>
      </w:r>
    </w:p>
    <w:p w:rsidR="00460B02" w:rsidRDefault="00460B02" w:rsidP="00581C43">
      <w:pPr>
        <w:spacing w:after="100" w:line="276" w:lineRule="auto"/>
        <w:jc w:val="both"/>
        <w:rPr>
          <w:rFonts w:ascii="Titillium" w:hAnsi="Titillium"/>
          <w:sz w:val="20"/>
          <w:szCs w:val="20"/>
        </w:rPr>
      </w:pPr>
    </w:p>
    <w:p w:rsidR="00332723" w:rsidRDefault="00332723" w:rsidP="00BF0ACD">
      <w:pPr>
        <w:spacing w:before="120" w:after="240" w:line="276" w:lineRule="auto"/>
        <w:jc w:val="center"/>
        <w:rPr>
          <w:rFonts w:ascii="Gotham Light" w:hAnsi="Gotham Light" w:cs="Arial"/>
          <w:b/>
          <w:color w:val="2E74B5"/>
        </w:rPr>
      </w:pPr>
      <w:r w:rsidRPr="00B6390B">
        <w:rPr>
          <w:rFonts w:ascii="Gotham Light" w:hAnsi="Gotham Light" w:cs="Arial"/>
          <w:b/>
          <w:color w:val="2E74B5"/>
        </w:rPr>
        <w:t>D I S P O N E</w:t>
      </w:r>
    </w:p>
    <w:p w:rsidR="001B7143" w:rsidRPr="003E6227" w:rsidRDefault="001B7143" w:rsidP="00752608">
      <w:pPr>
        <w:numPr>
          <w:ilvl w:val="0"/>
          <w:numId w:val="8"/>
        </w:numPr>
        <w:tabs>
          <w:tab w:val="left" w:pos="284"/>
        </w:tabs>
        <w:spacing w:before="120" w:after="120" w:line="276" w:lineRule="auto"/>
        <w:ind w:left="284"/>
        <w:jc w:val="both"/>
        <w:rPr>
          <w:rFonts w:ascii="Titillium" w:hAnsi="Titillium"/>
          <w:sz w:val="21"/>
          <w:szCs w:val="21"/>
        </w:rPr>
      </w:pPr>
      <w:r w:rsidRPr="003E6227">
        <w:rPr>
          <w:rFonts w:ascii="Titillium" w:hAnsi="Titillium"/>
          <w:sz w:val="21"/>
          <w:szCs w:val="21"/>
        </w:rPr>
        <w:t>di autorizzare</w:t>
      </w:r>
      <w:r w:rsidR="002D72F3">
        <w:rPr>
          <w:rFonts w:ascii="Titillium" w:hAnsi="Titillium"/>
          <w:sz w:val="21"/>
          <w:szCs w:val="21"/>
        </w:rPr>
        <w:t xml:space="preserve"> – ai sensi dell’art. 106, comma 12, d.lgs. n. 50/2016 -</w:t>
      </w:r>
      <w:r w:rsidRPr="003E6227">
        <w:rPr>
          <w:rFonts w:ascii="Titillium" w:hAnsi="Titillium"/>
          <w:sz w:val="21"/>
          <w:szCs w:val="21"/>
        </w:rPr>
        <w:t xml:space="preserve"> l</w:t>
      </w:r>
      <w:r w:rsidR="002D72F3">
        <w:rPr>
          <w:rFonts w:ascii="Titillium" w:hAnsi="Titillium"/>
          <w:sz w:val="21"/>
          <w:szCs w:val="21"/>
        </w:rPr>
        <w:t>’aumento delle prestazioni comprese nel</w:t>
      </w:r>
      <w:bookmarkStart w:id="0" w:name="_GoBack"/>
      <w:bookmarkEnd w:id="0"/>
      <w:r w:rsidR="002D72F3">
        <w:rPr>
          <w:rFonts w:ascii="Titillium" w:hAnsi="Titillium"/>
          <w:sz w:val="21"/>
          <w:szCs w:val="21"/>
        </w:rPr>
        <w:t xml:space="preserve"> </w:t>
      </w:r>
      <w:r w:rsidRPr="003E6227">
        <w:rPr>
          <w:rFonts w:ascii="Titillium" w:hAnsi="Titillium"/>
          <w:sz w:val="21"/>
          <w:szCs w:val="21"/>
        </w:rPr>
        <w:t>contratto stipulato con il Consorzio Leonardo Servizi e Lavori Società Cooperativa Consortile Stabile, di cui all’ordine diretto di acquisto n. 5360676 del 5.06.2020</w:t>
      </w:r>
      <w:r w:rsidR="007347AC" w:rsidRPr="003E6227">
        <w:rPr>
          <w:rFonts w:ascii="Titillium" w:hAnsi="Titillium"/>
          <w:sz w:val="21"/>
          <w:szCs w:val="21"/>
        </w:rPr>
        <w:t>, di</w:t>
      </w:r>
      <w:r w:rsidRPr="003E6227">
        <w:rPr>
          <w:rFonts w:ascii="Titillium" w:hAnsi="Titillium"/>
          <w:sz w:val="21"/>
          <w:szCs w:val="21"/>
        </w:rPr>
        <w:t xml:space="preserve"> adesione alla Convenzione Consip “Servizi di Contact Center in Outsourcing 2 – Lotto 3 (Lazio)”, al fine di assicurare la continuità del servizio di centralino telefonico e contac</w:t>
      </w:r>
      <w:r w:rsidR="00FB24EE">
        <w:rPr>
          <w:rFonts w:ascii="Titillium" w:hAnsi="Titillium"/>
          <w:sz w:val="21"/>
          <w:szCs w:val="21"/>
        </w:rPr>
        <w:t xml:space="preserve">t center per il periodo </w:t>
      </w:r>
      <w:r w:rsidR="00752608">
        <w:rPr>
          <w:rFonts w:ascii="Titillium" w:hAnsi="Titillium"/>
          <w:sz w:val="21"/>
          <w:szCs w:val="21"/>
        </w:rPr>
        <w:t xml:space="preserve">intercorrente tra la data del presente atto e il 30 settembre p.v. </w:t>
      </w:r>
      <w:r w:rsidR="00095795">
        <w:rPr>
          <w:rFonts w:ascii="Titillium" w:hAnsi="Titillium"/>
          <w:sz w:val="21"/>
          <w:szCs w:val="21"/>
        </w:rPr>
        <w:t>alle stesse condizioni di cui all’ordine diretto di acquisto n. 5360678/2020</w:t>
      </w:r>
      <w:r w:rsidR="007347AC" w:rsidRPr="003E6227">
        <w:rPr>
          <w:rFonts w:ascii="Titillium" w:hAnsi="Titillium"/>
          <w:sz w:val="21"/>
          <w:szCs w:val="21"/>
        </w:rPr>
        <w:t xml:space="preserve"> –</w:t>
      </w:r>
      <w:r w:rsidRPr="003E6227">
        <w:rPr>
          <w:rFonts w:ascii="Titillium" w:hAnsi="Titillium"/>
          <w:sz w:val="21"/>
          <w:szCs w:val="21"/>
        </w:rPr>
        <w:t xml:space="preserve"> nelle more dell’espletamento e dell’aggiudicazione dell’appalto spe</w:t>
      </w:r>
      <w:r w:rsidR="007347AC" w:rsidRPr="003E6227">
        <w:rPr>
          <w:rFonts w:ascii="Titillium" w:hAnsi="Titillium"/>
          <w:sz w:val="21"/>
          <w:szCs w:val="21"/>
        </w:rPr>
        <w:t>cifico</w:t>
      </w:r>
      <w:r w:rsidR="003E6227">
        <w:rPr>
          <w:rFonts w:ascii="Titillium" w:hAnsi="Titillium"/>
          <w:sz w:val="21"/>
          <w:szCs w:val="21"/>
        </w:rPr>
        <w:t xml:space="preserve"> n. 3530302</w:t>
      </w:r>
      <w:r w:rsidR="007347AC" w:rsidRPr="003E6227">
        <w:rPr>
          <w:rFonts w:ascii="Titillium" w:hAnsi="Titillium"/>
          <w:sz w:val="21"/>
          <w:szCs w:val="21"/>
        </w:rPr>
        <w:t xml:space="preserve"> </w:t>
      </w:r>
      <w:r w:rsidR="007347AC" w:rsidRPr="00095795">
        <w:rPr>
          <w:rFonts w:ascii="Titillium" w:hAnsi="Titillium"/>
          <w:sz w:val="21"/>
          <w:szCs w:val="21"/>
        </w:rPr>
        <w:t xml:space="preserve">pubblicato dall’Autorità in data </w:t>
      </w:r>
      <w:r w:rsidR="00752608">
        <w:rPr>
          <w:rFonts w:ascii="Titillium" w:hAnsi="Titillium"/>
          <w:sz w:val="21"/>
          <w:szCs w:val="21"/>
        </w:rPr>
        <w:t>26.6.</w:t>
      </w:r>
      <w:r w:rsidR="00095795" w:rsidRPr="00095795">
        <w:rPr>
          <w:rFonts w:ascii="Titillium" w:hAnsi="Titillium"/>
          <w:sz w:val="21"/>
          <w:szCs w:val="21"/>
        </w:rPr>
        <w:t xml:space="preserve">2023 </w:t>
      </w:r>
      <w:r w:rsidRPr="00095795">
        <w:rPr>
          <w:rFonts w:ascii="Titillium" w:hAnsi="Titillium"/>
          <w:sz w:val="21"/>
          <w:szCs w:val="21"/>
        </w:rPr>
        <w:t>nell’ambito del Sistema Dinamico di Acquisizione della Pubblica Amministrazione per la</w:t>
      </w:r>
      <w:r w:rsidRPr="003E6227">
        <w:rPr>
          <w:rFonts w:ascii="Titillium" w:hAnsi="Titillium"/>
          <w:sz w:val="21"/>
          <w:szCs w:val="21"/>
        </w:rPr>
        <w:t xml:space="preserve"> fornitura di Servizi di Contact Center attivato da Consip S.p.A. in data 6.10.2022</w:t>
      </w:r>
      <w:r w:rsidR="007347AC" w:rsidRPr="003E6227">
        <w:rPr>
          <w:rFonts w:ascii="Titillium" w:hAnsi="Titillium"/>
          <w:sz w:val="21"/>
          <w:szCs w:val="21"/>
        </w:rPr>
        <w:t xml:space="preserve"> –</w:t>
      </w:r>
      <w:r w:rsidRPr="003E6227">
        <w:rPr>
          <w:rFonts w:ascii="Titillium" w:hAnsi="Titillium"/>
          <w:sz w:val="21"/>
          <w:szCs w:val="21"/>
        </w:rPr>
        <w:t xml:space="preserve"> per una spesa aggiuntiva stimata così specificata:</w:t>
      </w:r>
    </w:p>
    <w:tbl>
      <w:tblPr>
        <w:tblStyle w:val="Grigliatabella"/>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7"/>
        <w:gridCol w:w="1842"/>
      </w:tblGrid>
      <w:tr w:rsidR="001B7143" w:rsidRPr="003E6227" w:rsidTr="007347AC">
        <w:tc>
          <w:tcPr>
            <w:tcW w:w="7547" w:type="dxa"/>
            <w:tcMar>
              <w:top w:w="28" w:type="dxa"/>
              <w:left w:w="85" w:type="dxa"/>
              <w:bottom w:w="28" w:type="dxa"/>
              <w:right w:w="85" w:type="dxa"/>
            </w:tcMar>
            <w:vAlign w:val="center"/>
          </w:tcPr>
          <w:p w:rsidR="001B7143" w:rsidRPr="003E6227" w:rsidRDefault="001B7143" w:rsidP="001B7143">
            <w:pPr>
              <w:numPr>
                <w:ilvl w:val="0"/>
                <w:numId w:val="7"/>
              </w:numPr>
              <w:spacing w:before="120" w:after="120" w:line="276" w:lineRule="auto"/>
              <w:ind w:left="369"/>
              <w:jc w:val="both"/>
              <w:rPr>
                <w:rFonts w:ascii="Titillium" w:hAnsi="Titillium"/>
                <w:sz w:val="21"/>
                <w:szCs w:val="21"/>
              </w:rPr>
            </w:pPr>
            <w:r w:rsidRPr="003E6227">
              <w:rPr>
                <w:rFonts w:ascii="Titillium" w:hAnsi="Titillium"/>
                <w:sz w:val="21"/>
                <w:szCs w:val="21"/>
              </w:rPr>
              <w:t>servizio di centralino telefonico e contact center</w:t>
            </w:r>
          </w:p>
        </w:tc>
        <w:tc>
          <w:tcPr>
            <w:tcW w:w="1842" w:type="dxa"/>
            <w:tcMar>
              <w:top w:w="28" w:type="dxa"/>
              <w:left w:w="85" w:type="dxa"/>
              <w:bottom w:w="28" w:type="dxa"/>
              <w:right w:w="85" w:type="dxa"/>
            </w:tcMar>
            <w:vAlign w:val="center"/>
          </w:tcPr>
          <w:p w:rsidR="001B7143" w:rsidRPr="003E6227" w:rsidRDefault="001B7143" w:rsidP="00752608">
            <w:pPr>
              <w:spacing w:before="120" w:after="120" w:line="276" w:lineRule="auto"/>
              <w:jc w:val="right"/>
              <w:rPr>
                <w:rFonts w:ascii="Titillium" w:hAnsi="Titillium"/>
                <w:sz w:val="21"/>
                <w:szCs w:val="21"/>
              </w:rPr>
            </w:pPr>
            <w:r w:rsidRPr="003E6227">
              <w:rPr>
                <w:rFonts w:ascii="Titillium" w:hAnsi="Titillium"/>
                <w:sz w:val="21"/>
                <w:szCs w:val="21"/>
              </w:rPr>
              <w:t xml:space="preserve">€ </w:t>
            </w:r>
            <w:r w:rsidR="00752608">
              <w:rPr>
                <w:rFonts w:ascii="Titillium" w:hAnsi="Titillium"/>
                <w:sz w:val="21"/>
                <w:szCs w:val="21"/>
              </w:rPr>
              <w:t>327.868,85</w:t>
            </w:r>
          </w:p>
        </w:tc>
      </w:tr>
      <w:tr w:rsidR="001B7143" w:rsidRPr="003E6227" w:rsidTr="007347AC">
        <w:trPr>
          <w:trHeight w:val="515"/>
        </w:trPr>
        <w:tc>
          <w:tcPr>
            <w:tcW w:w="7547" w:type="dxa"/>
            <w:tcMar>
              <w:top w:w="28" w:type="dxa"/>
              <w:left w:w="85" w:type="dxa"/>
              <w:bottom w:w="28" w:type="dxa"/>
              <w:right w:w="85" w:type="dxa"/>
            </w:tcMar>
            <w:vAlign w:val="center"/>
          </w:tcPr>
          <w:p w:rsidR="001B7143" w:rsidRPr="003E6227" w:rsidRDefault="001B7143" w:rsidP="001B7143">
            <w:pPr>
              <w:numPr>
                <w:ilvl w:val="0"/>
                <w:numId w:val="7"/>
              </w:numPr>
              <w:spacing w:before="120" w:after="120" w:line="276" w:lineRule="auto"/>
              <w:ind w:left="369"/>
              <w:jc w:val="both"/>
              <w:rPr>
                <w:rFonts w:ascii="Titillium" w:hAnsi="Titillium"/>
                <w:sz w:val="21"/>
                <w:szCs w:val="21"/>
              </w:rPr>
            </w:pPr>
            <w:r w:rsidRPr="003E6227">
              <w:rPr>
                <w:rFonts w:ascii="Titillium" w:hAnsi="Titillium"/>
                <w:sz w:val="21"/>
                <w:szCs w:val="21"/>
              </w:rPr>
              <w:t>IVA al 22%</w:t>
            </w:r>
          </w:p>
        </w:tc>
        <w:tc>
          <w:tcPr>
            <w:tcW w:w="1842" w:type="dxa"/>
            <w:tcMar>
              <w:top w:w="28" w:type="dxa"/>
              <w:left w:w="85" w:type="dxa"/>
              <w:bottom w:w="28" w:type="dxa"/>
              <w:right w:w="85" w:type="dxa"/>
            </w:tcMar>
          </w:tcPr>
          <w:p w:rsidR="001B7143" w:rsidRPr="003E6227" w:rsidRDefault="00752608" w:rsidP="00BA77F7">
            <w:pPr>
              <w:spacing w:before="120" w:after="120" w:line="276" w:lineRule="auto"/>
              <w:jc w:val="right"/>
              <w:rPr>
                <w:rFonts w:ascii="Titillium" w:hAnsi="Titillium"/>
                <w:sz w:val="21"/>
                <w:szCs w:val="21"/>
              </w:rPr>
            </w:pPr>
            <w:r>
              <w:rPr>
                <w:rFonts w:ascii="Titillium" w:hAnsi="Titillium"/>
                <w:sz w:val="21"/>
                <w:szCs w:val="21"/>
              </w:rPr>
              <w:t xml:space="preserve"> € 72.131,15</w:t>
            </w:r>
          </w:p>
        </w:tc>
      </w:tr>
      <w:tr w:rsidR="001B7143" w:rsidRPr="003E6227" w:rsidTr="007347AC">
        <w:trPr>
          <w:trHeight w:val="575"/>
        </w:trPr>
        <w:tc>
          <w:tcPr>
            <w:tcW w:w="7547" w:type="dxa"/>
            <w:tcMar>
              <w:top w:w="28" w:type="dxa"/>
              <w:left w:w="85" w:type="dxa"/>
              <w:bottom w:w="28" w:type="dxa"/>
              <w:right w:w="85" w:type="dxa"/>
            </w:tcMar>
            <w:vAlign w:val="center"/>
          </w:tcPr>
          <w:p w:rsidR="001B7143" w:rsidRPr="003E6227" w:rsidRDefault="001B7143" w:rsidP="00BA77F7">
            <w:pPr>
              <w:spacing w:before="120" w:after="120" w:line="276" w:lineRule="auto"/>
              <w:jc w:val="both"/>
              <w:rPr>
                <w:rFonts w:ascii="Titillium" w:hAnsi="Titillium"/>
                <w:b/>
                <w:sz w:val="21"/>
                <w:szCs w:val="21"/>
              </w:rPr>
            </w:pPr>
            <w:r w:rsidRPr="003E6227">
              <w:rPr>
                <w:rFonts w:ascii="Titillium" w:hAnsi="Titillium"/>
                <w:b/>
                <w:sz w:val="21"/>
                <w:szCs w:val="21"/>
              </w:rPr>
              <w:t>Spesa complessiva stimata</w:t>
            </w:r>
          </w:p>
        </w:tc>
        <w:tc>
          <w:tcPr>
            <w:tcW w:w="1842" w:type="dxa"/>
            <w:tcBorders>
              <w:top w:val="single" w:sz="4" w:space="0" w:color="auto"/>
            </w:tcBorders>
            <w:tcMar>
              <w:top w:w="28" w:type="dxa"/>
              <w:left w:w="85" w:type="dxa"/>
              <w:bottom w:w="28" w:type="dxa"/>
              <w:right w:w="85" w:type="dxa"/>
            </w:tcMar>
            <w:vAlign w:val="center"/>
          </w:tcPr>
          <w:p w:rsidR="001B7143" w:rsidRPr="003E6227" w:rsidRDefault="00752608" w:rsidP="00BA77F7">
            <w:pPr>
              <w:spacing w:before="120" w:after="120" w:line="276" w:lineRule="auto"/>
              <w:jc w:val="right"/>
              <w:rPr>
                <w:rFonts w:ascii="Titillium" w:hAnsi="Titillium"/>
                <w:b/>
                <w:sz w:val="21"/>
                <w:szCs w:val="21"/>
              </w:rPr>
            </w:pPr>
            <w:r>
              <w:rPr>
                <w:rFonts w:ascii="Titillium" w:hAnsi="Titillium"/>
                <w:b/>
                <w:sz w:val="21"/>
                <w:szCs w:val="21"/>
              </w:rPr>
              <w:t>€ 4</w:t>
            </w:r>
            <w:r w:rsidR="007347AC" w:rsidRPr="003E6227">
              <w:rPr>
                <w:rFonts w:ascii="Titillium" w:hAnsi="Titillium"/>
                <w:b/>
                <w:sz w:val="21"/>
                <w:szCs w:val="21"/>
              </w:rPr>
              <w:t>00.000,00</w:t>
            </w:r>
            <w:r w:rsidR="001B7143" w:rsidRPr="003E6227">
              <w:rPr>
                <w:rFonts w:ascii="Titillium" w:hAnsi="Titillium"/>
                <w:b/>
                <w:sz w:val="21"/>
                <w:szCs w:val="21"/>
              </w:rPr>
              <w:t xml:space="preserve"> </w:t>
            </w:r>
          </w:p>
        </w:tc>
      </w:tr>
    </w:tbl>
    <w:p w:rsidR="001B7143" w:rsidRPr="003E6227" w:rsidRDefault="001B7143" w:rsidP="00E22E2D">
      <w:pPr>
        <w:numPr>
          <w:ilvl w:val="0"/>
          <w:numId w:val="8"/>
        </w:numPr>
        <w:spacing w:before="120" w:after="120" w:line="276" w:lineRule="auto"/>
        <w:ind w:left="426"/>
        <w:jc w:val="both"/>
        <w:rPr>
          <w:rFonts w:ascii="Titillium" w:hAnsi="Titillium"/>
          <w:sz w:val="21"/>
          <w:szCs w:val="21"/>
        </w:rPr>
      </w:pPr>
      <w:r w:rsidRPr="003E6227">
        <w:rPr>
          <w:rFonts w:ascii="Titillium" w:hAnsi="Titillium"/>
          <w:sz w:val="21"/>
          <w:szCs w:val="21"/>
        </w:rPr>
        <w:lastRenderedPageBreak/>
        <w:t xml:space="preserve">il nuovo importo del citato contratto è pari a € </w:t>
      </w:r>
      <w:r w:rsidR="00E22E2D">
        <w:rPr>
          <w:rFonts w:ascii="Titillium" w:hAnsi="Titillium"/>
          <w:sz w:val="21"/>
          <w:szCs w:val="21"/>
        </w:rPr>
        <w:t xml:space="preserve">8.476.725,13 </w:t>
      </w:r>
      <w:r w:rsidR="007347AC" w:rsidRPr="003E6227">
        <w:rPr>
          <w:rFonts w:ascii="Titillium" w:hAnsi="Titillium"/>
          <w:sz w:val="21"/>
          <w:szCs w:val="21"/>
        </w:rPr>
        <w:t>oltre IVA e oneri della sicurezza interferenziale</w:t>
      </w:r>
      <w:r w:rsidRPr="003E6227">
        <w:rPr>
          <w:rFonts w:ascii="Titillium" w:hAnsi="Titillium"/>
          <w:sz w:val="21"/>
          <w:szCs w:val="21"/>
        </w:rPr>
        <w:t>;</w:t>
      </w:r>
    </w:p>
    <w:p w:rsidR="001B7143" w:rsidRPr="003E6227" w:rsidRDefault="00095795" w:rsidP="007347AC">
      <w:pPr>
        <w:numPr>
          <w:ilvl w:val="0"/>
          <w:numId w:val="8"/>
        </w:numPr>
        <w:spacing w:before="120" w:after="120" w:line="276" w:lineRule="auto"/>
        <w:ind w:left="426"/>
        <w:jc w:val="both"/>
        <w:rPr>
          <w:rFonts w:ascii="Titillium" w:hAnsi="Titillium"/>
          <w:sz w:val="21"/>
          <w:szCs w:val="21"/>
        </w:rPr>
      </w:pPr>
      <w:r>
        <w:rPr>
          <w:rFonts w:ascii="Titillium" w:hAnsi="Titillium"/>
          <w:sz w:val="21"/>
          <w:szCs w:val="21"/>
        </w:rPr>
        <w:t xml:space="preserve">il nuovo RUP della procedura è l’Ing. </w:t>
      </w:r>
      <w:r w:rsidR="00E22E2D">
        <w:rPr>
          <w:rFonts w:ascii="Titillium" w:hAnsi="Titillium"/>
          <w:sz w:val="21"/>
          <w:szCs w:val="21"/>
        </w:rPr>
        <w:t>Francesco Vargiu</w:t>
      </w:r>
      <w:r w:rsidR="001B7143" w:rsidRPr="003E6227">
        <w:rPr>
          <w:rFonts w:ascii="Titillium" w:hAnsi="Titillium"/>
          <w:sz w:val="21"/>
          <w:szCs w:val="21"/>
        </w:rPr>
        <w:t xml:space="preserve">; </w:t>
      </w:r>
    </w:p>
    <w:p w:rsidR="001B7143" w:rsidRPr="003E6227" w:rsidRDefault="001B7143" w:rsidP="001B7143">
      <w:pPr>
        <w:numPr>
          <w:ilvl w:val="0"/>
          <w:numId w:val="8"/>
        </w:numPr>
        <w:spacing w:before="120" w:after="120" w:line="276" w:lineRule="auto"/>
        <w:ind w:left="426"/>
        <w:jc w:val="both"/>
        <w:rPr>
          <w:rFonts w:ascii="Titillium" w:hAnsi="Titillium"/>
          <w:sz w:val="21"/>
          <w:szCs w:val="21"/>
        </w:rPr>
      </w:pPr>
      <w:r w:rsidRPr="003E6227">
        <w:rPr>
          <w:rFonts w:ascii="Titillium" w:hAnsi="Titillium"/>
          <w:sz w:val="21"/>
          <w:szCs w:val="21"/>
        </w:rPr>
        <w:t xml:space="preserve">di autorizzare la spesa aggiuntiva stimata </w:t>
      </w:r>
      <w:r w:rsidR="007347AC" w:rsidRPr="003E6227">
        <w:rPr>
          <w:rFonts w:ascii="Titillium" w:hAnsi="Titillium"/>
          <w:sz w:val="21"/>
          <w:szCs w:val="21"/>
        </w:rPr>
        <w:t xml:space="preserve">di € </w:t>
      </w:r>
      <w:r w:rsidR="00E22E2D">
        <w:rPr>
          <w:rFonts w:ascii="Titillium" w:hAnsi="Titillium"/>
          <w:sz w:val="21"/>
          <w:szCs w:val="21"/>
        </w:rPr>
        <w:t>400.000,00</w:t>
      </w:r>
      <w:r w:rsidRPr="003E6227">
        <w:rPr>
          <w:rFonts w:ascii="Titillium" w:hAnsi="Titillium"/>
          <w:sz w:val="21"/>
          <w:szCs w:val="21"/>
        </w:rPr>
        <w:t xml:space="preserve"> IVA inclusa, da porsi a carico del bilancio di previsione dell’Autorità per l’anno 2023, sul capitolo n.</w:t>
      </w:r>
      <w:r w:rsidR="003E6227" w:rsidRPr="003E6227">
        <w:rPr>
          <w:rFonts w:ascii="Titillium" w:hAnsi="Titillium"/>
          <w:sz w:val="21"/>
          <w:szCs w:val="21"/>
        </w:rPr>
        <w:t xml:space="preserve"> 1310.3</w:t>
      </w:r>
      <w:r w:rsidRPr="003E6227">
        <w:rPr>
          <w:rFonts w:ascii="Titillium" w:hAnsi="Titillium"/>
          <w:sz w:val="21"/>
          <w:szCs w:val="21"/>
        </w:rPr>
        <w:t>.</w:t>
      </w:r>
    </w:p>
    <w:p w:rsidR="00A10E00" w:rsidRDefault="00A10E00" w:rsidP="00581C43">
      <w:pPr>
        <w:spacing w:line="276" w:lineRule="auto"/>
        <w:jc w:val="both"/>
        <w:rPr>
          <w:rFonts w:ascii="Titillium" w:hAnsi="Titillium"/>
          <w:sz w:val="20"/>
          <w:szCs w:val="20"/>
        </w:rPr>
      </w:pPr>
    </w:p>
    <w:tbl>
      <w:tblPr>
        <w:tblW w:w="4118" w:type="pct"/>
        <w:tblInd w:w="1560" w:type="dxa"/>
        <w:tblLayout w:type="fixed"/>
        <w:tblCellMar>
          <w:top w:w="57" w:type="dxa"/>
          <w:left w:w="57" w:type="dxa"/>
          <w:bottom w:w="57" w:type="dxa"/>
          <w:right w:w="57" w:type="dxa"/>
        </w:tblCellMar>
        <w:tblLook w:val="04A0" w:firstRow="1" w:lastRow="0" w:firstColumn="1" w:lastColumn="0" w:noHBand="0" w:noVBand="1"/>
      </w:tblPr>
      <w:tblGrid>
        <w:gridCol w:w="2693"/>
        <w:gridCol w:w="2548"/>
        <w:gridCol w:w="2697"/>
      </w:tblGrid>
      <w:tr w:rsidR="00A10E00" w:rsidRPr="00A10E00" w:rsidTr="00C706B5">
        <w:trPr>
          <w:trHeight w:val="343"/>
        </w:trPr>
        <w:tc>
          <w:tcPr>
            <w:tcW w:w="1696" w:type="pct"/>
            <w:shd w:val="clear" w:color="auto" w:fill="2770B7"/>
            <w:vAlign w:val="center"/>
          </w:tcPr>
          <w:p w:rsidR="00A10E00" w:rsidRPr="00A10E00"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0"/>
                <w:szCs w:val="20"/>
                <w:lang w:eastAsia="en-US"/>
              </w:rPr>
            </w:pPr>
          </w:p>
        </w:tc>
        <w:tc>
          <w:tcPr>
            <w:tcW w:w="1605" w:type="pct"/>
            <w:shd w:val="clear" w:color="auto" w:fill="2770B7"/>
            <w:vAlign w:val="center"/>
          </w:tcPr>
          <w:p w:rsidR="00A10E00" w:rsidRPr="00A10E00"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0"/>
                <w:szCs w:val="20"/>
                <w:lang w:eastAsia="en-US"/>
              </w:rPr>
            </w:pPr>
          </w:p>
        </w:tc>
        <w:tc>
          <w:tcPr>
            <w:tcW w:w="1699" w:type="pct"/>
            <w:shd w:val="clear" w:color="auto" w:fill="2770B7"/>
            <w:vAlign w:val="center"/>
          </w:tcPr>
          <w:p w:rsidR="00A10E00" w:rsidRPr="003E6227"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1"/>
                <w:szCs w:val="21"/>
                <w:lang w:eastAsia="en-US"/>
              </w:rPr>
            </w:pPr>
            <w:r w:rsidRPr="003E6227">
              <w:rPr>
                <w:rFonts w:ascii="Gotham Book" w:eastAsia="Calibri" w:hAnsi="Gotham Book" w:cs="Titillium Web"/>
                <w:color w:val="FFFFFF"/>
                <w:sz w:val="21"/>
                <w:szCs w:val="21"/>
                <w:lang w:eastAsia="en-US"/>
              </w:rPr>
              <w:t xml:space="preserve">Il Segretario Generale </w:t>
            </w:r>
          </w:p>
        </w:tc>
      </w:tr>
      <w:tr w:rsidR="00A10E00" w:rsidRPr="00A10E00" w:rsidTr="00C706B5">
        <w:trPr>
          <w:trHeight w:val="434"/>
        </w:trPr>
        <w:tc>
          <w:tcPr>
            <w:tcW w:w="1696" w:type="pct"/>
            <w:shd w:val="clear" w:color="auto" w:fill="auto"/>
            <w:vAlign w:val="center"/>
          </w:tcPr>
          <w:p w:rsidR="00A10E00" w:rsidRPr="00A10E00" w:rsidRDefault="00A10E00" w:rsidP="00A10E00">
            <w:pPr>
              <w:rPr>
                <w:i/>
              </w:rPr>
            </w:pPr>
          </w:p>
        </w:tc>
        <w:tc>
          <w:tcPr>
            <w:tcW w:w="1605" w:type="pct"/>
            <w:vAlign w:val="center"/>
          </w:tcPr>
          <w:p w:rsidR="00A10E00" w:rsidRPr="00A10E00" w:rsidRDefault="00A10E00" w:rsidP="00A10E00">
            <w:pPr>
              <w:rPr>
                <w:rFonts w:ascii="Titillium" w:hAnsi="Titillium"/>
                <w:i/>
                <w:sz w:val="20"/>
                <w:szCs w:val="20"/>
              </w:rPr>
            </w:pPr>
          </w:p>
        </w:tc>
        <w:tc>
          <w:tcPr>
            <w:tcW w:w="1699" w:type="pct"/>
            <w:shd w:val="clear" w:color="auto" w:fill="auto"/>
            <w:vAlign w:val="center"/>
          </w:tcPr>
          <w:p w:rsidR="00A10E00" w:rsidRPr="003E6227" w:rsidRDefault="00C25181" w:rsidP="00A10E00">
            <w:pPr>
              <w:rPr>
                <w:rFonts w:ascii="Titillium" w:hAnsi="Titillium"/>
                <w:i/>
                <w:sz w:val="21"/>
                <w:szCs w:val="21"/>
              </w:rPr>
            </w:pPr>
            <w:r>
              <w:rPr>
                <w:rFonts w:ascii="Titillium" w:hAnsi="Titillium"/>
                <w:i/>
                <w:sz w:val="20"/>
                <w:szCs w:val="20"/>
              </w:rPr>
              <w:t xml:space="preserve">     </w:t>
            </w:r>
            <w:r w:rsidR="00A10E00" w:rsidRPr="003E6227">
              <w:rPr>
                <w:rFonts w:ascii="Titillium" w:hAnsi="Titillium"/>
                <w:i/>
                <w:sz w:val="21"/>
                <w:szCs w:val="21"/>
              </w:rPr>
              <w:t>Ing. Filippo Romano</w:t>
            </w:r>
          </w:p>
        </w:tc>
      </w:tr>
    </w:tbl>
    <w:p w:rsidR="00A10E00" w:rsidRDefault="00A10E00" w:rsidP="00A10E00">
      <w:pPr>
        <w:spacing w:after="120" w:line="276" w:lineRule="auto"/>
        <w:jc w:val="both"/>
        <w:rPr>
          <w:rFonts w:ascii="Garamond" w:hAnsi="Garamond"/>
        </w:rPr>
      </w:pPr>
    </w:p>
    <w:p w:rsidR="00F97EAC" w:rsidRDefault="00F97EAC" w:rsidP="00A10E00">
      <w:pPr>
        <w:spacing w:after="120" w:line="276" w:lineRule="auto"/>
        <w:jc w:val="both"/>
        <w:rPr>
          <w:rFonts w:ascii="Garamond" w:hAnsi="Garamond"/>
        </w:rPr>
      </w:pPr>
    </w:p>
    <w:p w:rsidR="004427EC" w:rsidRDefault="004427EC" w:rsidP="00A10E00">
      <w:pPr>
        <w:spacing w:after="120" w:line="276" w:lineRule="auto"/>
        <w:jc w:val="both"/>
        <w:rPr>
          <w:rFonts w:ascii="Garamond" w:hAnsi="Garamond"/>
        </w:rPr>
      </w:pPr>
    </w:p>
    <w:tbl>
      <w:tblPr>
        <w:tblpPr w:leftFromText="141" w:rightFromText="141" w:vertAnchor="text" w:tblpY="1"/>
        <w:tblOverlap w:val="never"/>
        <w:tblW w:w="2471" w:type="pct"/>
        <w:tblLayout w:type="fixed"/>
        <w:tblCellMar>
          <w:top w:w="57" w:type="dxa"/>
          <w:left w:w="57" w:type="dxa"/>
          <w:bottom w:w="57" w:type="dxa"/>
          <w:right w:w="57" w:type="dxa"/>
        </w:tblCellMar>
        <w:tblLook w:val="04A0" w:firstRow="1" w:lastRow="0" w:firstColumn="1" w:lastColumn="0" w:noHBand="0" w:noVBand="1"/>
      </w:tblPr>
      <w:tblGrid>
        <w:gridCol w:w="4763"/>
      </w:tblGrid>
      <w:tr w:rsidR="00A10E00" w:rsidRPr="00A10E00" w:rsidTr="00C706B5">
        <w:trPr>
          <w:trHeight w:val="658"/>
        </w:trPr>
        <w:tc>
          <w:tcPr>
            <w:tcW w:w="5000" w:type="pct"/>
            <w:shd w:val="clear" w:color="auto" w:fill="2770B7"/>
            <w:vAlign w:val="center"/>
          </w:tcPr>
          <w:p w:rsidR="00A10E00" w:rsidRPr="003E6227"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1"/>
                <w:szCs w:val="21"/>
                <w:lang w:eastAsia="en-US"/>
              </w:rPr>
            </w:pPr>
            <w:r w:rsidRPr="003E6227">
              <w:rPr>
                <w:rFonts w:ascii="Gotham Book" w:eastAsia="Calibri" w:hAnsi="Gotham Book" w:cs="Titillium Web"/>
                <w:color w:val="FFFFFF"/>
                <w:sz w:val="21"/>
                <w:szCs w:val="21"/>
                <w:lang w:eastAsia="en-US"/>
              </w:rPr>
              <w:t>Visto</w:t>
            </w:r>
          </w:p>
          <w:p w:rsidR="00A10E00" w:rsidRPr="00A10E00"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0"/>
                <w:szCs w:val="20"/>
                <w:lang w:eastAsia="en-US"/>
              </w:rPr>
            </w:pPr>
            <w:r w:rsidRPr="003E6227">
              <w:rPr>
                <w:rFonts w:ascii="Gotham Book" w:eastAsia="Calibri" w:hAnsi="Gotham Book" w:cs="Titillium Web"/>
                <w:color w:val="FFFFFF"/>
                <w:sz w:val="21"/>
                <w:szCs w:val="21"/>
                <w:lang w:eastAsia="en-US"/>
              </w:rPr>
              <w:t>Il Dirigente dell’Ufficio Gare e logistica</w:t>
            </w:r>
          </w:p>
        </w:tc>
      </w:tr>
      <w:tr w:rsidR="00A10E00" w:rsidRPr="00A10E00" w:rsidTr="00C706B5">
        <w:trPr>
          <w:trHeight w:val="233"/>
        </w:trPr>
        <w:tc>
          <w:tcPr>
            <w:tcW w:w="5000" w:type="pct"/>
            <w:shd w:val="clear" w:color="auto" w:fill="auto"/>
            <w:vAlign w:val="center"/>
          </w:tcPr>
          <w:p w:rsidR="00A10E00" w:rsidRPr="003E6227" w:rsidRDefault="00581C43" w:rsidP="00A10E00">
            <w:pPr>
              <w:jc w:val="center"/>
              <w:rPr>
                <w:i/>
                <w:sz w:val="21"/>
                <w:szCs w:val="21"/>
              </w:rPr>
            </w:pPr>
            <w:r w:rsidRPr="003E6227">
              <w:rPr>
                <w:rFonts w:ascii="Titillium" w:hAnsi="Titillium"/>
                <w:i/>
                <w:sz w:val="21"/>
                <w:szCs w:val="21"/>
              </w:rPr>
              <w:t xml:space="preserve">Ing. </w:t>
            </w:r>
            <w:r w:rsidR="008C32F6" w:rsidRPr="003E6227">
              <w:rPr>
                <w:rFonts w:ascii="Titillium" w:hAnsi="Titillium"/>
                <w:i/>
                <w:sz w:val="21"/>
                <w:szCs w:val="21"/>
              </w:rPr>
              <w:t>Settimio Picca</w:t>
            </w:r>
          </w:p>
        </w:tc>
      </w:tr>
    </w:tbl>
    <w:p w:rsidR="00A10E00" w:rsidRPr="00A10E00" w:rsidRDefault="00A10E00" w:rsidP="00A10E00">
      <w:pPr>
        <w:rPr>
          <w:rFonts w:ascii="Garamond" w:hAnsi="Garamond"/>
        </w:rPr>
      </w:pPr>
      <w:r w:rsidRPr="00A10E00">
        <w:rPr>
          <w:rFonts w:ascii="Garamond" w:hAnsi="Garamond"/>
        </w:rPr>
        <w:t xml:space="preserve">  </w:t>
      </w:r>
    </w:p>
    <w:p w:rsidR="00A10E00" w:rsidRPr="00A10E00" w:rsidRDefault="00A10E00" w:rsidP="00A10E00">
      <w:pPr>
        <w:rPr>
          <w:rFonts w:ascii="Garamond" w:hAnsi="Garamond"/>
        </w:rPr>
      </w:pPr>
    </w:p>
    <w:p w:rsidR="00A10E00" w:rsidRPr="00A10E00" w:rsidRDefault="00A10E00" w:rsidP="00A10E00">
      <w:pPr>
        <w:rPr>
          <w:rFonts w:ascii="Garamond" w:hAnsi="Garamond"/>
        </w:rPr>
      </w:pPr>
    </w:p>
    <w:p w:rsidR="00A10E00" w:rsidRPr="00A10E00" w:rsidRDefault="00A10E00" w:rsidP="00A10E00">
      <w:pPr>
        <w:rPr>
          <w:rFonts w:ascii="Garamond" w:hAnsi="Garamond"/>
        </w:rPr>
      </w:pPr>
    </w:p>
    <w:p w:rsidR="00A10E00" w:rsidRPr="00A10E00" w:rsidRDefault="00A10E00" w:rsidP="00A10E00">
      <w:pPr>
        <w:rPr>
          <w:rFonts w:ascii="Garamond" w:hAnsi="Garamond"/>
        </w:rPr>
      </w:pPr>
    </w:p>
    <w:p w:rsidR="00A10E00" w:rsidRDefault="00A10E00" w:rsidP="00A10E00">
      <w:pPr>
        <w:rPr>
          <w:rFonts w:ascii="Garamond" w:hAnsi="Garamond"/>
        </w:rPr>
      </w:pPr>
    </w:p>
    <w:p w:rsidR="008C32F6" w:rsidRPr="00A10E00" w:rsidRDefault="008C32F6" w:rsidP="00A10E00">
      <w:pPr>
        <w:rPr>
          <w:rFonts w:ascii="Garamond" w:hAnsi="Garamond"/>
        </w:rPr>
      </w:pPr>
    </w:p>
    <w:p w:rsidR="00A10E00" w:rsidRPr="00A10E00" w:rsidRDefault="00A10E00" w:rsidP="00A10E00">
      <w:pPr>
        <w:rPr>
          <w:rFonts w:ascii="Garamond" w:hAnsi="Garamond"/>
        </w:rPr>
      </w:pPr>
    </w:p>
    <w:p w:rsidR="00A10E00" w:rsidRDefault="00A10E00" w:rsidP="00A10E00">
      <w:pPr>
        <w:rPr>
          <w:rFonts w:ascii="Garamond" w:hAnsi="Garamond"/>
        </w:rPr>
      </w:pPr>
    </w:p>
    <w:p w:rsidR="00431697" w:rsidRPr="00A10E00" w:rsidRDefault="00431697" w:rsidP="00A10E00">
      <w:pPr>
        <w:rPr>
          <w:rFonts w:ascii="Garamond" w:hAnsi="Garamond"/>
        </w:rPr>
      </w:pPr>
    </w:p>
    <w:tbl>
      <w:tblPr>
        <w:tblpPr w:leftFromText="141" w:rightFromText="141" w:vertAnchor="text" w:tblpY="1"/>
        <w:tblOverlap w:val="never"/>
        <w:tblW w:w="2471" w:type="pct"/>
        <w:tblLayout w:type="fixed"/>
        <w:tblCellMar>
          <w:top w:w="57" w:type="dxa"/>
          <w:left w:w="57" w:type="dxa"/>
          <w:bottom w:w="57" w:type="dxa"/>
          <w:right w:w="57" w:type="dxa"/>
        </w:tblCellMar>
        <w:tblLook w:val="04A0" w:firstRow="1" w:lastRow="0" w:firstColumn="1" w:lastColumn="0" w:noHBand="0" w:noVBand="1"/>
      </w:tblPr>
      <w:tblGrid>
        <w:gridCol w:w="4763"/>
      </w:tblGrid>
      <w:tr w:rsidR="00A10E00" w:rsidRPr="00A10E00" w:rsidTr="00C706B5">
        <w:trPr>
          <w:trHeight w:val="658"/>
        </w:trPr>
        <w:tc>
          <w:tcPr>
            <w:tcW w:w="5000" w:type="pct"/>
            <w:shd w:val="clear" w:color="auto" w:fill="2770B7"/>
            <w:vAlign w:val="center"/>
          </w:tcPr>
          <w:p w:rsidR="00A10E00" w:rsidRPr="003E6227"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1"/>
                <w:szCs w:val="21"/>
                <w:lang w:eastAsia="en-US"/>
              </w:rPr>
            </w:pPr>
            <w:r w:rsidRPr="003E6227">
              <w:rPr>
                <w:rFonts w:ascii="Gotham Book" w:eastAsia="Calibri" w:hAnsi="Gotham Book" w:cs="Titillium Web"/>
                <w:color w:val="FFFFFF"/>
                <w:sz w:val="21"/>
                <w:szCs w:val="21"/>
                <w:lang w:eastAsia="en-US"/>
              </w:rPr>
              <w:t>Visto per la copertura finanziaria</w:t>
            </w:r>
          </w:p>
          <w:p w:rsidR="00A10E00" w:rsidRPr="003E6227"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1"/>
                <w:szCs w:val="21"/>
                <w:lang w:eastAsia="en-US"/>
              </w:rPr>
            </w:pPr>
            <w:r w:rsidRPr="003E6227">
              <w:rPr>
                <w:rFonts w:ascii="Gotham Book" w:eastAsia="Calibri" w:hAnsi="Gotham Book" w:cs="Titillium Web"/>
                <w:color w:val="FFFFFF"/>
                <w:sz w:val="21"/>
                <w:szCs w:val="21"/>
                <w:lang w:eastAsia="en-US"/>
              </w:rPr>
              <w:t>Il Dirigente dell’Ufficio Programmazione</w:t>
            </w:r>
          </w:p>
          <w:p w:rsidR="00A10E00" w:rsidRPr="00A10E00" w:rsidRDefault="00A10E00" w:rsidP="00A10E00">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0"/>
                <w:szCs w:val="20"/>
                <w:lang w:eastAsia="en-US"/>
              </w:rPr>
            </w:pPr>
            <w:r w:rsidRPr="003E6227">
              <w:rPr>
                <w:rFonts w:ascii="Gotham Book" w:eastAsia="Calibri" w:hAnsi="Gotham Book" w:cs="Titillium Web"/>
                <w:color w:val="FFFFFF"/>
                <w:sz w:val="21"/>
                <w:szCs w:val="21"/>
                <w:lang w:eastAsia="en-US"/>
              </w:rPr>
              <w:t>delle risorse finanziarie, bilancio e contabilità</w:t>
            </w:r>
          </w:p>
        </w:tc>
      </w:tr>
      <w:tr w:rsidR="00A10E00" w:rsidRPr="003E6227" w:rsidTr="00C706B5">
        <w:trPr>
          <w:trHeight w:val="233"/>
        </w:trPr>
        <w:tc>
          <w:tcPr>
            <w:tcW w:w="5000" w:type="pct"/>
            <w:shd w:val="clear" w:color="auto" w:fill="auto"/>
            <w:vAlign w:val="center"/>
          </w:tcPr>
          <w:p w:rsidR="00A10E00" w:rsidRPr="003E6227" w:rsidRDefault="00581C43" w:rsidP="00A10E00">
            <w:pPr>
              <w:jc w:val="center"/>
              <w:rPr>
                <w:i/>
                <w:sz w:val="21"/>
                <w:szCs w:val="21"/>
              </w:rPr>
            </w:pPr>
            <w:r w:rsidRPr="003E6227">
              <w:rPr>
                <w:rFonts w:ascii="Titillium" w:hAnsi="Titillium"/>
                <w:i/>
                <w:sz w:val="21"/>
                <w:szCs w:val="21"/>
              </w:rPr>
              <w:t xml:space="preserve">Dott. </w:t>
            </w:r>
            <w:r w:rsidR="00A10E00" w:rsidRPr="003E6227">
              <w:rPr>
                <w:rFonts w:ascii="Titillium" w:hAnsi="Titillium"/>
                <w:i/>
                <w:sz w:val="21"/>
                <w:szCs w:val="21"/>
              </w:rPr>
              <w:t>Stefano Ceccarelli</w:t>
            </w:r>
          </w:p>
        </w:tc>
      </w:tr>
    </w:tbl>
    <w:p w:rsidR="00A10E00" w:rsidRDefault="00A10E00" w:rsidP="00403CFE">
      <w:pPr>
        <w:spacing w:after="100" w:line="276" w:lineRule="auto"/>
        <w:jc w:val="both"/>
        <w:rPr>
          <w:rFonts w:ascii="Titillium" w:hAnsi="Titillium"/>
          <w:sz w:val="20"/>
          <w:szCs w:val="20"/>
        </w:rPr>
      </w:pPr>
    </w:p>
    <w:p w:rsidR="00A10E00" w:rsidRDefault="00A10E00" w:rsidP="00403CFE">
      <w:pPr>
        <w:spacing w:after="100" w:line="276" w:lineRule="auto"/>
        <w:jc w:val="both"/>
        <w:rPr>
          <w:rFonts w:ascii="Titillium" w:hAnsi="Titillium"/>
          <w:sz w:val="20"/>
          <w:szCs w:val="20"/>
        </w:rPr>
      </w:pPr>
    </w:p>
    <w:p w:rsidR="00A10E00" w:rsidRDefault="00A10E00" w:rsidP="00403CFE">
      <w:pPr>
        <w:spacing w:after="100" w:line="276" w:lineRule="auto"/>
        <w:jc w:val="both"/>
        <w:rPr>
          <w:rFonts w:ascii="Titillium" w:hAnsi="Titillium"/>
          <w:sz w:val="20"/>
          <w:szCs w:val="20"/>
        </w:rPr>
      </w:pPr>
    </w:p>
    <w:p w:rsidR="00A10E00" w:rsidRDefault="00A10E00" w:rsidP="00403CFE">
      <w:pPr>
        <w:spacing w:after="100" w:line="276" w:lineRule="auto"/>
        <w:jc w:val="both"/>
        <w:rPr>
          <w:rFonts w:ascii="Titillium" w:hAnsi="Titillium"/>
          <w:sz w:val="20"/>
          <w:szCs w:val="20"/>
        </w:rPr>
      </w:pPr>
    </w:p>
    <w:p w:rsidR="00A10E00" w:rsidRPr="00403CFE" w:rsidRDefault="00A10E00" w:rsidP="00403CFE">
      <w:pPr>
        <w:spacing w:after="100" w:line="276" w:lineRule="auto"/>
        <w:jc w:val="both"/>
        <w:rPr>
          <w:rFonts w:ascii="Titillium" w:hAnsi="Titillium"/>
          <w:sz w:val="20"/>
          <w:szCs w:val="20"/>
        </w:rPr>
      </w:pPr>
    </w:p>
    <w:p w:rsidR="004A53E6" w:rsidRPr="00C95049" w:rsidRDefault="004A53E6" w:rsidP="00332723">
      <w:pPr>
        <w:spacing w:line="276" w:lineRule="auto"/>
        <w:rPr>
          <w:rFonts w:ascii="Titilium Regular" w:hAnsi="Titilium Regular"/>
          <w:i/>
        </w:rPr>
      </w:pPr>
    </w:p>
    <w:sectPr w:rsidR="004A53E6" w:rsidRPr="00C95049" w:rsidSect="00581C43">
      <w:footerReference w:type="default" r:id="rId8"/>
      <w:headerReference w:type="first" r:id="rId9"/>
      <w:footerReference w:type="first" r:id="rId10"/>
      <w:pgSz w:w="11906" w:h="16838"/>
      <w:pgMar w:top="1560" w:right="1134" w:bottom="993" w:left="1134" w:header="284"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E83" w:rsidRDefault="00967E83" w:rsidP="00332723">
      <w:r>
        <w:separator/>
      </w:r>
    </w:p>
  </w:endnote>
  <w:endnote w:type="continuationSeparator" w:id="0">
    <w:p w:rsidR="00967E83" w:rsidRDefault="00967E83" w:rsidP="003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Titillium Web">
    <w:altName w:val="Times New Roman"/>
    <w:charset w:val="4D"/>
    <w:family w:val="auto"/>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Titillium">
    <w:panose1 w:val="00000500000000000000"/>
    <w:charset w:val="00"/>
    <w:family w:val="modern"/>
    <w:notTrueType/>
    <w:pitch w:val="variable"/>
    <w:sig w:usb0="00000007" w:usb1="00000001"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Titilium Regular">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Gotham">
    <w:panose1 w:val="02000504050000020004"/>
    <w:charset w:val="00"/>
    <w:family w:val="auto"/>
    <w:pitch w:val="variable"/>
    <w:sig w:usb0="A00000AF" w:usb1="50000048" w:usb2="0000000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76" w:rsidRPr="00FD5BC7" w:rsidRDefault="00B76F76" w:rsidP="00B76F76">
    <w:pPr>
      <w:pStyle w:val="Pidipagina"/>
      <w:rPr>
        <w:rFonts w:ascii="Gotham Medium" w:hAnsi="Gotham Medium"/>
        <w:color w:val="2770B7"/>
        <w:sz w:val="18"/>
        <w:szCs w:val="18"/>
      </w:rPr>
    </w:pPr>
    <w:r w:rsidRPr="00FD5BC7">
      <w:rPr>
        <w:rFonts w:ascii="Gotham Medium" w:hAnsi="Gotham Medium"/>
        <w:color w:val="2770B7"/>
        <w:sz w:val="18"/>
        <w:szCs w:val="18"/>
      </w:rPr>
      <w:fldChar w:fldCharType="begin"/>
    </w:r>
    <w:r w:rsidRPr="00FD5BC7">
      <w:rPr>
        <w:rFonts w:ascii="Gotham Medium" w:hAnsi="Gotham Medium"/>
        <w:color w:val="2770B7"/>
        <w:sz w:val="18"/>
        <w:szCs w:val="18"/>
      </w:rPr>
      <w:instrText>PAGE  \* Arabic</w:instrText>
    </w:r>
    <w:r w:rsidRPr="00FD5BC7">
      <w:rPr>
        <w:rFonts w:ascii="Gotham Medium" w:hAnsi="Gotham Medium"/>
        <w:color w:val="2770B7"/>
        <w:sz w:val="18"/>
        <w:szCs w:val="18"/>
      </w:rPr>
      <w:fldChar w:fldCharType="separate"/>
    </w:r>
    <w:r w:rsidR="002D72F3">
      <w:rPr>
        <w:rFonts w:ascii="Gotham Medium" w:hAnsi="Gotham Medium"/>
        <w:noProof/>
        <w:color w:val="2770B7"/>
        <w:sz w:val="18"/>
        <w:szCs w:val="18"/>
      </w:rPr>
      <w:t>3</w:t>
    </w:r>
    <w:r w:rsidRPr="00FD5BC7">
      <w:rPr>
        <w:rFonts w:ascii="Gotham Medium" w:hAnsi="Gotham Medium"/>
        <w:color w:val="2770B7"/>
        <w:sz w:val="18"/>
        <w:szCs w:val="18"/>
      </w:rPr>
      <w:fldChar w:fldCharType="end"/>
    </w:r>
    <w:r w:rsidRPr="00FD5BC7">
      <w:rPr>
        <w:rFonts w:ascii="Gotham Medium" w:hAnsi="Gotham Medium"/>
        <w:color w:val="2770B7"/>
        <w:sz w:val="18"/>
        <w:szCs w:val="18"/>
      </w:rPr>
      <w:t xml:space="preserve">  |  </w:t>
    </w:r>
    <w:r w:rsidRPr="00FD5BC7">
      <w:rPr>
        <w:rFonts w:ascii="Gotham Light" w:hAnsi="Gotham Light"/>
        <w:color w:val="2770B7"/>
        <w:sz w:val="18"/>
        <w:szCs w:val="18"/>
      </w:rPr>
      <w:t>AUTORITÀ NAZIONALE ANTICORRUZIONE</w:t>
    </w:r>
  </w:p>
  <w:p w:rsidR="00B76F76" w:rsidRDefault="00B76F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43" w:rsidRDefault="00581C43">
    <w:pPr>
      <w:pStyle w:val="Pidipagina"/>
      <w:jc w:val="right"/>
    </w:pPr>
  </w:p>
  <w:p w:rsidR="00581C43" w:rsidRDefault="00581C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E83" w:rsidRDefault="00967E83" w:rsidP="00332723">
      <w:r>
        <w:separator/>
      </w:r>
    </w:p>
  </w:footnote>
  <w:footnote w:type="continuationSeparator" w:id="0">
    <w:p w:rsidR="00967E83" w:rsidRDefault="00967E83" w:rsidP="003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00" w:rsidRDefault="00A10E00" w:rsidP="00A10E00">
    <w:pPr>
      <w:tabs>
        <w:tab w:val="center" w:pos="4678"/>
        <w:tab w:val="left" w:pos="6045"/>
        <w:tab w:val="left" w:pos="7770"/>
      </w:tabs>
      <w:spacing w:before="120"/>
      <w:ind w:right="284"/>
      <w:rPr>
        <w:i/>
        <w:color w:val="1F497D"/>
        <w:sz w:val="20"/>
        <w:szCs w:val="20"/>
      </w:rPr>
    </w:pPr>
    <w:r>
      <w:rPr>
        <w:noProof/>
      </w:rPr>
      <w:drawing>
        <wp:inline distT="0" distB="0" distL="0" distR="0" wp14:anchorId="09BB99AF" wp14:editId="7D038053">
          <wp:extent cx="3169920" cy="40259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402590"/>
                  </a:xfrm>
                  <a:prstGeom prst="rect">
                    <a:avLst/>
                  </a:prstGeom>
                  <a:noFill/>
                </pic:spPr>
              </pic:pic>
            </a:graphicData>
          </a:graphic>
        </wp:inline>
      </w:drawing>
    </w:r>
    <w:r>
      <w:rPr>
        <w:i/>
        <w:color w:val="1F497D"/>
        <w:sz w:val="20"/>
        <w:szCs w:val="20"/>
      </w:rPr>
      <w:tab/>
    </w:r>
    <w:r>
      <w:rPr>
        <w:i/>
        <w:color w:val="1F497D"/>
        <w:sz w:val="20"/>
        <w:szCs w:val="20"/>
      </w:rPr>
      <w:tab/>
    </w:r>
  </w:p>
  <w:p w:rsidR="00A10E00" w:rsidRPr="008B6ABE" w:rsidRDefault="00A10E00" w:rsidP="00A10E00">
    <w:pPr>
      <w:tabs>
        <w:tab w:val="center" w:pos="4678"/>
      </w:tabs>
      <w:spacing w:before="120"/>
      <w:ind w:right="284"/>
      <w:rPr>
        <w:rFonts w:ascii="Gotham Light" w:hAnsi="Gotham Light"/>
        <w:i/>
        <w:color w:val="1F497D"/>
        <w:sz w:val="20"/>
        <w:szCs w:val="20"/>
      </w:rPr>
    </w:pPr>
    <w:r>
      <w:rPr>
        <w:rFonts w:ascii="Gotham" w:hAnsi="Gotham" w:cs="Arial"/>
        <w:color w:val="2E74B5"/>
      </w:rPr>
      <w:t xml:space="preserve">           </w:t>
    </w:r>
    <w:r w:rsidRPr="008B6ABE">
      <w:rPr>
        <w:rFonts w:ascii="Gotham Light" w:hAnsi="Gotham Light" w:cs="Arial"/>
        <w:color w:val="2E74B5"/>
      </w:rPr>
      <w:t>Il Segretario Generale</w:t>
    </w:r>
  </w:p>
  <w:p w:rsidR="00A10E00" w:rsidRDefault="00A10E00" w:rsidP="00A10E00">
    <w:pPr>
      <w:pStyle w:val="Intestazion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76D"/>
    <w:multiLevelType w:val="hybridMultilevel"/>
    <w:tmpl w:val="49B2AEE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875704E"/>
    <w:multiLevelType w:val="hybridMultilevel"/>
    <w:tmpl w:val="7E7CF69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2" w15:restartNumberingAfterBreak="0">
    <w:nsid w:val="309E69A7"/>
    <w:multiLevelType w:val="hybridMultilevel"/>
    <w:tmpl w:val="71486406"/>
    <w:lvl w:ilvl="0" w:tplc="773A90A4">
      <w:start w:val="2"/>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 w15:restartNumberingAfterBreak="0">
    <w:nsid w:val="6317300A"/>
    <w:multiLevelType w:val="hybridMultilevel"/>
    <w:tmpl w:val="49B2AE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5B6B65"/>
    <w:multiLevelType w:val="hybridMultilevel"/>
    <w:tmpl w:val="0998678E"/>
    <w:lvl w:ilvl="0" w:tplc="413E32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C3466D"/>
    <w:multiLevelType w:val="hybridMultilevel"/>
    <w:tmpl w:val="AFEECC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52"/>
    <w:rsid w:val="00022368"/>
    <w:rsid w:val="0003074D"/>
    <w:rsid w:val="00032632"/>
    <w:rsid w:val="00037ED0"/>
    <w:rsid w:val="000458D6"/>
    <w:rsid w:val="00054820"/>
    <w:rsid w:val="000650BE"/>
    <w:rsid w:val="00090690"/>
    <w:rsid w:val="00095795"/>
    <w:rsid w:val="000B1A7A"/>
    <w:rsid w:val="000F3312"/>
    <w:rsid w:val="00110EE1"/>
    <w:rsid w:val="0012593E"/>
    <w:rsid w:val="001263C2"/>
    <w:rsid w:val="00141A09"/>
    <w:rsid w:val="001B7143"/>
    <w:rsid w:val="001D2907"/>
    <w:rsid w:val="001F06BC"/>
    <w:rsid w:val="001F74B3"/>
    <w:rsid w:val="00202007"/>
    <w:rsid w:val="00204690"/>
    <w:rsid w:val="00211561"/>
    <w:rsid w:val="00212000"/>
    <w:rsid w:val="00212EAF"/>
    <w:rsid w:val="002175C6"/>
    <w:rsid w:val="00231CCC"/>
    <w:rsid w:val="0023328A"/>
    <w:rsid w:val="00236417"/>
    <w:rsid w:val="002612F3"/>
    <w:rsid w:val="0026529A"/>
    <w:rsid w:val="002A55D9"/>
    <w:rsid w:val="002B2991"/>
    <w:rsid w:val="002C00F4"/>
    <w:rsid w:val="002D72F3"/>
    <w:rsid w:val="002F411A"/>
    <w:rsid w:val="00315207"/>
    <w:rsid w:val="00332723"/>
    <w:rsid w:val="003574BE"/>
    <w:rsid w:val="00366BF6"/>
    <w:rsid w:val="003716FB"/>
    <w:rsid w:val="003909E0"/>
    <w:rsid w:val="00397BD9"/>
    <w:rsid w:val="003A1C13"/>
    <w:rsid w:val="003A7A5A"/>
    <w:rsid w:val="003B4801"/>
    <w:rsid w:val="003B5A90"/>
    <w:rsid w:val="003D4614"/>
    <w:rsid w:val="003E4EE3"/>
    <w:rsid w:val="003E5D79"/>
    <w:rsid w:val="003E6227"/>
    <w:rsid w:val="00403CFE"/>
    <w:rsid w:val="00404289"/>
    <w:rsid w:val="00406276"/>
    <w:rsid w:val="004072EB"/>
    <w:rsid w:val="00414BA9"/>
    <w:rsid w:val="00431697"/>
    <w:rsid w:val="00440C4E"/>
    <w:rsid w:val="004427EC"/>
    <w:rsid w:val="00451AAD"/>
    <w:rsid w:val="00460B02"/>
    <w:rsid w:val="00463CE9"/>
    <w:rsid w:val="00472286"/>
    <w:rsid w:val="004778A3"/>
    <w:rsid w:val="004843CF"/>
    <w:rsid w:val="004854B5"/>
    <w:rsid w:val="00485612"/>
    <w:rsid w:val="00487647"/>
    <w:rsid w:val="004934F0"/>
    <w:rsid w:val="004A53E6"/>
    <w:rsid w:val="004B0A81"/>
    <w:rsid w:val="004D3AD4"/>
    <w:rsid w:val="004E0347"/>
    <w:rsid w:val="004E12C3"/>
    <w:rsid w:val="00522C6B"/>
    <w:rsid w:val="0052461B"/>
    <w:rsid w:val="005273C2"/>
    <w:rsid w:val="0053317A"/>
    <w:rsid w:val="00546173"/>
    <w:rsid w:val="00553D7A"/>
    <w:rsid w:val="005565FA"/>
    <w:rsid w:val="0058173E"/>
    <w:rsid w:val="00581C43"/>
    <w:rsid w:val="0058739E"/>
    <w:rsid w:val="005A0D2E"/>
    <w:rsid w:val="005A2153"/>
    <w:rsid w:val="005E1013"/>
    <w:rsid w:val="005E6E80"/>
    <w:rsid w:val="005F5C0C"/>
    <w:rsid w:val="00632F5C"/>
    <w:rsid w:val="0063524C"/>
    <w:rsid w:val="00695A16"/>
    <w:rsid w:val="006979D2"/>
    <w:rsid w:val="006A4252"/>
    <w:rsid w:val="00720947"/>
    <w:rsid w:val="00720A5A"/>
    <w:rsid w:val="007228DC"/>
    <w:rsid w:val="00723555"/>
    <w:rsid w:val="00727CF5"/>
    <w:rsid w:val="00727EF2"/>
    <w:rsid w:val="00727FF0"/>
    <w:rsid w:val="007347AC"/>
    <w:rsid w:val="0074669E"/>
    <w:rsid w:val="00752608"/>
    <w:rsid w:val="0075746E"/>
    <w:rsid w:val="007679A2"/>
    <w:rsid w:val="00770588"/>
    <w:rsid w:val="007840EA"/>
    <w:rsid w:val="007931BA"/>
    <w:rsid w:val="00793F70"/>
    <w:rsid w:val="007B5FA8"/>
    <w:rsid w:val="007E37F5"/>
    <w:rsid w:val="00805285"/>
    <w:rsid w:val="008304A9"/>
    <w:rsid w:val="008460B1"/>
    <w:rsid w:val="0086080B"/>
    <w:rsid w:val="00860D64"/>
    <w:rsid w:val="00883703"/>
    <w:rsid w:val="00896071"/>
    <w:rsid w:val="008B6ABE"/>
    <w:rsid w:val="008C32F6"/>
    <w:rsid w:val="008D46D1"/>
    <w:rsid w:val="008E7BDB"/>
    <w:rsid w:val="008F7EEC"/>
    <w:rsid w:val="009135B2"/>
    <w:rsid w:val="009308E6"/>
    <w:rsid w:val="00952CF9"/>
    <w:rsid w:val="00967E83"/>
    <w:rsid w:val="009723AB"/>
    <w:rsid w:val="00990707"/>
    <w:rsid w:val="009B2060"/>
    <w:rsid w:val="009B7148"/>
    <w:rsid w:val="009C5BF6"/>
    <w:rsid w:val="00A10E00"/>
    <w:rsid w:val="00A271BF"/>
    <w:rsid w:val="00A42FD3"/>
    <w:rsid w:val="00A55BA3"/>
    <w:rsid w:val="00A6677D"/>
    <w:rsid w:val="00A67C23"/>
    <w:rsid w:val="00A80E47"/>
    <w:rsid w:val="00A90DE9"/>
    <w:rsid w:val="00AA2AEF"/>
    <w:rsid w:val="00AA2BF9"/>
    <w:rsid w:val="00AB07B9"/>
    <w:rsid w:val="00AE6E4B"/>
    <w:rsid w:val="00B1525B"/>
    <w:rsid w:val="00B37CA5"/>
    <w:rsid w:val="00B60B0F"/>
    <w:rsid w:val="00B613FA"/>
    <w:rsid w:val="00B61AE1"/>
    <w:rsid w:val="00B6390B"/>
    <w:rsid w:val="00B7127D"/>
    <w:rsid w:val="00B72615"/>
    <w:rsid w:val="00B76F76"/>
    <w:rsid w:val="00B80660"/>
    <w:rsid w:val="00B80C02"/>
    <w:rsid w:val="00B819C8"/>
    <w:rsid w:val="00B8761D"/>
    <w:rsid w:val="00B9335C"/>
    <w:rsid w:val="00BA5196"/>
    <w:rsid w:val="00BB1F80"/>
    <w:rsid w:val="00BC1267"/>
    <w:rsid w:val="00BF0ACD"/>
    <w:rsid w:val="00BF15B5"/>
    <w:rsid w:val="00BF2C4A"/>
    <w:rsid w:val="00C108D7"/>
    <w:rsid w:val="00C17086"/>
    <w:rsid w:val="00C25181"/>
    <w:rsid w:val="00C60786"/>
    <w:rsid w:val="00C87A91"/>
    <w:rsid w:val="00C95049"/>
    <w:rsid w:val="00CB15A8"/>
    <w:rsid w:val="00CF199A"/>
    <w:rsid w:val="00D03AB2"/>
    <w:rsid w:val="00D17D66"/>
    <w:rsid w:val="00D17E5C"/>
    <w:rsid w:val="00D21964"/>
    <w:rsid w:val="00D5477F"/>
    <w:rsid w:val="00D844E1"/>
    <w:rsid w:val="00DB0A37"/>
    <w:rsid w:val="00DB1F58"/>
    <w:rsid w:val="00DC5F66"/>
    <w:rsid w:val="00DD2A6C"/>
    <w:rsid w:val="00DD50B9"/>
    <w:rsid w:val="00DE2D17"/>
    <w:rsid w:val="00E02608"/>
    <w:rsid w:val="00E07DDB"/>
    <w:rsid w:val="00E22E2D"/>
    <w:rsid w:val="00E27E0A"/>
    <w:rsid w:val="00E54758"/>
    <w:rsid w:val="00E637CD"/>
    <w:rsid w:val="00E70CFA"/>
    <w:rsid w:val="00E70EEB"/>
    <w:rsid w:val="00EA39F0"/>
    <w:rsid w:val="00EE175F"/>
    <w:rsid w:val="00EE3934"/>
    <w:rsid w:val="00EE5A02"/>
    <w:rsid w:val="00F34D20"/>
    <w:rsid w:val="00F50B94"/>
    <w:rsid w:val="00F72632"/>
    <w:rsid w:val="00F779A2"/>
    <w:rsid w:val="00F77C35"/>
    <w:rsid w:val="00F97EAC"/>
    <w:rsid w:val="00FA4424"/>
    <w:rsid w:val="00FB24EE"/>
    <w:rsid w:val="00FC07A9"/>
    <w:rsid w:val="00FF6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79125"/>
  <w15:chartTrackingRefBased/>
  <w15:docId w15:val="{0E96DBE6-CEEE-4BB2-BAFC-3A680CF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7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32723"/>
    <w:pPr>
      <w:tabs>
        <w:tab w:val="center" w:pos="4819"/>
        <w:tab w:val="right" w:pos="9638"/>
      </w:tabs>
    </w:pPr>
  </w:style>
  <w:style w:type="character" w:customStyle="1" w:styleId="PidipaginaCarattere">
    <w:name w:val="Piè di pagina Carattere"/>
    <w:basedOn w:val="Carpredefinitoparagrafo"/>
    <w:link w:val="Pidipagina"/>
    <w:uiPriority w:val="99"/>
    <w:rsid w:val="0033272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332723"/>
    <w:pPr>
      <w:spacing w:after="120" w:line="480" w:lineRule="auto"/>
    </w:pPr>
  </w:style>
  <w:style w:type="character" w:customStyle="1" w:styleId="Corpodeltesto2Carattere">
    <w:name w:val="Corpo del testo 2 Carattere"/>
    <w:basedOn w:val="Carpredefinitoparagrafo"/>
    <w:link w:val="Corpodeltesto2"/>
    <w:uiPriority w:val="99"/>
    <w:rsid w:val="0033272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723"/>
    <w:pPr>
      <w:ind w:left="720"/>
      <w:contextualSpacing/>
    </w:pPr>
  </w:style>
  <w:style w:type="table" w:styleId="Grigliatabella">
    <w:name w:val="Table Grid"/>
    <w:basedOn w:val="Tabellanormale"/>
    <w:uiPriority w:val="59"/>
    <w:rsid w:val="0033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2723"/>
    <w:pPr>
      <w:tabs>
        <w:tab w:val="center" w:pos="4819"/>
        <w:tab w:val="right" w:pos="9638"/>
      </w:tabs>
    </w:pPr>
  </w:style>
  <w:style w:type="character" w:customStyle="1" w:styleId="IntestazioneCarattere">
    <w:name w:val="Intestazione Carattere"/>
    <w:basedOn w:val="Carpredefinitoparagrafo"/>
    <w:link w:val="Intestazione"/>
    <w:uiPriority w:val="99"/>
    <w:rsid w:val="0033272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854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4B5"/>
    <w:rPr>
      <w:rFonts w:ascii="Segoe UI" w:eastAsia="Times New Roman" w:hAnsi="Segoe UI" w:cs="Segoe UI"/>
      <w:sz w:val="18"/>
      <w:szCs w:val="18"/>
      <w:lang w:eastAsia="it-IT"/>
    </w:rPr>
  </w:style>
  <w:style w:type="paragraph" w:styleId="NormaleWeb">
    <w:name w:val="Normal (Web)"/>
    <w:basedOn w:val="Normale"/>
    <w:uiPriority w:val="99"/>
    <w:unhideWhenUsed/>
    <w:rsid w:val="00727FF0"/>
    <w:pPr>
      <w:spacing w:before="100" w:beforeAutospacing="1" w:after="119"/>
    </w:pPr>
    <w:rPr>
      <w:rFonts w:eastAsiaTheme="minorHAnsi"/>
    </w:rPr>
  </w:style>
  <w:style w:type="paragraph" w:customStyle="1" w:styleId="ANCATABELLATITOLOBIANCO">
    <w:name w:val="ANCA_TABELLA_TITOLO BIANCO"/>
    <w:basedOn w:val="Normale"/>
    <w:qFormat/>
    <w:rsid w:val="008B6ABE"/>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left="1560" w:right="142"/>
    </w:pPr>
    <w:rPr>
      <w:rFonts w:ascii="Gotham Book" w:eastAsiaTheme="minorHAnsi" w:hAnsi="Gotham Book" w:cs="Titillium Web"/>
      <w:color w:val="FFFFFF" w:themeColor="background1"/>
      <w:sz w:val="20"/>
      <w:szCs w:val="20"/>
      <w:lang w:val="en-US" w:eastAsia="en-US"/>
    </w:rPr>
  </w:style>
  <w:style w:type="character" w:styleId="Collegamentoipertestuale">
    <w:name w:val="Hyperlink"/>
    <w:basedOn w:val="Carpredefinitoparagrafo"/>
    <w:uiPriority w:val="99"/>
    <w:unhideWhenUsed/>
    <w:rsid w:val="000F3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80053">
      <w:bodyDiv w:val="1"/>
      <w:marLeft w:val="0"/>
      <w:marRight w:val="0"/>
      <w:marTop w:val="0"/>
      <w:marBottom w:val="0"/>
      <w:divBdr>
        <w:top w:val="none" w:sz="0" w:space="0" w:color="auto"/>
        <w:left w:val="none" w:sz="0" w:space="0" w:color="auto"/>
        <w:bottom w:val="none" w:sz="0" w:space="0" w:color="auto"/>
        <w:right w:val="none" w:sz="0" w:space="0" w:color="auto"/>
      </w:divBdr>
    </w:div>
    <w:div w:id="525753403">
      <w:bodyDiv w:val="1"/>
      <w:marLeft w:val="0"/>
      <w:marRight w:val="0"/>
      <w:marTop w:val="0"/>
      <w:marBottom w:val="0"/>
      <w:divBdr>
        <w:top w:val="none" w:sz="0" w:space="0" w:color="auto"/>
        <w:left w:val="none" w:sz="0" w:space="0" w:color="auto"/>
        <w:bottom w:val="none" w:sz="0" w:space="0" w:color="auto"/>
        <w:right w:val="none" w:sz="0" w:space="0" w:color="auto"/>
      </w:divBdr>
    </w:div>
    <w:div w:id="632908787">
      <w:bodyDiv w:val="1"/>
      <w:marLeft w:val="0"/>
      <w:marRight w:val="0"/>
      <w:marTop w:val="0"/>
      <w:marBottom w:val="0"/>
      <w:divBdr>
        <w:top w:val="none" w:sz="0" w:space="0" w:color="auto"/>
        <w:left w:val="none" w:sz="0" w:space="0" w:color="auto"/>
        <w:bottom w:val="none" w:sz="0" w:space="0" w:color="auto"/>
        <w:right w:val="none" w:sz="0" w:space="0" w:color="auto"/>
      </w:divBdr>
    </w:div>
    <w:div w:id="16753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E49BF-8919-4188-8B13-985D56E87D55}">
  <ds:schemaRefs>
    <ds:schemaRef ds:uri="http://schemas.openxmlformats.org/officeDocument/2006/bibliography"/>
  </ds:schemaRefs>
</ds:datastoreItem>
</file>

<file path=customXml/itemProps2.xml><?xml version="1.0" encoding="utf-8"?>
<ds:datastoreItem xmlns:ds="http://schemas.openxmlformats.org/officeDocument/2006/customXml" ds:itemID="{9B871BA9-B258-4563-8241-1F602D7246DE}"/>
</file>

<file path=customXml/itemProps3.xml><?xml version="1.0" encoding="utf-8"?>
<ds:datastoreItem xmlns:ds="http://schemas.openxmlformats.org/officeDocument/2006/customXml" ds:itemID="{79E8677D-C18F-46F9-B2FD-A5EBCEB3BCF0}"/>
</file>

<file path=customXml/itemProps4.xml><?xml version="1.0" encoding="utf-8"?>
<ds:datastoreItem xmlns:ds="http://schemas.openxmlformats.org/officeDocument/2006/customXml" ds:itemID="{0351B87C-AB34-478B-986B-A903EE247DC8}"/>
</file>

<file path=docProps/app.xml><?xml version="1.0" encoding="utf-8"?>
<Properties xmlns="http://schemas.openxmlformats.org/officeDocument/2006/extended-properties" xmlns:vt="http://schemas.openxmlformats.org/officeDocument/2006/docPropsVTypes">
  <Template>Normal</Template>
  <TotalTime>470</TotalTime>
  <Pages>3</Pages>
  <Words>1028</Words>
  <Characters>5861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Autorità Nazionale Anticorruzione</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Fontana</dc:creator>
  <cp:keywords/>
  <dc:description/>
  <cp:lastModifiedBy>Fontana Paolo</cp:lastModifiedBy>
  <cp:revision>38</cp:revision>
  <cp:lastPrinted>2019-06-04T13:34:00Z</cp:lastPrinted>
  <dcterms:created xsi:type="dcterms:W3CDTF">2023-03-30T07:41:00Z</dcterms:created>
  <dcterms:modified xsi:type="dcterms:W3CDTF">2023-08-24T15:34:00Z</dcterms:modified>
</cp:coreProperties>
</file>