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D2" w:rsidRPr="008B6ABE" w:rsidRDefault="008F7EEC" w:rsidP="00164544">
      <w:pPr>
        <w:tabs>
          <w:tab w:val="left" w:pos="2774"/>
        </w:tabs>
        <w:spacing w:before="120" w:after="240" w:line="276" w:lineRule="auto"/>
        <w:jc w:val="center"/>
        <w:rPr>
          <w:rFonts w:ascii="Gotham Light" w:hAnsi="Gotham Light"/>
          <w:b/>
          <w:sz w:val="36"/>
          <w:szCs w:val="36"/>
        </w:rPr>
      </w:pPr>
      <w:r>
        <w:rPr>
          <w:rFonts w:ascii="Gotham Light" w:hAnsi="Gotham Light" w:cs="Arial"/>
          <w:b/>
          <w:color w:val="2E74B5"/>
          <w:sz w:val="36"/>
          <w:szCs w:val="36"/>
        </w:rPr>
        <w:t>DETERMINA DI MODIFICA CONTRATTUALE</w:t>
      </w:r>
    </w:p>
    <w:p w:rsidR="00332723" w:rsidRPr="003E6227" w:rsidRDefault="00332723" w:rsidP="00B6699E">
      <w:pPr>
        <w:spacing w:after="80" w:line="276" w:lineRule="auto"/>
        <w:jc w:val="both"/>
        <w:rPr>
          <w:rFonts w:ascii="Titillium" w:hAnsi="Titillium"/>
          <w:sz w:val="21"/>
          <w:szCs w:val="21"/>
        </w:rPr>
      </w:pPr>
      <w:r w:rsidRPr="003E6227">
        <w:rPr>
          <w:rFonts w:ascii="Titillium" w:hAnsi="Titillium"/>
          <w:b/>
          <w:sz w:val="21"/>
          <w:szCs w:val="21"/>
        </w:rPr>
        <w:t>VISTO</w:t>
      </w:r>
      <w:r w:rsidRPr="003E6227">
        <w:rPr>
          <w:rFonts w:ascii="Titillium" w:hAnsi="Titillium"/>
          <w:sz w:val="21"/>
          <w:szCs w:val="21"/>
        </w:rPr>
        <w:t xml:space="preserve"> il decreto le</w:t>
      </w:r>
      <w:r w:rsidR="00FC07A9">
        <w:rPr>
          <w:rFonts w:ascii="Titillium" w:hAnsi="Titillium"/>
          <w:sz w:val="21"/>
          <w:szCs w:val="21"/>
        </w:rPr>
        <w:t xml:space="preserve">gislativo 18 aprile 2016, n. 50 – applicabile </w:t>
      </w:r>
      <w:proofErr w:type="spellStart"/>
      <w:r w:rsidR="00FC07A9">
        <w:rPr>
          <w:rFonts w:ascii="Titillium" w:hAnsi="Titillium"/>
          <w:i/>
          <w:sz w:val="21"/>
          <w:szCs w:val="21"/>
        </w:rPr>
        <w:t>ratione</w:t>
      </w:r>
      <w:proofErr w:type="spellEnd"/>
      <w:r w:rsidR="00FC07A9">
        <w:rPr>
          <w:rFonts w:ascii="Titillium" w:hAnsi="Titillium"/>
          <w:i/>
          <w:sz w:val="21"/>
          <w:szCs w:val="21"/>
        </w:rPr>
        <w:t xml:space="preserve"> </w:t>
      </w:r>
      <w:proofErr w:type="spellStart"/>
      <w:r w:rsidR="00FC07A9">
        <w:rPr>
          <w:rFonts w:ascii="Titillium" w:hAnsi="Titillium"/>
          <w:i/>
          <w:sz w:val="21"/>
          <w:szCs w:val="21"/>
        </w:rPr>
        <w:t>temporis</w:t>
      </w:r>
      <w:proofErr w:type="spellEnd"/>
      <w:r w:rsidR="00FC07A9">
        <w:rPr>
          <w:rFonts w:ascii="Titillium" w:hAnsi="Titillium"/>
          <w:i/>
          <w:sz w:val="21"/>
          <w:szCs w:val="21"/>
        </w:rPr>
        <w:t xml:space="preserve"> </w:t>
      </w:r>
      <w:r w:rsidR="00FC07A9">
        <w:rPr>
          <w:rFonts w:ascii="Titillium" w:hAnsi="Titillium"/>
          <w:sz w:val="21"/>
          <w:szCs w:val="21"/>
        </w:rPr>
        <w:t>-</w:t>
      </w:r>
      <w:r w:rsidRPr="003E6227">
        <w:rPr>
          <w:rFonts w:ascii="Titillium" w:hAnsi="Titillium"/>
          <w:sz w:val="21"/>
          <w:szCs w:val="21"/>
        </w:rPr>
        <w:t xml:space="preserve"> ed in particolare il comma 2 dell’art. 32, il quale prevede che, prima dell’avvio delle procedure di affidamento dei contratti pubblici, le stazioni appaltanti, in conformità ai propri ordinamenti, decretino o determinino di contrarre, individuando gli elementi essenziali del contratto e i criteri di selezione degli operatori economici e delle </w:t>
      </w:r>
      <w:r w:rsidR="00B80660" w:rsidRPr="003E6227">
        <w:rPr>
          <w:rFonts w:ascii="Titillium" w:hAnsi="Titillium"/>
          <w:sz w:val="21"/>
          <w:szCs w:val="21"/>
        </w:rPr>
        <w:t>offerte</w:t>
      </w:r>
      <w:r w:rsidRPr="003E6227">
        <w:rPr>
          <w:rFonts w:ascii="Titillium" w:hAnsi="Titillium"/>
          <w:sz w:val="21"/>
          <w:szCs w:val="21"/>
        </w:rPr>
        <w:t>;</w:t>
      </w:r>
    </w:p>
    <w:p w:rsidR="004778A3" w:rsidRPr="003E6227" w:rsidRDefault="00332723" w:rsidP="00B6699E">
      <w:pPr>
        <w:spacing w:after="80" w:line="276" w:lineRule="auto"/>
        <w:jc w:val="both"/>
        <w:rPr>
          <w:rFonts w:ascii="Titillium" w:hAnsi="Titillium"/>
          <w:sz w:val="21"/>
          <w:szCs w:val="21"/>
        </w:rPr>
      </w:pPr>
      <w:r w:rsidRPr="003E6227">
        <w:rPr>
          <w:rFonts w:ascii="Titillium" w:hAnsi="Titillium"/>
          <w:b/>
          <w:sz w:val="21"/>
          <w:szCs w:val="21"/>
        </w:rPr>
        <w:t>VISTO</w:t>
      </w:r>
      <w:r w:rsidRPr="003E6227">
        <w:rPr>
          <w:rFonts w:ascii="Titillium" w:hAnsi="Titillium"/>
          <w:sz w:val="21"/>
          <w:szCs w:val="21"/>
        </w:rPr>
        <w:t xml:space="preserve"> </w:t>
      </w:r>
      <w:r w:rsidR="004778A3" w:rsidRPr="003E6227">
        <w:rPr>
          <w:rFonts w:ascii="Titillium" w:hAnsi="Titillium"/>
          <w:sz w:val="21"/>
          <w:szCs w:val="21"/>
        </w:rPr>
        <w:t>il Regolamento per la disciplina dei contratti pubblici di servizi e forniture stipulati dall’Autorità approvato con Delibera n. 538 del 7.7.2021 e pubblicato in data 21.7.2021;</w:t>
      </w:r>
    </w:p>
    <w:p w:rsidR="001D2907" w:rsidRPr="003E6227" w:rsidRDefault="001D2907" w:rsidP="00B6699E">
      <w:pPr>
        <w:pStyle w:val="Corpodeltesto2"/>
        <w:spacing w:after="80" w:line="276" w:lineRule="auto"/>
        <w:ind w:right="-1"/>
        <w:jc w:val="both"/>
        <w:rPr>
          <w:rFonts w:ascii="Titillium" w:hAnsi="Titillium"/>
          <w:sz w:val="21"/>
          <w:szCs w:val="21"/>
        </w:rPr>
      </w:pPr>
      <w:r w:rsidRPr="003E6227">
        <w:rPr>
          <w:rFonts w:ascii="Titillium" w:hAnsi="Titillium"/>
          <w:b/>
          <w:sz w:val="21"/>
          <w:szCs w:val="21"/>
        </w:rPr>
        <w:t xml:space="preserve">VISTO </w:t>
      </w:r>
      <w:r w:rsidRPr="003E6227">
        <w:rPr>
          <w:rFonts w:ascii="Titillium" w:hAnsi="Titillium"/>
          <w:sz w:val="21"/>
          <w:szCs w:val="21"/>
        </w:rPr>
        <w:t>il Regolamento concernente la disciplina contabile dell’Autorità Nazionale Anticorruzione approvato dal Consiglio dell’Autorità nella seduta del 7 luglio 2021 ed entrato in vigore il 1° gennaio 2022;</w:t>
      </w:r>
    </w:p>
    <w:p w:rsidR="00A271BF" w:rsidRPr="003E6227" w:rsidRDefault="00EE175F" w:rsidP="00B6699E">
      <w:pPr>
        <w:spacing w:after="80" w:line="276" w:lineRule="auto"/>
        <w:jc w:val="both"/>
        <w:rPr>
          <w:rFonts w:ascii="Titillium" w:hAnsi="Titillium"/>
          <w:sz w:val="21"/>
          <w:szCs w:val="21"/>
        </w:rPr>
      </w:pPr>
      <w:r w:rsidRPr="003E6227">
        <w:rPr>
          <w:rFonts w:ascii="Titillium" w:hAnsi="Titillium"/>
          <w:b/>
          <w:sz w:val="21"/>
          <w:szCs w:val="21"/>
        </w:rPr>
        <w:t xml:space="preserve">VISTO </w:t>
      </w:r>
      <w:r w:rsidR="00E51E5D">
        <w:rPr>
          <w:rFonts w:ascii="Titillium" w:hAnsi="Titillium"/>
          <w:sz w:val="21"/>
          <w:szCs w:val="21"/>
        </w:rPr>
        <w:t>il contratto per il servizio di assistenza e manutenzione del sistema di gestione delle presenze del personale, del controllo degli accessi alla sede dell’Autorità, dei moduli “Adempimenti formativi”</w:t>
      </w:r>
      <w:r w:rsidR="006E6806">
        <w:rPr>
          <w:rFonts w:ascii="Titillium" w:hAnsi="Titillium"/>
          <w:sz w:val="21"/>
          <w:szCs w:val="21"/>
        </w:rPr>
        <w:t xml:space="preserve"> </w:t>
      </w:r>
      <w:r w:rsidR="00E51E5D">
        <w:rPr>
          <w:rFonts w:ascii="Titillium" w:hAnsi="Titillium"/>
          <w:sz w:val="21"/>
          <w:szCs w:val="21"/>
        </w:rPr>
        <w:t xml:space="preserve">“Sorveglianza sanitaria”, e delle licenze del modulo </w:t>
      </w:r>
      <w:r w:rsidR="00E51E5D" w:rsidRPr="00E51E5D">
        <w:rPr>
          <w:rFonts w:ascii="Titillium" w:hAnsi="Titillium"/>
          <w:i/>
          <w:sz w:val="21"/>
          <w:szCs w:val="21"/>
        </w:rPr>
        <w:t>“</w:t>
      </w:r>
      <w:proofErr w:type="spellStart"/>
      <w:r w:rsidR="00E51E5D" w:rsidRPr="00E51E5D">
        <w:rPr>
          <w:rFonts w:ascii="Titillium" w:hAnsi="Titillium"/>
          <w:i/>
          <w:sz w:val="21"/>
          <w:szCs w:val="21"/>
        </w:rPr>
        <w:t>Timesheet</w:t>
      </w:r>
      <w:proofErr w:type="spellEnd"/>
      <w:r w:rsidR="00E51E5D" w:rsidRPr="00E51E5D">
        <w:rPr>
          <w:rFonts w:ascii="Titillium" w:hAnsi="Titillium"/>
          <w:i/>
          <w:sz w:val="21"/>
          <w:szCs w:val="21"/>
        </w:rPr>
        <w:t>”</w:t>
      </w:r>
      <w:r w:rsidR="00E51E5D">
        <w:rPr>
          <w:rFonts w:ascii="Titillium" w:hAnsi="Titillium"/>
          <w:sz w:val="21"/>
          <w:szCs w:val="21"/>
        </w:rPr>
        <w:t xml:space="preserve"> anche in</w:t>
      </w:r>
      <w:r w:rsidR="006E6806">
        <w:rPr>
          <w:rFonts w:ascii="Titillium" w:hAnsi="Titillium"/>
          <w:sz w:val="21"/>
          <w:szCs w:val="21"/>
        </w:rPr>
        <w:t xml:space="preserve"> ordine all’emergenza </w:t>
      </w:r>
      <w:proofErr w:type="spellStart"/>
      <w:r w:rsidR="006E6806">
        <w:rPr>
          <w:rFonts w:ascii="Titillium" w:hAnsi="Titillium"/>
          <w:sz w:val="21"/>
          <w:szCs w:val="21"/>
        </w:rPr>
        <w:t>Covid</w:t>
      </w:r>
      <w:proofErr w:type="spellEnd"/>
      <w:r w:rsidR="006E6806">
        <w:rPr>
          <w:rFonts w:ascii="Titillium" w:hAnsi="Titillium"/>
          <w:sz w:val="21"/>
          <w:szCs w:val="21"/>
        </w:rPr>
        <w:t xml:space="preserve"> 19 -Triennio 2023-2025-</w:t>
      </w:r>
      <w:r w:rsidR="00E51E5D">
        <w:rPr>
          <w:rFonts w:ascii="Titillium" w:hAnsi="Titillium"/>
          <w:sz w:val="21"/>
          <w:szCs w:val="21"/>
        </w:rPr>
        <w:t>– CIG. 9</w:t>
      </w:r>
      <w:r w:rsidR="00A46FE6">
        <w:rPr>
          <w:rFonts w:ascii="Titillium" w:hAnsi="Titillium"/>
          <w:sz w:val="21"/>
          <w:szCs w:val="21"/>
        </w:rPr>
        <w:t>57113</w:t>
      </w:r>
      <w:r w:rsidR="00E51E5D">
        <w:rPr>
          <w:rFonts w:ascii="Titillium" w:hAnsi="Titillium"/>
          <w:sz w:val="21"/>
          <w:szCs w:val="21"/>
        </w:rPr>
        <w:t xml:space="preserve">1B27 – stipulato con la Società Zucchetti S.p.A. – </w:t>
      </w:r>
      <w:proofErr w:type="spellStart"/>
      <w:r w:rsidR="00E51E5D">
        <w:rPr>
          <w:rFonts w:ascii="Titillium" w:hAnsi="Titillium"/>
          <w:sz w:val="21"/>
          <w:szCs w:val="21"/>
        </w:rPr>
        <w:t>prot</w:t>
      </w:r>
      <w:proofErr w:type="spellEnd"/>
      <w:r w:rsidR="00E51E5D">
        <w:rPr>
          <w:rFonts w:ascii="Titillium" w:hAnsi="Titillium"/>
          <w:sz w:val="21"/>
          <w:szCs w:val="21"/>
        </w:rPr>
        <w:t>. n. 3208 del 16.01.2023</w:t>
      </w:r>
      <w:r w:rsidR="005D4C0C">
        <w:rPr>
          <w:rFonts w:ascii="Titillium" w:hAnsi="Titillium"/>
          <w:sz w:val="21"/>
          <w:szCs w:val="21"/>
        </w:rPr>
        <w:t xml:space="preserve"> – per </w:t>
      </w:r>
      <w:r w:rsidR="00622F01">
        <w:rPr>
          <w:rFonts w:ascii="Titillium" w:hAnsi="Titillium"/>
          <w:sz w:val="21"/>
          <w:szCs w:val="21"/>
        </w:rPr>
        <w:t>un importo</w:t>
      </w:r>
      <w:r w:rsidR="006E6806">
        <w:rPr>
          <w:rFonts w:ascii="Titillium" w:hAnsi="Titillium"/>
          <w:sz w:val="21"/>
          <w:szCs w:val="21"/>
        </w:rPr>
        <w:t xml:space="preserve"> di</w:t>
      </w:r>
      <w:r w:rsidR="005D4C0C">
        <w:rPr>
          <w:rFonts w:ascii="Titillium" w:hAnsi="Titillium"/>
          <w:sz w:val="21"/>
          <w:szCs w:val="21"/>
        </w:rPr>
        <w:t xml:space="preserve"> </w:t>
      </w:r>
      <w:r w:rsidR="00622F01">
        <w:rPr>
          <w:rFonts w:ascii="Titillium" w:hAnsi="Titillium"/>
          <w:b/>
          <w:sz w:val="21"/>
          <w:szCs w:val="21"/>
        </w:rPr>
        <w:t>euro 94.405,68</w:t>
      </w:r>
      <w:r w:rsidR="005D4C0C" w:rsidRPr="005D4C0C">
        <w:rPr>
          <w:rFonts w:ascii="Titillium" w:hAnsi="Titillium"/>
          <w:b/>
          <w:sz w:val="21"/>
          <w:szCs w:val="21"/>
        </w:rPr>
        <w:t xml:space="preserve">, </w:t>
      </w:r>
      <w:r w:rsidR="00F4692D">
        <w:rPr>
          <w:rFonts w:ascii="Titillium" w:hAnsi="Titillium"/>
          <w:b/>
          <w:sz w:val="21"/>
          <w:szCs w:val="21"/>
        </w:rPr>
        <w:t xml:space="preserve">oltre </w:t>
      </w:r>
      <w:r w:rsidR="005D4C0C" w:rsidRPr="005D4C0C">
        <w:rPr>
          <w:rFonts w:ascii="Titillium" w:hAnsi="Titillium"/>
          <w:b/>
          <w:sz w:val="21"/>
          <w:szCs w:val="21"/>
        </w:rPr>
        <w:t>IVA</w:t>
      </w:r>
      <w:r w:rsidR="00622F01">
        <w:rPr>
          <w:rFonts w:ascii="Titillium" w:hAnsi="Titillium"/>
          <w:b/>
          <w:sz w:val="21"/>
          <w:szCs w:val="21"/>
        </w:rPr>
        <w:t xml:space="preserve"> 22% euro 20.869,2</w:t>
      </w:r>
      <w:r w:rsidR="00F4692D">
        <w:rPr>
          <w:rFonts w:ascii="Titillium" w:hAnsi="Titillium"/>
          <w:b/>
          <w:sz w:val="21"/>
          <w:szCs w:val="21"/>
        </w:rPr>
        <w:t>4, per un totale di euro 115.174</w:t>
      </w:r>
      <w:r w:rsidR="00622F01">
        <w:rPr>
          <w:rFonts w:ascii="Titillium" w:hAnsi="Titillium"/>
          <w:b/>
          <w:sz w:val="21"/>
          <w:szCs w:val="21"/>
        </w:rPr>
        <w:t>,92</w:t>
      </w:r>
      <w:r w:rsidR="00E51E5D">
        <w:rPr>
          <w:rFonts w:ascii="Titillium" w:hAnsi="Titillium"/>
          <w:sz w:val="21"/>
          <w:szCs w:val="21"/>
        </w:rPr>
        <w:t>;</w:t>
      </w:r>
      <w:r w:rsidRPr="003E6227">
        <w:rPr>
          <w:rFonts w:ascii="Titillium" w:hAnsi="Titillium"/>
          <w:sz w:val="21"/>
          <w:szCs w:val="21"/>
        </w:rPr>
        <w:t xml:space="preserve"> </w:t>
      </w:r>
    </w:p>
    <w:p w:rsidR="00FC07A9" w:rsidRDefault="00EE175F" w:rsidP="00B6699E">
      <w:pPr>
        <w:spacing w:after="80" w:line="276" w:lineRule="auto"/>
        <w:jc w:val="both"/>
        <w:rPr>
          <w:rFonts w:ascii="Titillium" w:hAnsi="Titillium"/>
          <w:sz w:val="21"/>
          <w:szCs w:val="21"/>
        </w:rPr>
      </w:pPr>
      <w:r w:rsidRPr="003E6227">
        <w:rPr>
          <w:rFonts w:ascii="Titillium" w:hAnsi="Titillium"/>
          <w:b/>
          <w:sz w:val="21"/>
          <w:szCs w:val="21"/>
        </w:rPr>
        <w:t>CONSIDERATO</w:t>
      </w:r>
      <w:r w:rsidR="00FC07A9">
        <w:rPr>
          <w:rFonts w:ascii="Titillium" w:hAnsi="Titillium"/>
          <w:sz w:val="21"/>
          <w:szCs w:val="21"/>
        </w:rPr>
        <w:t xml:space="preserve"> che il direttore dell’esecuzione del contratto, </w:t>
      </w:r>
      <w:r w:rsidR="005D4C0C">
        <w:rPr>
          <w:rFonts w:ascii="Titillium" w:hAnsi="Titillium"/>
          <w:sz w:val="21"/>
          <w:szCs w:val="21"/>
        </w:rPr>
        <w:t xml:space="preserve">con nota </w:t>
      </w:r>
      <w:proofErr w:type="spellStart"/>
      <w:r w:rsidR="005D4C0C">
        <w:rPr>
          <w:rFonts w:ascii="Titillium" w:hAnsi="Titillium"/>
          <w:sz w:val="21"/>
          <w:szCs w:val="21"/>
        </w:rPr>
        <w:t>prot</w:t>
      </w:r>
      <w:proofErr w:type="spellEnd"/>
      <w:r w:rsidR="005D4C0C">
        <w:rPr>
          <w:rFonts w:ascii="Titillium" w:hAnsi="Titillium"/>
          <w:sz w:val="21"/>
          <w:szCs w:val="21"/>
        </w:rPr>
        <w:t xml:space="preserve">. n. </w:t>
      </w:r>
      <w:r w:rsidR="00E51E5D">
        <w:rPr>
          <w:rFonts w:ascii="Titillium" w:hAnsi="Titillium"/>
          <w:sz w:val="21"/>
          <w:szCs w:val="21"/>
        </w:rPr>
        <w:t>23759 del 16.02.2024, ha manifestato l’</w:t>
      </w:r>
      <w:r w:rsidR="005D4C0C">
        <w:rPr>
          <w:rFonts w:ascii="Titillium" w:hAnsi="Titillium"/>
          <w:sz w:val="21"/>
          <w:szCs w:val="21"/>
        </w:rPr>
        <w:t xml:space="preserve">esigenza di dismettere </w:t>
      </w:r>
      <w:r w:rsidR="00E51E5D">
        <w:rPr>
          <w:rFonts w:ascii="Titillium" w:hAnsi="Titillium"/>
          <w:sz w:val="21"/>
          <w:szCs w:val="21"/>
        </w:rPr>
        <w:t xml:space="preserve">le licenze del modulo </w:t>
      </w:r>
      <w:r w:rsidR="00E51E5D" w:rsidRPr="00E51E5D">
        <w:rPr>
          <w:rFonts w:ascii="Titillium" w:hAnsi="Titillium"/>
          <w:i/>
          <w:sz w:val="21"/>
          <w:szCs w:val="21"/>
        </w:rPr>
        <w:t>“</w:t>
      </w:r>
      <w:proofErr w:type="spellStart"/>
      <w:r w:rsidR="00E51E5D" w:rsidRPr="00E51E5D">
        <w:rPr>
          <w:rFonts w:ascii="Titillium" w:hAnsi="Titillium"/>
          <w:i/>
          <w:sz w:val="21"/>
          <w:szCs w:val="21"/>
        </w:rPr>
        <w:t>Timesheet</w:t>
      </w:r>
      <w:proofErr w:type="spellEnd"/>
      <w:r w:rsidR="00E51E5D">
        <w:rPr>
          <w:rFonts w:ascii="Titillium" w:hAnsi="Titillium"/>
          <w:sz w:val="21"/>
          <w:szCs w:val="21"/>
        </w:rPr>
        <w:t xml:space="preserve"> </w:t>
      </w:r>
      <w:r w:rsidR="005D4C0C">
        <w:rPr>
          <w:rFonts w:ascii="Titillium" w:hAnsi="Titillium"/>
          <w:sz w:val="21"/>
          <w:szCs w:val="21"/>
        </w:rPr>
        <w:t>“</w:t>
      </w:r>
      <w:r w:rsidR="00E51E5D">
        <w:rPr>
          <w:rFonts w:ascii="Titillium" w:hAnsi="Titillium"/>
          <w:sz w:val="21"/>
          <w:szCs w:val="21"/>
        </w:rPr>
        <w:t xml:space="preserve">, </w:t>
      </w:r>
      <w:r w:rsidR="005D4C0C">
        <w:rPr>
          <w:rFonts w:ascii="Titillium" w:hAnsi="Titillium"/>
          <w:sz w:val="21"/>
          <w:szCs w:val="21"/>
        </w:rPr>
        <w:t xml:space="preserve">e di disporre la </w:t>
      </w:r>
      <w:r w:rsidR="00E51E5D">
        <w:rPr>
          <w:rFonts w:ascii="Titillium" w:hAnsi="Titillium"/>
          <w:sz w:val="21"/>
          <w:szCs w:val="21"/>
        </w:rPr>
        <w:t>cancellazione dei canoni di m</w:t>
      </w:r>
      <w:r w:rsidR="009B7DE9">
        <w:rPr>
          <w:rFonts w:ascii="Titillium" w:hAnsi="Titillium"/>
          <w:sz w:val="21"/>
          <w:szCs w:val="21"/>
        </w:rPr>
        <w:t>anutenzione relativi a detto</w:t>
      </w:r>
      <w:r w:rsidR="00E51E5D">
        <w:rPr>
          <w:rFonts w:ascii="Titillium" w:hAnsi="Titillium"/>
          <w:sz w:val="21"/>
          <w:szCs w:val="21"/>
        </w:rPr>
        <w:t xml:space="preserve"> applicativo</w:t>
      </w:r>
      <w:r w:rsidR="005D4C0C">
        <w:rPr>
          <w:rFonts w:ascii="Titillium" w:hAnsi="Titillium"/>
          <w:sz w:val="21"/>
          <w:szCs w:val="21"/>
        </w:rPr>
        <w:t>,</w:t>
      </w:r>
      <w:r w:rsidR="00E51E5D">
        <w:rPr>
          <w:rFonts w:ascii="Titillium" w:hAnsi="Titillium"/>
          <w:sz w:val="21"/>
          <w:szCs w:val="21"/>
        </w:rPr>
        <w:t xml:space="preserve"> dal 01.03.2024 </w:t>
      </w:r>
      <w:r w:rsidR="005D4C0C">
        <w:rPr>
          <w:rFonts w:ascii="Titillium" w:hAnsi="Titillium"/>
          <w:sz w:val="21"/>
          <w:szCs w:val="21"/>
        </w:rPr>
        <w:t xml:space="preserve">e fino </w:t>
      </w:r>
      <w:r w:rsidR="00E51E5D">
        <w:rPr>
          <w:rFonts w:ascii="Titillium" w:hAnsi="Titillium"/>
          <w:sz w:val="21"/>
          <w:szCs w:val="21"/>
        </w:rPr>
        <w:t>31.12.202</w:t>
      </w:r>
      <w:r w:rsidR="005D4C0C">
        <w:rPr>
          <w:rFonts w:ascii="Titillium" w:hAnsi="Titillium"/>
          <w:sz w:val="21"/>
          <w:szCs w:val="21"/>
        </w:rPr>
        <w:t>5,</w:t>
      </w:r>
      <w:r w:rsidR="008C2364">
        <w:rPr>
          <w:rFonts w:ascii="Titillium" w:hAnsi="Titillium"/>
          <w:sz w:val="21"/>
          <w:szCs w:val="21"/>
        </w:rPr>
        <w:t xml:space="preserve"> in virtù dell’adozione dell’applicazione </w:t>
      </w:r>
      <w:r w:rsidR="008C2364">
        <w:rPr>
          <w:rFonts w:ascii="Titillium" w:hAnsi="Titillium"/>
          <w:i/>
          <w:sz w:val="21"/>
          <w:szCs w:val="21"/>
        </w:rPr>
        <w:t xml:space="preserve">“Processo standard” </w:t>
      </w:r>
      <w:r w:rsidR="008C2364">
        <w:rPr>
          <w:rFonts w:ascii="Titillium" w:hAnsi="Titillium"/>
          <w:sz w:val="21"/>
          <w:szCs w:val="21"/>
        </w:rPr>
        <w:t>quale strumento utile, tra l’altro, alla rendicontazione delle attività svolte dal personale in modalità di “lavoro delocalizzato”</w:t>
      </w:r>
      <w:r w:rsidR="00FC07A9">
        <w:rPr>
          <w:rFonts w:ascii="Titillium" w:hAnsi="Titillium"/>
          <w:sz w:val="21"/>
          <w:szCs w:val="21"/>
        </w:rPr>
        <w:t>;</w:t>
      </w:r>
    </w:p>
    <w:p w:rsidR="00E60775" w:rsidRDefault="00E60775" w:rsidP="00B6699E">
      <w:pPr>
        <w:spacing w:after="80" w:line="276" w:lineRule="auto"/>
        <w:jc w:val="both"/>
        <w:rPr>
          <w:rFonts w:ascii="Titillium" w:hAnsi="Titillium"/>
          <w:sz w:val="21"/>
          <w:szCs w:val="21"/>
        </w:rPr>
      </w:pPr>
      <w:r w:rsidRPr="00F75854">
        <w:rPr>
          <w:rFonts w:ascii="Titillium" w:hAnsi="Titillium"/>
          <w:b/>
          <w:sz w:val="21"/>
          <w:szCs w:val="21"/>
        </w:rPr>
        <w:t>CONSIDERATO</w:t>
      </w:r>
      <w:r w:rsidRPr="00F75854">
        <w:rPr>
          <w:rFonts w:ascii="Titillium" w:hAnsi="Titillium"/>
          <w:sz w:val="21"/>
          <w:szCs w:val="21"/>
        </w:rPr>
        <w:t xml:space="preserve"> che</w:t>
      </w:r>
      <w:r w:rsidR="009B7DE9">
        <w:rPr>
          <w:rFonts w:ascii="Titillium" w:hAnsi="Titillium"/>
          <w:sz w:val="21"/>
          <w:szCs w:val="21"/>
        </w:rPr>
        <w:t xml:space="preserve"> il citato contratto è in corso di esecuzione</w:t>
      </w:r>
      <w:r w:rsidRPr="00F75854">
        <w:rPr>
          <w:rFonts w:ascii="Titillium" w:hAnsi="Titillium"/>
          <w:sz w:val="21"/>
          <w:szCs w:val="21"/>
        </w:rPr>
        <w:t>;</w:t>
      </w:r>
    </w:p>
    <w:p w:rsidR="00E60775" w:rsidRDefault="009B7DE9" w:rsidP="00B6699E">
      <w:pPr>
        <w:spacing w:after="80" w:line="276" w:lineRule="auto"/>
        <w:jc w:val="both"/>
        <w:rPr>
          <w:rFonts w:ascii="Titillium" w:hAnsi="Titillium"/>
          <w:sz w:val="21"/>
          <w:szCs w:val="21"/>
        </w:rPr>
      </w:pPr>
      <w:r>
        <w:rPr>
          <w:rFonts w:ascii="Titillium" w:hAnsi="Titillium"/>
          <w:b/>
          <w:sz w:val="21"/>
          <w:szCs w:val="21"/>
        </w:rPr>
        <w:t xml:space="preserve">VIST0 </w:t>
      </w:r>
      <w:r>
        <w:rPr>
          <w:rFonts w:ascii="Titillium" w:hAnsi="Titillium"/>
          <w:sz w:val="21"/>
          <w:szCs w:val="21"/>
        </w:rPr>
        <w:t>che l’art. 106, comma 12</w:t>
      </w:r>
      <w:r w:rsidR="006B3F75">
        <w:rPr>
          <w:rFonts w:ascii="Titillium" w:hAnsi="Titillium"/>
          <w:sz w:val="21"/>
          <w:szCs w:val="21"/>
        </w:rPr>
        <w:t>,</w:t>
      </w:r>
      <w:r>
        <w:rPr>
          <w:rFonts w:ascii="Titillium" w:hAnsi="Titillium"/>
          <w:sz w:val="21"/>
          <w:szCs w:val="21"/>
        </w:rPr>
        <w:t xml:space="preserve"> del d.lgs. 50/2016 e s. m. i., prevede la possibilità per le stazioni appaltanti - qualora in corso di esecuzione si renda necessario un aumento o una diminuzione delle prestazioni fi</w:t>
      </w:r>
      <w:r w:rsidR="006B3F75">
        <w:rPr>
          <w:rFonts w:ascii="Titillium" w:hAnsi="Titillium"/>
          <w:sz w:val="21"/>
          <w:szCs w:val="21"/>
        </w:rPr>
        <w:t>no a concorrenza del quinto del contratto - di imporre all’appaltatore l’esecuzione alle stesse condizioni previste nel contratto originario</w:t>
      </w:r>
      <w:r w:rsidR="00E60775">
        <w:rPr>
          <w:rFonts w:ascii="Titillium" w:hAnsi="Titillium"/>
          <w:sz w:val="21"/>
          <w:szCs w:val="21"/>
        </w:rPr>
        <w:t>;</w:t>
      </w:r>
    </w:p>
    <w:p w:rsidR="0084067E" w:rsidRDefault="0084067E" w:rsidP="00B6699E">
      <w:pPr>
        <w:spacing w:after="80" w:line="276" w:lineRule="auto"/>
        <w:jc w:val="both"/>
        <w:rPr>
          <w:rFonts w:ascii="Titillium" w:hAnsi="Titillium"/>
          <w:sz w:val="21"/>
          <w:szCs w:val="21"/>
        </w:rPr>
      </w:pPr>
      <w:r w:rsidRPr="0084067E">
        <w:rPr>
          <w:rFonts w:ascii="Titillium" w:hAnsi="Titillium"/>
          <w:b/>
          <w:sz w:val="21"/>
          <w:szCs w:val="21"/>
        </w:rPr>
        <w:t>CONSIDERATO</w:t>
      </w:r>
      <w:r>
        <w:rPr>
          <w:rFonts w:ascii="Titillium" w:hAnsi="Titillium"/>
          <w:sz w:val="21"/>
          <w:szCs w:val="21"/>
        </w:rPr>
        <w:t xml:space="preserve"> che</w:t>
      </w:r>
      <w:r w:rsidR="006B3F75">
        <w:rPr>
          <w:rFonts w:ascii="Titillium" w:hAnsi="Titillium"/>
          <w:sz w:val="21"/>
          <w:szCs w:val="21"/>
        </w:rPr>
        <w:t xml:space="preserve"> l’importo stimato per la dismissione delle lice</w:t>
      </w:r>
      <w:r w:rsidR="006B3F75" w:rsidRPr="006B3F75">
        <w:rPr>
          <w:rFonts w:ascii="Titillium" w:hAnsi="Titillium"/>
          <w:sz w:val="21"/>
          <w:szCs w:val="21"/>
        </w:rPr>
        <w:t xml:space="preserve">nze del modulo </w:t>
      </w:r>
      <w:r w:rsidR="006B3F75" w:rsidRPr="006B3F75">
        <w:rPr>
          <w:rFonts w:ascii="Titillium" w:hAnsi="Titillium"/>
          <w:i/>
          <w:sz w:val="21"/>
          <w:szCs w:val="21"/>
        </w:rPr>
        <w:t>“</w:t>
      </w:r>
      <w:proofErr w:type="spellStart"/>
      <w:r w:rsidR="006B3F75" w:rsidRPr="006B3F75">
        <w:rPr>
          <w:rFonts w:ascii="Titillium" w:hAnsi="Titillium"/>
          <w:i/>
          <w:sz w:val="21"/>
          <w:szCs w:val="21"/>
        </w:rPr>
        <w:t>Timesheet</w:t>
      </w:r>
      <w:proofErr w:type="spellEnd"/>
      <w:r w:rsidR="006B3F75" w:rsidRPr="006B3F75">
        <w:rPr>
          <w:rFonts w:ascii="Titillium" w:hAnsi="Titillium"/>
          <w:sz w:val="21"/>
          <w:szCs w:val="21"/>
        </w:rPr>
        <w:t xml:space="preserve"> “</w:t>
      </w:r>
      <w:r w:rsidR="006B3F75">
        <w:rPr>
          <w:rFonts w:ascii="Titillium" w:hAnsi="Titillium"/>
          <w:sz w:val="21"/>
          <w:szCs w:val="21"/>
        </w:rPr>
        <w:t xml:space="preserve">e per la </w:t>
      </w:r>
      <w:r w:rsidR="006B3F75" w:rsidRPr="006B3F75">
        <w:rPr>
          <w:rFonts w:ascii="Titillium" w:hAnsi="Titillium"/>
          <w:sz w:val="21"/>
          <w:szCs w:val="21"/>
        </w:rPr>
        <w:t>cancellazione dei relativi can</w:t>
      </w:r>
      <w:r w:rsidR="007A5BA3">
        <w:rPr>
          <w:rFonts w:ascii="Titillium" w:hAnsi="Titillium"/>
          <w:sz w:val="21"/>
          <w:szCs w:val="21"/>
        </w:rPr>
        <w:t>oni</w:t>
      </w:r>
      <w:r w:rsidR="00622F01">
        <w:rPr>
          <w:rFonts w:ascii="Titillium" w:hAnsi="Titillium"/>
          <w:sz w:val="21"/>
          <w:szCs w:val="21"/>
        </w:rPr>
        <w:t xml:space="preserve"> è di</w:t>
      </w:r>
      <w:r w:rsidR="006B3F75" w:rsidRPr="006B3F75">
        <w:rPr>
          <w:rFonts w:ascii="Titillium" w:hAnsi="Titillium"/>
          <w:sz w:val="21"/>
          <w:szCs w:val="21"/>
        </w:rPr>
        <w:t xml:space="preserve"> </w:t>
      </w:r>
      <w:r w:rsidR="006B3F75" w:rsidRPr="006B3F75">
        <w:rPr>
          <w:rFonts w:ascii="Titillium" w:hAnsi="Titillium"/>
          <w:b/>
          <w:sz w:val="21"/>
          <w:szCs w:val="21"/>
        </w:rPr>
        <w:t>euro</w:t>
      </w:r>
      <w:r w:rsidR="00622F01">
        <w:rPr>
          <w:rFonts w:ascii="Titillium" w:hAnsi="Titillium"/>
          <w:b/>
          <w:sz w:val="21"/>
          <w:szCs w:val="21"/>
        </w:rPr>
        <w:t xml:space="preserve"> 581,3</w:t>
      </w:r>
      <w:r w:rsidR="006B3F75">
        <w:rPr>
          <w:rFonts w:ascii="Titillium" w:hAnsi="Titillium"/>
          <w:b/>
          <w:sz w:val="21"/>
          <w:szCs w:val="21"/>
        </w:rPr>
        <w:t xml:space="preserve">, </w:t>
      </w:r>
      <w:r w:rsidR="00F4692D">
        <w:rPr>
          <w:rFonts w:ascii="Titillium" w:hAnsi="Titillium"/>
          <w:b/>
          <w:sz w:val="21"/>
          <w:szCs w:val="21"/>
        </w:rPr>
        <w:t xml:space="preserve">oltre IVA 22% euro 127,88 </w:t>
      </w:r>
      <w:r w:rsidR="00622F01">
        <w:rPr>
          <w:rFonts w:ascii="Titillium" w:hAnsi="Titillium"/>
          <w:b/>
          <w:sz w:val="21"/>
          <w:szCs w:val="21"/>
        </w:rPr>
        <w:t>per un totale di euro 709,19</w:t>
      </w:r>
      <w:r w:rsidR="006B3F75">
        <w:rPr>
          <w:rFonts w:ascii="Titillium" w:hAnsi="Titillium"/>
          <w:b/>
          <w:sz w:val="21"/>
          <w:szCs w:val="21"/>
        </w:rPr>
        <w:t xml:space="preserve"> (dal 01.03.2024 al 31.12.2024)</w:t>
      </w:r>
      <w:r w:rsidR="00164544">
        <w:rPr>
          <w:rFonts w:ascii="Titillium" w:hAnsi="Titillium"/>
          <w:b/>
          <w:sz w:val="21"/>
          <w:szCs w:val="21"/>
        </w:rPr>
        <w:t>,</w:t>
      </w:r>
      <w:r w:rsidR="007A5BA3">
        <w:rPr>
          <w:rFonts w:ascii="Titillium" w:hAnsi="Titillium"/>
          <w:b/>
          <w:sz w:val="21"/>
          <w:szCs w:val="21"/>
        </w:rPr>
        <w:t xml:space="preserve"> e</w:t>
      </w:r>
      <w:r w:rsidR="00164544">
        <w:rPr>
          <w:rFonts w:ascii="Titillium" w:hAnsi="Titillium"/>
          <w:b/>
          <w:sz w:val="21"/>
          <w:szCs w:val="21"/>
        </w:rPr>
        <w:t xml:space="preserve"> di</w:t>
      </w:r>
      <w:r w:rsidR="00622F01">
        <w:rPr>
          <w:rFonts w:ascii="Titillium" w:hAnsi="Titillium"/>
          <w:b/>
          <w:sz w:val="21"/>
          <w:szCs w:val="21"/>
        </w:rPr>
        <w:t xml:space="preserve"> euro 697</w:t>
      </w:r>
      <w:r w:rsidR="006B3F75">
        <w:rPr>
          <w:rFonts w:ascii="Titillium" w:hAnsi="Titillium"/>
          <w:b/>
          <w:sz w:val="21"/>
          <w:szCs w:val="21"/>
        </w:rPr>
        <w:t>,</w:t>
      </w:r>
      <w:r w:rsidR="00622F01">
        <w:rPr>
          <w:rFonts w:ascii="Titillium" w:hAnsi="Titillium"/>
          <w:b/>
          <w:sz w:val="21"/>
          <w:szCs w:val="21"/>
        </w:rPr>
        <w:t>56</w:t>
      </w:r>
      <w:r w:rsidR="009E0E78">
        <w:rPr>
          <w:rFonts w:ascii="Titillium" w:hAnsi="Titillium"/>
          <w:b/>
          <w:sz w:val="21"/>
          <w:szCs w:val="21"/>
        </w:rPr>
        <w:t>,</w:t>
      </w:r>
      <w:r w:rsidR="006B3F75">
        <w:rPr>
          <w:rFonts w:ascii="Titillium" w:hAnsi="Titillium"/>
          <w:b/>
          <w:sz w:val="21"/>
          <w:szCs w:val="21"/>
        </w:rPr>
        <w:t xml:space="preserve"> </w:t>
      </w:r>
      <w:r w:rsidR="00F4692D">
        <w:rPr>
          <w:rFonts w:ascii="Titillium" w:hAnsi="Titillium"/>
          <w:b/>
          <w:sz w:val="21"/>
          <w:szCs w:val="21"/>
        </w:rPr>
        <w:t xml:space="preserve">oltre </w:t>
      </w:r>
      <w:r w:rsidR="006B3F75">
        <w:rPr>
          <w:rFonts w:ascii="Titillium" w:hAnsi="Titillium"/>
          <w:b/>
          <w:sz w:val="21"/>
          <w:szCs w:val="21"/>
        </w:rPr>
        <w:t>IVA</w:t>
      </w:r>
      <w:r w:rsidR="00F4692D">
        <w:rPr>
          <w:rFonts w:ascii="Titillium" w:hAnsi="Titillium"/>
          <w:b/>
          <w:sz w:val="21"/>
          <w:szCs w:val="21"/>
        </w:rPr>
        <w:t xml:space="preserve"> 22% euro 153,4</w:t>
      </w:r>
      <w:r w:rsidR="009E0E78">
        <w:rPr>
          <w:rFonts w:ascii="Titillium" w:hAnsi="Titillium"/>
          <w:b/>
          <w:sz w:val="21"/>
          <w:szCs w:val="21"/>
        </w:rPr>
        <w:t xml:space="preserve">6 per un totale di euro 851,02 </w:t>
      </w:r>
      <w:r w:rsidR="006B3F75">
        <w:rPr>
          <w:rFonts w:ascii="Titillium" w:hAnsi="Titillium"/>
          <w:b/>
          <w:sz w:val="21"/>
          <w:szCs w:val="21"/>
        </w:rPr>
        <w:t>(dal 01.01.2025 al 31.12.2025)</w:t>
      </w:r>
      <w:r w:rsidR="009E0E78">
        <w:rPr>
          <w:rFonts w:ascii="Titillium" w:hAnsi="Titillium"/>
          <w:b/>
          <w:sz w:val="21"/>
          <w:szCs w:val="21"/>
        </w:rPr>
        <w:t xml:space="preserve"> e quindi, per</w:t>
      </w:r>
      <w:r w:rsidR="007F26B3">
        <w:rPr>
          <w:rFonts w:ascii="Titillium" w:hAnsi="Titillium"/>
          <w:b/>
          <w:sz w:val="21"/>
          <w:szCs w:val="21"/>
        </w:rPr>
        <w:t xml:space="preserve"> un importo complessivo</w:t>
      </w:r>
      <w:r w:rsidR="00F4692D">
        <w:rPr>
          <w:rFonts w:ascii="Titillium" w:hAnsi="Titillium"/>
          <w:b/>
          <w:sz w:val="21"/>
          <w:szCs w:val="21"/>
        </w:rPr>
        <w:t xml:space="preserve"> pari ad</w:t>
      </w:r>
      <w:r w:rsidR="006B3F75">
        <w:rPr>
          <w:rFonts w:ascii="Titillium" w:hAnsi="Titillium"/>
          <w:b/>
          <w:sz w:val="21"/>
          <w:szCs w:val="21"/>
        </w:rPr>
        <w:t xml:space="preserve"> euro 1.560,21, </w:t>
      </w:r>
      <w:r w:rsidR="00F95AB2">
        <w:rPr>
          <w:rFonts w:ascii="Titillium" w:hAnsi="Titillium"/>
          <w:sz w:val="21"/>
          <w:szCs w:val="21"/>
        </w:rPr>
        <w:t>corrispondente ad una riduzione dell’1,35</w:t>
      </w:r>
      <w:r w:rsidR="006B3F75">
        <w:rPr>
          <w:rFonts w:ascii="Titillium" w:hAnsi="Titillium"/>
          <w:sz w:val="21"/>
          <w:szCs w:val="21"/>
        </w:rPr>
        <w:t xml:space="preserve">% </w:t>
      </w:r>
      <w:r w:rsidR="00F95AB2">
        <w:rPr>
          <w:rFonts w:ascii="Titillium" w:hAnsi="Titillium"/>
          <w:sz w:val="21"/>
          <w:szCs w:val="21"/>
        </w:rPr>
        <w:t xml:space="preserve">circa </w:t>
      </w:r>
      <w:r w:rsidR="006B3F75">
        <w:rPr>
          <w:rFonts w:ascii="Titillium" w:hAnsi="Titillium"/>
          <w:sz w:val="21"/>
          <w:szCs w:val="21"/>
        </w:rPr>
        <w:t>dell’importo contrattuale originario</w:t>
      </w:r>
      <w:r w:rsidRPr="00E60775">
        <w:rPr>
          <w:rFonts w:ascii="Titillium" w:hAnsi="Titillium"/>
          <w:sz w:val="21"/>
          <w:szCs w:val="21"/>
        </w:rPr>
        <w:t>;</w:t>
      </w:r>
    </w:p>
    <w:p w:rsidR="008F7EEC" w:rsidRDefault="007F26B3" w:rsidP="00B6699E">
      <w:pPr>
        <w:spacing w:after="80" w:line="276" w:lineRule="auto"/>
        <w:jc w:val="both"/>
        <w:rPr>
          <w:rFonts w:ascii="Titillium" w:hAnsi="Titillium"/>
          <w:sz w:val="21"/>
          <w:szCs w:val="21"/>
        </w:rPr>
      </w:pPr>
      <w:r>
        <w:rPr>
          <w:rFonts w:ascii="Titillium" w:hAnsi="Titillium"/>
          <w:b/>
          <w:sz w:val="21"/>
          <w:szCs w:val="21"/>
        </w:rPr>
        <w:t xml:space="preserve">CONSIDERATO </w:t>
      </w:r>
      <w:r w:rsidR="00E6555E">
        <w:rPr>
          <w:rFonts w:ascii="Titillium" w:hAnsi="Titillium"/>
          <w:sz w:val="21"/>
          <w:szCs w:val="21"/>
        </w:rPr>
        <w:t xml:space="preserve">che tale importo risulta </w:t>
      </w:r>
      <w:r>
        <w:rPr>
          <w:rFonts w:ascii="Titillium" w:hAnsi="Titillium"/>
          <w:sz w:val="21"/>
          <w:szCs w:val="21"/>
        </w:rPr>
        <w:t>inferiore al limite del c.d. “quinto d’obbligo”, di cui al citato art. 106, comma 12, del d.lgs. 50/2016 e s. m. i.;</w:t>
      </w:r>
    </w:p>
    <w:p w:rsidR="00752608" w:rsidRPr="005126BB" w:rsidRDefault="00DB0A37" w:rsidP="00B6699E">
      <w:pPr>
        <w:pStyle w:val="Corpodeltesto2"/>
        <w:spacing w:after="80" w:line="276" w:lineRule="auto"/>
        <w:ind w:right="-1"/>
        <w:jc w:val="both"/>
        <w:rPr>
          <w:rFonts w:ascii="Titillium" w:hAnsi="Titillium"/>
          <w:sz w:val="21"/>
          <w:szCs w:val="21"/>
        </w:rPr>
      </w:pPr>
      <w:r w:rsidRPr="005126BB">
        <w:rPr>
          <w:rFonts w:ascii="Titillium" w:hAnsi="Titillium"/>
          <w:b/>
          <w:sz w:val="21"/>
          <w:szCs w:val="21"/>
        </w:rPr>
        <w:t xml:space="preserve">CONSIDERATO </w:t>
      </w:r>
      <w:r w:rsidR="002D72F3" w:rsidRPr="005126BB">
        <w:rPr>
          <w:rFonts w:ascii="Titillium" w:hAnsi="Titillium"/>
          <w:sz w:val="21"/>
          <w:szCs w:val="21"/>
        </w:rPr>
        <w:t>quindi</w:t>
      </w:r>
      <w:r w:rsidR="009E0E78">
        <w:rPr>
          <w:rFonts w:ascii="Titillium" w:hAnsi="Titillium"/>
          <w:sz w:val="21"/>
          <w:szCs w:val="21"/>
        </w:rPr>
        <w:t>,</w:t>
      </w:r>
      <w:r w:rsidR="002D72F3" w:rsidRPr="005126BB">
        <w:rPr>
          <w:rFonts w:ascii="Titillium" w:hAnsi="Titillium"/>
          <w:sz w:val="21"/>
          <w:szCs w:val="21"/>
        </w:rPr>
        <w:t xml:space="preserve"> c</w:t>
      </w:r>
      <w:r w:rsidRPr="005126BB">
        <w:rPr>
          <w:rFonts w:ascii="Titillium" w:hAnsi="Titillium"/>
          <w:sz w:val="21"/>
          <w:szCs w:val="21"/>
        </w:rPr>
        <w:t>he sussistono i</w:t>
      </w:r>
      <w:r w:rsidR="007F26B3">
        <w:rPr>
          <w:rFonts w:ascii="Titillium" w:hAnsi="Titillium"/>
          <w:sz w:val="21"/>
          <w:szCs w:val="21"/>
        </w:rPr>
        <w:t xml:space="preserve"> presupposti per procedere alla diminuzione </w:t>
      </w:r>
      <w:r w:rsidR="002D72F3" w:rsidRPr="005126BB">
        <w:rPr>
          <w:rFonts w:ascii="Titillium" w:hAnsi="Titillium"/>
          <w:sz w:val="21"/>
          <w:szCs w:val="21"/>
        </w:rPr>
        <w:t xml:space="preserve">delle prestazioni contrattuali </w:t>
      </w:r>
      <w:r w:rsidR="00E6555E">
        <w:rPr>
          <w:rFonts w:ascii="Titillium" w:hAnsi="Titillium"/>
          <w:sz w:val="21"/>
          <w:szCs w:val="21"/>
        </w:rPr>
        <w:t>sopra</w:t>
      </w:r>
      <w:r w:rsidR="007F26B3">
        <w:rPr>
          <w:rFonts w:ascii="Titillium" w:hAnsi="Titillium"/>
          <w:sz w:val="21"/>
          <w:szCs w:val="21"/>
        </w:rPr>
        <w:t xml:space="preserve"> indicate, </w:t>
      </w:r>
      <w:r w:rsidR="00EE3934" w:rsidRPr="005126BB">
        <w:rPr>
          <w:rFonts w:ascii="Titillium" w:hAnsi="Titillium"/>
          <w:sz w:val="21"/>
          <w:szCs w:val="21"/>
        </w:rPr>
        <w:t>ai sensi dell’art. 106, comma 1</w:t>
      </w:r>
      <w:r w:rsidR="002D72F3" w:rsidRPr="005126BB">
        <w:rPr>
          <w:rFonts w:ascii="Titillium" w:hAnsi="Titillium"/>
          <w:sz w:val="21"/>
          <w:szCs w:val="21"/>
        </w:rPr>
        <w:t>2</w:t>
      </w:r>
      <w:r w:rsidR="00EE3934" w:rsidRPr="005126BB">
        <w:rPr>
          <w:rFonts w:ascii="Titillium" w:hAnsi="Titillium"/>
          <w:sz w:val="21"/>
          <w:szCs w:val="21"/>
        </w:rPr>
        <w:t>, del d.lgs. n. 50/2016 e s.</w:t>
      </w:r>
      <w:r w:rsidR="007F26B3">
        <w:rPr>
          <w:rFonts w:ascii="Titillium" w:hAnsi="Titillium"/>
          <w:sz w:val="21"/>
          <w:szCs w:val="21"/>
        </w:rPr>
        <w:t xml:space="preserve"> </w:t>
      </w:r>
      <w:r w:rsidR="00EE3934" w:rsidRPr="005126BB">
        <w:rPr>
          <w:rFonts w:ascii="Titillium" w:hAnsi="Titillium"/>
          <w:sz w:val="21"/>
          <w:szCs w:val="21"/>
        </w:rPr>
        <w:t>m.</w:t>
      </w:r>
      <w:r w:rsidR="007F26B3">
        <w:rPr>
          <w:rFonts w:ascii="Titillium" w:hAnsi="Titillium"/>
          <w:sz w:val="21"/>
          <w:szCs w:val="21"/>
        </w:rPr>
        <w:t xml:space="preserve"> </w:t>
      </w:r>
      <w:r w:rsidR="00EE3934" w:rsidRPr="005126BB">
        <w:rPr>
          <w:rFonts w:ascii="Titillium" w:hAnsi="Titillium"/>
          <w:sz w:val="21"/>
          <w:szCs w:val="21"/>
        </w:rPr>
        <w:t>i.</w:t>
      </w:r>
      <w:r w:rsidR="002D72F3" w:rsidRPr="005126BB">
        <w:rPr>
          <w:rFonts w:ascii="Titillium" w:hAnsi="Titillium"/>
          <w:sz w:val="21"/>
          <w:szCs w:val="21"/>
        </w:rPr>
        <w:t xml:space="preserve">; </w:t>
      </w:r>
    </w:p>
    <w:p w:rsidR="00120D26" w:rsidRPr="00120D26" w:rsidRDefault="00DB0A37" w:rsidP="00B6699E">
      <w:pPr>
        <w:pStyle w:val="NormaleWeb"/>
        <w:spacing w:before="0" w:beforeAutospacing="0" w:after="80" w:line="276" w:lineRule="auto"/>
        <w:jc w:val="both"/>
        <w:rPr>
          <w:rFonts w:ascii="Titillium" w:hAnsi="Titillium"/>
          <w:b/>
          <w:sz w:val="21"/>
          <w:szCs w:val="21"/>
        </w:rPr>
      </w:pPr>
      <w:r w:rsidRPr="005126BB">
        <w:rPr>
          <w:rFonts w:ascii="Titillium" w:eastAsia="Calibri" w:hAnsi="Titillium" w:cs="Titillium Web"/>
          <w:b/>
          <w:sz w:val="21"/>
          <w:szCs w:val="21"/>
          <w:lang w:eastAsia="en-US"/>
        </w:rPr>
        <w:t xml:space="preserve">ACCERTATO </w:t>
      </w:r>
      <w:r w:rsidRPr="005126BB">
        <w:rPr>
          <w:rFonts w:ascii="Titillium" w:eastAsia="Calibri" w:hAnsi="Titillium" w:cs="Titillium Web"/>
          <w:sz w:val="21"/>
          <w:szCs w:val="21"/>
          <w:lang w:eastAsia="en-US"/>
        </w:rPr>
        <w:t xml:space="preserve">che </w:t>
      </w:r>
      <w:r w:rsidR="007F26B3">
        <w:rPr>
          <w:rFonts w:ascii="Titillium" w:eastAsia="Calibri" w:hAnsi="Titillium" w:cs="Titillium Web"/>
          <w:sz w:val="21"/>
          <w:szCs w:val="21"/>
          <w:lang w:eastAsia="en-US"/>
        </w:rPr>
        <w:t xml:space="preserve">per la spesa delle licenze d’uso per il software – affari generali - contratto Zucchetti – CIG. </w:t>
      </w:r>
      <w:r w:rsidR="007F26B3">
        <w:rPr>
          <w:rFonts w:ascii="Titillium" w:hAnsi="Titillium"/>
          <w:sz w:val="21"/>
          <w:szCs w:val="21"/>
        </w:rPr>
        <w:t>9571121B27</w:t>
      </w:r>
      <w:r w:rsidR="00E6555E">
        <w:rPr>
          <w:rFonts w:ascii="Titillium" w:hAnsi="Titillium"/>
          <w:sz w:val="21"/>
          <w:szCs w:val="21"/>
        </w:rPr>
        <w:t>, nel Capitolo n. 13108.323</w:t>
      </w:r>
      <w:r w:rsidR="007F26B3">
        <w:rPr>
          <w:rFonts w:ascii="Titillium" w:hAnsi="Titillium"/>
          <w:sz w:val="21"/>
          <w:szCs w:val="21"/>
        </w:rPr>
        <w:t xml:space="preserve"> </w:t>
      </w:r>
      <w:r w:rsidR="00BE3A2E" w:rsidRPr="005126BB">
        <w:rPr>
          <w:rFonts w:ascii="Titillium" w:eastAsia="Calibri" w:hAnsi="Titillium" w:cs="Titillium Web"/>
          <w:sz w:val="21"/>
          <w:szCs w:val="21"/>
          <w:lang w:eastAsia="en-US"/>
        </w:rPr>
        <w:t>ri</w:t>
      </w:r>
      <w:r w:rsidR="007F26B3">
        <w:rPr>
          <w:rFonts w:ascii="Titillium" w:eastAsia="Calibri" w:hAnsi="Titillium" w:cs="Titillium Web"/>
          <w:sz w:val="21"/>
          <w:szCs w:val="21"/>
          <w:lang w:eastAsia="en-US"/>
        </w:rPr>
        <w:t xml:space="preserve">sulta una disponibilità di </w:t>
      </w:r>
      <w:r w:rsidR="007F26B3">
        <w:rPr>
          <w:rFonts w:ascii="Titillium" w:eastAsia="Calibri" w:hAnsi="Titillium" w:cs="Titillium Web"/>
          <w:b/>
          <w:sz w:val="21"/>
          <w:szCs w:val="21"/>
          <w:lang w:eastAsia="en-US"/>
        </w:rPr>
        <w:t>euro 10.765,96</w:t>
      </w:r>
      <w:r w:rsidR="00F4692D">
        <w:rPr>
          <w:rFonts w:ascii="Titillium" w:hAnsi="Titillium"/>
          <w:sz w:val="21"/>
          <w:szCs w:val="21"/>
        </w:rPr>
        <w:t xml:space="preserve"> nel</w:t>
      </w:r>
      <w:r w:rsidR="007F26B3">
        <w:rPr>
          <w:rFonts w:ascii="Titillium" w:hAnsi="Titillium"/>
          <w:sz w:val="21"/>
          <w:szCs w:val="21"/>
        </w:rPr>
        <w:t xml:space="preserve"> il bilancio di previsione 2024</w:t>
      </w:r>
      <w:r w:rsidR="00164544">
        <w:rPr>
          <w:rFonts w:ascii="Titillium" w:hAnsi="Titillium"/>
          <w:sz w:val="21"/>
          <w:szCs w:val="21"/>
        </w:rPr>
        <w:t>,</w:t>
      </w:r>
      <w:r w:rsidR="007F26B3">
        <w:rPr>
          <w:rFonts w:ascii="Titillium" w:hAnsi="Titillium"/>
          <w:sz w:val="21"/>
          <w:szCs w:val="21"/>
        </w:rPr>
        <w:t xml:space="preserve"> e </w:t>
      </w:r>
      <w:r w:rsidR="00E6555E">
        <w:rPr>
          <w:rFonts w:ascii="Titillium" w:hAnsi="Titillium"/>
          <w:sz w:val="21"/>
          <w:szCs w:val="21"/>
        </w:rPr>
        <w:t xml:space="preserve">sul medesimo Capitolo </w:t>
      </w:r>
      <w:r w:rsidR="007F26B3">
        <w:rPr>
          <w:rFonts w:ascii="Titillium" w:hAnsi="Titillium"/>
          <w:sz w:val="21"/>
          <w:szCs w:val="21"/>
        </w:rPr>
        <w:t xml:space="preserve">una </w:t>
      </w:r>
      <w:r w:rsidR="00E6555E">
        <w:rPr>
          <w:rFonts w:ascii="Titillium" w:hAnsi="Titillium"/>
          <w:sz w:val="21"/>
          <w:szCs w:val="21"/>
        </w:rPr>
        <w:t xml:space="preserve">pari </w:t>
      </w:r>
      <w:r w:rsidR="007F26B3">
        <w:rPr>
          <w:rFonts w:ascii="Titillium" w:hAnsi="Titillium"/>
          <w:sz w:val="21"/>
          <w:szCs w:val="21"/>
        </w:rPr>
        <w:t>disponibilità</w:t>
      </w:r>
      <w:r w:rsidRPr="005126BB">
        <w:rPr>
          <w:rFonts w:ascii="Titillium" w:hAnsi="Titillium"/>
          <w:sz w:val="21"/>
          <w:szCs w:val="21"/>
        </w:rPr>
        <w:t xml:space="preserve"> </w:t>
      </w:r>
      <w:r w:rsidR="007F26B3">
        <w:rPr>
          <w:rFonts w:ascii="Titillium" w:hAnsi="Titillium"/>
          <w:sz w:val="21"/>
          <w:szCs w:val="21"/>
        </w:rPr>
        <w:t xml:space="preserve">di </w:t>
      </w:r>
      <w:r w:rsidR="007F26B3">
        <w:rPr>
          <w:rFonts w:ascii="Titillium" w:hAnsi="Titillium"/>
          <w:b/>
          <w:sz w:val="21"/>
          <w:szCs w:val="21"/>
        </w:rPr>
        <w:t xml:space="preserve">euro 10.765,96 </w:t>
      </w:r>
      <w:r w:rsidR="00F4692D">
        <w:rPr>
          <w:rFonts w:ascii="Titillium" w:hAnsi="Titillium"/>
          <w:sz w:val="21"/>
          <w:szCs w:val="21"/>
        </w:rPr>
        <w:t>nel</w:t>
      </w:r>
      <w:r w:rsidR="007F26B3">
        <w:rPr>
          <w:rFonts w:ascii="Titillium" w:hAnsi="Titillium"/>
          <w:sz w:val="21"/>
          <w:szCs w:val="21"/>
        </w:rPr>
        <w:t xml:space="preserve"> il bilancio di previsione 2025</w:t>
      </w:r>
      <w:r w:rsidR="00120D26">
        <w:rPr>
          <w:rFonts w:ascii="Titillium" w:hAnsi="Titillium"/>
          <w:sz w:val="21"/>
          <w:szCs w:val="21"/>
        </w:rPr>
        <w:t>;</w:t>
      </w:r>
    </w:p>
    <w:p w:rsidR="00120D26" w:rsidRDefault="00120D26" w:rsidP="00B6699E">
      <w:pPr>
        <w:pStyle w:val="NormaleWeb"/>
        <w:spacing w:before="0" w:beforeAutospacing="0" w:after="80" w:line="276" w:lineRule="auto"/>
        <w:jc w:val="both"/>
        <w:rPr>
          <w:rFonts w:ascii="Titillium" w:hAnsi="Titillium"/>
          <w:sz w:val="21"/>
          <w:szCs w:val="21"/>
        </w:rPr>
      </w:pPr>
    </w:p>
    <w:p w:rsidR="00F16C4E" w:rsidRPr="00F4692D" w:rsidRDefault="00332723" w:rsidP="00F4692D">
      <w:pPr>
        <w:pStyle w:val="NormaleWeb"/>
        <w:spacing w:before="0" w:beforeAutospacing="0" w:after="80" w:line="276" w:lineRule="auto"/>
        <w:jc w:val="center"/>
        <w:rPr>
          <w:rFonts w:ascii="Titillium" w:hAnsi="Titillium"/>
          <w:sz w:val="21"/>
          <w:szCs w:val="21"/>
        </w:rPr>
      </w:pPr>
      <w:r w:rsidRPr="00B6390B">
        <w:rPr>
          <w:rFonts w:ascii="Gotham Light" w:hAnsi="Gotham Light" w:cs="Arial"/>
          <w:b/>
          <w:color w:val="2E74B5"/>
        </w:rPr>
        <w:t>D I S P O N E</w:t>
      </w:r>
    </w:p>
    <w:p w:rsidR="00B6699E" w:rsidRPr="00E6555E" w:rsidRDefault="001B7143" w:rsidP="00E6555E">
      <w:pPr>
        <w:numPr>
          <w:ilvl w:val="0"/>
          <w:numId w:val="8"/>
        </w:numPr>
        <w:tabs>
          <w:tab w:val="left" w:pos="284"/>
        </w:tabs>
        <w:spacing w:before="120" w:after="120" w:line="276" w:lineRule="auto"/>
        <w:ind w:left="284"/>
        <w:jc w:val="both"/>
        <w:rPr>
          <w:rFonts w:ascii="Titillium" w:hAnsi="Titillium"/>
          <w:sz w:val="21"/>
          <w:szCs w:val="21"/>
        </w:rPr>
      </w:pPr>
      <w:r w:rsidRPr="003E6227">
        <w:rPr>
          <w:rFonts w:ascii="Titillium" w:hAnsi="Titillium"/>
          <w:sz w:val="21"/>
          <w:szCs w:val="21"/>
        </w:rPr>
        <w:lastRenderedPageBreak/>
        <w:t>di autorizzare</w:t>
      </w:r>
      <w:r w:rsidR="002D72F3">
        <w:rPr>
          <w:rFonts w:ascii="Titillium" w:hAnsi="Titillium"/>
          <w:sz w:val="21"/>
          <w:szCs w:val="21"/>
        </w:rPr>
        <w:t xml:space="preserve"> – ai sensi dell’art. 106, comma 12, d.lgs. n. 50/2016 </w:t>
      </w:r>
      <w:r w:rsidR="00120D26">
        <w:rPr>
          <w:rFonts w:ascii="Titillium" w:hAnsi="Titillium"/>
          <w:sz w:val="21"/>
          <w:szCs w:val="21"/>
        </w:rPr>
        <w:t>–</w:t>
      </w:r>
      <w:r w:rsidRPr="003E6227">
        <w:rPr>
          <w:rFonts w:ascii="Titillium" w:hAnsi="Titillium"/>
          <w:sz w:val="21"/>
          <w:szCs w:val="21"/>
        </w:rPr>
        <w:t xml:space="preserve"> l</w:t>
      </w:r>
      <w:r w:rsidR="00120D26">
        <w:rPr>
          <w:rFonts w:ascii="Titillium" w:hAnsi="Titillium"/>
          <w:sz w:val="21"/>
          <w:szCs w:val="21"/>
        </w:rPr>
        <w:t>a diminuzione</w:t>
      </w:r>
      <w:r w:rsidR="00164544">
        <w:rPr>
          <w:rFonts w:ascii="Titillium" w:hAnsi="Titillium"/>
          <w:sz w:val="21"/>
          <w:szCs w:val="21"/>
        </w:rPr>
        <w:t xml:space="preserve"> della spesa</w:t>
      </w:r>
      <w:r w:rsidR="00120D26">
        <w:rPr>
          <w:rFonts w:ascii="Titillium" w:hAnsi="Titillium"/>
          <w:sz w:val="21"/>
          <w:szCs w:val="21"/>
        </w:rPr>
        <w:t xml:space="preserve"> </w:t>
      </w:r>
      <w:r w:rsidR="00AB675C">
        <w:rPr>
          <w:rFonts w:ascii="Titillium" w:hAnsi="Titillium"/>
          <w:sz w:val="21"/>
          <w:szCs w:val="21"/>
        </w:rPr>
        <w:t>del</w:t>
      </w:r>
      <w:r w:rsidR="002D72F3">
        <w:rPr>
          <w:rFonts w:ascii="Titillium" w:hAnsi="Titillium"/>
          <w:sz w:val="21"/>
          <w:szCs w:val="21"/>
        </w:rPr>
        <w:t xml:space="preserve"> </w:t>
      </w:r>
      <w:r w:rsidRPr="003E6227">
        <w:rPr>
          <w:rFonts w:ascii="Titillium" w:hAnsi="Titillium"/>
          <w:sz w:val="21"/>
          <w:szCs w:val="21"/>
        </w:rPr>
        <w:t>contr</w:t>
      </w:r>
      <w:r w:rsidR="00120D26">
        <w:rPr>
          <w:rFonts w:ascii="Titillium" w:hAnsi="Titillium"/>
          <w:sz w:val="21"/>
          <w:szCs w:val="21"/>
        </w:rPr>
        <w:t xml:space="preserve">atto stipulato con Zucchetti S.p.A. – CIG. 9571131B27, per </w:t>
      </w:r>
      <w:r w:rsidR="00164544">
        <w:rPr>
          <w:rFonts w:ascii="Titillium" w:hAnsi="Titillium"/>
          <w:sz w:val="21"/>
          <w:szCs w:val="21"/>
        </w:rPr>
        <w:t xml:space="preserve">un importo </w:t>
      </w:r>
      <w:r w:rsidR="00120D26">
        <w:rPr>
          <w:rFonts w:ascii="Titillium" w:hAnsi="Titillium"/>
          <w:sz w:val="21"/>
          <w:szCs w:val="21"/>
        </w:rPr>
        <w:t>così specificato</w:t>
      </w:r>
      <w:r w:rsidRPr="003E6227">
        <w:rPr>
          <w:rFonts w:ascii="Titillium" w:hAnsi="Titillium"/>
          <w:sz w:val="21"/>
          <w:szCs w:val="21"/>
        </w:rPr>
        <w:t>:</w:t>
      </w:r>
    </w:p>
    <w:tbl>
      <w:tblPr>
        <w:tblStyle w:val="Grigliatabella"/>
        <w:tblW w:w="938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7"/>
        <w:gridCol w:w="1842"/>
      </w:tblGrid>
      <w:tr w:rsidR="001B7143" w:rsidRPr="003E6227" w:rsidTr="007347AC">
        <w:tc>
          <w:tcPr>
            <w:tcW w:w="754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B7143" w:rsidRPr="003E6227" w:rsidRDefault="00120D26" w:rsidP="001B7143">
            <w:pPr>
              <w:numPr>
                <w:ilvl w:val="0"/>
                <w:numId w:val="7"/>
              </w:numPr>
              <w:spacing w:before="120" w:after="120" w:line="276" w:lineRule="auto"/>
              <w:ind w:left="369"/>
              <w:jc w:val="both"/>
              <w:rPr>
                <w:rFonts w:ascii="Titillium" w:hAnsi="Titillium"/>
                <w:sz w:val="21"/>
                <w:szCs w:val="21"/>
              </w:rPr>
            </w:pPr>
            <w:r>
              <w:rPr>
                <w:rFonts w:ascii="Titillium" w:hAnsi="Titillium"/>
                <w:sz w:val="21"/>
                <w:szCs w:val="21"/>
              </w:rPr>
              <w:t xml:space="preserve">dismissione licenza d’uso </w:t>
            </w:r>
            <w:r>
              <w:rPr>
                <w:rFonts w:ascii="Titillium" w:hAnsi="Titillium"/>
                <w:i/>
                <w:sz w:val="21"/>
                <w:szCs w:val="21"/>
              </w:rPr>
              <w:t>“</w:t>
            </w:r>
            <w:proofErr w:type="spellStart"/>
            <w:r>
              <w:rPr>
                <w:rFonts w:ascii="Titillium" w:hAnsi="Titillium"/>
                <w:i/>
                <w:sz w:val="21"/>
                <w:szCs w:val="21"/>
              </w:rPr>
              <w:t>Timesheet</w:t>
            </w:r>
            <w:proofErr w:type="spellEnd"/>
            <w:r>
              <w:rPr>
                <w:rFonts w:ascii="Titillium" w:hAnsi="Titillium"/>
                <w:i/>
                <w:sz w:val="21"/>
                <w:szCs w:val="21"/>
              </w:rPr>
              <w:t xml:space="preserve">” </w:t>
            </w:r>
            <w:r>
              <w:rPr>
                <w:rFonts w:ascii="Titillium" w:hAnsi="Titillium"/>
                <w:sz w:val="21"/>
                <w:szCs w:val="21"/>
              </w:rPr>
              <w:t>e cancellazione dei relativi canoni per l’anno 2024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B7143" w:rsidRPr="00B6699E" w:rsidRDefault="005A2434" w:rsidP="005A2434">
            <w:pPr>
              <w:spacing w:before="120" w:after="120" w:line="276" w:lineRule="auto"/>
              <w:jc w:val="center"/>
              <w:rPr>
                <w:rFonts w:ascii="Titillium" w:hAnsi="Titillium"/>
                <w:sz w:val="21"/>
                <w:szCs w:val="21"/>
              </w:rPr>
            </w:pPr>
            <w:r>
              <w:rPr>
                <w:rFonts w:ascii="Titillium" w:hAnsi="Titillium"/>
                <w:sz w:val="21"/>
                <w:szCs w:val="21"/>
              </w:rPr>
              <w:t xml:space="preserve">         euro  581,3 </w:t>
            </w:r>
            <w:r w:rsidR="001B7143" w:rsidRPr="00B6699E">
              <w:rPr>
                <w:rFonts w:ascii="Titillium" w:hAnsi="Titillium"/>
                <w:sz w:val="21"/>
                <w:szCs w:val="21"/>
              </w:rPr>
              <w:t xml:space="preserve"> </w:t>
            </w:r>
          </w:p>
        </w:tc>
      </w:tr>
      <w:tr w:rsidR="001B7143" w:rsidRPr="003E6227" w:rsidTr="007347AC">
        <w:trPr>
          <w:trHeight w:val="515"/>
        </w:trPr>
        <w:tc>
          <w:tcPr>
            <w:tcW w:w="754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B7143" w:rsidRPr="003E6227" w:rsidRDefault="001B7143" w:rsidP="001B7143">
            <w:pPr>
              <w:numPr>
                <w:ilvl w:val="0"/>
                <w:numId w:val="7"/>
              </w:numPr>
              <w:spacing w:before="120" w:after="120" w:line="276" w:lineRule="auto"/>
              <w:ind w:left="369"/>
              <w:jc w:val="both"/>
              <w:rPr>
                <w:rFonts w:ascii="Titillium" w:hAnsi="Titillium"/>
                <w:sz w:val="21"/>
                <w:szCs w:val="21"/>
              </w:rPr>
            </w:pPr>
            <w:r w:rsidRPr="003E6227">
              <w:rPr>
                <w:rFonts w:ascii="Titillium" w:hAnsi="Titillium"/>
                <w:sz w:val="21"/>
                <w:szCs w:val="21"/>
              </w:rPr>
              <w:t>IVA al 22%</w:t>
            </w:r>
          </w:p>
        </w:tc>
        <w:tc>
          <w:tcPr>
            <w:tcW w:w="184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B7143" w:rsidRPr="00B6699E" w:rsidRDefault="005A2434" w:rsidP="00A46FE6">
            <w:pPr>
              <w:spacing w:before="120" w:after="120" w:line="276" w:lineRule="auto"/>
              <w:jc w:val="right"/>
              <w:rPr>
                <w:rFonts w:ascii="Titillium" w:hAnsi="Titillium"/>
                <w:sz w:val="21"/>
                <w:szCs w:val="21"/>
              </w:rPr>
            </w:pPr>
            <w:r>
              <w:rPr>
                <w:rFonts w:ascii="Titillium" w:hAnsi="Titillium"/>
                <w:sz w:val="21"/>
                <w:szCs w:val="21"/>
              </w:rPr>
              <w:t>euro 127,88</w:t>
            </w:r>
            <w:r w:rsidR="00752608" w:rsidRPr="00B6699E">
              <w:rPr>
                <w:rFonts w:ascii="Titillium" w:hAnsi="Titillium"/>
                <w:sz w:val="21"/>
                <w:szCs w:val="21"/>
              </w:rPr>
              <w:t xml:space="preserve"> </w:t>
            </w:r>
          </w:p>
        </w:tc>
      </w:tr>
      <w:tr w:rsidR="001B7143" w:rsidRPr="003E6227" w:rsidTr="00120D26">
        <w:trPr>
          <w:trHeight w:val="575"/>
        </w:trPr>
        <w:tc>
          <w:tcPr>
            <w:tcW w:w="754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B7143" w:rsidRPr="00120D26" w:rsidRDefault="00A46FE6" w:rsidP="00120D26">
            <w:pPr>
              <w:pStyle w:val="Paragrafoelenco"/>
              <w:numPr>
                <w:ilvl w:val="0"/>
                <w:numId w:val="7"/>
              </w:numPr>
              <w:spacing w:before="120" w:after="120" w:line="276" w:lineRule="auto"/>
              <w:ind w:left="379" w:hanging="379"/>
              <w:jc w:val="both"/>
              <w:rPr>
                <w:rFonts w:ascii="Titillium" w:hAnsi="Titillium"/>
                <w:sz w:val="21"/>
                <w:szCs w:val="21"/>
              </w:rPr>
            </w:pPr>
            <w:r>
              <w:rPr>
                <w:rFonts w:ascii="Titillium" w:hAnsi="Titillium"/>
                <w:sz w:val="21"/>
                <w:szCs w:val="21"/>
              </w:rPr>
              <w:t xml:space="preserve">Dismissione licenza d’uso </w:t>
            </w:r>
            <w:r>
              <w:rPr>
                <w:rFonts w:ascii="Titillium" w:hAnsi="Titillium"/>
                <w:i/>
                <w:sz w:val="21"/>
                <w:szCs w:val="21"/>
              </w:rPr>
              <w:t>“</w:t>
            </w:r>
            <w:proofErr w:type="spellStart"/>
            <w:r>
              <w:rPr>
                <w:rFonts w:ascii="Titillium" w:hAnsi="Titillium"/>
                <w:i/>
                <w:sz w:val="21"/>
                <w:szCs w:val="21"/>
              </w:rPr>
              <w:t>Timesheet</w:t>
            </w:r>
            <w:proofErr w:type="spellEnd"/>
            <w:r>
              <w:rPr>
                <w:rFonts w:ascii="Titillium" w:hAnsi="Titillium"/>
                <w:i/>
                <w:sz w:val="21"/>
                <w:szCs w:val="21"/>
              </w:rPr>
              <w:t>”</w:t>
            </w:r>
            <w:r>
              <w:rPr>
                <w:rFonts w:ascii="Titillium" w:hAnsi="Titillium"/>
                <w:sz w:val="21"/>
                <w:szCs w:val="21"/>
              </w:rPr>
              <w:t xml:space="preserve">  e cancellazione dei relativi canoni per l’anno 2025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B7143" w:rsidRPr="005A2434" w:rsidRDefault="005A2434" w:rsidP="00BA77F7">
            <w:pPr>
              <w:spacing w:before="120" w:after="120" w:line="276" w:lineRule="auto"/>
              <w:jc w:val="right"/>
              <w:rPr>
                <w:rFonts w:ascii="Titillium" w:hAnsi="Titillium"/>
                <w:sz w:val="21"/>
                <w:szCs w:val="21"/>
                <w:highlight w:val="yellow"/>
              </w:rPr>
            </w:pPr>
            <w:r>
              <w:rPr>
                <w:rFonts w:ascii="Titillium" w:hAnsi="Titillium"/>
                <w:sz w:val="21"/>
                <w:szCs w:val="21"/>
              </w:rPr>
              <w:t>e</w:t>
            </w:r>
            <w:r w:rsidRPr="005A2434">
              <w:rPr>
                <w:rFonts w:ascii="Titillium" w:hAnsi="Titillium"/>
                <w:sz w:val="21"/>
                <w:szCs w:val="21"/>
              </w:rPr>
              <w:t>uro 697,56</w:t>
            </w:r>
          </w:p>
        </w:tc>
      </w:tr>
      <w:tr w:rsidR="00120D26" w:rsidRPr="003E6227" w:rsidTr="00120D26">
        <w:trPr>
          <w:trHeight w:val="575"/>
        </w:trPr>
        <w:tc>
          <w:tcPr>
            <w:tcW w:w="754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0D26" w:rsidRPr="00A46FE6" w:rsidRDefault="00A46FE6" w:rsidP="00A46FE6">
            <w:pPr>
              <w:pStyle w:val="Paragrafoelenco"/>
              <w:numPr>
                <w:ilvl w:val="0"/>
                <w:numId w:val="7"/>
              </w:numPr>
              <w:spacing w:before="120" w:after="120" w:line="276" w:lineRule="auto"/>
              <w:ind w:left="379" w:hanging="425"/>
              <w:jc w:val="both"/>
              <w:rPr>
                <w:rFonts w:ascii="Titillium" w:hAnsi="Titillium"/>
                <w:sz w:val="21"/>
                <w:szCs w:val="21"/>
              </w:rPr>
            </w:pPr>
            <w:r>
              <w:rPr>
                <w:rFonts w:ascii="Titillium" w:hAnsi="Titillium"/>
                <w:sz w:val="21"/>
                <w:szCs w:val="21"/>
              </w:rPr>
              <w:t>IVA al 22%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0D26" w:rsidRPr="005A2434" w:rsidRDefault="005A2434" w:rsidP="00BA77F7">
            <w:pPr>
              <w:spacing w:before="120" w:after="120" w:line="276" w:lineRule="auto"/>
              <w:jc w:val="right"/>
              <w:rPr>
                <w:rFonts w:ascii="Titillium" w:hAnsi="Titillium"/>
                <w:sz w:val="21"/>
                <w:szCs w:val="21"/>
              </w:rPr>
            </w:pPr>
            <w:r>
              <w:rPr>
                <w:rFonts w:ascii="Titillium" w:hAnsi="Titillium"/>
                <w:sz w:val="21"/>
                <w:szCs w:val="21"/>
              </w:rPr>
              <w:t>euro 153,46</w:t>
            </w:r>
          </w:p>
        </w:tc>
      </w:tr>
      <w:tr w:rsidR="00120D26" w:rsidRPr="003E6227" w:rsidTr="00120D26">
        <w:trPr>
          <w:trHeight w:val="575"/>
        </w:trPr>
        <w:tc>
          <w:tcPr>
            <w:tcW w:w="754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0D26" w:rsidRPr="003E6227" w:rsidRDefault="00A46FE6" w:rsidP="00BA77F7">
            <w:pPr>
              <w:spacing w:before="120" w:after="120" w:line="276" w:lineRule="auto"/>
              <w:jc w:val="both"/>
              <w:rPr>
                <w:rFonts w:ascii="Titillium" w:hAnsi="Titillium"/>
                <w:b/>
                <w:sz w:val="21"/>
                <w:szCs w:val="21"/>
              </w:rPr>
            </w:pPr>
            <w:r>
              <w:rPr>
                <w:rFonts w:ascii="Titillium" w:hAnsi="Titillium"/>
                <w:b/>
                <w:sz w:val="21"/>
                <w:szCs w:val="21"/>
              </w:rPr>
              <w:t xml:space="preserve">Importo totale della diminuzione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20D26" w:rsidRPr="00B6699E" w:rsidRDefault="005A2434" w:rsidP="00BA77F7">
            <w:pPr>
              <w:spacing w:before="120" w:after="120" w:line="276" w:lineRule="auto"/>
              <w:jc w:val="right"/>
              <w:rPr>
                <w:rFonts w:ascii="Titillium" w:hAnsi="Titillium"/>
                <w:b/>
                <w:sz w:val="21"/>
                <w:szCs w:val="21"/>
              </w:rPr>
            </w:pPr>
            <w:r>
              <w:rPr>
                <w:rFonts w:ascii="Titillium" w:hAnsi="Titillium"/>
                <w:b/>
                <w:sz w:val="21"/>
                <w:szCs w:val="21"/>
              </w:rPr>
              <w:t>euro 1560,21</w:t>
            </w:r>
          </w:p>
        </w:tc>
      </w:tr>
    </w:tbl>
    <w:p w:rsidR="001B7143" w:rsidRPr="00B6699E" w:rsidRDefault="001B7143" w:rsidP="00671F04">
      <w:pPr>
        <w:numPr>
          <w:ilvl w:val="0"/>
          <w:numId w:val="8"/>
        </w:numPr>
        <w:spacing w:before="120" w:after="80" w:line="276" w:lineRule="auto"/>
        <w:ind w:left="284" w:hanging="284"/>
        <w:jc w:val="both"/>
        <w:rPr>
          <w:rFonts w:ascii="Titillium" w:hAnsi="Titillium"/>
          <w:sz w:val="21"/>
          <w:szCs w:val="21"/>
        </w:rPr>
      </w:pPr>
      <w:r w:rsidRPr="00B6699E">
        <w:rPr>
          <w:rFonts w:ascii="Titillium" w:hAnsi="Titillium"/>
          <w:sz w:val="21"/>
          <w:szCs w:val="21"/>
        </w:rPr>
        <w:t xml:space="preserve">il nuovo importo </w:t>
      </w:r>
      <w:r w:rsidR="00C713E8">
        <w:rPr>
          <w:rFonts w:ascii="Titillium" w:hAnsi="Titillium"/>
          <w:sz w:val="21"/>
          <w:szCs w:val="21"/>
        </w:rPr>
        <w:t>del citato contratto è di</w:t>
      </w:r>
      <w:r w:rsidR="00A46FE6">
        <w:rPr>
          <w:rFonts w:ascii="Titillium" w:hAnsi="Titillium"/>
          <w:sz w:val="21"/>
          <w:szCs w:val="21"/>
        </w:rPr>
        <w:t xml:space="preserve"> </w:t>
      </w:r>
      <w:r w:rsidR="00C713E8">
        <w:rPr>
          <w:rFonts w:ascii="Titillium" w:hAnsi="Titillium"/>
          <w:b/>
          <w:sz w:val="21"/>
          <w:szCs w:val="21"/>
        </w:rPr>
        <w:t>euro 93.126,82, oltre IVA 22% euro 20.</w:t>
      </w:r>
      <w:r w:rsidR="000041E8">
        <w:rPr>
          <w:rFonts w:ascii="Titillium" w:hAnsi="Titillium"/>
          <w:b/>
          <w:sz w:val="21"/>
          <w:szCs w:val="21"/>
        </w:rPr>
        <w:t>487,90,</w:t>
      </w:r>
      <w:r w:rsidR="00934E6E">
        <w:rPr>
          <w:rFonts w:ascii="Titillium" w:hAnsi="Titillium"/>
          <w:sz w:val="21"/>
          <w:szCs w:val="21"/>
        </w:rPr>
        <w:t xml:space="preserve"> </w:t>
      </w:r>
      <w:r w:rsidR="00C713E8">
        <w:rPr>
          <w:rFonts w:ascii="Titillium" w:hAnsi="Titillium"/>
          <w:b/>
          <w:sz w:val="21"/>
          <w:szCs w:val="21"/>
        </w:rPr>
        <w:t>per un totale complessivo pari ad euro 113.614,7</w:t>
      </w:r>
      <w:r w:rsidR="000041E8">
        <w:rPr>
          <w:rFonts w:ascii="Titillium" w:hAnsi="Titillium"/>
          <w:b/>
          <w:sz w:val="21"/>
          <w:szCs w:val="21"/>
        </w:rPr>
        <w:t>2</w:t>
      </w:r>
      <w:r w:rsidRPr="00B6699E">
        <w:rPr>
          <w:rFonts w:ascii="Titillium" w:hAnsi="Titillium"/>
          <w:sz w:val="21"/>
          <w:szCs w:val="21"/>
        </w:rPr>
        <w:t>;</w:t>
      </w:r>
    </w:p>
    <w:p w:rsidR="001B7143" w:rsidRPr="000041E8" w:rsidRDefault="000041E8" w:rsidP="00671F04">
      <w:pPr>
        <w:numPr>
          <w:ilvl w:val="0"/>
          <w:numId w:val="8"/>
        </w:numPr>
        <w:spacing w:before="120" w:after="80" w:line="276" w:lineRule="auto"/>
        <w:ind w:left="284" w:hanging="284"/>
        <w:jc w:val="both"/>
        <w:rPr>
          <w:rFonts w:ascii="Titillium" w:hAnsi="Titillium"/>
          <w:b/>
          <w:sz w:val="21"/>
          <w:szCs w:val="21"/>
        </w:rPr>
      </w:pPr>
      <w:r>
        <w:rPr>
          <w:rFonts w:ascii="Titillium" w:hAnsi="Titillium"/>
          <w:sz w:val="21"/>
          <w:szCs w:val="21"/>
        </w:rPr>
        <w:t>di autor</w:t>
      </w:r>
      <w:r w:rsidR="00F4692D">
        <w:rPr>
          <w:rFonts w:ascii="Titillium" w:hAnsi="Titillium"/>
          <w:sz w:val="21"/>
          <w:szCs w:val="21"/>
        </w:rPr>
        <w:t>izzare sul capitolo n. 13108.323 (licenze d’uso software – affari generali)</w:t>
      </w:r>
      <w:r>
        <w:rPr>
          <w:rFonts w:ascii="Titillium" w:hAnsi="Titillium"/>
          <w:sz w:val="21"/>
          <w:szCs w:val="21"/>
        </w:rPr>
        <w:t xml:space="preserve"> – </w:t>
      </w:r>
      <w:r w:rsidRPr="000041E8">
        <w:rPr>
          <w:rFonts w:ascii="Titillium" w:hAnsi="Titillium"/>
          <w:b/>
          <w:sz w:val="21"/>
          <w:szCs w:val="21"/>
        </w:rPr>
        <w:t>impegno n.</w:t>
      </w:r>
      <w:r>
        <w:rPr>
          <w:rFonts w:ascii="Titillium" w:hAnsi="Titillium"/>
          <w:b/>
          <w:sz w:val="21"/>
          <w:szCs w:val="21"/>
        </w:rPr>
        <w:t xml:space="preserve"> </w:t>
      </w:r>
      <w:r w:rsidRPr="000041E8">
        <w:rPr>
          <w:rFonts w:ascii="Titillium" w:hAnsi="Titillium"/>
          <w:b/>
          <w:sz w:val="21"/>
          <w:szCs w:val="21"/>
        </w:rPr>
        <w:t>40 pari ad euro 10.765,96</w:t>
      </w:r>
      <w:r>
        <w:rPr>
          <w:rFonts w:ascii="Titillium" w:hAnsi="Titillium"/>
          <w:sz w:val="21"/>
          <w:szCs w:val="21"/>
        </w:rPr>
        <w:t xml:space="preserve"> - del bilancio di previsione dell’Autorità per l’anno </w:t>
      </w:r>
      <w:r w:rsidRPr="000041E8">
        <w:rPr>
          <w:rFonts w:ascii="Titillium" w:hAnsi="Titillium"/>
          <w:sz w:val="21"/>
          <w:szCs w:val="21"/>
        </w:rPr>
        <w:t>2024</w:t>
      </w:r>
      <w:r>
        <w:rPr>
          <w:rFonts w:ascii="Titillium" w:hAnsi="Titillium"/>
          <w:sz w:val="21"/>
          <w:szCs w:val="21"/>
        </w:rPr>
        <w:t xml:space="preserve"> la sottrazione</w:t>
      </w:r>
      <w:r w:rsidR="00A46FE6" w:rsidRPr="000041E8">
        <w:rPr>
          <w:rFonts w:ascii="Titillium" w:hAnsi="Titillium"/>
          <w:sz w:val="21"/>
          <w:szCs w:val="21"/>
        </w:rPr>
        <w:t xml:space="preserve"> dell’importo</w:t>
      </w:r>
      <w:r w:rsidRPr="000041E8">
        <w:rPr>
          <w:rFonts w:ascii="Titillium" w:hAnsi="Titillium"/>
          <w:sz w:val="21"/>
          <w:szCs w:val="21"/>
        </w:rPr>
        <w:t xml:space="preserve"> di euro 581,3,</w:t>
      </w:r>
      <w:r w:rsidR="00F4692D">
        <w:rPr>
          <w:rFonts w:ascii="Titillium" w:hAnsi="Titillium"/>
          <w:sz w:val="21"/>
          <w:szCs w:val="21"/>
        </w:rPr>
        <w:t xml:space="preserve"> oltre</w:t>
      </w:r>
      <w:r w:rsidR="00A46FE6" w:rsidRPr="000041E8">
        <w:rPr>
          <w:rFonts w:ascii="Titillium" w:hAnsi="Titillium"/>
          <w:sz w:val="21"/>
          <w:szCs w:val="21"/>
        </w:rPr>
        <w:t xml:space="preserve"> </w:t>
      </w:r>
      <w:r w:rsidR="005A2434" w:rsidRPr="000041E8">
        <w:rPr>
          <w:rFonts w:ascii="Titillium" w:hAnsi="Titillium"/>
          <w:sz w:val="21"/>
          <w:szCs w:val="21"/>
        </w:rPr>
        <w:t>IVA</w:t>
      </w:r>
      <w:r w:rsidRPr="000041E8">
        <w:rPr>
          <w:rFonts w:ascii="Titillium" w:hAnsi="Titillium"/>
          <w:sz w:val="21"/>
          <w:szCs w:val="21"/>
        </w:rPr>
        <w:t xml:space="preserve"> 22% 127,88 pari ad </w:t>
      </w:r>
      <w:r w:rsidRPr="00164544">
        <w:rPr>
          <w:rFonts w:ascii="Titillium" w:hAnsi="Titillium"/>
          <w:b/>
          <w:sz w:val="21"/>
          <w:szCs w:val="21"/>
        </w:rPr>
        <w:t>euro 709,19</w:t>
      </w:r>
      <w:r>
        <w:rPr>
          <w:rFonts w:ascii="Titillium" w:hAnsi="Titillium"/>
          <w:sz w:val="21"/>
          <w:szCs w:val="21"/>
        </w:rPr>
        <w:t xml:space="preserve">, </w:t>
      </w:r>
      <w:r>
        <w:rPr>
          <w:rFonts w:ascii="Titillium" w:hAnsi="Titillium"/>
          <w:b/>
          <w:sz w:val="21"/>
          <w:szCs w:val="21"/>
        </w:rPr>
        <w:t xml:space="preserve">riducendo l’impegno n. </w:t>
      </w:r>
      <w:r w:rsidR="00471845">
        <w:rPr>
          <w:rFonts w:ascii="Titillium" w:hAnsi="Titillium"/>
          <w:b/>
          <w:sz w:val="21"/>
          <w:szCs w:val="21"/>
        </w:rPr>
        <w:t>40 ad euro 10.056,77;</w:t>
      </w:r>
      <w:r>
        <w:rPr>
          <w:rFonts w:ascii="Titillium" w:hAnsi="Titillium"/>
          <w:b/>
          <w:sz w:val="21"/>
          <w:szCs w:val="21"/>
        </w:rPr>
        <w:t xml:space="preserve"> </w:t>
      </w:r>
    </w:p>
    <w:p w:rsidR="0037465F" w:rsidRPr="006E6806" w:rsidRDefault="00471845" w:rsidP="006E6806">
      <w:pPr>
        <w:numPr>
          <w:ilvl w:val="0"/>
          <w:numId w:val="8"/>
        </w:numPr>
        <w:spacing w:before="120" w:after="80" w:line="276" w:lineRule="auto"/>
        <w:ind w:left="284" w:hanging="284"/>
        <w:jc w:val="both"/>
        <w:rPr>
          <w:rFonts w:ascii="Titillium" w:hAnsi="Titillium"/>
          <w:sz w:val="21"/>
          <w:szCs w:val="21"/>
        </w:rPr>
      </w:pPr>
      <w:r>
        <w:rPr>
          <w:rFonts w:ascii="Titillium" w:hAnsi="Titillium"/>
          <w:sz w:val="21"/>
          <w:szCs w:val="21"/>
        </w:rPr>
        <w:t>di autori</w:t>
      </w:r>
      <w:r w:rsidR="00F4692D">
        <w:rPr>
          <w:rFonts w:ascii="Titillium" w:hAnsi="Titillium"/>
          <w:sz w:val="21"/>
          <w:szCs w:val="21"/>
        </w:rPr>
        <w:t xml:space="preserve">zzare sul capitolo n. 13108.323 </w:t>
      </w:r>
      <w:r>
        <w:rPr>
          <w:rFonts w:ascii="Titillium" w:hAnsi="Titillium"/>
          <w:sz w:val="21"/>
          <w:szCs w:val="21"/>
        </w:rPr>
        <w:t xml:space="preserve">– l’emissione di un </w:t>
      </w:r>
      <w:r>
        <w:rPr>
          <w:rFonts w:ascii="Titillium" w:hAnsi="Titillium"/>
          <w:b/>
          <w:sz w:val="21"/>
          <w:szCs w:val="21"/>
        </w:rPr>
        <w:t>impegno pari ad euro 9.914,94 – del bilancio di previsione dell’Autorità per l’anno 2025,</w:t>
      </w:r>
      <w:r w:rsidR="00F4692D">
        <w:rPr>
          <w:rFonts w:ascii="Titillium" w:hAnsi="Titillium"/>
          <w:sz w:val="21"/>
          <w:szCs w:val="21"/>
        </w:rPr>
        <w:t xml:space="preserve"> il cui totale avrebbe dovuto ammontare</w:t>
      </w:r>
      <w:r w:rsidR="006E6806">
        <w:rPr>
          <w:rFonts w:ascii="Titillium" w:hAnsi="Titillium"/>
          <w:sz w:val="21"/>
          <w:szCs w:val="21"/>
        </w:rPr>
        <w:t xml:space="preserve"> ad euro 10.765,96, ma </w:t>
      </w:r>
      <w:r>
        <w:rPr>
          <w:rFonts w:ascii="Titillium" w:hAnsi="Titillium"/>
          <w:sz w:val="21"/>
          <w:szCs w:val="21"/>
        </w:rPr>
        <w:t xml:space="preserve">in virtù di quanto </w:t>
      </w:r>
      <w:r w:rsidR="00164544">
        <w:rPr>
          <w:rFonts w:ascii="Titillium" w:hAnsi="Titillium"/>
          <w:sz w:val="21"/>
          <w:szCs w:val="21"/>
        </w:rPr>
        <w:t>su esposto</w:t>
      </w:r>
      <w:r w:rsidR="00572002">
        <w:rPr>
          <w:rFonts w:ascii="Titillium" w:hAnsi="Titillium"/>
          <w:sz w:val="21"/>
          <w:szCs w:val="21"/>
        </w:rPr>
        <w:t>, dovrà subire</w:t>
      </w:r>
      <w:r>
        <w:rPr>
          <w:rFonts w:ascii="Titillium" w:hAnsi="Titillium"/>
          <w:sz w:val="21"/>
          <w:szCs w:val="21"/>
        </w:rPr>
        <w:t xml:space="preserve"> la sottrazione dell’importo di euro 697,56, </w:t>
      </w:r>
      <w:r w:rsidR="00F4692D">
        <w:rPr>
          <w:rFonts w:ascii="Titillium" w:hAnsi="Titillium"/>
          <w:sz w:val="21"/>
          <w:szCs w:val="21"/>
        </w:rPr>
        <w:t xml:space="preserve">oltre </w:t>
      </w:r>
      <w:r>
        <w:rPr>
          <w:rFonts w:ascii="Titillium" w:hAnsi="Titillium"/>
          <w:sz w:val="21"/>
          <w:szCs w:val="21"/>
        </w:rPr>
        <w:t xml:space="preserve">IVA 22% euro 153,46 pari </w:t>
      </w:r>
      <w:r w:rsidRPr="00164544">
        <w:rPr>
          <w:rFonts w:ascii="Titillium" w:hAnsi="Titillium"/>
          <w:b/>
          <w:sz w:val="21"/>
          <w:szCs w:val="21"/>
        </w:rPr>
        <w:t>ad euro 851,02.</w:t>
      </w:r>
      <w:r w:rsidR="00F4692D">
        <w:rPr>
          <w:rFonts w:ascii="Titillium" w:hAnsi="Titillium"/>
          <w:sz w:val="21"/>
          <w:szCs w:val="21"/>
        </w:rPr>
        <w:t xml:space="preserve"> Nulla varia per il Capito</w:t>
      </w:r>
      <w:r w:rsidR="004E3E67">
        <w:rPr>
          <w:rFonts w:ascii="Titillium" w:hAnsi="Titillium"/>
          <w:sz w:val="21"/>
          <w:szCs w:val="21"/>
        </w:rPr>
        <w:t>lo 13109.323 relativamente al contratto di che trattasi.</w:t>
      </w:r>
    </w:p>
    <w:p w:rsidR="00E6555E" w:rsidRDefault="00E6555E" w:rsidP="00AB675C">
      <w:pPr>
        <w:spacing w:before="120" w:after="120" w:line="276" w:lineRule="auto"/>
        <w:jc w:val="both"/>
        <w:rPr>
          <w:rFonts w:ascii="Titillium" w:hAnsi="Titillium"/>
          <w:sz w:val="21"/>
          <w:szCs w:val="21"/>
        </w:rPr>
      </w:pPr>
    </w:p>
    <w:p w:rsidR="00EB2920" w:rsidRDefault="00EB2920" w:rsidP="00EB2920">
      <w:pPr>
        <w:spacing w:before="120"/>
        <w:jc w:val="both"/>
        <w:rPr>
          <w:rFonts w:ascii="Titillium" w:hAnsi="Titillium"/>
          <w:sz w:val="21"/>
          <w:szCs w:val="21"/>
        </w:rPr>
      </w:pPr>
      <w:r>
        <w:rPr>
          <w:rFonts w:ascii="Titillium" w:hAnsi="Titillium"/>
          <w:sz w:val="21"/>
          <w:szCs w:val="21"/>
        </w:rPr>
        <w:t xml:space="preserve">                VISTO</w:t>
      </w:r>
    </w:p>
    <w:p w:rsidR="00EB2920" w:rsidRDefault="00EB2920" w:rsidP="00EB2920">
      <w:pPr>
        <w:jc w:val="both"/>
        <w:rPr>
          <w:rFonts w:ascii="Titillium" w:hAnsi="Titillium"/>
          <w:sz w:val="21"/>
          <w:szCs w:val="21"/>
        </w:rPr>
      </w:pPr>
      <w:r>
        <w:rPr>
          <w:rFonts w:ascii="Titillium" w:hAnsi="Titillium"/>
          <w:sz w:val="21"/>
          <w:szCs w:val="21"/>
        </w:rPr>
        <w:t xml:space="preserve">    Il funzionario UGARE</w:t>
      </w:r>
    </w:p>
    <w:p w:rsidR="00EB2920" w:rsidRDefault="00EB2920" w:rsidP="00EB2920">
      <w:pPr>
        <w:jc w:val="both"/>
        <w:rPr>
          <w:rFonts w:ascii="Titillium" w:hAnsi="Titillium"/>
          <w:sz w:val="21"/>
          <w:szCs w:val="21"/>
        </w:rPr>
      </w:pPr>
      <w:r>
        <w:rPr>
          <w:rFonts w:ascii="Titillium" w:hAnsi="Titillium"/>
          <w:sz w:val="21"/>
          <w:szCs w:val="21"/>
        </w:rPr>
        <w:t xml:space="preserve">    </w:t>
      </w:r>
      <w:bookmarkStart w:id="0" w:name="_GoBack"/>
      <w:bookmarkEnd w:id="0"/>
      <w:r>
        <w:rPr>
          <w:rFonts w:ascii="Titillium" w:hAnsi="Titillium"/>
          <w:sz w:val="21"/>
          <w:szCs w:val="21"/>
        </w:rPr>
        <w:t>Dr.ssa A. Michieletto</w:t>
      </w:r>
    </w:p>
    <w:p w:rsidR="00A10E00" w:rsidRDefault="00A10E00" w:rsidP="00581C43">
      <w:pPr>
        <w:spacing w:line="276" w:lineRule="auto"/>
        <w:jc w:val="both"/>
        <w:rPr>
          <w:rFonts w:ascii="Titillium" w:hAnsi="Titillium"/>
          <w:sz w:val="20"/>
          <w:szCs w:val="20"/>
        </w:rPr>
      </w:pPr>
    </w:p>
    <w:p w:rsidR="006E6806" w:rsidRDefault="006E6806" w:rsidP="00581C43">
      <w:pPr>
        <w:spacing w:line="276" w:lineRule="auto"/>
        <w:jc w:val="both"/>
        <w:rPr>
          <w:rFonts w:ascii="Titillium" w:hAnsi="Titillium"/>
          <w:sz w:val="20"/>
          <w:szCs w:val="20"/>
        </w:rPr>
      </w:pPr>
    </w:p>
    <w:tbl>
      <w:tblPr>
        <w:tblW w:w="4118" w:type="pct"/>
        <w:tblInd w:w="156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2548"/>
        <w:gridCol w:w="2697"/>
      </w:tblGrid>
      <w:tr w:rsidR="00A10E00" w:rsidRPr="00A10E00" w:rsidTr="00C706B5">
        <w:trPr>
          <w:trHeight w:val="343"/>
        </w:trPr>
        <w:tc>
          <w:tcPr>
            <w:tcW w:w="1696" w:type="pct"/>
            <w:shd w:val="clear" w:color="auto" w:fill="2770B7"/>
            <w:vAlign w:val="center"/>
          </w:tcPr>
          <w:p w:rsidR="00A10E00" w:rsidRPr="00A10E00" w:rsidRDefault="00A10E00" w:rsidP="00A10E00">
            <w:pPr>
              <w:tabs>
                <w:tab w:val="left" w:pos="284"/>
                <w:tab w:val="left" w:pos="567"/>
                <w:tab w:val="left" w:pos="708"/>
                <w:tab w:val="left" w:pos="851"/>
                <w:tab w:val="left" w:pos="1134"/>
                <w:tab w:val="left" w:pos="1418"/>
                <w:tab w:val="left" w:pos="2124"/>
                <w:tab w:val="right" w:pos="2268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265"/>
                <w:tab w:val="right" w:pos="10348"/>
              </w:tabs>
              <w:spacing w:after="160" w:line="276" w:lineRule="auto"/>
              <w:ind w:right="142"/>
              <w:rPr>
                <w:rFonts w:ascii="Gotham Book" w:eastAsia="Calibri" w:hAnsi="Gotham Book" w:cs="Titillium Web"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1605" w:type="pct"/>
            <w:shd w:val="clear" w:color="auto" w:fill="2770B7"/>
            <w:vAlign w:val="center"/>
          </w:tcPr>
          <w:p w:rsidR="00A10E00" w:rsidRPr="00A10E00" w:rsidRDefault="00A10E00" w:rsidP="00A10E00">
            <w:pPr>
              <w:tabs>
                <w:tab w:val="left" w:pos="284"/>
                <w:tab w:val="left" w:pos="567"/>
                <w:tab w:val="left" w:pos="708"/>
                <w:tab w:val="left" w:pos="851"/>
                <w:tab w:val="left" w:pos="1134"/>
                <w:tab w:val="left" w:pos="1418"/>
                <w:tab w:val="left" w:pos="2124"/>
                <w:tab w:val="right" w:pos="2268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265"/>
                <w:tab w:val="right" w:pos="10348"/>
              </w:tabs>
              <w:spacing w:after="160" w:line="276" w:lineRule="auto"/>
              <w:ind w:right="142"/>
              <w:rPr>
                <w:rFonts w:ascii="Gotham Book" w:eastAsia="Calibri" w:hAnsi="Gotham Book" w:cs="Titillium Web"/>
                <w:color w:val="FFFFFF"/>
                <w:sz w:val="20"/>
                <w:szCs w:val="20"/>
                <w:lang w:eastAsia="en-US"/>
              </w:rPr>
            </w:pPr>
          </w:p>
        </w:tc>
        <w:tc>
          <w:tcPr>
            <w:tcW w:w="1699" w:type="pct"/>
            <w:shd w:val="clear" w:color="auto" w:fill="2770B7"/>
            <w:vAlign w:val="center"/>
          </w:tcPr>
          <w:p w:rsidR="00A10E00" w:rsidRPr="003E6227" w:rsidRDefault="00A10E00" w:rsidP="00A10E00">
            <w:pPr>
              <w:tabs>
                <w:tab w:val="left" w:pos="284"/>
                <w:tab w:val="left" w:pos="567"/>
                <w:tab w:val="left" w:pos="708"/>
                <w:tab w:val="left" w:pos="851"/>
                <w:tab w:val="left" w:pos="1134"/>
                <w:tab w:val="left" w:pos="1418"/>
                <w:tab w:val="left" w:pos="2124"/>
                <w:tab w:val="right" w:pos="2268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265"/>
                <w:tab w:val="right" w:pos="10348"/>
              </w:tabs>
              <w:spacing w:after="160" w:line="276" w:lineRule="auto"/>
              <w:ind w:right="142"/>
              <w:rPr>
                <w:rFonts w:ascii="Gotham Book" w:eastAsia="Calibri" w:hAnsi="Gotham Book" w:cs="Titillium Web"/>
                <w:color w:val="FFFFFF"/>
                <w:sz w:val="21"/>
                <w:szCs w:val="21"/>
                <w:lang w:eastAsia="en-US"/>
              </w:rPr>
            </w:pPr>
            <w:r w:rsidRPr="003E6227">
              <w:rPr>
                <w:rFonts w:ascii="Gotham Book" w:eastAsia="Calibri" w:hAnsi="Gotham Book" w:cs="Titillium Web"/>
                <w:color w:val="FFFFFF"/>
                <w:sz w:val="21"/>
                <w:szCs w:val="21"/>
                <w:lang w:eastAsia="en-US"/>
              </w:rPr>
              <w:t xml:space="preserve">Il Segretario Generale </w:t>
            </w:r>
          </w:p>
        </w:tc>
      </w:tr>
      <w:tr w:rsidR="00A10E00" w:rsidRPr="00A10E00" w:rsidTr="00C706B5">
        <w:trPr>
          <w:trHeight w:val="434"/>
        </w:trPr>
        <w:tc>
          <w:tcPr>
            <w:tcW w:w="1696" w:type="pct"/>
            <w:shd w:val="clear" w:color="auto" w:fill="auto"/>
            <w:vAlign w:val="center"/>
          </w:tcPr>
          <w:p w:rsidR="00A10E00" w:rsidRPr="00A10E00" w:rsidRDefault="00A10E00" w:rsidP="00A10E00">
            <w:pPr>
              <w:rPr>
                <w:i/>
              </w:rPr>
            </w:pPr>
          </w:p>
        </w:tc>
        <w:tc>
          <w:tcPr>
            <w:tcW w:w="1605" w:type="pct"/>
            <w:vAlign w:val="center"/>
          </w:tcPr>
          <w:p w:rsidR="00A10E00" w:rsidRPr="00A10E00" w:rsidRDefault="00A10E00" w:rsidP="00A10E00">
            <w:pPr>
              <w:rPr>
                <w:rFonts w:ascii="Titillium" w:hAnsi="Titillium"/>
                <w:i/>
                <w:sz w:val="20"/>
                <w:szCs w:val="20"/>
              </w:rPr>
            </w:pPr>
          </w:p>
        </w:tc>
        <w:tc>
          <w:tcPr>
            <w:tcW w:w="1699" w:type="pct"/>
            <w:shd w:val="clear" w:color="auto" w:fill="auto"/>
            <w:vAlign w:val="center"/>
          </w:tcPr>
          <w:p w:rsidR="00A10E00" w:rsidRPr="003E6227" w:rsidRDefault="00C25181" w:rsidP="00A10E00">
            <w:pPr>
              <w:rPr>
                <w:rFonts w:ascii="Titillium" w:hAnsi="Titillium"/>
                <w:i/>
                <w:sz w:val="21"/>
                <w:szCs w:val="21"/>
              </w:rPr>
            </w:pPr>
            <w:r>
              <w:rPr>
                <w:rFonts w:ascii="Titillium" w:hAnsi="Titillium"/>
                <w:i/>
                <w:sz w:val="20"/>
                <w:szCs w:val="20"/>
              </w:rPr>
              <w:t xml:space="preserve">     </w:t>
            </w:r>
            <w:r w:rsidR="00A10E00" w:rsidRPr="003E6227">
              <w:rPr>
                <w:rFonts w:ascii="Titillium" w:hAnsi="Titillium"/>
                <w:i/>
                <w:sz w:val="21"/>
                <w:szCs w:val="21"/>
              </w:rPr>
              <w:t>Ing. Filippo Romano</w:t>
            </w:r>
          </w:p>
        </w:tc>
      </w:tr>
    </w:tbl>
    <w:p w:rsidR="004A53E6" w:rsidRPr="00C95049" w:rsidRDefault="004A53E6" w:rsidP="00332723">
      <w:pPr>
        <w:spacing w:line="276" w:lineRule="auto"/>
        <w:rPr>
          <w:rFonts w:ascii="Titilium Regular" w:hAnsi="Titilium Regular"/>
          <w:i/>
        </w:rPr>
      </w:pPr>
    </w:p>
    <w:sectPr w:rsidR="004A53E6" w:rsidRPr="00C95049" w:rsidSect="00581C43">
      <w:footerReference w:type="default" r:id="rId8"/>
      <w:headerReference w:type="first" r:id="rId9"/>
      <w:footerReference w:type="first" r:id="rId10"/>
      <w:pgSz w:w="11906" w:h="16838"/>
      <w:pgMar w:top="1560" w:right="1134" w:bottom="993" w:left="1134" w:header="284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5FA" w:rsidRDefault="001C35FA" w:rsidP="00332723">
      <w:r>
        <w:separator/>
      </w:r>
    </w:p>
  </w:endnote>
  <w:endnote w:type="continuationSeparator" w:id="0">
    <w:p w:rsidR="001C35FA" w:rsidRDefault="001C35FA" w:rsidP="0033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tillium Web">
    <w:altName w:val="Times New Roman"/>
    <w:charset w:val="4D"/>
    <w:family w:val="auto"/>
    <w:pitch w:val="variable"/>
    <w:sig w:usb0="00000001" w:usb1="00000001" w:usb2="00000000" w:usb3="00000000" w:csb0="00000093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ium Regular">
    <w:altName w:val="Times New Roman"/>
    <w:panose1 w:val="00000000000000000000"/>
    <w:charset w:val="00"/>
    <w:family w:val="roman"/>
    <w:notTrueType/>
    <w:pitch w:val="default"/>
  </w:font>
  <w:font w:name="Gotham Medium">
    <w:altName w:val="Calibri"/>
    <w:charset w:val="00"/>
    <w:family w:val="auto"/>
    <w:pitch w:val="variable"/>
    <w:sig w:usb0="800000AF" w:usb1="40000048" w:usb2="00000000" w:usb3="00000000" w:csb0="0000011B" w:csb1="00000000"/>
  </w:font>
  <w:font w:name="Gotham">
    <w:panose1 w:val="02000504050000020004"/>
    <w:charset w:val="00"/>
    <w:family w:val="auto"/>
    <w:pitch w:val="variable"/>
    <w:sig w:usb0="A00000AF" w:usb1="50000048" w:usb2="00000000" w:usb3="00000000" w:csb0="0000011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F76" w:rsidRPr="00FD5BC7" w:rsidRDefault="00B76F76" w:rsidP="00B76F76">
    <w:pPr>
      <w:pStyle w:val="Pidipagina"/>
      <w:rPr>
        <w:rFonts w:ascii="Gotham Medium" w:hAnsi="Gotham Medium"/>
        <w:color w:val="2770B7"/>
        <w:sz w:val="18"/>
        <w:szCs w:val="18"/>
      </w:rPr>
    </w:pPr>
    <w:r w:rsidRPr="00FD5BC7">
      <w:rPr>
        <w:rFonts w:ascii="Gotham Medium" w:hAnsi="Gotham Medium"/>
        <w:color w:val="2770B7"/>
        <w:sz w:val="18"/>
        <w:szCs w:val="18"/>
      </w:rPr>
      <w:fldChar w:fldCharType="begin"/>
    </w:r>
    <w:r w:rsidRPr="00FD5BC7">
      <w:rPr>
        <w:rFonts w:ascii="Gotham Medium" w:hAnsi="Gotham Medium"/>
        <w:color w:val="2770B7"/>
        <w:sz w:val="18"/>
        <w:szCs w:val="18"/>
      </w:rPr>
      <w:instrText>PAGE  \* Arabic</w:instrText>
    </w:r>
    <w:r w:rsidRPr="00FD5BC7">
      <w:rPr>
        <w:rFonts w:ascii="Gotham Medium" w:hAnsi="Gotham Medium"/>
        <w:color w:val="2770B7"/>
        <w:sz w:val="18"/>
        <w:szCs w:val="18"/>
      </w:rPr>
      <w:fldChar w:fldCharType="separate"/>
    </w:r>
    <w:r w:rsidR="00EB2920">
      <w:rPr>
        <w:rFonts w:ascii="Gotham Medium" w:hAnsi="Gotham Medium"/>
        <w:noProof/>
        <w:color w:val="2770B7"/>
        <w:sz w:val="18"/>
        <w:szCs w:val="18"/>
      </w:rPr>
      <w:t>2</w:t>
    </w:r>
    <w:r w:rsidRPr="00FD5BC7">
      <w:rPr>
        <w:rFonts w:ascii="Gotham Medium" w:hAnsi="Gotham Medium"/>
        <w:color w:val="2770B7"/>
        <w:sz w:val="18"/>
        <w:szCs w:val="18"/>
      </w:rPr>
      <w:fldChar w:fldCharType="end"/>
    </w:r>
    <w:r w:rsidRPr="00FD5BC7">
      <w:rPr>
        <w:rFonts w:ascii="Gotham Medium" w:hAnsi="Gotham Medium"/>
        <w:color w:val="2770B7"/>
        <w:sz w:val="18"/>
        <w:szCs w:val="18"/>
      </w:rPr>
      <w:t xml:space="preserve">  |  </w:t>
    </w:r>
    <w:r w:rsidRPr="00FD5BC7">
      <w:rPr>
        <w:rFonts w:ascii="Gotham Light" w:hAnsi="Gotham Light"/>
        <w:color w:val="2770B7"/>
        <w:sz w:val="18"/>
        <w:szCs w:val="18"/>
      </w:rPr>
      <w:t>AUTORITÀ NAZIONALE ANTICORRUZIONE</w:t>
    </w:r>
  </w:p>
  <w:p w:rsidR="00B76F76" w:rsidRDefault="00B76F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43" w:rsidRDefault="00581C43">
    <w:pPr>
      <w:pStyle w:val="Pidipagina"/>
      <w:jc w:val="right"/>
    </w:pPr>
  </w:p>
  <w:p w:rsidR="00581C43" w:rsidRDefault="00581C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5FA" w:rsidRDefault="001C35FA" w:rsidP="00332723">
      <w:r>
        <w:separator/>
      </w:r>
    </w:p>
  </w:footnote>
  <w:footnote w:type="continuationSeparator" w:id="0">
    <w:p w:rsidR="001C35FA" w:rsidRDefault="001C35FA" w:rsidP="0033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00" w:rsidRDefault="00A10E00" w:rsidP="00A10E00">
    <w:pPr>
      <w:tabs>
        <w:tab w:val="center" w:pos="4678"/>
        <w:tab w:val="left" w:pos="6045"/>
        <w:tab w:val="left" w:pos="7770"/>
      </w:tabs>
      <w:spacing w:before="120"/>
      <w:ind w:right="284"/>
      <w:rPr>
        <w:i/>
        <w:color w:val="1F497D"/>
        <w:sz w:val="20"/>
        <w:szCs w:val="20"/>
      </w:rPr>
    </w:pPr>
    <w:r>
      <w:rPr>
        <w:noProof/>
      </w:rPr>
      <w:drawing>
        <wp:inline distT="0" distB="0" distL="0" distR="0" wp14:anchorId="09BB99AF" wp14:editId="7D038053">
          <wp:extent cx="3169920" cy="40259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i/>
        <w:color w:val="1F497D"/>
        <w:sz w:val="20"/>
        <w:szCs w:val="20"/>
      </w:rPr>
      <w:tab/>
    </w:r>
    <w:r>
      <w:rPr>
        <w:i/>
        <w:color w:val="1F497D"/>
        <w:sz w:val="20"/>
        <w:szCs w:val="20"/>
      </w:rPr>
      <w:tab/>
    </w:r>
  </w:p>
  <w:p w:rsidR="00A10E00" w:rsidRPr="008B6ABE" w:rsidRDefault="00A10E00" w:rsidP="00A10E00">
    <w:pPr>
      <w:tabs>
        <w:tab w:val="center" w:pos="4678"/>
      </w:tabs>
      <w:spacing w:before="120"/>
      <w:ind w:right="284"/>
      <w:rPr>
        <w:rFonts w:ascii="Gotham Light" w:hAnsi="Gotham Light"/>
        <w:i/>
        <w:color w:val="1F497D"/>
        <w:sz w:val="20"/>
        <w:szCs w:val="20"/>
      </w:rPr>
    </w:pPr>
    <w:r>
      <w:rPr>
        <w:rFonts w:ascii="Gotham" w:hAnsi="Gotham" w:cs="Arial"/>
        <w:color w:val="2E74B5"/>
      </w:rPr>
      <w:t xml:space="preserve">           </w:t>
    </w:r>
    <w:r w:rsidRPr="008B6ABE">
      <w:rPr>
        <w:rFonts w:ascii="Gotham Light" w:hAnsi="Gotham Light" w:cs="Arial"/>
        <w:color w:val="2E74B5"/>
      </w:rPr>
      <w:t>Il Segretario Generale</w:t>
    </w:r>
  </w:p>
  <w:p w:rsidR="00A10E00" w:rsidRDefault="00A10E00" w:rsidP="00A10E00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76D"/>
    <w:multiLevelType w:val="hybridMultilevel"/>
    <w:tmpl w:val="49B2AEE0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75704E"/>
    <w:multiLevelType w:val="hybridMultilevel"/>
    <w:tmpl w:val="7E7CF69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09E69A7"/>
    <w:multiLevelType w:val="hybridMultilevel"/>
    <w:tmpl w:val="71486406"/>
    <w:lvl w:ilvl="0" w:tplc="773A90A4">
      <w:start w:val="2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317300A"/>
    <w:multiLevelType w:val="hybridMultilevel"/>
    <w:tmpl w:val="49B2AE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B65"/>
    <w:multiLevelType w:val="hybridMultilevel"/>
    <w:tmpl w:val="0998678E"/>
    <w:lvl w:ilvl="0" w:tplc="413E32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3466D"/>
    <w:multiLevelType w:val="hybridMultilevel"/>
    <w:tmpl w:val="AFEECC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52"/>
    <w:rsid w:val="000041E8"/>
    <w:rsid w:val="00022368"/>
    <w:rsid w:val="0003074D"/>
    <w:rsid w:val="00032632"/>
    <w:rsid w:val="00037ED0"/>
    <w:rsid w:val="000458D6"/>
    <w:rsid w:val="00054820"/>
    <w:rsid w:val="000650BE"/>
    <w:rsid w:val="00082783"/>
    <w:rsid w:val="00090690"/>
    <w:rsid w:val="00095795"/>
    <w:rsid w:val="00097292"/>
    <w:rsid w:val="000B1A7A"/>
    <w:rsid w:val="000F3312"/>
    <w:rsid w:val="00110EE1"/>
    <w:rsid w:val="001173BE"/>
    <w:rsid w:val="00120D26"/>
    <w:rsid w:val="0012593E"/>
    <w:rsid w:val="001263C2"/>
    <w:rsid w:val="00141A09"/>
    <w:rsid w:val="00164544"/>
    <w:rsid w:val="001B7143"/>
    <w:rsid w:val="001C35FA"/>
    <w:rsid w:val="001D2907"/>
    <w:rsid w:val="001F06BC"/>
    <w:rsid w:val="001F74B3"/>
    <w:rsid w:val="00202007"/>
    <w:rsid w:val="00204690"/>
    <w:rsid w:val="00211561"/>
    <w:rsid w:val="00212000"/>
    <w:rsid w:val="00212EAF"/>
    <w:rsid w:val="002175C6"/>
    <w:rsid w:val="0022529F"/>
    <w:rsid w:val="00231CCC"/>
    <w:rsid w:val="0023328A"/>
    <w:rsid w:val="00236417"/>
    <w:rsid w:val="002612F3"/>
    <w:rsid w:val="0026529A"/>
    <w:rsid w:val="002A55D9"/>
    <w:rsid w:val="002B2991"/>
    <w:rsid w:val="002C00F4"/>
    <w:rsid w:val="002D72F3"/>
    <w:rsid w:val="002F411A"/>
    <w:rsid w:val="00315207"/>
    <w:rsid w:val="003213DC"/>
    <w:rsid w:val="00332723"/>
    <w:rsid w:val="003574BE"/>
    <w:rsid w:val="00366BF6"/>
    <w:rsid w:val="00371179"/>
    <w:rsid w:val="003716FB"/>
    <w:rsid w:val="0037465F"/>
    <w:rsid w:val="003909E0"/>
    <w:rsid w:val="00397BD9"/>
    <w:rsid w:val="003A1C13"/>
    <w:rsid w:val="003A7A5A"/>
    <w:rsid w:val="003B4801"/>
    <w:rsid w:val="003B5A90"/>
    <w:rsid w:val="003D4614"/>
    <w:rsid w:val="003E4EE3"/>
    <w:rsid w:val="003E5D79"/>
    <w:rsid w:val="003E6227"/>
    <w:rsid w:val="00403CFE"/>
    <w:rsid w:val="00404289"/>
    <w:rsid w:val="00406276"/>
    <w:rsid w:val="004072EB"/>
    <w:rsid w:val="00414BA9"/>
    <w:rsid w:val="00431697"/>
    <w:rsid w:val="00440C4E"/>
    <w:rsid w:val="004421AD"/>
    <w:rsid w:val="004427EC"/>
    <w:rsid w:val="00451AAD"/>
    <w:rsid w:val="00460B02"/>
    <w:rsid w:val="00463CE9"/>
    <w:rsid w:val="00471845"/>
    <w:rsid w:val="00472286"/>
    <w:rsid w:val="004778A3"/>
    <w:rsid w:val="004843CF"/>
    <w:rsid w:val="004854B5"/>
    <w:rsid w:val="00485612"/>
    <w:rsid w:val="00487647"/>
    <w:rsid w:val="00491707"/>
    <w:rsid w:val="004934F0"/>
    <w:rsid w:val="004A53E6"/>
    <w:rsid w:val="004B0A81"/>
    <w:rsid w:val="004C3567"/>
    <w:rsid w:val="004D3AD4"/>
    <w:rsid w:val="004E0347"/>
    <w:rsid w:val="004E12C3"/>
    <w:rsid w:val="004E3E67"/>
    <w:rsid w:val="004E5CA8"/>
    <w:rsid w:val="005126BB"/>
    <w:rsid w:val="00522C6B"/>
    <w:rsid w:val="0052461B"/>
    <w:rsid w:val="005273C2"/>
    <w:rsid w:val="0053317A"/>
    <w:rsid w:val="00546173"/>
    <w:rsid w:val="00553D7A"/>
    <w:rsid w:val="005565FA"/>
    <w:rsid w:val="00572002"/>
    <w:rsid w:val="0058173E"/>
    <w:rsid w:val="00581C43"/>
    <w:rsid w:val="0058739E"/>
    <w:rsid w:val="005A0D2E"/>
    <w:rsid w:val="005A2153"/>
    <w:rsid w:val="005A2434"/>
    <w:rsid w:val="005B1BA6"/>
    <w:rsid w:val="005D4C0C"/>
    <w:rsid w:val="005E1013"/>
    <w:rsid w:val="005E6E80"/>
    <w:rsid w:val="005F5C0C"/>
    <w:rsid w:val="00622F01"/>
    <w:rsid w:val="00632F5C"/>
    <w:rsid w:val="0063524C"/>
    <w:rsid w:val="00671F04"/>
    <w:rsid w:val="006733E2"/>
    <w:rsid w:val="00695A16"/>
    <w:rsid w:val="006979D2"/>
    <w:rsid w:val="006A4252"/>
    <w:rsid w:val="006B3F75"/>
    <w:rsid w:val="006C11A5"/>
    <w:rsid w:val="006E6806"/>
    <w:rsid w:val="00720947"/>
    <w:rsid w:val="00720A5A"/>
    <w:rsid w:val="007228DC"/>
    <w:rsid w:val="00723555"/>
    <w:rsid w:val="00727CF5"/>
    <w:rsid w:val="00727EF2"/>
    <w:rsid w:val="00727FF0"/>
    <w:rsid w:val="007347AC"/>
    <w:rsid w:val="0074669E"/>
    <w:rsid w:val="00752608"/>
    <w:rsid w:val="0075746E"/>
    <w:rsid w:val="007679A2"/>
    <w:rsid w:val="00770588"/>
    <w:rsid w:val="007840EA"/>
    <w:rsid w:val="00784DC5"/>
    <w:rsid w:val="007931BA"/>
    <w:rsid w:val="00793F70"/>
    <w:rsid w:val="007A5BA3"/>
    <w:rsid w:val="007B5FA8"/>
    <w:rsid w:val="007E37F5"/>
    <w:rsid w:val="007F26B3"/>
    <w:rsid w:val="00805285"/>
    <w:rsid w:val="008304A9"/>
    <w:rsid w:val="0084067E"/>
    <w:rsid w:val="008460B1"/>
    <w:rsid w:val="0086080B"/>
    <w:rsid w:val="00860D64"/>
    <w:rsid w:val="00874ECD"/>
    <w:rsid w:val="00883703"/>
    <w:rsid w:val="00896071"/>
    <w:rsid w:val="008B6ABE"/>
    <w:rsid w:val="008C2364"/>
    <w:rsid w:val="008C32F6"/>
    <w:rsid w:val="008D46D1"/>
    <w:rsid w:val="008E7BDB"/>
    <w:rsid w:val="008F7EEC"/>
    <w:rsid w:val="009135B2"/>
    <w:rsid w:val="009308E6"/>
    <w:rsid w:val="00933523"/>
    <w:rsid w:val="00934E6E"/>
    <w:rsid w:val="00952CF9"/>
    <w:rsid w:val="00967E83"/>
    <w:rsid w:val="009723AB"/>
    <w:rsid w:val="00990707"/>
    <w:rsid w:val="009B2060"/>
    <w:rsid w:val="009B7148"/>
    <w:rsid w:val="009B7DE9"/>
    <w:rsid w:val="009C5BF6"/>
    <w:rsid w:val="009E0E78"/>
    <w:rsid w:val="00A00CBD"/>
    <w:rsid w:val="00A10E00"/>
    <w:rsid w:val="00A271BF"/>
    <w:rsid w:val="00A42FD3"/>
    <w:rsid w:val="00A46FE6"/>
    <w:rsid w:val="00A55BA3"/>
    <w:rsid w:val="00A6677D"/>
    <w:rsid w:val="00A67C23"/>
    <w:rsid w:val="00A80E47"/>
    <w:rsid w:val="00A90DE9"/>
    <w:rsid w:val="00AA2AEF"/>
    <w:rsid w:val="00AA2BF9"/>
    <w:rsid w:val="00AB07B9"/>
    <w:rsid w:val="00AB675C"/>
    <w:rsid w:val="00AE6E4B"/>
    <w:rsid w:val="00B0396E"/>
    <w:rsid w:val="00B1525B"/>
    <w:rsid w:val="00B37CA5"/>
    <w:rsid w:val="00B60B0F"/>
    <w:rsid w:val="00B613FA"/>
    <w:rsid w:val="00B61AE1"/>
    <w:rsid w:val="00B6390B"/>
    <w:rsid w:val="00B6699E"/>
    <w:rsid w:val="00B7127D"/>
    <w:rsid w:val="00B72615"/>
    <w:rsid w:val="00B76F76"/>
    <w:rsid w:val="00B80660"/>
    <w:rsid w:val="00B80C02"/>
    <w:rsid w:val="00B819C8"/>
    <w:rsid w:val="00B8761D"/>
    <w:rsid w:val="00B9335C"/>
    <w:rsid w:val="00BA5196"/>
    <w:rsid w:val="00BB1F80"/>
    <w:rsid w:val="00BC1267"/>
    <w:rsid w:val="00BE3A2E"/>
    <w:rsid w:val="00BF0ACD"/>
    <w:rsid w:val="00BF15B5"/>
    <w:rsid w:val="00BF2C4A"/>
    <w:rsid w:val="00C108D7"/>
    <w:rsid w:val="00C17086"/>
    <w:rsid w:val="00C25181"/>
    <w:rsid w:val="00C60786"/>
    <w:rsid w:val="00C65D3F"/>
    <w:rsid w:val="00C713E8"/>
    <w:rsid w:val="00C87A91"/>
    <w:rsid w:val="00C95049"/>
    <w:rsid w:val="00CB15A8"/>
    <w:rsid w:val="00CF199A"/>
    <w:rsid w:val="00D03AB2"/>
    <w:rsid w:val="00D16C5D"/>
    <w:rsid w:val="00D17D66"/>
    <w:rsid w:val="00D17E5C"/>
    <w:rsid w:val="00D21964"/>
    <w:rsid w:val="00D343DD"/>
    <w:rsid w:val="00D5477F"/>
    <w:rsid w:val="00D844E1"/>
    <w:rsid w:val="00DA74F3"/>
    <w:rsid w:val="00DB0A37"/>
    <w:rsid w:val="00DB1F58"/>
    <w:rsid w:val="00DC5F66"/>
    <w:rsid w:val="00DD2A6C"/>
    <w:rsid w:val="00DD50B9"/>
    <w:rsid w:val="00DE2D17"/>
    <w:rsid w:val="00E02608"/>
    <w:rsid w:val="00E07DDB"/>
    <w:rsid w:val="00E22E2D"/>
    <w:rsid w:val="00E27E0A"/>
    <w:rsid w:val="00E51E5D"/>
    <w:rsid w:val="00E54758"/>
    <w:rsid w:val="00E60775"/>
    <w:rsid w:val="00E610AF"/>
    <w:rsid w:val="00E637CD"/>
    <w:rsid w:val="00E6555E"/>
    <w:rsid w:val="00E70CFA"/>
    <w:rsid w:val="00E70EEB"/>
    <w:rsid w:val="00EA39F0"/>
    <w:rsid w:val="00EB2920"/>
    <w:rsid w:val="00EC1E07"/>
    <w:rsid w:val="00EE175F"/>
    <w:rsid w:val="00EE3934"/>
    <w:rsid w:val="00EE5A02"/>
    <w:rsid w:val="00F16C4E"/>
    <w:rsid w:val="00F34D20"/>
    <w:rsid w:val="00F4692D"/>
    <w:rsid w:val="00F50B94"/>
    <w:rsid w:val="00F53FDA"/>
    <w:rsid w:val="00F72632"/>
    <w:rsid w:val="00F75854"/>
    <w:rsid w:val="00F779A2"/>
    <w:rsid w:val="00F77C35"/>
    <w:rsid w:val="00F95AB2"/>
    <w:rsid w:val="00F97EAC"/>
    <w:rsid w:val="00FA4424"/>
    <w:rsid w:val="00FB24EE"/>
    <w:rsid w:val="00FC07A9"/>
    <w:rsid w:val="00FC394F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34CF4"/>
  <w15:chartTrackingRefBased/>
  <w15:docId w15:val="{0E96DBE6-CEEE-4BB2-BAFC-3A680CF9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2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327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272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33272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3272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32723"/>
    <w:pPr>
      <w:ind w:left="720"/>
      <w:contextualSpacing/>
    </w:pPr>
  </w:style>
  <w:style w:type="table" w:styleId="Grigliatabella">
    <w:name w:val="Table Grid"/>
    <w:basedOn w:val="Tabellanormale"/>
    <w:uiPriority w:val="59"/>
    <w:rsid w:val="00332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327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272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4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4B5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727FF0"/>
    <w:pPr>
      <w:spacing w:before="100" w:beforeAutospacing="1" w:after="119"/>
    </w:pPr>
    <w:rPr>
      <w:rFonts w:eastAsiaTheme="minorHAnsi"/>
    </w:rPr>
  </w:style>
  <w:style w:type="paragraph" w:customStyle="1" w:styleId="ANCATABELLATITOLOBIANCO">
    <w:name w:val="ANCA_TABELLA_TITOLO BIANCO"/>
    <w:basedOn w:val="Normale"/>
    <w:qFormat/>
    <w:rsid w:val="008B6ABE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160" w:line="276" w:lineRule="auto"/>
      <w:ind w:left="1560" w:right="142"/>
    </w:pPr>
    <w:rPr>
      <w:rFonts w:ascii="Gotham Book" w:eastAsiaTheme="minorHAnsi" w:hAnsi="Gotham Book" w:cs="Titillium Web"/>
      <w:color w:val="FFFFFF" w:themeColor="background1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0F3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CF5773-152C-4120-8922-A6BD64540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CA8489-0DAA-4F9E-BF6A-D921D3E6C547}"/>
</file>

<file path=customXml/itemProps3.xml><?xml version="1.0" encoding="utf-8"?>
<ds:datastoreItem xmlns:ds="http://schemas.openxmlformats.org/officeDocument/2006/customXml" ds:itemID="{43FC17EB-1A5D-49E9-BA53-70DF49A36448}"/>
</file>

<file path=customXml/itemProps4.xml><?xml version="1.0" encoding="utf-8"?>
<ds:datastoreItem xmlns:ds="http://schemas.openxmlformats.org/officeDocument/2006/customXml" ds:itemID="{C68E53F5-8DAA-421B-AC8A-312E15FF4E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Autorità Nazionale Anticorruzione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Fontana</dc:creator>
  <cp:keywords/>
  <dc:description/>
  <cp:lastModifiedBy>Michieletto Antonella</cp:lastModifiedBy>
  <cp:revision>2</cp:revision>
  <cp:lastPrinted>2019-06-04T13:34:00Z</cp:lastPrinted>
  <dcterms:created xsi:type="dcterms:W3CDTF">2024-02-21T13:20:00Z</dcterms:created>
  <dcterms:modified xsi:type="dcterms:W3CDTF">2024-02-21T13:20:00Z</dcterms:modified>
</cp:coreProperties>
</file>